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289560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8"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On May 31, 2018, LivaNova PLC (“LivaNova” or the “Company”) furnished a Current Report on Form 8-K (the “Original Form 8-K”). This Amendment No. 1 to Current Report on Form 8-K/A (this “Amendment No. 1”) is being filed to include an omitted paragraph of text and highlighted information in the Original Form 8-K. This Form 8-K/A includes the omitted information and restates in its entirety the Original Form 8-K.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On May 30, 2018, the Centers for Medicare &amp; Medicaid Services (“CMS”) published a tracking sheet to reconsider the National Coverage Determination (“NCD”) for LivaNova PLC’s (“LivaNova” or the “Company”) Vagus Nerve Stimulation Therapy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(“VNS Therapy”) System for Treatment-Resistant Depression (“TRD”).</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decision by CMS follows LivaNova’s submission of a letter to CMS requesting a formal reconsideration of the NCD for VNS Therapy, NCD 160.18, specifically for TRD. Over the last decade, a significant body of new evidence has emerged showing that the addition of VNS Therapy is effective in reducing symptoms in patients with TRD.</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posting of the National Coverage Analysis (“NCA”) tracking sheet, https://www.cms.gov/medicare-coverage-database/details/nca-tracking-sheet.aspx? NCAId=292&amp;TimeFrame=7&amp;DocType=All&amp;bc=AAAAIAAAQAAA&amp;, has opened the 30-day public comment period. Interested parties may comment on the NCA tracking sheet until June 29 as CMS brings greater attention to this important public health issue.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Following the 30-day comment period and up to six months later, CMS will release a Proposed Decision Memorandum. The proposed decision could result in any of the following possibilities or variations thereof:</w:t>
      </w:r>
    </w:p>
    <w:p>
      <w:pPr>
        <w:spacing w:after="0" w:line="130"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CMS may confirm its NCD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CMS may reverse its NCD</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CMS may remove the national non-coverage language from its NCD and allow its local Medicare Administrative Contractors (“MACs”) to make coverage decisions</w:t>
      </w:r>
    </w:p>
    <w:p>
      <w:pPr>
        <w:ind w:left="660" w:right="24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CMS may use a coverage with evidence development (“CED”) framework to expand coverage for patients with TRD while additional evidence is being collected</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Once the Proposed Decision Memorandum is released, CMS will open another 30-day public comment period, after which, the agency will render a final decision on the NCD for VNS Therapy for TRD.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9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60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4960" w:type="dxa"/>
            <w:vAlign w:val="bottom"/>
            <w:gridSpan w:val="6"/>
          </w:tcPr>
          <w:p>
            <w:pPr>
              <w:ind w:left="480"/>
              <w:spacing w:after="0"/>
              <w:rPr>
                <w:sz w:val="20"/>
                <w:szCs w:val="20"/>
                <w:color w:val="auto"/>
              </w:rPr>
            </w:pPr>
            <w:r>
              <w:rPr>
                <w:rFonts w:ascii="Arial" w:cs="Arial" w:eastAsia="Arial" w:hAnsi="Arial"/>
                <w:sz w:val="18"/>
                <w:szCs w:val="18"/>
                <w:color w:val="auto"/>
                <w:w w:val="92"/>
              </w:rPr>
              <w:t>Press Release issued by LivaNova PLC dated May 30, 2018</w:t>
            </w:r>
          </w:p>
        </w:tc>
      </w:tr>
      <w:tr>
        <w:trPr>
          <w:trHeight w:val="419"/>
        </w:trPr>
        <w:tc>
          <w:tcPr>
            <w:tcW w:w="5880" w:type="dxa"/>
            <w:vAlign w:val="bottom"/>
            <w:gridSpan w:val="9"/>
          </w:tcPr>
          <w:p>
            <w:pPr>
              <w:spacing w:after="0"/>
              <w:rPr>
                <w:sz w:val="20"/>
                <w:szCs w:val="20"/>
                <w:color w:val="auto"/>
              </w:rPr>
            </w:pPr>
            <w:r>
              <w:rPr>
                <w:rFonts w:ascii="Arial" w:cs="Arial" w:eastAsia="Arial" w:hAnsi="Arial"/>
                <w:sz w:val="18"/>
                <w:szCs w:val="18"/>
                <w:b w:val="1"/>
                <w:bCs w:val="1"/>
                <w:color w:val="auto"/>
              </w:rPr>
              <w:t>EXHIBIT INDEX</w:t>
            </w:r>
          </w:p>
        </w:tc>
      </w:tr>
      <w:tr>
        <w:trPr>
          <w:trHeight w:val="574"/>
        </w:trPr>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Description</w:t>
            </w:r>
          </w:p>
        </w:tc>
        <w:tc>
          <w:tcPr>
            <w:tcW w:w="3460" w:type="dxa"/>
            <w:vAlign w:val="bottom"/>
            <w:gridSpan w:val="2"/>
          </w:tcPr>
          <w:p>
            <w:pPr>
              <w:spacing w:after="0"/>
              <w:rPr>
                <w:sz w:val="24"/>
                <w:szCs w:val="24"/>
                <w:color w:val="auto"/>
              </w:rPr>
            </w:pPr>
          </w:p>
        </w:tc>
      </w:tr>
      <w:tr>
        <w:trPr>
          <w:trHeight w:val="547"/>
        </w:trPr>
        <w:tc>
          <w:tcPr>
            <w:tcW w:w="60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issued by LivaNova PLC dated May 30, 2018</w:t>
              </w:r>
            </w:hyperlink>
          </w:p>
        </w:tc>
        <w:tc>
          <w:tcPr>
            <w:tcW w:w="20" w:type="dxa"/>
            <w:vAlign w:val="bottom"/>
          </w:tcPr>
          <w:p>
            <w:pPr>
              <w:spacing w:after="0"/>
              <w:rPr>
                <w:sz w:val="24"/>
                <w:szCs w:val="24"/>
                <w:color w:val="auto"/>
              </w:rPr>
            </w:pPr>
          </w:p>
        </w:tc>
      </w:tr>
      <w:tr>
        <w:trPr>
          <w:trHeight w:val="551"/>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6"/>
          </w:tcPr>
          <w:p>
            <w:pPr>
              <w:jc w:val="right"/>
              <w:spacing w:after="0"/>
              <w:rPr>
                <w:sz w:val="20"/>
                <w:szCs w:val="20"/>
                <w:color w:val="auto"/>
              </w:rPr>
            </w:pPr>
            <w:r>
              <w:rPr>
                <w:rFonts w:ascii="Arial" w:cs="Arial" w:eastAsia="Arial" w:hAnsi="Arial"/>
                <w:sz w:val="20"/>
                <w:szCs w:val="20"/>
                <w:color w:val="auto"/>
              </w:rPr>
              <w:t>- 2 -</w:t>
            </w: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31,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000"/>
          </w:cols>
          <w:pgMar w:left="240" w:top="364" w:right="659" w:bottom="1440" w:gutter="0" w:footer="0" w:header="0"/>
        </w:sectPr>
      </w:pPr>
    </w:p>
    <w:bookmarkStart w:id="3" w:name="page4"/>
    <w:bookmarkEnd w:id="3"/>
    <w:p>
      <w:pPr>
        <w:jc w:val="right"/>
        <w:spacing w:after="0"/>
        <w:rPr>
          <w:rFonts w:ascii="Arial" w:cs="Arial" w:eastAsia="Arial" w:hAnsi="Arial"/>
          <w:sz w:val="20"/>
          <w:szCs w:val="20"/>
          <w:b w:val="1"/>
          <w:bCs w:val="1"/>
          <w:u w:val="single" w:color="auto"/>
          <w:color w:val="0000FF"/>
        </w:rPr>
      </w:pPr>
      <w:hyperlink w:anchor="page1">
        <w:r>
          <w:rPr>
            <w:rFonts w:ascii="Arial" w:cs="Arial" w:eastAsia="Arial" w:hAnsi="Arial"/>
            <w:sz w:val="20"/>
            <w:szCs w:val="20"/>
            <w:b w:val="1"/>
            <w:bCs w:val="1"/>
            <w:u w:val="single" w:color="auto"/>
            <w:color w:val="0000FF"/>
          </w:rPr>
          <w:t>EXHIBIT 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3515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0"/>
          <w:szCs w:val="20"/>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Comments on the U.S. Centers for Medicare &amp; Medicaid Services’ Reconsideration of</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its National Coverage Determination for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VNS Therapy for Treatment-Resistant Depression</w:t>
      </w:r>
    </w:p>
    <w:p>
      <w:pPr>
        <w:spacing w:after="0" w:line="200" w:lineRule="exact"/>
        <w:rPr>
          <w:sz w:val="20"/>
          <w:szCs w:val="20"/>
          <w:color w:val="auto"/>
        </w:rPr>
      </w:pPr>
    </w:p>
    <w:p>
      <w:pPr>
        <w:spacing w:after="0" w:line="213" w:lineRule="exact"/>
        <w:rPr>
          <w:sz w:val="20"/>
          <w:szCs w:val="20"/>
          <w:color w:val="auto"/>
        </w:rPr>
      </w:pPr>
    </w:p>
    <w:p>
      <w:pPr>
        <w:ind w:right="240"/>
        <w:spacing w:after="0" w:line="348" w:lineRule="auto"/>
        <w:rPr>
          <w:sz w:val="20"/>
          <w:szCs w:val="20"/>
          <w:color w:val="auto"/>
        </w:rPr>
      </w:pPr>
      <w:r>
        <w:rPr>
          <w:rFonts w:ascii="Arial" w:cs="Arial" w:eastAsia="Arial" w:hAnsi="Arial"/>
          <w:sz w:val="20"/>
          <w:szCs w:val="20"/>
          <w:b w:val="1"/>
          <w:bCs w:val="1"/>
          <w:color w:val="auto"/>
        </w:rPr>
        <w:t xml:space="preserve">London, May 30, 2018 – </w:t>
      </w:r>
      <w:r>
        <w:rPr>
          <w:rFonts w:ascii="Arial" w:cs="Arial" w:eastAsia="Arial" w:hAnsi="Arial"/>
          <w:sz w:val="20"/>
          <w:szCs w:val="20"/>
          <w:color w:val="auto"/>
        </w:rPr>
        <w:t>LivaNova PLC (NASDAQ:LIVN) (“LivaNova” or the “Company”), a market-leading medical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today issued a statement in regard to the U.S. Centers for Medicare &amp; Medicaid Services’ (“CMS”) publication of a tracking sheet to reconsider its National Coverage Determination (“NCD”) for the Company’s Vagus Nerve Stimulation Therapy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(“VNS Therapy”) System for Treatment-Resistant Depression (“TRD”):</w:t>
      </w:r>
    </w:p>
    <w:p>
      <w:pPr>
        <w:spacing w:after="0" w:line="335" w:lineRule="exact"/>
        <w:rPr>
          <w:sz w:val="20"/>
          <w:szCs w:val="20"/>
          <w:color w:val="auto"/>
        </w:rPr>
      </w:pPr>
    </w:p>
    <w:p>
      <w:pPr>
        <w:ind w:right="40"/>
        <w:spacing w:after="0" w:line="367" w:lineRule="auto"/>
        <w:rPr>
          <w:sz w:val="20"/>
          <w:szCs w:val="20"/>
          <w:color w:val="auto"/>
        </w:rPr>
      </w:pPr>
      <w:r>
        <w:rPr>
          <w:rFonts w:ascii="Arial" w:cs="Arial" w:eastAsia="Arial" w:hAnsi="Arial"/>
          <w:sz w:val="20"/>
          <w:szCs w:val="20"/>
          <w:color w:val="auto"/>
        </w:rPr>
        <w:t>LivaNova has been engaged with CMS on this important issue and submitted a letter to CMS requesting a formal reconsideration of the NCD for VNS Therapy for patients with TRD. The Company is encouraged that CMS has taken this initial step, which may provide access to this important therapy for TRD that has been a Medicare non-covered indication for more than a decade. A change in the Medicare coverage status of VNS Therapy for TRD that ensures adequate patient access to this important therapy would be a positive outcome for patients and physicians. The posting of the National Coverage Analysis (“NCA”) tracking sheet</w:t>
      </w:r>
      <w:r>
        <w:rPr>
          <w:rFonts w:ascii="Arial" w:cs="Arial" w:eastAsia="Arial" w:hAnsi="Arial"/>
          <w:sz w:val="20"/>
          <w:szCs w:val="20"/>
          <w:color w:val="0000FF"/>
        </w:rPr>
        <w:t>,</w:t>
      </w:r>
      <w:r>
        <w:rPr>
          <w:rFonts w:ascii="Arial" w:cs="Arial" w:eastAsia="Arial" w:hAnsi="Arial"/>
          <w:sz w:val="20"/>
          <w:szCs w:val="20"/>
          <w:color w:val="auto"/>
        </w:rPr>
        <w:t xml:space="preserve"> https://www.cms.gov/medicare-coverage-database/details/nca-tracking-sheet.aspx? NCAId=292&amp;TimeFrame=7&amp;DocType=All&amp;bc=AAAAIAAAQAAA&amp;, has opened the 30-day public comment period. Interested parties may comment on the NCA tracking sheet until June 29 as CMS brings greater attention to this important public health issue. Over the last decade, a significant body of new evidence has emerged showing that the addition of VNS Therapy is effective in reducing symptoms in patients with TRD. We look forward to working with CMS as they consider a change in Medicare coverage.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229" w:lineRule="exact"/>
        <w:rPr>
          <w:sz w:val="20"/>
          <w:szCs w:val="20"/>
          <w:color w:val="auto"/>
        </w:rPr>
      </w:pPr>
    </w:p>
    <w:p>
      <w:pPr>
        <w:ind w:right="100"/>
        <w:spacing w:after="0" w:line="373"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w:t>
      </w:r>
    </w:p>
    <w:p>
      <w:pPr>
        <w:sectPr>
          <w:pgSz w:w="11900" w:h="16838" w:orient="portrait"/>
          <w:cols w:equalWidth="0" w:num="1">
            <w:col w:w="11420"/>
          </w:cols>
          <w:pgMar w:left="240" w:top="360" w:right="239" w:bottom="1440" w:gutter="0" w:footer="0" w:header="0"/>
        </w:sectPr>
      </w:pPr>
    </w:p>
    <w:bookmarkStart w:id="4" w:name="page5"/>
    <w:bookmarkEnd w:id="4"/>
    <w:p>
      <w:pPr>
        <w:ind w:right="180"/>
        <w:spacing w:after="0" w:line="368" w:lineRule="auto"/>
        <w:rPr>
          <w:sz w:val="20"/>
          <w:szCs w:val="20"/>
          <w:color w:val="auto"/>
        </w:rPr>
      </w:pPr>
      <w:r>
        <w:rPr>
          <w:rFonts w:ascii="Arial" w:cs="Arial" w:eastAsia="Arial" w:hAnsi="Arial"/>
          <w:sz w:val="20"/>
          <w:szCs w:val="20"/>
          <w:color w:val="auto"/>
        </w:rPr>
        <w:t>technologies and breakthrough treatments provide meaningful solutions for the benefit of patients, healthcare professionals and healthcare systems. Headquartered in London, LivaNova has a presence in more than 100 countries worldwide. The Company currently employs more than 3,500 employees. LivaNova operates as two business franchises: Cardiac Surgery and Neuromodulation, with operating headquarters in Mirandola (Italy) and Houston (U.S.A.),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color w:val="auto"/>
        </w:rPr>
        <w:t>www.livanova.com</w:t>
      </w:r>
      <w:r>
        <w:rPr>
          <w:rFonts w:ascii="Arial" w:cs="Arial" w:eastAsia="Arial" w:hAnsi="Arial"/>
          <w:sz w:val="20"/>
          <w:szCs w:val="20"/>
          <w:b w:val="1"/>
          <w:bCs w:val="1"/>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229" w:lineRule="exact"/>
        <w:rPr>
          <w:sz w:val="20"/>
          <w:szCs w:val="20"/>
          <w:color w:val="auto"/>
        </w:rPr>
      </w:pPr>
    </w:p>
    <w:p>
      <w:pPr>
        <w:ind w:right="40"/>
        <w:spacing w:after="0" w:line="367" w:lineRule="auto"/>
        <w:rPr>
          <w:sz w:val="20"/>
          <w:szCs w:val="20"/>
          <w:color w:val="auto"/>
        </w:rPr>
      </w:pPr>
      <w:r>
        <w:rPr>
          <w:rFonts w:ascii="Arial" w:cs="Arial" w:eastAsia="Arial" w:hAnsi="Arial"/>
          <w:sz w:val="20"/>
          <w:szCs w:val="20"/>
          <w:color w:val="auto"/>
        </w:rPr>
        <w:t>This news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news release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which are not guarantees of future performance or actions that may be taken by LivaNova and involve known and unknown risks, uncertainties and other factors that are, in some cases, beyond LivaNova’s control. You should carefully consider the risks and uncertainties that affect LivaNova, including those described in the “Risk Factors” section of LivaNova’s Annual Reports on Form 10-K, Quarterly Reports on Form 10-Q, Current Reports on Form 8-K and other documents filed from time to time with the United States Securities and Exchange Commission.</w:t>
      </w:r>
    </w:p>
    <w:p>
      <w:pPr>
        <w:spacing w:after="0" w:line="317" w:lineRule="exact"/>
        <w:rPr>
          <w:sz w:val="20"/>
          <w:szCs w:val="20"/>
          <w:color w:val="auto"/>
        </w:rPr>
      </w:pPr>
    </w:p>
    <w:p>
      <w:pPr>
        <w:spacing w:after="0" w:line="368" w:lineRule="auto"/>
        <w:rPr>
          <w:sz w:val="20"/>
          <w:szCs w:val="20"/>
          <w:color w:val="auto"/>
        </w:rPr>
      </w:pPr>
      <w:r>
        <w:rPr>
          <w:rFonts w:ascii="Arial" w:cs="Arial" w:eastAsia="Arial" w:hAnsi="Arial"/>
          <w:sz w:val="20"/>
          <w:szCs w:val="20"/>
          <w:color w:val="auto"/>
        </w:rPr>
        <w:t>All information in this news release is as of the date of its release. LivaNova does not undertake or assume any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555" w:right="31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place undue reliance on any forward-looking statements, which are made only as of the date of this news release.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 Investor Relations and Media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Karen King, </w:t>
      </w:r>
      <w:r>
        <w:rPr>
          <w:rFonts w:ascii="Arial" w:cs="Arial" w:eastAsia="Arial" w:hAnsi="Arial"/>
          <w:sz w:val="20"/>
          <w:szCs w:val="20"/>
          <w:color w:val="auto"/>
        </w:rPr>
        <w:t>+1 (281) 228-7262</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Corporate Communications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64" w:lineRule="exact"/>
        <w:rPr>
          <w:sz w:val="20"/>
          <w:szCs w:val="20"/>
          <w:color w:val="auto"/>
        </w:rPr>
      </w:pPr>
    </w:p>
    <w:p>
      <w:pPr>
        <w:ind w:right="4879"/>
        <w:spacing w:after="0" w:line="261" w:lineRule="auto"/>
        <w:rPr>
          <w:sz w:val="20"/>
          <w:szCs w:val="20"/>
          <w:color w:val="auto"/>
        </w:rPr>
      </w:pPr>
      <w:r>
        <w:rPr>
          <w:rFonts w:ascii="Arial" w:cs="Arial" w:eastAsia="Arial" w:hAnsi="Arial"/>
          <w:sz w:val="20"/>
          <w:szCs w:val="20"/>
          <w:color w:val="auto"/>
        </w:rPr>
        <w:t>Director, Corporate Communications – Products &amp; Therapies corporate.communications@livanova.com</w:t>
      </w:r>
    </w:p>
    <w:p>
      <w:pPr>
        <w:spacing w:after="0" w:line="229"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sectPr>
      <w:pgSz w:w="11900" w:h="16838" w:orient="portrait"/>
      <w:cols w:equalWidth="0" w:num="1">
        <w:col w:w="10219"/>
      </w:cols>
      <w:pgMar w:left="240" w:top="5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2019-12-28T21:19:12Z</dcterms:created>
  <dcterms:modified xsi:type="dcterms:W3CDTF">2019-12-28T21:19:12Z</dcterms:modified>
</cp:coreProperties>
</file>