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(April 24, 2019): April 25,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152400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England and Wales</w:t>
            </w:r>
          </w:p>
        </w:tc>
        <w:tc>
          <w:tcPr>
            <w:tcW w:w="54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001-37599</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98-1268150</w:t>
            </w:r>
          </w:p>
        </w:tc>
      </w:tr>
      <w:tr>
        <w:trPr>
          <w:trHeight w:val="216"/>
        </w:trPr>
        <w:tc>
          <w:tcPr>
            <w:tcW w:w="222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76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7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68"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Soliciting material pursuant to Rule 14a-12 under the Exchange Act (17 CFR 240.14a-12)</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7660"/>
        <w:spacing w:after="0"/>
        <w:tabs>
          <w:tab w:leader="none" w:pos="112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6"/>
          <w:szCs w:val="16"/>
          <w:color w:val="auto"/>
        </w:rPr>
        <w:t>o</w:t>
      </w:r>
    </w:p>
    <w:p>
      <w:pPr>
        <w:spacing w:after="0" w:line="26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4" w:lineRule="exact"/>
        <w:rPr>
          <w:sz w:val="24"/>
          <w:szCs w:val="24"/>
          <w:color w:val="auto"/>
        </w:rPr>
      </w:pPr>
    </w:p>
    <w:p>
      <w:pPr>
        <w:ind w:left="11260"/>
        <w:spacing w:after="0"/>
        <w:rPr>
          <w:sz w:val="20"/>
          <w:szCs w:val="20"/>
          <w:color w:val="auto"/>
        </w:rPr>
      </w:pPr>
      <w:r>
        <w:rPr>
          <w:rFonts w:ascii="Arial" w:cs="Arial" w:eastAsia="Arial" w:hAnsi="Arial"/>
          <w:sz w:val="20"/>
          <w:szCs w:val="20"/>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April 24, 2019, the Board of Directors (the “Board”) of LivaNova Plc (the “Company”) approved a procedure to facilitate the periodic issuance of equity awards to non-executive directors. The Compensation Committee of the Board had previously approved such a procedure regarding awards to employees, but this did not extend to non-executive directors. Until further notice, the Board will approve all equity awards to non-executive directors elected at an annual meeting of shareholders with an effective date of such meeting date (the “AGM Grant Date”). The Board will approve equity awards for non-executive directors appointed by the Board (i.e., not elected by shareholders at an annual meeting) with an effective date on the first to occur of: March 30, June 15, September 15 and December 15 (each, a “Quarterly Grant Date” and together with the AGM Grant Date, the “Predetermined Grant Dates”). Under the procedure, the Board may meet on or prior to a Predetermined Grant Date without regard as to the Company’s possession or not of material non-public information and approve equity awards with an effective date on the relevant Predetermined Grant Date. The share price in respect of any such award will be the most recent closing price of an ordinary share of the Company’s stock on the NASDAQ Stock Market as of the Predetermined Grant Date.</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364" w:right="27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April 25, 2019</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Catherine Moroz</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Catherine Moroz</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sectPr>
      <w:pgSz w:w="11900" w:h="16838" w:orient="portrait"/>
      <w:cols w:equalWidth="0" w:num="1">
        <w:col w:w="11000"/>
      </w:cols>
      <w:pgMar w:left="240" w:top="36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2019-12-03T07:04:20Z</dcterms:created>
  <dcterms:modified xsi:type="dcterms:W3CDTF">2019-12-03T07:04:20Z</dcterms:modified>
</cp:coreProperties>
</file>