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614d4_defa14a.htm"/>
      <w:bookmarkStart w:id="1" w:name="kstm242614d4_defa14a"/>
      <w:bookmarkEnd w:id="0"/>
      <w:bookmarkEnd w:id="1"/>
      <w:r>
        <w:rPr/>
        <w:t> </w:t>
      </w:r>
    </w:p>
    <w:p>
      <w:pPr>
        <w:pStyle w:val="TextBody"/>
        <w:bidi w:val="0"/>
        <w:spacing w:before="0" w:after="283"/>
        <w:jc w:val="left"/>
        <w:rPr/>
      </w:pPr>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b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SCHEDULE 14A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br/>
        <w:t xml:space="preserve">the Securities Exchange Act of 1934 (Amendment No.&amp;numsp;&amp;numsp;&amp;numsp;&amp;numsp;)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pPr>
            <w:r>
              <w:rPr/>
              <w:t>Preliminary Proxy Statement</w:t>
            </w:r>
          </w:p>
        </w:tc>
      </w:tr>
    </w:tbl>
    <w:tbl>
      <w:tblPr>
        <w:tblW w:w="8373" w:type="dxa"/>
        <w:jc w:val="left"/>
        <w:tblInd w:w="0" w:type="dxa"/>
        <w:tblLayout w:type="fixed"/>
        <w:tblCellMar>
          <w:top w:w="0" w:type="dxa"/>
          <w:left w:w="0" w:type="dxa"/>
          <w:bottom w:w="0" w:type="dxa"/>
          <w:right w:w="0" w:type="dxa"/>
        </w:tblCellMar>
      </w:tblPr>
      <w:tblGrid>
        <w:gridCol w:w="38"/>
        <w:gridCol w:w="23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b/>
              </w:rPr>
            </w:pPr>
            <w:r>
              <w:rPr>
                <w:b/>
              </w:rPr>
              <w:t>Confidential, for Use of the Commission Only (as permitted by Rule 14a-6(e)(2))</w:t>
            </w:r>
          </w:p>
        </w:tc>
      </w:tr>
    </w:tbl>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pPr>
            <w:r>
              <w:rPr/>
              <w:t>Definitive Proxy Statement</w:t>
            </w:r>
          </w:p>
        </w:tc>
      </w:tr>
    </w:tbl>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pPr>
            <w:r>
              <w:rPr/>
              <w:t>Definitive Additional Materials</w:t>
            </w:r>
          </w:p>
        </w:tc>
      </w:tr>
    </w:tbl>
    <w:tbl>
      <w:tblPr>
        <w:tblW w:w="3903" w:type="dxa"/>
        <w:jc w:val="left"/>
        <w:tblInd w:w="0" w:type="dxa"/>
        <w:tblLayout w:type="fixed"/>
        <w:tblCellMar>
          <w:top w:w="0" w:type="dxa"/>
          <w:left w:w="0" w:type="dxa"/>
          <w:bottom w:w="0" w:type="dxa"/>
          <w:right w:w="0" w:type="dxa"/>
        </w:tblCellMar>
      </w:tblPr>
      <w:tblGrid>
        <w:gridCol w:w="38"/>
        <w:gridCol w:w="23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both"/>
              <w:rPr/>
            </w:pPr>
            <w:r>
              <w:rPr/>
              <w:t>Soliciting Material under §240.14a-12</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LivaNova PLC</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bl>
      <w:tblPr>
        <w:tblW w:w="1848" w:type="dxa"/>
        <w:jc w:val="left"/>
        <w:tblInd w:w="0" w:type="dxa"/>
        <w:tblLayout w:type="fixed"/>
        <w:tblCellMar>
          <w:top w:w="0" w:type="dxa"/>
          <w:left w:w="0" w:type="dxa"/>
          <w:bottom w:w="0" w:type="dxa"/>
          <w:right w:w="0" w:type="dxa"/>
        </w:tblCellMar>
      </w:tblPr>
      <w:tblGrid>
        <w:gridCol w:w="38"/>
        <w:gridCol w:w="23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No fee required.</w:t>
            </w:r>
          </w:p>
        </w:tc>
      </w:tr>
    </w:tbl>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Fee paid previously with preliminary materials</w:t>
            </w:r>
          </w:p>
        </w:tc>
      </w:tr>
    </w:tbl>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center"/>
        <w:tblInd w:w="0" w:type="dxa"/>
        <w:tblLayout w:type="fixed"/>
        <w:tblCellMar>
          <w:top w:w="0" w:type="dxa"/>
          <w:left w:w="0" w:type="dxa"/>
          <w:bottom w:w="0" w:type="dxa"/>
          <w:right w:w="0" w:type="dxa"/>
        </w:tblCellMar>
      </w:tblPr>
      <w:tblGrid>
        <w:gridCol w:w="9632"/>
        <w:gridCol w:w="573"/>
      </w:tblGrid>
      <w:tr>
        <w:trPr/>
        <w:tc>
          <w:tcPr>
            <w:tcW w:w="9632" w:type="dxa"/>
            <w:tcBorders/>
          </w:tcPr>
          <w:p>
            <w:pPr>
              <w:pStyle w:val="TableContents"/>
              <w:bidi w:val="0"/>
              <w:spacing w:before="0" w:after="0"/>
              <w:ind w:left="0" w:right="0" w:hanging="0"/>
              <w:jc w:val="center"/>
              <w:rPr/>
            </w:pPr>
            <w:r>
              <w:rPr/>
              <w:drawing>
                <wp:inline distT="0" distB="0" distL="0" distR="0">
                  <wp:extent cx="3529330" cy="457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9330" cy="4572000"/>
                          </a:xfrm>
                          <a:prstGeom prst="rect">
                            <a:avLst/>
                          </a:prstGeom>
                        </pic:spPr>
                      </pic:pic>
                    </a:graphicData>
                  </a:graphic>
                </wp:inline>
              </w:drawing>
            </w:r>
          </w:p>
        </w:tc>
        <w:tc>
          <w:tcPr>
            <w:tcW w:w="57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Step 1: Go to www.envisionreports.com/LIVN. Step 2: Click on Cast Your Vote or Request Materials. Step 3: Follow the instructions on the screen to log in. www.envisionreports.com/LIVN Online Go to www.envisionreports.com/LIVN or scan the QR code — login details are located in the shaded bar below. The Sample Company 2024 Annual General Meeting Notice 03ZRND + + Important Notice Regarding the Availability of Proxy Materials for the 2024 Annual General Meeting to be held on June 11, 2024 Under Securities and Exchange Commission rules, you are receiving this notice that the proxy materials for LivaNova PLC’s 2024 Annual General Meeting (“AGM”)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Notice of Meeting, 2024 Proxy Statement, 2023 Annual Report on Form 10-K and 2023 UK Annual Report are at: Obtaining a Copy of the Proxy Materials – If you want to receive a copy of the proxy materials, you must request one. There is no charge to you for requesting a copy. Please make your request as instructed on the reverse side on or before May 31, 2024 to facilitate timely delivery. 2NOT Easy Online Access — View your proxy materials and vote. When you go online, you can also help the environment by consenting to receive electronic delivery of future materials. Votes submitted electronically must be received by the start of the meeting. Step 4: Make your selections as instructed on each screen for your delivery preferences. Step 5: Vote your shares.</w:t>
            </w:r>
          </w:p>
        </w:tc>
      </w:tr>
    </w:tbl>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11930" w:type="dxa"/>
        <w:jc w:val="center"/>
        <w:tblInd w:w="0" w:type="dxa"/>
        <w:tblLayout w:type="fixed"/>
        <w:tblCellMar>
          <w:top w:w="0" w:type="dxa"/>
          <w:left w:w="0" w:type="dxa"/>
          <w:bottom w:w="0" w:type="dxa"/>
          <w:right w:w="0" w:type="dxa"/>
        </w:tblCellMar>
      </w:tblPr>
      <w:tblGrid>
        <w:gridCol w:w="11580"/>
        <w:gridCol w:w="350"/>
      </w:tblGrid>
      <w:tr>
        <w:trPr/>
        <w:tc>
          <w:tcPr>
            <w:tcW w:w="11580" w:type="dxa"/>
            <w:tcBorders/>
          </w:tcPr>
          <w:p>
            <w:pPr>
              <w:pStyle w:val="TableContents"/>
              <w:bidi w:val="0"/>
              <w:spacing w:before="0" w:after="0"/>
              <w:ind w:left="0" w:right="0" w:hanging="0"/>
              <w:jc w:val="center"/>
              <w:rPr/>
            </w:pPr>
            <w:r>
              <w:rPr/>
              <w:drawing>
                <wp:inline distT="0" distB="0" distL="0" distR="0">
                  <wp:extent cx="7353300" cy="9525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53300" cy="95250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www.envisionreports.com/LIVN. Click Cast Your Vote or Request Materials. — Phone – Call us free of charge at 1-866-641-4276. — Email – Send an email to investorvote@computershare.com with “Proxy Materials LivaNova PLC”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May 31, 2024. The 2024 Annual General Meeting of LivaNova PLC Shareholders will be held on June 11, 2024 at 3:00 pm British Summer Time/10:00 am Eastern Time, virtually via the Internet at meetnow.global/MS6WDW6. To access the virtual meeting, you must have the information that is printed in the shaded bar located on the reverse side of this form. The Board of Directors recommends a vote FOR all the nominees and FOR Proposals 2-11. 1. Ordinary Resolution: Election of Directors: 01 J. Christopher Barry 02 Francesco Bianchi 03 Stacy Enxing Seng 04 William Kozy 05 Vladimir Makatsaria 06 Dr. Sharon O’Kane 07 Todd Schermerhorn 08 Brooke Story 09 Peter Wilver 2. Ordinary Resolution: To approve, on an advisory basis, the Company’s compensation of its named executive officers (“US Say-on-Pay”). 3. Ordinary Resolution: To ratify the appointment of PricewaterhouseCoopers LLP, a Delaware limited liability partnership (“PwC-US”), as the Company’s independent registered public accounting firm for 2024. 4. Ordinary Resolution: To approve Amendment No. 1 to the Amended and Restated LivaNova PLC 2022 Incentive Award Plan. 5. Ordinary Resolution: To approve Amendment No. 2 to the LivaNova PLC 2015 Incentive Award Plan. 6. Ordinary Resolution: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£10,830,212, provided that: (A) (unless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 (B) 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7. Special Resolution: Subject to the passing of resolution 6 and in accordance with sections 570 and 573 of the Companies Act, to empower the directors generally to allot equity securities (as defined in section 560 of the Companies Act) for cash pursuant to the authority conferred by resolution 6,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£10,830,212, provided that: (A) (unless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 (B) this power replaces (except for any power conferred by resolution 6)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 8. Ordinary Resolution: To approve, on an advisory basis, the United Kingdom (“UK”) directors’ remuneration report in the form set out in the Company’s UK annual report (the “UK Annual Report”) for the period ended December 31, 2023. 9. Ordinary Resolution: To receive and adopt the Company’s audited UK statutory accounts for the year ended December 31, 2023, together with the reports of the directors and auditors thereon. 10. Ordinary Resolution: To re-appoint PricewaterhouseCoopers LLP, a limited liability partnership organized under the laws of England (“PwC-UK”), as the Company’s UK statutory auditor for 2024. 11. Ordinary Resolution: To authorize the directors and/or the Audit and Compliance Committee to determine the remuneration of the Company’s UK statutory auditor. PLEASE NOTE – YOU CANNOT VOTE BY RETURNING THIS NOTICE. To vote your shares you must go online or request a paper copy of the proxy materials to receive a proxy card. Admissions In order to attend the virtual 2024 Annual General Meeting of Shareholders, please follow the instructions set forth in the proxy statement. 2024 Annual General Meeting Notice</w:t>
            </w:r>
          </w:p>
        </w:tc>
      </w:tr>
    </w:tbl>
    <w:p>
      <w:pPr>
        <w:pStyle w:val="TextBody"/>
        <w:bidi w:val="0"/>
        <w:spacing w:before="0" w:after="0"/>
        <w:ind w:left="0" w:right="0" w:hanging="0"/>
        <w:jc w:val="center"/>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1503</Words>
  <Characters>7760</Characters>
  <CharactersWithSpaces>9268</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