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6, 2025 </w:t>
      </w:r>
    </w:p>
    <w:p>
      <w:pPr>
        <w:pStyle w:val="TextBody"/>
        <w:bidi w:val="0"/>
        <w:spacing w:before="0" w:after="0"/>
        <w:jc w:val="center"/>
        <w:rPr/>
      </w:pPr>
      <w:r>
        <w:rPr/>
      </w:r>
    </w:p>
    <w:p>
      <w:pPr>
        <w:pStyle w:val="TextBody"/>
        <w:bidi w:val="0"/>
        <w:spacing w:before="0" w:after="0"/>
        <w:jc w:val="center"/>
        <w:rPr/>
      </w:pPr>
      <w:r>
        <w:rPr/>
        <w:drawing>
          <wp:inline distT="0" distB="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LivaNova PLC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 Eastbourne Terrace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London, W2 6LG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Kingdom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+44 20 33250660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August 6, 2025, LivaNova PLC (the “Company”) issued a press release announcing financial results for the quarter ended June 30, 2025. The Company will host a business update conference call and webcast today, August 6, 2025, at 1 p.m. London time (8 a.m. Eastern Time), during which the Company will discuss the financial results. The conference call will be available through the LivaNova website at </w:t>
      </w:r>
      <w:r>
        <w:rPr>
          <w:rFonts w:ascii="Times New Roman;serif" w:hAnsi="Times New Roman;serif"/>
          <w:b w:val="false"/>
          <w:color w:val="3051F2"/>
          <w:sz w:val="20"/>
        </w:rPr>
        <w:t>www.livanova.com/events</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025earningspressrelease.htm">
              <w:r>
                <w:rPr>
                  <w:rStyle w:val="InternetLink"/>
                  <w:rFonts w:ascii="Times New Roman;serif" w:hAnsi="Times New Roman;serif"/>
                  <w:b w:val="false"/>
                  <w:color w:val="0000FF"/>
                  <w:sz w:val="20"/>
                  <w:u w:val="single"/>
                </w:rPr>
                <w:t>Press Release of LivaNova PLC dated August 6,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14" w:type="dxa"/>
        <w:jc w:val="left"/>
        <w:tblInd w:w="0" w:type="dxa"/>
        <w:tblLayout w:type="fixed"/>
        <w:tblCellMar>
          <w:top w:w="28" w:type="dxa"/>
          <w:left w:w="28" w:type="dxa"/>
          <w:bottom w:w="28" w:type="dxa"/>
          <w:right w:w="28" w:type="dxa"/>
        </w:tblCellMar>
      </w:tblPr>
      <w:tblGrid>
        <w:gridCol w:w="667"/>
        <w:gridCol w:w="587"/>
        <w:gridCol w:w="590"/>
        <w:gridCol w:w="1306"/>
        <w:gridCol w:w="1306"/>
        <w:gridCol w:w="1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Michael Hutchinson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Michael Hutchinson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SVP, Company Secretary &amp; Chief Legal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0"/>
        <w:jc w:val="left"/>
        <w:rPr>
          <w:rFonts w:ascii="Franklin Gothic Demi;sans-serif" w:hAnsi="Franklin Gothic Demi;sans-serif"/>
          <w:b/>
          <w:color w:val="000000"/>
          <w:sz w:val="22"/>
          <w:u w:val="single"/>
        </w:rPr>
      </w:pPr>
      <w:r>
        <w:rPr>
          <w:rFonts w:ascii="Franklin Gothic Demi;sans-serif" w:hAnsi="Franklin Gothic Demi;sans-serif"/>
          <w:b/>
          <w:color w:val="000000"/>
          <w:sz w:val="22"/>
          <w:u w:val="single"/>
        </w:rPr>
        <w:t>EXHIBIT 99.1</w:t>
      </w:r>
    </w:p>
    <w:p>
      <w:pPr>
        <w:pStyle w:val="TextBody"/>
        <w:bidi w:val="0"/>
        <w:spacing w:lineRule="auto" w:line="288" w:before="0" w:after="0"/>
        <w:jc w:val="left"/>
        <w:rPr/>
      </w:pPr>
      <w:r>
        <w:rPr/>
        <w:drawing>
          <wp:inline distT="0" distB="0" distL="0" distR="0">
            <wp:extent cx="1866900" cy="533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Franklin Gothic Demi;sans-serif" w:hAnsi="Franklin Gothic Demi;sans-serif"/>
          <w:b w:val="false"/>
          <w:color w:val="6D2077"/>
          <w:sz w:val="22"/>
        </w:rPr>
      </w:pPr>
      <w:r>
        <w:rPr>
          <w:rFonts w:ascii="Franklin Gothic Demi;sans-serif" w:hAnsi="Franklin Gothic Demi;sans-serif"/>
          <w:b w:val="false"/>
          <w:color w:val="6D2077"/>
          <w:sz w:val="22"/>
        </w:rPr>
        <w:t>NEWS RELEASE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Franklin Gothic Demi;sans-serif" w:hAnsi="Franklin Gothic Demi;sans-serif"/>
          <w:b w:val="false"/>
          <w:color w:val="6D2077"/>
          <w:sz w:val="32"/>
        </w:rPr>
      </w:pPr>
      <w:r>
        <w:rPr>
          <w:rFonts w:ascii="Franklin Gothic Demi;sans-serif" w:hAnsi="Franklin Gothic Demi;sans-serif"/>
          <w:b w:val="false"/>
          <w:color w:val="6D2077"/>
          <w:sz w:val="32"/>
        </w:rPr>
        <w:t>LivaNova Reports Second-Quarter 2025 Results; Raises 2025 Guidance</w:t>
      </w:r>
    </w:p>
    <w:p>
      <w:pPr>
        <w:pStyle w:val="TextBody"/>
        <w:bidi w:val="0"/>
        <w:spacing w:before="0" w:after="0"/>
        <w:jc w:val="center"/>
        <w:rPr/>
      </w:pPr>
      <w:r>
        <w:rPr/>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Delivered double-digit reported and organic revenue growth and continued operating margin expansion</w:t>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Raised full-year 2025 revenue, adjusted earnings per share, and adjusted free cash flow guidance</w:t>
      </w:r>
      <w:r>
        <w:rPr>
          <w:rFonts w:ascii="Franklin Gothic Book;sans-serif" w:hAnsi="Franklin Gothic Book;sans-serif"/>
          <w:b w:val="false"/>
          <w:i/>
          <w:color w:val="6D2077"/>
          <w:sz w:val="14"/>
        </w:rPr>
        <w:t>(1)</w:t>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 xml:space="preserve">Initiated process with U.S. Centers for Medicare and Medicaid Services for reconsideration of national coverage for VNS Therapy™ for treatment-resistant depression </w:t>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 xml:space="preserve">Announced long-term, real-world evidence demonstrating efficacy of VNS Therapy in a wide range of seizure types in people with drug-resistant epilepsy </w:t>
      </w:r>
    </w:p>
    <w:p>
      <w:pPr>
        <w:pStyle w:val="TextBody"/>
        <w:bidi w:val="0"/>
        <w:spacing w:lineRule="auto" w:line="312" w:before="120" w:after="240"/>
        <w:jc w:val="both"/>
        <w:rPr/>
      </w:pPr>
      <w:r>
        <w:rPr>
          <w:rFonts w:ascii="Franklin Gothic Demi;sans-serif" w:hAnsi="Franklin Gothic Demi;sans-serif"/>
          <w:b w:val="false"/>
          <w:color w:val="000000"/>
          <w:sz w:val="22"/>
        </w:rPr>
        <w:t>London, August 6, 2025</w:t>
      </w:r>
      <w:r>
        <w:rPr>
          <w:color w:val="000000"/>
        </w:rPr>
        <w:t xml:space="preserve"> – </w:t>
      </w:r>
      <w:r>
        <w:rPr>
          <w:rFonts w:ascii="Franklin Gothic Book;sans-serif" w:hAnsi="Franklin Gothic Book;sans-serif"/>
          <w:b w:val="false"/>
          <w:color w:val="000000"/>
          <w:sz w:val="22"/>
        </w:rPr>
        <w:t>LivaNova PLC (Nasdaq: LIVN), a market-leading medical technology company, today reported results for the second quarter ended June 30, 2025 and raised full-year 2025</w:t>
      </w:r>
      <w:r>
        <w:rPr>
          <w:color w:val="000000"/>
          <w:shd w:fill="FFFFFF" w:val="clear"/>
        </w:rPr>
        <w:t xml:space="preserve"> </w:t>
      </w:r>
      <w:r>
        <w:rPr>
          <w:rFonts w:ascii="Franklin Gothic Book;sans-serif" w:hAnsi="Franklin Gothic Book;sans-serif"/>
          <w:b w:val="false"/>
          <w:color w:val="000000"/>
          <w:sz w:val="22"/>
          <w:shd w:fill="FFFFFF" w:val="clear"/>
        </w:rPr>
        <w:t xml:space="preserve">guidance. </w:t>
      </w:r>
    </w:p>
    <w:p>
      <w:pPr>
        <w:pStyle w:val="TextBody"/>
        <w:bidi w:val="0"/>
        <w:spacing w:lineRule="auto" w:line="288" w:before="120" w:after="240"/>
        <w:jc w:val="both"/>
        <w:rPr/>
      </w:pPr>
      <w:r>
        <w:rPr>
          <w:rFonts w:ascii="Franklin Gothic Book;sans-serif" w:hAnsi="Franklin Gothic Book;sans-serif"/>
          <w:b/>
          <w:color w:val="000000"/>
          <w:sz w:val="22"/>
          <w:u w:val="single"/>
        </w:rPr>
        <w:t>Financial Summary and Highlights</w:t>
      </w:r>
      <w:r>
        <w:rPr>
          <w:rFonts w:ascii="Franklin Gothic Book;sans-serif" w:hAnsi="Franklin Gothic Book;sans-serif"/>
          <w:b/>
          <w:color w:val="000000"/>
          <w:sz w:val="14"/>
        </w:rPr>
        <w:t>(1)</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Second-quarter revenue of $352.5 million increased 10.7% on a reported basis, 9.3% on a constant-currency basis, and 10.3% on an organic basis as compared to the prior-year period</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Second-quarter U.S. GAAP diluted earnings per share of $0.50 and adjusted diluted earnings per share of $1.05</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Second-quarter net cash provided by operating activities of $62.9 million and adjusted free cash flow of $47.8 million</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Raised full-year 2025 revenue growth range 200 basis points to 8.0% to 9.0% on a constant-currency basis and 9.0% to 10.0% on an organic basis. Raised full-year 2025 adjusted diluted earnings per share range by $0.10 at midpoint to $3.70 to $3.80. Raised full-year 2025 adjusted free cash flow range by $5 million at midpoint to $140 million to $160 million</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Initiated process with U.S. Centers for Medicare and Medicaid Services (CMS) for reconsideration of national Medicare coverage for VNS Therapy in unipolar patients with treatment-resistant depression, supported by five peer-reviewed publications from the RECOVER study</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Published the fifth critical RECOVER paper in the Journal of Clinical Psychiatry, showing that patients previously treated with electroconvulsive therapy or transcranial magnetic stimulation experienced significant clinical benefits from VNS Therapy</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Published 24-month data from the CORE-VNS study, which showed adjunctive VNS Therapy is associated with substantial reductions in generalized tonic-clonic seizures in people with drug-resistant epilepsy (DRE)</w:t>
      </w:r>
    </w:p>
    <w:p>
      <w:pPr>
        <w:pStyle w:val="TextBody"/>
        <w:bidi w:val="0"/>
        <w:spacing w:lineRule="auto" w:line="288"/>
        <w:jc w:val="left"/>
        <w:rPr/>
      </w:pPr>
      <w:r>
        <w:rPr>
          <w:rFonts w:ascii="Franklin Gothic Book;sans-serif" w:hAnsi="Franklin Gothic Book;sans-serif"/>
          <w:b w:val="false"/>
          <w:color w:val="000000"/>
          <w:sz w:val="8"/>
        </w:rPr>
        <w:t>(1)</w:t>
      </w:r>
      <w:r>
        <w:rPr>
          <w:color w:val="000000"/>
        </w:rPr>
        <w:t xml:space="preserve"> </w:t>
      </w:r>
      <w:r>
        <w:rPr>
          <w:rFonts w:ascii="Franklin Gothic Book;sans-serif" w:hAnsi="Franklin Gothic Book;sans-serif"/>
          <w:b w:val="false"/>
          <w:color w:val="000000"/>
          <w:sz w:val="12"/>
        </w:rPr>
        <w:t xml:space="preserve">Constant-currency percent change, organic revenue percent change, adjusted diluted earnings per share, and adjusted free cash flow are non-GAAP measures. Constant-currency percent change excludes the impact from fluctuations in the various currencies in which the Company operates as compared to reported percent change. Organic revenue percent change excludes the impact of acquisitions, divestitures, and currency translation effects.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paragraph to their most directly comparable forward-looking GAAP financial measures without unreasonable efforts.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39140"/>
                <wp:effectExtent l="0" t="0" r="0" b="0"/>
                <wp:wrapNone/>
                <wp:docPr id="6" name="Frame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Completed 36-month data analysis of the CORE-VNS study, demonstrating early and lasting outcomes of adjunctive VNS Therapy on severe focal seizures in both children and adults with DRE and further validating the effectiveness of adjunctive VNS Therapy</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Announcing CMS recently proposed to move DRE end-of-service procedures beginning in 2026 from Level 4 into a Level 5 Ambulatory Payment Classification under the 2026 Medicare Hospital Outpatient Prospective Payment System</w:t>
      </w:r>
    </w:p>
    <w:p>
      <w:pPr>
        <w:pStyle w:val="TextBody"/>
        <w:bidi w:val="0"/>
        <w:spacing w:before="140" w:after="120"/>
        <w:ind w:left="0" w:right="0" w:firstLine="90"/>
        <w:jc w:val="both"/>
        <w:rPr/>
      </w:pPr>
      <w:r>
        <w:rPr/>
      </w:r>
    </w:p>
    <w:p>
      <w:pPr>
        <w:pStyle w:val="TextBody"/>
        <w:bidi w:val="0"/>
        <w:spacing w:lineRule="auto" w:line="417" w:before="120" w:after="120"/>
        <w:jc w:val="both"/>
        <w:rPr>
          <w:color w:val="000000"/>
        </w:rPr>
      </w:pPr>
      <w:r>
        <w:rPr>
          <w:color w:val="000000"/>
        </w:rPr>
        <w:t>“</w:t>
      </w:r>
      <w:r>
        <w:rPr>
          <w:rFonts w:ascii="Franklin Gothic Book;sans-serif" w:hAnsi="Franklin Gothic Book;sans-serif"/>
          <w:b w:val="false"/>
          <w:color w:val="000000"/>
          <w:sz w:val="22"/>
        </w:rPr>
        <w:t>LivaNova delivered another quarter of strong revenue growth, driven by continued momentum in our Cardiopulmonary business and solid Neuromodulation performance across all regions,” said Vladimir Makatsaria, Chief Executive Officer of LivaNova. “Our disciplined execution contributed to meaningful operating margin expansion and strong cash generation in the second quarter. We’re building on this strong foundation by investing behind our core businesses to sustain our market leadership and clinical excellence. Our recent key milestone achievements in obstructive sleep apnea and difficult-to-treat depression support our strategy of leveraging our leading Neuromodulation capabilities into attractive high-growth markets, while delivering life-changing therapies to large patient populations with significant unmet needs.”</w:t>
      </w:r>
    </w:p>
    <w:p>
      <w:pPr>
        <w:pStyle w:val="TextBody"/>
        <w:bidi w:val="0"/>
        <w:spacing w:before="120" w:after="120"/>
        <w:jc w:val="both"/>
        <w:rPr/>
      </w:pPr>
      <w:r>
        <w:rPr/>
      </w:r>
    </w:p>
    <w:p>
      <w:pPr>
        <w:pStyle w:val="TextBody"/>
        <w:bidi w:val="0"/>
        <w:spacing w:lineRule="auto" w:line="417" w:before="1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Second-Quarter 2025 Results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summarizes revenue by segment (in millions):</w:t>
      </w:r>
    </w:p>
    <w:tbl>
      <w:tblPr>
        <w:tblW w:w="10205" w:type="dxa"/>
        <w:jc w:val="left"/>
        <w:tblInd w:w="0" w:type="dxa"/>
        <w:tblLayout w:type="fixed"/>
        <w:tblCellMar>
          <w:top w:w="28" w:type="dxa"/>
          <w:left w:w="28" w:type="dxa"/>
          <w:bottom w:w="28" w:type="dxa"/>
          <w:right w:w="28" w:type="dxa"/>
        </w:tblCellMar>
      </w:tblPr>
      <w:tblGrid>
        <w:gridCol w:w="459"/>
        <w:gridCol w:w="404"/>
        <w:gridCol w:w="404"/>
        <w:gridCol w:w="404"/>
        <w:gridCol w:w="404"/>
        <w:gridCol w:w="412"/>
        <w:gridCol w:w="109"/>
        <w:gridCol w:w="109"/>
        <w:gridCol w:w="109"/>
        <w:gridCol w:w="353"/>
        <w:gridCol w:w="353"/>
        <w:gridCol w:w="258"/>
        <w:gridCol w:w="226"/>
        <w:gridCol w:w="226"/>
        <w:gridCol w:w="226"/>
        <w:gridCol w:w="353"/>
        <w:gridCol w:w="353"/>
        <w:gridCol w:w="258"/>
        <w:gridCol w:w="109"/>
        <w:gridCol w:w="109"/>
        <w:gridCol w:w="109"/>
        <w:gridCol w:w="385"/>
        <w:gridCol w:w="388"/>
        <w:gridCol w:w="776"/>
        <w:gridCol w:w="109"/>
        <w:gridCol w:w="109"/>
        <w:gridCol w:w="109"/>
        <w:gridCol w:w="510"/>
        <w:gridCol w:w="510"/>
        <w:gridCol w:w="1562"/>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 xml:space="preserve">Constant-Currency </w:t>
              <w:br/>
              <w:t>% Change</w:t>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$199.3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14.7 </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1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151.7 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142.9 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5.6 </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Other Revenue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(24.4)</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352.5</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9.3 </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Less: ACS </w:t>
            </w:r>
            <w:r>
              <w:rPr>
                <w:rFonts w:ascii="Franklin Gothic Book;sans-serif" w:hAnsi="Franklin Gothic Book;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Organic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$352.5</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10.3 </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lineRule="auto" w:line="288" w:before="20" w:after="283"/>
        <w:ind w:left="0" w:right="0" w:hanging="360"/>
        <w:jc w:val="both"/>
        <w:rPr/>
      </w:pPr>
      <w:r>
        <w:rPr>
          <w:rFonts w:ascii="Franklin Gothic Book;sans-serif" w:hAnsi="Franklin Gothic Book;sans-serif"/>
          <w:b w:val="false"/>
          <w:color w:val="000000"/>
          <w:sz w:val="12"/>
        </w:rPr>
        <w:t>(1)</w:t>
      </w:r>
      <w:r>
        <w:rPr>
          <w:color w:val="000000"/>
        </w:rPr>
        <w:t>“</w:t>
      </w:r>
      <w:r>
        <w:rPr>
          <w:rFonts w:ascii="Franklin Gothic Book;sans-serif" w:hAnsi="Franklin Gothic Book;sans-serif"/>
          <w:b w:val="false"/>
          <w:color w:val="000000"/>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20" w:after="283"/>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Includes the results from the wind-down portion of the Company’s former ACS reportable segment.</w:t>
      </w:r>
    </w:p>
    <w:p>
      <w:pPr>
        <w:pStyle w:val="TextBody"/>
        <w:bidi w:val="0"/>
        <w:spacing w:lineRule="auto" w:line="288" w:before="20" w:after="283"/>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60" w:after="283"/>
        <w:ind w:left="0" w:right="0" w:firstLine="90"/>
        <w:jc w:val="both"/>
        <w:rPr/>
      </w:pPr>
      <w:r>
        <w:rPr/>
      </w:r>
    </w:p>
    <w:p>
      <w:pPr>
        <w:pStyle w:val="TextBody"/>
        <w:bidi w:val="0"/>
        <w:spacing w:lineRule="auto" w:line="417" w:before="120" w:after="240"/>
        <w:jc w:val="both"/>
        <w:rPr/>
      </w:pPr>
      <w:r>
        <w:rPr>
          <w:rFonts w:ascii="Franklin Gothic Book;sans-serif" w:hAnsi="Franklin Gothic Book;sans-serif"/>
          <w:b/>
          <w:color w:val="000000"/>
          <w:sz w:val="22"/>
        </w:rPr>
        <w:t>Second-quarter 2025 Cardiopulmonary</w:t>
      </w:r>
      <w:r>
        <w:rPr>
          <w:color w:val="000000"/>
        </w:rPr>
        <w:t xml:space="preserve"> </w:t>
      </w:r>
      <w:r>
        <w:rPr>
          <w:rFonts w:ascii="Franklin Gothic Book;sans-serif" w:hAnsi="Franklin Gothic Book;sans-serif"/>
          <w:b w:val="false"/>
          <w:color w:val="000000"/>
          <w:sz w:val="22"/>
        </w:rPr>
        <w:t>revenue increased 14.7% on a reported basis and 12.7% on a constant-currency basis versus the second quarter of 2024 with growth across all regions, driven by strong consumables demand and Essenz™</w:t>
      </w:r>
      <w:r>
        <w:rPr>
          <w:color w:val="000000"/>
        </w:rPr>
        <w:t xml:space="preserve"> </w:t>
      </w:r>
      <w:r>
        <w:rPr>
          <w:rFonts w:ascii="Franklin Gothic Book;sans-serif" w:hAnsi="Franklin Gothic Book;sans-serif"/>
          <w:b w:val="false"/>
          <w:color w:val="000000"/>
          <w:sz w:val="22"/>
        </w:rPr>
        <w:t xml:space="preserve">Perfusion System sales.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9140"/>
                <wp:effectExtent l="0" t="0" r="0" b="0"/>
                <wp:wrapNone/>
                <wp:docPr id="7"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pPr>
      <w:r>
        <w:rPr>
          <w:rFonts w:ascii="Franklin Gothic Book;sans-serif" w:hAnsi="Franklin Gothic Book;sans-serif"/>
          <w:b/>
          <w:color w:val="000000"/>
          <w:sz w:val="22"/>
        </w:rPr>
        <w:t>Second-quarter 2025 Neuromodulation</w:t>
      </w:r>
      <w:r>
        <w:rPr>
          <w:color w:val="000000"/>
        </w:rPr>
        <w:t xml:space="preserve"> </w:t>
      </w:r>
      <w:r>
        <w:rPr>
          <w:rFonts w:ascii="Franklin Gothic Book;sans-serif" w:hAnsi="Franklin Gothic Book;sans-serif"/>
          <w:b w:val="false"/>
          <w:color w:val="000000"/>
          <w:sz w:val="22"/>
        </w:rPr>
        <w:t xml:space="preserve">revenue increased 6.2% on a reported basis and 5.6% on a constant-currency basis versus the second quarter of 2024 with growth across all regions. </w:t>
      </w:r>
    </w:p>
    <w:p>
      <w:pPr>
        <w:pStyle w:val="TextBody"/>
        <w:bidi w:val="0"/>
        <w:spacing w:lineRule="auto" w:line="417" w:before="120" w:after="240"/>
        <w:jc w:val="both"/>
        <w:rPr>
          <w:rFonts w:ascii="Franklin Gothic Book;sans-serif" w:hAnsi="Franklin Gothic Book;sans-serif"/>
          <w:b/>
          <w:i/>
          <w:color w:val="000000"/>
          <w:sz w:val="22"/>
        </w:rPr>
      </w:pPr>
      <w:r>
        <w:rPr>
          <w:rFonts w:ascii="Franklin Gothic Book;sans-serif" w:hAnsi="Franklin Gothic Book;sans-serif"/>
          <w:b/>
          <w:i/>
          <w:color w:val="000000"/>
          <w:sz w:val="22"/>
        </w:rPr>
        <w:t>Earnings Analysis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On a U.S. GAAP basis, second-quarter 2025 operating income was $54.2 million, as compared to operating income of $40.2 million for the second quarter of 2024. Adjusted operating income for the second quarter of 2025 was $77.4 million, as compared to adjusted operating income of $66.9 million for the second quarter of 2024.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On a U.S. GAAP basis, second-quarter 2025 diluted earnings per share was $0.50 as compared to diluted earnings per share of $0.30 in the second quarter of 2024. Second-quarter 2025 adjusted diluted earnings per share was $1.05, as compared to adjusted diluted earnings per share of $0.93 in the second quarter of 2024.</w:t>
      </w:r>
    </w:p>
    <w:p>
      <w:pPr>
        <w:pStyle w:val="TextBody"/>
        <w:bidi w:val="0"/>
        <w:spacing w:lineRule="auto" w:line="417" w:before="120" w:after="240"/>
        <w:jc w:val="both"/>
        <w:rPr/>
      </w:pPr>
      <w:r>
        <w:rPr>
          <w:rFonts w:ascii="Franklin Gothic Book;sans-serif" w:hAnsi="Franklin Gothic Book;sans-serif"/>
          <w:b/>
          <w:color w:val="000000"/>
          <w:sz w:val="22"/>
          <w:u w:val="single"/>
        </w:rPr>
        <w:t>Full-Year 2025 Guidance</w:t>
      </w:r>
      <w:r>
        <w:rPr>
          <w:color w:val="000000"/>
        </w:rPr>
        <w:t xml:space="preserve">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LivaNova now expects full-year 2025 revenue to grow between 8.0% and 9.0% (versus 6.0% and 7.0% prior) on a constant-currency basis and between 9.0% and 10.0% (versus 7.0% and 8.0% prior) on an organic basis. Foreign currency is now expected to be a tailwind of approximately 1.0% (versus a headwind of 0.0% to 1.0% prior) based on current exchange rates.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Adjusted diluted earnings per share for 2025 is now expected to be in the range of $3.70 to $3.80 (versus $3.60 to $3.70 prior), assuming a share count of approximately 55 million for full-year 2025. In 2025, the Company now estimates adjusted free cash flow in the range of $140 million to $160 million (versus $135 million to $155 million prior).</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00000"/>
          <w:sz w:val="22"/>
        </w:rPr>
        <w:t xml:space="preserve">The Company will host a live audiocast at 1 p.m. London time (8 a.m. Eastern Time) on Wed., Aug. 6, 2025 that will be accessible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xml:space="preserve">. Listeners should register in advance and log on approximately 10 minutes early to ensure proper setup. To listen to the conference call by telephone, dial +1 833 470 1428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9140"/>
                <wp:effectExtent l="0" t="0" r="0" b="0"/>
                <wp:wrapNone/>
                <wp:docPr id="8"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pPr>
      <w:r>
        <w:rPr>
          <w:rFonts w:ascii="Franklin Gothic Book;sans-serif" w:hAnsi="Franklin Gothic Book;sans-serif"/>
          <w:b w:val="false"/>
          <w:color w:val="000000"/>
          <w:sz w:val="22"/>
        </w:rPr>
        <w:t xml:space="preserve">(if dialing from within the U.S.) or +1 929 526 1599 (if dialing from outside the U.S.). The conference call access code is 460430.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where it will be archived and accessible for approximately 90 days.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About LivaNova</w:t>
      </w:r>
    </w:p>
    <w:p>
      <w:pPr>
        <w:pStyle w:val="TextBody"/>
        <w:bidi w:val="0"/>
        <w:spacing w:lineRule="auto" w:line="417" w:before="120" w:after="240"/>
        <w:jc w:val="both"/>
        <w:rPr/>
      </w:pPr>
      <w:r>
        <w:rPr>
          <w:rFonts w:ascii="Franklin Gothic Book;sans-serif" w:hAnsi="Franklin Gothic Book;sans-serif"/>
          <w:b w:val="false"/>
          <w:color w:val="000000"/>
          <w:sz w:val="22"/>
        </w:rPr>
        <w:t>LivaNova PLC is a global medical technology company built on nearly five decades of experience and a relentless commitment to provide hope for patients and their families through medical technologies, delivering life-changing solutions in select neurological and cardiac conditions. Headquartered in London, LivaNova employs approximately 2,900 employees and has a presence in more than 100 countries for the benefit of patients, healthcare professionals, and healthcare systems worldwide. For more information, please visit</w:t>
      </w:r>
      <w:r>
        <w:rPr>
          <w:color w:val="0E32E1"/>
        </w:rPr>
        <w:t xml:space="preserve">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00000"/>
          <w:sz w:val="22"/>
        </w:rPr>
        <w:t xml:space="preserve">. </w:t>
      </w:r>
    </w:p>
    <w:p>
      <w:pPr>
        <w:pStyle w:val="TextBody"/>
        <w:bidi w:val="0"/>
        <w:spacing w:before="120" w:after="240"/>
        <w:jc w:val="both"/>
        <w:rPr/>
      </w:pPr>
      <w:r>
        <w:rPr/>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Use of Non-GAAP Financial Measures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In this news release, the Company refers to revenue and percentage change in revenue on a comparable, constant-currency, and organic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 Organic revenue percent change excludes the impact of acquisitions, divestitures, and currency translation effects.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LivaNova calculates forward-looking non-GAAP financial measures based on internal forecasts that omit certain amounts that would be included in GAAP financial measures. For example, forward-looking net revenue growth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9"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projections are estimated on a constant-currency basis and exclude the impact of foreign currency fluctuations. Forward-looking non-GAAP adjusted diluted earnings per share guidance excludes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proceeds, SNIA environmental liability and related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the Company does not reconcile non-GAAP financial measures on a forward-looking basis as it is impractical to do so without unreasonable effort.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Adjusted financial measures such as organic revenue, adjusted cost of sales, adjusted gross profit, adjusted selling, general, and administrative expense, adjusted research and development expense, adjusted other operating expenses, adjusted operating income, adjusted income before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9140"/>
                <wp:effectExtent l="0" t="0" r="0" b="0"/>
                <wp:wrapNone/>
                <wp:docPr id="10"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adverse changes in export and import costs and other trade restrictions as well as uncertainty over global tariffs;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11"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VNS Therapy and Essenz are trademarks of LivaNova USA, Inc.</w:t>
      </w:r>
    </w:p>
    <w:p>
      <w:pPr>
        <w:pStyle w:val="TextBody"/>
        <w:bidi w:val="0"/>
        <w:spacing w:lineRule="auto" w:line="288" w:before="0" w:after="0"/>
        <w:jc w:val="both"/>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Briana Gotlin</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Vice President, Investor Relations</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Phone: +1 281 895 2382</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e-mail: InvestorRelations@livanova.com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9140"/>
                <wp:effectExtent l="0" t="0" r="0" b="0"/>
                <wp:wrapNone/>
                <wp:docPr id="12"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6"/>
        <w:gridCol w:w="329"/>
        <w:gridCol w:w="329"/>
        <w:gridCol w:w="329"/>
        <w:gridCol w:w="329"/>
        <w:gridCol w:w="338"/>
        <w:gridCol w:w="109"/>
        <w:gridCol w:w="109"/>
        <w:gridCol w:w="109"/>
        <w:gridCol w:w="413"/>
        <w:gridCol w:w="413"/>
        <w:gridCol w:w="216"/>
        <w:gridCol w:w="133"/>
        <w:gridCol w:w="133"/>
        <w:gridCol w:w="133"/>
        <w:gridCol w:w="413"/>
        <w:gridCol w:w="413"/>
        <w:gridCol w:w="216"/>
        <w:gridCol w:w="133"/>
        <w:gridCol w:w="133"/>
        <w:gridCol w:w="133"/>
        <w:gridCol w:w="332"/>
        <w:gridCol w:w="333"/>
        <w:gridCol w:w="683"/>
        <w:gridCol w:w="133"/>
        <w:gridCol w:w="133"/>
        <w:gridCol w:w="133"/>
        <w:gridCol w:w="637"/>
        <w:gridCol w:w="637"/>
        <w:gridCol w:w="1945"/>
      </w:tblGrid>
      <w:tr>
        <w:trPr/>
        <w:tc>
          <w:tcPr>
            <w:tcW w:w="3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 - 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June 30,</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Constant-Currency % Change</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27.2 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79.0 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199.3 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173.7 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117.2 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111.7 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8.2 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151.7 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142.9 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19"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19" w:type="dxa"/>
            <w:gridSpan w:val="3"/>
            <w:tcBorders/>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19" w:type="dxa"/>
            <w:gridSpan w:val="3"/>
            <w:tcBorders/>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19" w:type="dxa"/>
            <w:gridSpan w:val="3"/>
            <w:tcBorders/>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(24.4)</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188.5 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179.5 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23.1 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97.3 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$352.5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$318.6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9.3 </w:t>
            </w:r>
          </w:p>
        </w:tc>
        <w:tc>
          <w:tcPr>
            <w:tcW w:w="19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center"/>
        <w:rPr/>
      </w:pPr>
      <w:r>
        <w:rPr/>
      </w:r>
    </w:p>
    <w:p>
      <w:pPr>
        <w:pStyle w:val="TextBody"/>
        <w:bidi w:val="0"/>
        <w:spacing w:lineRule="auto" w:line="288" w:before="20" w:after="283"/>
        <w:ind w:left="0" w:right="0" w:hanging="360"/>
        <w:jc w:val="both"/>
        <w:rPr/>
      </w:pPr>
      <w:r>
        <w:rPr>
          <w:rFonts w:ascii="Franklin Gothic Book;sans-serif" w:hAnsi="Franklin Gothic Book;sans-serif"/>
          <w:b w:val="false"/>
          <w:color w:val="000000"/>
          <w:sz w:val="12"/>
        </w:rPr>
        <w:t>(1)</w:t>
      </w:r>
      <w:r>
        <w:rPr>
          <w:color w:val="000000"/>
        </w:rPr>
        <w:t>“</w:t>
      </w:r>
      <w:r>
        <w:rPr>
          <w:rFonts w:ascii="Franklin Gothic Book;sans-serif" w:hAnsi="Franklin Gothic Book;sans-serif"/>
          <w:b w:val="false"/>
          <w:color w:val="000000"/>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20" w:after="283"/>
        <w:ind w:left="0" w:right="0" w:hanging="360"/>
        <w:jc w:val="both"/>
        <w:rPr/>
      </w:pPr>
      <w:r>
        <w:rPr>
          <w:rFonts w:ascii="Franklin Gothic Book;sans-serif" w:hAnsi="Franklin Gothic Book;sans-serif"/>
          <w:b w:val="false"/>
          <w:color w:val="000000"/>
          <w:sz w:val="12"/>
        </w:rPr>
        <w:t>(2)</w:t>
      </w:r>
      <w:r>
        <w:rPr>
          <w:color w:val="000000"/>
        </w:rPr>
        <w:t>“</w:t>
      </w:r>
      <w:r>
        <w:rPr>
          <w:rFonts w:ascii="Franklin Gothic Book;sans-serif" w:hAnsi="Franklin Gothic Book;sans-serif"/>
          <w:b w:val="false"/>
          <w:color w:val="000000"/>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20" w:after="283"/>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3"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6"/>
        <w:gridCol w:w="329"/>
        <w:gridCol w:w="329"/>
        <w:gridCol w:w="329"/>
        <w:gridCol w:w="329"/>
        <w:gridCol w:w="338"/>
        <w:gridCol w:w="109"/>
        <w:gridCol w:w="109"/>
        <w:gridCol w:w="109"/>
        <w:gridCol w:w="413"/>
        <w:gridCol w:w="413"/>
        <w:gridCol w:w="216"/>
        <w:gridCol w:w="123"/>
        <w:gridCol w:w="123"/>
        <w:gridCol w:w="123"/>
        <w:gridCol w:w="413"/>
        <w:gridCol w:w="413"/>
        <w:gridCol w:w="216"/>
        <w:gridCol w:w="123"/>
        <w:gridCol w:w="123"/>
        <w:gridCol w:w="123"/>
        <w:gridCol w:w="334"/>
        <w:gridCol w:w="335"/>
        <w:gridCol w:w="683"/>
        <w:gridCol w:w="123"/>
        <w:gridCol w:w="123"/>
        <w:gridCol w:w="123"/>
        <w:gridCol w:w="654"/>
        <w:gridCol w:w="654"/>
        <w:gridCol w:w="1997"/>
      </w:tblGrid>
      <w:tr>
        <w:trPr/>
        <w:tc>
          <w:tcPr>
            <w:tcW w:w="3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 - 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Six Months Ended June 30,</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Constant-Currency % Change</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$115.5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93.6 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79.5 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375.6 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329.6 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225.6 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217.6 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13.5 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11.2 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290.6 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276.7 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(54.8)</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(55.3)</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357.6 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340.2 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126.5 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19.8 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17.5 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185.3 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167.7 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$669.4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$613.5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9.1 </w:t>
            </w:r>
          </w:p>
        </w:tc>
        <w:tc>
          <w:tcPr>
            <w:tcW w:w="19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both"/>
        <w:rPr/>
      </w:pPr>
      <w:r>
        <w:rPr/>
      </w:r>
    </w:p>
    <w:p>
      <w:pPr>
        <w:pStyle w:val="TextBody"/>
        <w:bidi w:val="0"/>
        <w:spacing w:lineRule="auto" w:line="288" w:before="20" w:after="283"/>
        <w:ind w:left="0" w:right="0" w:hanging="360"/>
        <w:jc w:val="both"/>
        <w:rPr/>
      </w:pPr>
      <w:r>
        <w:rPr>
          <w:rFonts w:ascii="Franklin Gothic Book;sans-serif" w:hAnsi="Franklin Gothic Book;sans-serif"/>
          <w:b w:val="false"/>
          <w:color w:val="000000"/>
          <w:sz w:val="12"/>
        </w:rPr>
        <w:t>(1)</w:t>
      </w:r>
      <w:r>
        <w:rPr>
          <w:color w:val="000000"/>
        </w:rPr>
        <w:t>“</w:t>
      </w:r>
      <w:r>
        <w:rPr>
          <w:rFonts w:ascii="Franklin Gothic Book;sans-serif" w:hAnsi="Franklin Gothic Book;sans-serif"/>
          <w:b w:val="false"/>
          <w:color w:val="000000"/>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20" w:after="283"/>
        <w:ind w:left="0" w:right="0" w:hanging="360"/>
        <w:jc w:val="both"/>
        <w:rPr/>
      </w:pPr>
      <w:r>
        <w:rPr>
          <w:rFonts w:ascii="Franklin Gothic Book;sans-serif" w:hAnsi="Franklin Gothic Book;sans-serif"/>
          <w:b w:val="false"/>
          <w:color w:val="000000"/>
          <w:sz w:val="12"/>
        </w:rPr>
        <w:t>(2)</w:t>
      </w:r>
      <w:r>
        <w:rPr>
          <w:color w:val="000000"/>
        </w:rPr>
        <w:t>“</w:t>
      </w:r>
      <w:r>
        <w:rPr>
          <w:rFonts w:ascii="Franklin Gothic Book;sans-serif" w:hAnsi="Franklin Gothic Book;sans-serif"/>
          <w:b w:val="false"/>
          <w:color w:val="000000"/>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20" w:after="283"/>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9140"/>
                <wp:effectExtent l="0" t="0" r="0" b="0"/>
                <wp:wrapNone/>
                <wp:docPr id="1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90"/>
        <w:gridCol w:w="1349"/>
        <w:gridCol w:w="1283"/>
        <w:gridCol w:w="622"/>
        <w:gridCol w:w="622"/>
        <w:gridCol w:w="622"/>
        <w:gridCol w:w="718"/>
        <w:gridCol w:w="633"/>
        <w:gridCol w:w="644"/>
        <w:gridCol w:w="172"/>
        <w:gridCol w:w="172"/>
        <w:gridCol w:w="172"/>
        <w:gridCol w:w="413"/>
        <w:gridCol w:w="413"/>
        <w:gridCol w:w="293"/>
        <w:gridCol w:w="109"/>
        <w:gridCol w:w="109"/>
        <w:gridCol w:w="109"/>
        <w:gridCol w:w="160"/>
      </w:tblGrid>
      <w:tr>
        <w:trPr/>
        <w:tc>
          <w:tcPr>
            <w:tcW w:w="159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2024 </w:t>
            </w:r>
            <w:r>
              <w:rPr>
                <w:rFonts w:ascii="Franklin Gothic Book;sans-serif" w:hAnsi="Franklin Gothic Book;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$352.5 </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$318.6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113.5 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239.0 </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137.8 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47.2 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(0.2)</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54.2 </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 expense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before tax</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33.3 </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21.6 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$27.2 </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$16.3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income per share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$0.50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income per share</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$0.50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54.6 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54.7 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tbl>
      <w:tblPr>
        <w:tblW w:w="10205" w:type="dxa"/>
        <w:jc w:val="center"/>
        <w:tblInd w:w="0" w:type="dxa"/>
        <w:tblLayout w:type="fixed"/>
        <w:tblCellMar>
          <w:top w:w="28" w:type="dxa"/>
          <w:left w:w="28" w:type="dxa"/>
          <w:bottom w:w="28" w:type="dxa"/>
          <w:right w:w="28" w:type="dxa"/>
        </w:tblCellMar>
      </w:tblPr>
      <w:tblGrid>
        <w:gridCol w:w="128"/>
        <w:gridCol w:w="112"/>
        <w:gridCol w:w="112"/>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5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853"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gross profit, selling, general, and administrative expense, and the related financial measures included in this news release for the three months ended June 30, 2024, have been revised. For additional information, please refer to the supplemental unaudited revised financial information and non-GAAP measures table within this news release.</w:t>
            </w:r>
          </w:p>
        </w:tc>
      </w:tr>
    </w:tbl>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15"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 - Unaudited</w:t>
      </w:r>
    </w:p>
    <w:tbl>
      <w:tblPr>
        <w:tblW w:w="7971" w:type="dxa"/>
        <w:jc w:val="left"/>
        <w:tblInd w:w="0" w:type="dxa"/>
        <w:tblLayout w:type="fixed"/>
        <w:tblCellMar>
          <w:top w:w="28" w:type="dxa"/>
          <w:left w:w="28" w:type="dxa"/>
          <w:bottom w:w="28" w:type="dxa"/>
          <w:right w:w="28" w:type="dxa"/>
        </w:tblCellMar>
      </w:tblPr>
      <w:tblGrid>
        <w:gridCol w:w="674"/>
        <w:gridCol w:w="593"/>
        <w:gridCol w:w="593"/>
        <w:gridCol w:w="593"/>
        <w:gridCol w:w="593"/>
        <w:gridCol w:w="598"/>
        <w:gridCol w:w="109"/>
        <w:gridCol w:w="109"/>
        <w:gridCol w:w="109"/>
        <w:gridCol w:w="570"/>
        <w:gridCol w:w="371"/>
        <w:gridCol w:w="371"/>
        <w:gridCol w:w="371"/>
        <w:gridCol w:w="371"/>
        <w:gridCol w:w="371"/>
        <w:gridCol w:w="570"/>
        <w:gridCol w:w="371"/>
        <w:gridCol w:w="371"/>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SG&amp;A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$121.4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$108.7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R&amp;D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50.8 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diluted earnings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$0.93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 - Unaudited</w:t>
      </w:r>
    </w:p>
    <w:tbl>
      <w:tblPr>
        <w:tblW w:w="9730" w:type="dxa"/>
        <w:jc w:val="left"/>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408"/>
        <w:gridCol w:w="256"/>
        <w:gridCol w:w="671"/>
        <w:gridCol w:w="256"/>
        <w:gridCol w:w="256"/>
        <w:gridCol w:w="256"/>
        <w:gridCol w:w="408"/>
        <w:gridCol w:w="256"/>
        <w:gridCol w:w="671"/>
        <w:gridCol w:w="109"/>
        <w:gridCol w:w="109"/>
        <w:gridCol w:w="109"/>
        <w:gridCol w:w="408"/>
        <w:gridCol w:w="278"/>
        <w:gridCol w:w="730"/>
        <w:gridCol w:w="278"/>
        <w:gridCol w:w="278"/>
        <w:gridCol w:w="278"/>
        <w:gridCol w:w="408"/>
        <w:gridCol w:w="278"/>
        <w:gridCol w:w="845"/>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GAAP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Adjusted Three Months Ended </w:t>
              <w:br/>
              <w:t>June 30,</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67.8 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67.4 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68.9 </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68.1 </w:t>
            </w:r>
          </w:p>
        </w:tc>
        <w:tc>
          <w:tcPr>
            <w:tcW w:w="8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39.1 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39.3 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34.4 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34.1 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14.0 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15.4 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12.6 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21.9 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21.0 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16.3 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15.9 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18.5 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24.2 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22.0 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20.8 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9140"/>
                <wp:effectExtent l="0" t="0" r="0" b="0"/>
                <wp:wrapNone/>
                <wp:docPr id="16"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09"/>
        <w:gridCol w:w="1339"/>
        <w:gridCol w:w="1289"/>
        <w:gridCol w:w="684"/>
        <w:gridCol w:w="684"/>
        <w:gridCol w:w="684"/>
        <w:gridCol w:w="769"/>
        <w:gridCol w:w="684"/>
        <w:gridCol w:w="695"/>
        <w:gridCol w:w="185"/>
        <w:gridCol w:w="185"/>
        <w:gridCol w:w="185"/>
        <w:gridCol w:w="413"/>
        <w:gridCol w:w="413"/>
        <w:gridCol w:w="387"/>
      </w:tblGrid>
      <w:tr>
        <w:trPr/>
        <w:tc>
          <w:tcPr>
            <w:tcW w:w="16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84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(LOSS) - UNAUDITED</w:t>
            </w:r>
          </w:p>
        </w:tc>
      </w:tr>
      <w:tr>
        <w:trPr/>
        <w:tc>
          <w:tcPr>
            <w:tcW w:w="84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Six Months Ended June 30,</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2024 </w:t>
            </w:r>
            <w:r>
              <w:rPr>
                <w:rFonts w:ascii="Franklin Gothic Book;sans-serif" w:hAnsi="Franklin Gothic Book;sans-serif"/>
                <w:b/>
                <w:color w:val="000000"/>
                <w:sz w:val="13"/>
              </w:rPr>
              <w:t>(1)</w:t>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$669.4 </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$613.5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214.1 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195.4</w:t>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455.2 </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418.1</w:t>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266.9 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250.8 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85.1 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90.4 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20.5 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102.8 </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56.4 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 expense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(362.1)</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(27.6)</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(31.4)</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7.2 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before tax</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(282.3)</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(12.6)</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17.8 </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from equity method investments</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($300.2)</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($25.6)</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loss per share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($5.51)</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($0.47)</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loss per share</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($5.51)</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($0.47)</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54.5 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54.2 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54.5 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54.2 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tbl>
      <w:tblPr>
        <w:tblW w:w="10205" w:type="dxa"/>
        <w:jc w:val="center"/>
        <w:tblInd w:w="0" w:type="dxa"/>
        <w:tblLayout w:type="fixed"/>
        <w:tblCellMar>
          <w:top w:w="28" w:type="dxa"/>
          <w:left w:w="28" w:type="dxa"/>
          <w:bottom w:w="28" w:type="dxa"/>
          <w:right w:w="28" w:type="dxa"/>
        </w:tblCellMar>
      </w:tblPr>
      <w:tblGrid>
        <w:gridCol w:w="128"/>
        <w:gridCol w:w="112"/>
        <w:gridCol w:w="112"/>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5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853"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gross profit, selling, general, and administrative expense, and the related financial measures included in this news release for the six months ended June 30, 2024, have been revised. For additional information, please refer to the supplemental unaudited revised financial information and non-GAAP measures table within this news release.</w:t>
            </w:r>
          </w:p>
        </w:tc>
      </w:tr>
    </w:tbl>
    <w:p>
      <w:pPr>
        <w:pStyle w:val="TextBody"/>
        <w:bidi w:val="0"/>
        <w:spacing w:before="100" w:after="283"/>
        <w:ind w:left="0" w:right="0" w:hanging="360"/>
        <w:jc w:val="left"/>
        <w:rPr/>
      </w:pPr>
      <w:r>
        <w:rPr/>
      </w:r>
    </w:p>
    <w:p>
      <w:pPr>
        <w:pStyle w:val="TextBody"/>
        <w:bidi w:val="0"/>
        <w:spacing w:before="10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7"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20"/>
        <w:jc w:val="left"/>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 - Unaudited</w:t>
      </w:r>
    </w:p>
    <w:tbl>
      <w:tblPr>
        <w:tblW w:w="7618" w:type="dxa"/>
        <w:jc w:val="left"/>
        <w:tblInd w:w="0" w:type="dxa"/>
        <w:tblLayout w:type="fixed"/>
        <w:tblCellMar>
          <w:top w:w="28" w:type="dxa"/>
          <w:left w:w="28" w:type="dxa"/>
          <w:bottom w:w="28" w:type="dxa"/>
          <w:right w:w="28" w:type="dxa"/>
        </w:tblCellMar>
      </w:tblPr>
      <w:tblGrid>
        <w:gridCol w:w="674"/>
        <w:gridCol w:w="593"/>
        <w:gridCol w:w="593"/>
        <w:gridCol w:w="593"/>
        <w:gridCol w:w="593"/>
        <w:gridCol w:w="598"/>
        <w:gridCol w:w="109"/>
        <w:gridCol w:w="109"/>
        <w:gridCol w:w="109"/>
        <w:gridCol w:w="516"/>
        <w:gridCol w:w="336"/>
        <w:gridCol w:w="336"/>
        <w:gridCol w:w="336"/>
        <w:gridCol w:w="336"/>
        <w:gridCol w:w="336"/>
        <w:gridCol w:w="516"/>
        <w:gridCol w:w="336"/>
        <w:gridCol w:w="336"/>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SG&amp;A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$237.1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$217.8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R&amp;D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82.2 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141.9 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105.5 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90.8 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diluted earnings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$1.93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$1.66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 - Unaudited</w:t>
      </w:r>
    </w:p>
    <w:tbl>
      <w:tblPr>
        <w:tblW w:w="9395" w:type="dxa"/>
        <w:jc w:val="left"/>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418"/>
        <w:gridCol w:w="257"/>
        <w:gridCol w:w="604"/>
        <w:gridCol w:w="230"/>
        <w:gridCol w:w="230"/>
        <w:gridCol w:w="230"/>
        <w:gridCol w:w="507"/>
        <w:gridCol w:w="288"/>
        <w:gridCol w:w="604"/>
        <w:gridCol w:w="109"/>
        <w:gridCol w:w="109"/>
        <w:gridCol w:w="109"/>
        <w:gridCol w:w="408"/>
        <w:gridCol w:w="253"/>
        <w:gridCol w:w="665"/>
        <w:gridCol w:w="253"/>
        <w:gridCol w:w="253"/>
        <w:gridCol w:w="253"/>
        <w:gridCol w:w="408"/>
        <w:gridCol w:w="253"/>
        <w:gridCol w:w="770"/>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GAAP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Adjusted Six Months Ended </w:t>
              <w:br/>
              <w:t>June 30,</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68.0 </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68.1 </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68.9 </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68.8 </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39.9 </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40.9 </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35.4 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35.5 </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14.7 </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15.4 </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9.2 </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21.2 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19.6 </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(44.8)</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15.8 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14.8 </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(102.6)</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23.0 </w:t>
            </w:r>
          </w:p>
        </w:tc>
        <w:tc>
          <w:tcPr>
            <w:tcW w:w="66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20.8 </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9140"/>
                <wp:effectExtent l="0" t="0" r="0" b="0"/>
                <wp:wrapNone/>
                <wp:docPr id="18"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3303" w:type="dxa"/>
        <w:jc w:val="left"/>
        <w:tblInd w:w="0" w:type="dxa"/>
        <w:tblLayout w:type="fixed"/>
        <w:tblCellMar>
          <w:top w:w="28" w:type="dxa"/>
          <w:left w:w="28" w:type="dxa"/>
          <w:bottom w:w="28" w:type="dxa"/>
          <w:right w:w="28" w:type="dxa"/>
        </w:tblCellMar>
      </w:tblPr>
      <w:tblGrid>
        <w:gridCol w:w="744"/>
        <w:gridCol w:w="328"/>
        <w:gridCol w:w="264"/>
        <w:gridCol w:w="454"/>
        <w:gridCol w:w="267"/>
        <w:gridCol w:w="439"/>
        <w:gridCol w:w="252"/>
        <w:gridCol w:w="252"/>
        <w:gridCol w:w="592"/>
        <w:gridCol w:w="375"/>
        <w:gridCol w:w="241"/>
        <w:gridCol w:w="569"/>
        <w:gridCol w:w="109"/>
        <w:gridCol w:w="308"/>
        <w:gridCol w:w="308"/>
        <w:gridCol w:w="560"/>
        <w:gridCol w:w="313"/>
        <w:gridCol w:w="303"/>
        <w:gridCol w:w="610"/>
        <w:gridCol w:w="368"/>
        <w:gridCol w:w="248"/>
        <w:gridCol w:w="585"/>
        <w:gridCol w:w="351"/>
        <w:gridCol w:w="265"/>
        <w:gridCol w:w="626"/>
        <w:gridCol w:w="333"/>
        <w:gridCol w:w="298"/>
        <w:gridCol w:w="553"/>
        <w:gridCol w:w="308"/>
        <w:gridCol w:w="308"/>
        <w:gridCol w:w="553"/>
        <w:gridCol w:w="470"/>
        <w:gridCol w:w="251"/>
        <w:gridCol w:w="498"/>
      </w:tblGrid>
      <w:tr>
        <w:trPr/>
        <w:tc>
          <w:tcPr>
            <w:tcW w:w="7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2084" w:type="dxa"/>
            <w:gridSpan w:val="31"/>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219"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June 30, 2025</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w:t>
            </w:r>
          </w:p>
          <w:p>
            <w:pPr>
              <w:pStyle w:val="TableContents"/>
              <w:bidi w:val="0"/>
              <w:spacing w:lineRule="auto" w:line="240" w:before="0" w:after="0"/>
              <w:jc w:val="center"/>
              <w:rPr/>
            </w:pPr>
            <w:r>
              <w:rPr>
                <w:rFonts w:ascii="Franklin Gothic Book;sans-serif" w:hAnsi="Franklin Gothic Book;sans-serif"/>
                <w:b/>
                <w:color w:val="000000"/>
                <w:sz w:val="14"/>
              </w:rPr>
              <w:t xml:space="preserve">Expenses </w:t>
            </w:r>
            <w:r>
              <w:rPr>
                <w:rFonts w:ascii="Franklin Gothic Book;sans-serif" w:hAnsi="Franklin Gothic Book;sans-serif"/>
                <w:b/>
                <w:color w:val="000000"/>
                <w:sz w:val="9"/>
              </w:rPr>
              <w:t>(1)</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Financing </w:t>
            </w:r>
          </w:p>
          <w:p>
            <w:pPr>
              <w:pStyle w:val="TableContents"/>
              <w:bidi w:val="0"/>
              <w:spacing w:lineRule="auto" w:line="240" w:before="0" w:after="0"/>
              <w:jc w:val="center"/>
              <w:rPr/>
            </w:pPr>
            <w:r>
              <w:rPr>
                <w:rFonts w:ascii="Franklin Gothic Book;sans-serif" w:hAnsi="Franklin Gothic Book;sans-serif"/>
                <w:b/>
                <w:color w:val="000000"/>
                <w:sz w:val="14"/>
              </w:rPr>
              <w:t xml:space="preserve">Transactions </w:t>
            </w:r>
            <w:r>
              <w:rPr>
                <w:rFonts w:ascii="Franklin Gothic Book;sans-serif" w:hAnsi="Franklin Gothic Book;sans-serif"/>
                <w:b/>
                <w:color w:val="000000"/>
                <w:sz w:val="9"/>
              </w:rPr>
              <w:t>(3)</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Contingent </w:t>
            </w:r>
          </w:p>
          <w:p>
            <w:pPr>
              <w:pStyle w:val="TableContents"/>
              <w:bidi w:val="0"/>
              <w:spacing w:lineRule="auto" w:line="240" w:before="0" w:after="0"/>
              <w:jc w:val="center"/>
              <w:rPr/>
            </w:pPr>
            <w:r>
              <w:rPr>
                <w:rFonts w:ascii="Franklin Gothic Book;sans-serif" w:hAnsi="Franklin Gothic Book;sans-serif"/>
                <w:b/>
                <w:color w:val="000000"/>
                <w:sz w:val="14"/>
              </w:rPr>
              <w:t xml:space="preserve">Consideration </w:t>
            </w:r>
            <w:r>
              <w:rPr>
                <w:rFonts w:ascii="Franklin Gothic Book;sans-serif" w:hAnsi="Franklin Gothic Book;sans-serif"/>
                <w:b/>
                <w:color w:val="000000"/>
                <w:sz w:val="9"/>
              </w:rPr>
              <w:t>(4)</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(5)</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Stock-based Compensation Costs </w:t>
            </w:r>
            <w:r>
              <w:rPr>
                <w:rFonts w:ascii="Franklin Gothic Book;sans-serif" w:hAnsi="Franklin Gothic Book;sans-serif"/>
                <w:b/>
                <w:color w:val="000000"/>
                <w:sz w:val="9"/>
              </w:rPr>
              <w:t>(6)</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(7)</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(8)</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$113.5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$109.7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67.8 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68.9 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39.1 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34.4 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44.0 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13.4 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9.2 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15.4 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21.9 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9.2 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$0.50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$0.05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$0.16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$0.17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($0.18)</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three months ended June 30, 2025 include: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(3)</w:t>
      </w:r>
      <w:r>
        <w:rPr>
          <w:rFonts w:ascii="Franklin Gothic Book;sans-serif" w:hAnsi="Franklin Gothic Book;sans-serif"/>
          <w:b w:val="false"/>
          <w:color w:val="000000"/>
          <w:sz w:val="18"/>
        </w:rPr>
        <w:t>Mark-to-market adjustments for the 2025 and 2029 Notes embedded and capped call derivatives and loss on debt extinguishment</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(4)</w:t>
      </w:r>
      <w:r>
        <w:rPr>
          <w:rFonts w:ascii="Franklin Gothic Book;sans-serif" w:hAnsi="Franklin Gothic Book;sans-serif"/>
          <w:b w:val="false"/>
          <w:color w:val="000000"/>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(5)</w:t>
      </w:r>
      <w:r>
        <w:rPr>
          <w:rFonts w:ascii="Franklin Gothic Book;sans-serif" w:hAnsi="Franklin Gothic Book;sans-serif"/>
          <w:b w:val="false"/>
          <w:color w:val="000000"/>
          <w:sz w:val="18"/>
        </w:rPr>
        <w:t>Legal expenses primarily related to 3T Heater-Cooler defense, cybersecurity incident costs, 3T Heater-Cooler litigation provision, SNIA environmental liability, and Medical Device Regulation ("MDR")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(6)</w:t>
      </w:r>
      <w:r>
        <w:rPr>
          <w:rFonts w:ascii="Franklin Gothic Book;sans-serif" w:hAnsi="Franklin Gothic Book;sans-serif"/>
          <w:b w:val="false"/>
          <w:color w:val="000000"/>
          <w:sz w:val="18"/>
        </w:rPr>
        <w:t>Non-cash expenses associated with stock-based compensation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(7)</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120"/>
        <w:ind w:left="0" w:right="0" w:hanging="360"/>
        <w:jc w:val="both"/>
        <w:rPr/>
      </w:pPr>
      <w:r>
        <w:rPr>
          <w:rFonts w:ascii="Franklin Gothic Book;sans-serif" w:hAnsi="Franklin Gothic Book;sans-serif"/>
          <w:b w:val="false"/>
          <w:color w:val="000000"/>
          <w:sz w:val="12"/>
        </w:rPr>
        <w:t>(8)</w:t>
      </w:r>
      <w:r>
        <w:rPr>
          <w:rFonts w:ascii="Franklin Gothic Book;sans-serif" w:hAnsi="Franklin Gothic Book;sans-serif"/>
          <w:b w:val="false"/>
          <w:color w:val="000000"/>
          <w:sz w:val="18"/>
        </w:rPr>
        <w:t>Non-cash interest expense</w:t>
      </w:r>
    </w:p>
    <w:p>
      <w:pPr>
        <w:pStyle w:val="TextBody"/>
        <w:bidi w:val="0"/>
        <w:spacing w:lineRule="auto" w:line="288" w:before="0" w:after="0"/>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140"/>
                <wp:effectExtent l="0" t="0" r="0" b="0"/>
                <wp:wrapNone/>
                <wp:docPr id="1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4543" w:type="dxa"/>
        <w:jc w:val="left"/>
        <w:tblInd w:w="0" w:type="dxa"/>
        <w:tblLayout w:type="fixed"/>
        <w:tblCellMar>
          <w:top w:w="28" w:type="dxa"/>
          <w:left w:w="28" w:type="dxa"/>
          <w:bottom w:w="28" w:type="dxa"/>
          <w:right w:w="28" w:type="dxa"/>
        </w:tblCellMar>
      </w:tblPr>
      <w:tblGrid>
        <w:gridCol w:w="744"/>
        <w:gridCol w:w="328"/>
        <w:gridCol w:w="264"/>
        <w:gridCol w:w="454"/>
        <w:gridCol w:w="267"/>
        <w:gridCol w:w="439"/>
        <w:gridCol w:w="109"/>
        <w:gridCol w:w="308"/>
        <w:gridCol w:w="308"/>
        <w:gridCol w:w="592"/>
        <w:gridCol w:w="375"/>
        <w:gridCol w:w="241"/>
        <w:gridCol w:w="569"/>
        <w:gridCol w:w="308"/>
        <w:gridCol w:w="308"/>
        <w:gridCol w:w="512"/>
        <w:gridCol w:w="308"/>
        <w:gridCol w:w="308"/>
        <w:gridCol w:w="560"/>
        <w:gridCol w:w="313"/>
        <w:gridCol w:w="303"/>
        <w:gridCol w:w="610"/>
        <w:gridCol w:w="368"/>
        <w:gridCol w:w="248"/>
        <w:gridCol w:w="585"/>
        <w:gridCol w:w="351"/>
        <w:gridCol w:w="265"/>
        <w:gridCol w:w="626"/>
        <w:gridCol w:w="315"/>
        <w:gridCol w:w="316"/>
        <w:gridCol w:w="553"/>
        <w:gridCol w:w="308"/>
        <w:gridCol w:w="308"/>
        <w:gridCol w:w="553"/>
        <w:gridCol w:w="470"/>
        <w:gridCol w:w="251"/>
        <w:gridCol w:w="498"/>
      </w:tblGrid>
      <w:tr>
        <w:trPr/>
        <w:tc>
          <w:tcPr>
            <w:tcW w:w="7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2155"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June 30, 2024</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w:t>
            </w:r>
          </w:p>
          <w:p>
            <w:pPr>
              <w:pStyle w:val="TableContents"/>
              <w:bidi w:val="0"/>
              <w:spacing w:lineRule="auto" w:line="240" w:before="0" w:after="0"/>
              <w:jc w:val="center"/>
              <w:rPr/>
            </w:pPr>
            <w:r>
              <w:rPr>
                <w:rFonts w:ascii="Franklin Gothic Book;sans-serif" w:hAnsi="Franklin Gothic Book;sans-serif"/>
                <w:b/>
                <w:color w:val="000000"/>
                <w:sz w:val="14"/>
              </w:rPr>
              <w:t xml:space="preserve">Expenses </w:t>
            </w:r>
            <w:r>
              <w:rPr>
                <w:rFonts w:ascii="Franklin Gothic Book;sans-serif" w:hAnsi="Franklin Gothic Book;sans-serif"/>
                <w:b/>
                <w:color w:val="000000"/>
                <w:sz w:val="9"/>
              </w:rPr>
              <w:t>(1)</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Impairment </w:t>
            </w:r>
            <w:r>
              <w:rPr>
                <w:rFonts w:ascii="Franklin Gothic Book;sans-serif" w:hAnsi="Franklin Gothic Book;sans-serif"/>
                <w:b/>
                <w:color w:val="000000"/>
                <w:sz w:val="9"/>
              </w:rPr>
              <w:t>(3)</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Financing </w:t>
            </w:r>
          </w:p>
          <w:p>
            <w:pPr>
              <w:pStyle w:val="TableContents"/>
              <w:bidi w:val="0"/>
              <w:spacing w:lineRule="auto" w:line="240" w:before="0" w:after="0"/>
              <w:jc w:val="center"/>
              <w:rPr/>
            </w:pPr>
            <w:r>
              <w:rPr>
                <w:rFonts w:ascii="Franklin Gothic Book;sans-serif" w:hAnsi="Franklin Gothic Book;sans-serif"/>
                <w:b/>
                <w:color w:val="000000"/>
                <w:sz w:val="14"/>
              </w:rPr>
              <w:t xml:space="preserve">Transactions </w:t>
            </w:r>
            <w:r>
              <w:rPr>
                <w:rFonts w:ascii="Franklin Gothic Book;sans-serif" w:hAnsi="Franklin Gothic Book;sans-serif"/>
                <w:b/>
                <w:color w:val="000000"/>
                <w:sz w:val="9"/>
              </w:rPr>
              <w:t>(4)</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Contingent </w:t>
            </w:r>
          </w:p>
          <w:p>
            <w:pPr>
              <w:pStyle w:val="TableContents"/>
              <w:bidi w:val="0"/>
              <w:spacing w:lineRule="auto" w:line="240" w:before="0" w:after="0"/>
              <w:jc w:val="center"/>
              <w:rPr/>
            </w:pPr>
            <w:r>
              <w:rPr>
                <w:rFonts w:ascii="Franklin Gothic Book;sans-serif" w:hAnsi="Franklin Gothic Book;sans-serif"/>
                <w:b/>
                <w:color w:val="000000"/>
                <w:sz w:val="14"/>
              </w:rPr>
              <w:t xml:space="preserve">Consideration </w:t>
            </w:r>
            <w:r>
              <w:rPr>
                <w:rFonts w:ascii="Franklin Gothic Book;sans-serif" w:hAnsi="Franklin Gothic Book;sans-serif"/>
                <w:b/>
                <w:color w:val="000000"/>
                <w:sz w:val="9"/>
              </w:rPr>
              <w:t>(5)</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(6)</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Stock-based Compensation Costs </w:t>
            </w:r>
            <w:r>
              <w:rPr>
                <w:rFonts w:ascii="Franklin Gothic Book;sans-serif" w:hAnsi="Franklin Gothic Book;sans-serif"/>
                <w:b/>
                <w:color w:val="000000"/>
                <w:sz w:val="9"/>
              </w:rPr>
              <w:t>(7)</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(8)</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(9)</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$103.7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$101.8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67.4 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68.1 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125.1 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108.7 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39.3 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34.1 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44.7 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41.3 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14.0 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12.9 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40.2 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66.9 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12.6 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21.0 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50.8 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$0.30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$0.11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$0.05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$0.01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$0.15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($0.15)</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$0.93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three months ended June 30, 2024 include: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(3)</w:t>
      </w:r>
      <w:r>
        <w:rPr>
          <w:rFonts w:ascii="Franklin Gothic Book;sans-serif" w:hAnsi="Franklin Gothic Book;sans-serif"/>
          <w:b w:val="false"/>
          <w:color w:val="000000"/>
          <w:sz w:val="18"/>
        </w:rPr>
        <w:t>Impairment of investment in ShiraTronics, Inc.</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(4)</w:t>
      </w:r>
      <w:r>
        <w:rPr>
          <w:rFonts w:ascii="Franklin Gothic Book;sans-serif" w:hAnsi="Franklin Gothic Book;sans-serif"/>
          <w:b w:val="false"/>
          <w:color w:val="000000"/>
          <w:sz w:val="18"/>
        </w:rPr>
        <w:t>Mark-to-market adjustments for the 2025 and 2029 Notes embedded and capped call derivatives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(5)</w:t>
      </w:r>
      <w:r>
        <w:rPr>
          <w:rFonts w:ascii="Franklin Gothic Book;sans-serif" w:hAnsi="Franklin Gothic Book;sans-serif"/>
          <w:b w:val="false"/>
          <w:color w:val="000000"/>
          <w:sz w:val="18"/>
        </w:rPr>
        <w:t>Remeasurement of contingent consideration related to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(6)</w:t>
      </w:r>
      <w:r>
        <w:rPr>
          <w:rFonts w:ascii="Franklin Gothic Book;sans-serif" w:hAnsi="Franklin Gothic Book;sans-serif"/>
          <w:b w:val="false"/>
          <w:color w:val="000000"/>
          <w:sz w:val="18"/>
        </w:rPr>
        <w:t>3T Heater-Cooler litigation provision, legal expenses primarily related to 3T Heater-Cooler defense, cybersecurity incident costs, and MDR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(7)</w:t>
      </w:r>
      <w:r>
        <w:rPr>
          <w:rFonts w:ascii="Franklin Gothic Book;sans-serif" w:hAnsi="Franklin Gothic Book;sans-serif"/>
          <w:b w:val="false"/>
          <w:color w:val="000000"/>
          <w:sz w:val="18"/>
        </w:rPr>
        <w:t>Non-cash expenses associated with stock-based compensation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(8)</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120"/>
        <w:ind w:left="0" w:right="0" w:hanging="360"/>
        <w:jc w:val="both"/>
        <w:rPr/>
      </w:pPr>
      <w:r>
        <w:rPr>
          <w:rFonts w:ascii="Franklin Gothic Book;sans-serif" w:hAnsi="Franklin Gothic Book;sans-serif"/>
          <w:b w:val="false"/>
          <w:color w:val="000000"/>
          <w:sz w:val="12"/>
        </w:rPr>
        <w:t>(9)</w:t>
      </w:r>
      <w:r>
        <w:rPr>
          <w:rFonts w:ascii="Franklin Gothic Book;sans-serif" w:hAnsi="Franklin Gothic Book;sans-serif"/>
          <w:b w:val="false"/>
          <w:color w:val="000000"/>
          <w:sz w:val="18"/>
        </w:rPr>
        <w:t>Interest expense on the Term Facilities, non-cash interest expense on the 2025 &amp; 2029 Notes and Revolving Credit Facility, and interest income on the collateral for the SNIA litigation guarantee and delayed draw on Term Facilities</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20"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3303" w:type="dxa"/>
        <w:jc w:val="left"/>
        <w:tblInd w:w="0" w:type="dxa"/>
        <w:tblLayout w:type="fixed"/>
        <w:tblCellMar>
          <w:top w:w="28" w:type="dxa"/>
          <w:left w:w="28" w:type="dxa"/>
          <w:bottom w:w="28" w:type="dxa"/>
          <w:right w:w="28" w:type="dxa"/>
        </w:tblCellMar>
      </w:tblPr>
      <w:tblGrid>
        <w:gridCol w:w="657"/>
        <w:gridCol w:w="415"/>
        <w:gridCol w:w="264"/>
        <w:gridCol w:w="454"/>
        <w:gridCol w:w="267"/>
        <w:gridCol w:w="439"/>
        <w:gridCol w:w="252"/>
        <w:gridCol w:w="252"/>
        <w:gridCol w:w="592"/>
        <w:gridCol w:w="375"/>
        <w:gridCol w:w="241"/>
        <w:gridCol w:w="569"/>
        <w:gridCol w:w="109"/>
        <w:gridCol w:w="308"/>
        <w:gridCol w:w="308"/>
        <w:gridCol w:w="560"/>
        <w:gridCol w:w="313"/>
        <w:gridCol w:w="303"/>
        <w:gridCol w:w="610"/>
        <w:gridCol w:w="368"/>
        <w:gridCol w:w="248"/>
        <w:gridCol w:w="585"/>
        <w:gridCol w:w="351"/>
        <w:gridCol w:w="265"/>
        <w:gridCol w:w="626"/>
        <w:gridCol w:w="333"/>
        <w:gridCol w:w="298"/>
        <w:gridCol w:w="553"/>
        <w:gridCol w:w="333"/>
        <w:gridCol w:w="283"/>
        <w:gridCol w:w="553"/>
        <w:gridCol w:w="470"/>
        <w:gridCol w:w="251"/>
        <w:gridCol w:w="498"/>
      </w:tblGrid>
      <w:tr>
        <w:trPr/>
        <w:tc>
          <w:tcPr>
            <w:tcW w:w="65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2084" w:type="dxa"/>
            <w:gridSpan w:val="31"/>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 xml:space="preserve">(U.S. dollars in millions, except per share amounts) </w:t>
            </w:r>
          </w:p>
        </w:tc>
        <w:tc>
          <w:tcPr>
            <w:tcW w:w="1219"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Six Months Ended</w:t>
              <w:br/>
              <w:t>June 30, 2025</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w:t>
            </w:r>
          </w:p>
          <w:p>
            <w:pPr>
              <w:pStyle w:val="TableContents"/>
              <w:bidi w:val="0"/>
              <w:spacing w:lineRule="auto" w:line="240" w:before="0" w:after="0"/>
              <w:jc w:val="center"/>
              <w:rPr/>
            </w:pPr>
            <w:r>
              <w:rPr>
                <w:rFonts w:ascii="Franklin Gothic Book;sans-serif" w:hAnsi="Franklin Gothic Book;sans-serif"/>
                <w:b/>
                <w:color w:val="000000"/>
                <w:sz w:val="14"/>
              </w:rPr>
              <w:t xml:space="preserve">Expenses </w:t>
            </w:r>
            <w:r>
              <w:rPr>
                <w:rFonts w:ascii="Franklin Gothic Book;sans-serif" w:hAnsi="Franklin Gothic Book;sans-serif"/>
                <w:b/>
                <w:color w:val="000000"/>
                <w:sz w:val="9"/>
              </w:rPr>
              <w:t>(1)</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Financing </w:t>
            </w:r>
          </w:p>
          <w:p>
            <w:pPr>
              <w:pStyle w:val="TableContents"/>
              <w:bidi w:val="0"/>
              <w:spacing w:lineRule="auto" w:line="240" w:before="0" w:after="0"/>
              <w:jc w:val="center"/>
              <w:rPr/>
            </w:pPr>
            <w:r>
              <w:rPr>
                <w:rFonts w:ascii="Franklin Gothic Book;sans-serif" w:hAnsi="Franklin Gothic Book;sans-serif"/>
                <w:b/>
                <w:color w:val="000000"/>
                <w:sz w:val="14"/>
              </w:rPr>
              <w:t xml:space="preserve">Transactions </w:t>
            </w:r>
            <w:r>
              <w:rPr>
                <w:rFonts w:ascii="Franklin Gothic Book;sans-serif" w:hAnsi="Franklin Gothic Book;sans-serif"/>
                <w:b/>
                <w:color w:val="000000"/>
                <w:sz w:val="9"/>
              </w:rPr>
              <w:t>(3)</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Contingent </w:t>
            </w:r>
          </w:p>
          <w:p>
            <w:pPr>
              <w:pStyle w:val="TableContents"/>
              <w:bidi w:val="0"/>
              <w:spacing w:lineRule="auto" w:line="240" w:before="0" w:after="0"/>
              <w:jc w:val="center"/>
              <w:rPr/>
            </w:pPr>
            <w:r>
              <w:rPr>
                <w:rFonts w:ascii="Franklin Gothic Book;sans-serif" w:hAnsi="Franklin Gothic Book;sans-serif"/>
                <w:b/>
                <w:color w:val="000000"/>
                <w:sz w:val="14"/>
              </w:rPr>
              <w:t xml:space="preserve">Consideration </w:t>
            </w:r>
            <w:r>
              <w:rPr>
                <w:rFonts w:ascii="Franklin Gothic Book;sans-serif" w:hAnsi="Franklin Gothic Book;sans-serif"/>
                <w:b/>
                <w:color w:val="000000"/>
                <w:sz w:val="9"/>
              </w:rPr>
              <w:t>(4)</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(5)</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Stock-based Compensation Costs </w:t>
            </w:r>
            <w:r>
              <w:rPr>
                <w:rFonts w:ascii="Franklin Gothic Book;sans-serif" w:hAnsi="Franklin Gothic Book;sans-serif"/>
                <w:b/>
                <w:color w:val="000000"/>
                <w:sz w:val="9"/>
              </w:rPr>
              <w:t>(6)</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(7)</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(8)</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$214.1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$208.2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68.0 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68.9 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266.9 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(13.5)</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237.1 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35.4 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85.1 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82.2 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102.8 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141.9 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15.4 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21.2 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(300.2)</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372.4 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17.0 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105.5 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(44.8)</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55.6 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15.8 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($5.51)</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$0.15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$0.07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$0.07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$0.31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($0.25)</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$0.26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$1.93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six months ended June 30, 2025 include: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(3)</w:t>
      </w:r>
      <w:r>
        <w:rPr>
          <w:rFonts w:ascii="Franklin Gothic Book;sans-serif" w:hAnsi="Franklin Gothic Book;sans-serif"/>
          <w:b w:val="false"/>
          <w:color w:val="000000"/>
          <w:sz w:val="18"/>
        </w:rPr>
        <w:t>Mark-to-market adjustments for the 2025 &amp; 2029 Notes embedded and capped call derivatives and loss on debt extinguishment</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(4)</w:t>
      </w:r>
      <w:r>
        <w:rPr>
          <w:rFonts w:ascii="Franklin Gothic Book;sans-serif" w:hAnsi="Franklin Gothic Book;sans-serif"/>
          <w:b w:val="false"/>
          <w:color w:val="000000"/>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(5)</w:t>
      </w:r>
      <w:r>
        <w:rPr>
          <w:rFonts w:ascii="Franklin Gothic Book;sans-serif" w:hAnsi="Franklin Gothic Book;sans-serif"/>
          <w:b w:val="false"/>
          <w:color w:val="000000"/>
          <w:sz w:val="18"/>
        </w:rPr>
        <w:t>SNIA environmental liability, legal expenses primarily related to 3T Heater-Cooler defense, 3T Heater-Cooler litigation provision, cybersecurity incident costs net of insurance reimbursement, MDR costs, and R&amp;D tax incentive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(6)</w:t>
      </w:r>
      <w:r>
        <w:rPr>
          <w:rFonts w:ascii="Franklin Gothic Book;sans-serif" w:hAnsi="Franklin Gothic Book;sans-serif"/>
          <w:b w:val="false"/>
          <w:color w:val="000000"/>
          <w:sz w:val="18"/>
        </w:rPr>
        <w:t xml:space="preserve">Non-cash expenses associated with stock-based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(7)</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120"/>
        <w:ind w:left="0" w:right="0" w:hanging="360"/>
        <w:jc w:val="both"/>
        <w:rPr/>
      </w:pPr>
      <w:r>
        <w:rPr>
          <w:rFonts w:ascii="Franklin Gothic Book;sans-serif" w:hAnsi="Franklin Gothic Book;sans-serif"/>
          <w:b w:val="false"/>
          <w:color w:val="000000"/>
          <w:sz w:val="12"/>
        </w:rPr>
        <w:t>(8)</w:t>
      </w:r>
      <w:r>
        <w:rPr>
          <w:rFonts w:ascii="Franklin Gothic Book;sans-serif" w:hAnsi="Franklin Gothic Book;sans-serif"/>
          <w:b w:val="false"/>
          <w:color w:val="000000"/>
          <w:sz w:val="18"/>
        </w:rPr>
        <w:t>Interest expense on the Term Facilities, non-cash interest expense on the 2025 &amp; 2029 Notes and Revolving Credit Facility, and interest income on the collateral for the SNIA litigation guarantee and delayed draw on Term Facilities</w:t>
      </w:r>
    </w:p>
    <w:p>
      <w:pPr>
        <w:pStyle w:val="TextBody"/>
        <w:bidi w:val="0"/>
        <w:spacing w:lineRule="auto" w:line="288" w:before="0" w:after="0"/>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21"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4443" w:type="dxa"/>
        <w:jc w:val="left"/>
        <w:tblInd w:w="0" w:type="dxa"/>
        <w:tblLayout w:type="fixed"/>
        <w:tblCellMar>
          <w:top w:w="28" w:type="dxa"/>
          <w:left w:w="28" w:type="dxa"/>
          <w:bottom w:w="28" w:type="dxa"/>
          <w:right w:w="28" w:type="dxa"/>
        </w:tblCellMar>
      </w:tblPr>
      <w:tblGrid>
        <w:gridCol w:w="657"/>
        <w:gridCol w:w="415"/>
        <w:gridCol w:w="264"/>
        <w:gridCol w:w="454"/>
        <w:gridCol w:w="267"/>
        <w:gridCol w:w="439"/>
        <w:gridCol w:w="109"/>
        <w:gridCol w:w="308"/>
        <w:gridCol w:w="308"/>
        <w:gridCol w:w="592"/>
        <w:gridCol w:w="375"/>
        <w:gridCol w:w="241"/>
        <w:gridCol w:w="569"/>
        <w:gridCol w:w="308"/>
        <w:gridCol w:w="308"/>
        <w:gridCol w:w="512"/>
        <w:gridCol w:w="329"/>
        <w:gridCol w:w="287"/>
        <w:gridCol w:w="560"/>
        <w:gridCol w:w="258"/>
        <w:gridCol w:w="258"/>
        <w:gridCol w:w="610"/>
        <w:gridCol w:w="368"/>
        <w:gridCol w:w="248"/>
        <w:gridCol w:w="585"/>
        <w:gridCol w:w="351"/>
        <w:gridCol w:w="265"/>
        <w:gridCol w:w="626"/>
        <w:gridCol w:w="333"/>
        <w:gridCol w:w="298"/>
        <w:gridCol w:w="553"/>
        <w:gridCol w:w="333"/>
        <w:gridCol w:w="283"/>
        <w:gridCol w:w="553"/>
        <w:gridCol w:w="470"/>
        <w:gridCol w:w="251"/>
        <w:gridCol w:w="498"/>
      </w:tblGrid>
      <w:tr>
        <w:trPr/>
        <w:tc>
          <w:tcPr>
            <w:tcW w:w="65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2055"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Six Months Ended</w:t>
              <w:br/>
              <w:t>June 30, 2024</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w:t>
            </w:r>
          </w:p>
          <w:p>
            <w:pPr>
              <w:pStyle w:val="TableContents"/>
              <w:bidi w:val="0"/>
              <w:spacing w:lineRule="auto" w:line="240" w:before="0" w:after="0"/>
              <w:jc w:val="center"/>
              <w:rPr/>
            </w:pPr>
            <w:r>
              <w:rPr>
                <w:rFonts w:ascii="Franklin Gothic Book;sans-serif" w:hAnsi="Franklin Gothic Book;sans-serif"/>
                <w:b/>
                <w:color w:val="000000"/>
                <w:sz w:val="14"/>
              </w:rPr>
              <w:t xml:space="preserve">Expenses </w:t>
            </w:r>
            <w:r>
              <w:rPr>
                <w:rFonts w:ascii="Franklin Gothic Book;sans-serif" w:hAnsi="Franklin Gothic Book;sans-serif"/>
                <w:b/>
                <w:color w:val="000000"/>
                <w:sz w:val="9"/>
              </w:rPr>
              <w:t>(1)</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Impairment </w:t>
            </w:r>
            <w:r>
              <w:rPr>
                <w:rFonts w:ascii="Franklin Gothic Book;sans-serif" w:hAnsi="Franklin Gothic Book;sans-serif"/>
                <w:b/>
                <w:color w:val="000000"/>
                <w:sz w:val="9"/>
              </w:rPr>
              <w:t>(3)</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Financing </w:t>
            </w:r>
          </w:p>
          <w:p>
            <w:pPr>
              <w:pStyle w:val="TableContents"/>
              <w:bidi w:val="0"/>
              <w:spacing w:lineRule="auto" w:line="240" w:before="0" w:after="0"/>
              <w:jc w:val="center"/>
              <w:rPr/>
            </w:pPr>
            <w:r>
              <w:rPr>
                <w:rFonts w:ascii="Franklin Gothic Book;sans-serif" w:hAnsi="Franklin Gothic Book;sans-serif"/>
                <w:b/>
                <w:color w:val="000000"/>
                <w:sz w:val="14"/>
              </w:rPr>
              <w:t xml:space="preserve">Transactions </w:t>
            </w:r>
            <w:r>
              <w:rPr>
                <w:rFonts w:ascii="Franklin Gothic Book;sans-serif" w:hAnsi="Franklin Gothic Book;sans-serif"/>
                <w:b/>
                <w:color w:val="000000"/>
                <w:sz w:val="9"/>
              </w:rPr>
              <w:t>(4)</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Contingent </w:t>
            </w:r>
          </w:p>
          <w:p>
            <w:pPr>
              <w:pStyle w:val="TableContents"/>
              <w:bidi w:val="0"/>
              <w:spacing w:lineRule="auto" w:line="240" w:before="0" w:after="0"/>
              <w:jc w:val="center"/>
              <w:rPr/>
            </w:pPr>
            <w:r>
              <w:rPr>
                <w:rFonts w:ascii="Franklin Gothic Book;sans-serif" w:hAnsi="Franklin Gothic Book;sans-serif"/>
                <w:b/>
                <w:color w:val="000000"/>
                <w:sz w:val="14"/>
              </w:rPr>
              <w:t xml:space="preserve">Consideration </w:t>
            </w:r>
            <w:r>
              <w:rPr>
                <w:rFonts w:ascii="Franklin Gothic Book;sans-serif" w:hAnsi="Franklin Gothic Book;sans-serif"/>
                <w:b/>
                <w:color w:val="000000"/>
                <w:sz w:val="9"/>
              </w:rPr>
              <w:t>(5)</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(6)</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Stock-based Compensation Costs </w:t>
            </w:r>
            <w:r>
              <w:rPr>
                <w:rFonts w:ascii="Franklin Gothic Book;sans-serif" w:hAnsi="Franklin Gothic Book;sans-serif"/>
                <w:b/>
                <w:color w:val="000000"/>
                <w:sz w:val="9"/>
              </w:rPr>
              <w:t>(7)</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(8)</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(9)</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$195.4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$191.6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68.1 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68.8 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250.8 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(13.8)</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(13.9)</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217.8 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40.9 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35.5 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90.4 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84.1 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20.5 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56.4 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24.9 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18.4 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120.0 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9.2 </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19.6 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(25.6)</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24.9 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18.4 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90.8 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3.0 </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14.8 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($0.47)</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$0.21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$0.16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$0.11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$0.46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$0.34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($0.20)</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$1.66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six months ended June 30, 2024 include: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(3)</w:t>
      </w:r>
      <w:r>
        <w:rPr>
          <w:rFonts w:ascii="Franklin Gothic Book;sans-serif" w:hAnsi="Franklin Gothic Book;sans-serif"/>
          <w:b w:val="false"/>
          <w:color w:val="000000"/>
          <w:sz w:val="18"/>
        </w:rPr>
        <w:t>Impairment of investment in ShiraTronics, Inc.</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(4)</w:t>
      </w:r>
      <w:r>
        <w:rPr>
          <w:rFonts w:ascii="Franklin Gothic Book;sans-serif" w:hAnsi="Franklin Gothic Book;sans-serif"/>
          <w:b w:val="false"/>
          <w:color w:val="000000"/>
          <w:sz w:val="18"/>
        </w:rPr>
        <w:t>Mark-to-market adjustments for the 2025 &amp; 2029 Notes embedded and capped call derivatives and loss on debt extinguishment</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(5)</w:t>
      </w:r>
      <w:r>
        <w:rPr>
          <w:rFonts w:ascii="Franklin Gothic Book;sans-serif" w:hAnsi="Franklin Gothic Book;sans-serif"/>
          <w:b w:val="false"/>
          <w:color w:val="000000"/>
          <w:sz w:val="18"/>
        </w:rPr>
        <w:t>Remeasurement of contingent consideration related to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(6)</w:t>
      </w:r>
      <w:r>
        <w:rPr>
          <w:rFonts w:ascii="Franklin Gothic Book;sans-serif" w:hAnsi="Franklin Gothic Book;sans-serif"/>
          <w:b w:val="false"/>
          <w:color w:val="000000"/>
          <w:sz w:val="18"/>
        </w:rPr>
        <w:t>3T Heater-Cooler litigation provision, legal expenses primarily related to 3T Heater-Cooler defense, cybersecurity incident costs, MDR costs, and costs related to the SNIA matter</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(7)</w:t>
      </w:r>
      <w:r>
        <w:rPr>
          <w:rFonts w:ascii="Franklin Gothic Book;sans-serif" w:hAnsi="Franklin Gothic Book;sans-serif"/>
          <w:b w:val="false"/>
          <w:color w:val="000000"/>
          <w:sz w:val="18"/>
        </w:rPr>
        <w:t>Non-cash expenses associated with stock-based compensation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(8)</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120"/>
        <w:ind w:left="0" w:right="0" w:hanging="360"/>
        <w:jc w:val="both"/>
        <w:rPr/>
      </w:pPr>
      <w:r>
        <w:rPr>
          <w:rFonts w:ascii="Franklin Gothic Book;sans-serif" w:hAnsi="Franklin Gothic Book;sans-serif"/>
          <w:b w:val="false"/>
          <w:color w:val="000000"/>
          <w:sz w:val="12"/>
        </w:rPr>
        <w:t>(9)</w:t>
      </w:r>
      <w:r>
        <w:rPr>
          <w:rFonts w:ascii="Franklin Gothic Book;sans-serif" w:hAnsi="Franklin Gothic Book;sans-serif"/>
          <w:b w:val="false"/>
          <w:color w:val="000000"/>
          <w:sz w:val="18"/>
        </w:rPr>
        <w:t>Interest expense on the Term Facilities, non-cash interest expense on the 2025 and 2029 Notes and Revolving Credit Facility, and interest income on the collateral for the SNIA litigation guarantee and delayed draw on Term Facilities</w:t>
      </w:r>
    </w:p>
    <w:p>
      <w:pPr>
        <w:pStyle w:val="TextBody"/>
        <w:bidi w:val="0"/>
        <w:spacing w:lineRule="auto" w:line="288" w:before="0" w:after="0"/>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22"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07"/>
        <w:gridCol w:w="1406"/>
        <w:gridCol w:w="1303"/>
        <w:gridCol w:w="343"/>
        <w:gridCol w:w="343"/>
        <w:gridCol w:w="343"/>
        <w:gridCol w:w="613"/>
        <w:gridCol w:w="531"/>
        <w:gridCol w:w="411"/>
        <w:gridCol w:w="343"/>
        <w:gridCol w:w="343"/>
        <w:gridCol w:w="343"/>
        <w:gridCol w:w="676"/>
        <w:gridCol w:w="608"/>
        <w:gridCol w:w="792"/>
      </w:tblGrid>
      <w:tr>
        <w:trPr/>
        <w:tc>
          <w:tcPr>
            <w:tcW w:w="180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June 30, 2025</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December 31, 2024</w:t>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and cash equivalents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$593.6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$428.9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Restricted cash</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294.7 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 of allowance</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220.2 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193.2 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165.4 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147.6 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and refundable taxes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32.8 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30.5 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451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expenses and other current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32.4 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1,066.1</w:t>
            </w:r>
            <w:r>
              <w:rPr>
                <w:color w:val="000000"/>
              </w:rPr>
              <w:t>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1,127.2</w:t>
            </w:r>
            <w:r>
              <w:rPr>
                <w:color w:val="000000"/>
              </w:rPr>
              <w:t>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net</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195.4 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170.3 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Goodwill</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793.4 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750.0 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239.1 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237.3 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lease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46.8 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Investments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25.1 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109.8 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111.9 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14.1 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Assets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$2,506.7</w:t>
            </w:r>
            <w:r>
              <w:rPr>
                <w:color w:val="000000"/>
              </w:rPr>
              <w:t>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$2,506.4</w:t>
            </w:r>
            <w:r>
              <w:rPr>
                <w:color w:val="000000"/>
              </w:rPr>
              <w:t>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LIABILITIES AND STOCKHOLDERS’ EQUITY</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debt obligations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$82.1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69.7 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liabilities and other</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118.5 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392.3 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contingent consideration</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litigation provision liability</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32.5 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employee compensation and related benefits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80.5 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827.1</w:t>
            </w:r>
            <w:r>
              <w:rPr>
                <w:color w:val="000000"/>
              </w:rPr>
              <w:t>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392.1</w:t>
            </w:r>
            <w:r>
              <w:rPr>
                <w:color w:val="000000"/>
              </w:rPr>
              <w:t>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debt obligations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348.5 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549.6 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contingent consideration</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84.2 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operating lease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42.8 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40.1 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employee compensation and related benefits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12.8 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51.8 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52.7 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44.5 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1,383.9 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1,186.1 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Stockholders’ Equity</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1,122.8 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1,320.3 </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 and Stockholders’ Equity</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$2,506.7</w:t>
            </w:r>
            <w:r>
              <w:rPr>
                <w:color w:val="000000"/>
              </w:rPr>
              <w:t> </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$2,506.4</w:t>
            </w:r>
            <w:r>
              <w:rPr>
                <w:color w:val="000000"/>
              </w:rPr>
              <w:t> </w:t>
            </w:r>
          </w:p>
        </w:tc>
        <w:tc>
          <w:tcPr>
            <w:tcW w:w="7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9140"/>
                <wp:effectExtent l="0" t="0" r="0" b="0"/>
                <wp:wrapNone/>
                <wp:docPr id="23"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47"/>
        <w:gridCol w:w="2108"/>
        <w:gridCol w:w="2116"/>
        <w:gridCol w:w="109"/>
        <w:gridCol w:w="109"/>
        <w:gridCol w:w="109"/>
        <w:gridCol w:w="543"/>
        <w:gridCol w:w="352"/>
        <w:gridCol w:w="272"/>
        <w:gridCol w:w="272"/>
        <w:gridCol w:w="272"/>
        <w:gridCol w:w="272"/>
        <w:gridCol w:w="500"/>
        <w:gridCol w:w="336"/>
        <w:gridCol w:w="388"/>
      </w:tblGrid>
      <w:tr>
        <w:trPr/>
        <w:tc>
          <w:tcPr>
            <w:tcW w:w="244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Six Months Ended June 30,</w:t>
            </w:r>
          </w:p>
        </w:tc>
      </w:tr>
      <w:tr>
        <w:trPr/>
        <w:tc>
          <w:tcPr>
            <w:tcW w:w="6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($300.2)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($25.6)</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Adjustments to reconcile net loss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18.4 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investment revaluation - Ceribell,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Impairment of investment in ShiraTronics,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5.8 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(25.4)</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0.8 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362.1 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86.9 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53.3 </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(18.6)</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(0.4)</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(19.6)</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(18.9)</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(210.3)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(238.8)</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Shares repurchased from employees for minimum tax withholding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335.5 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extinguishment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(39.0)</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unwind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exercise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(used in)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(213.4)</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25.3 </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(129.9)</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55.2 </w:t>
            </w:r>
          </w:p>
        </w:tc>
        <w:tc>
          <w:tcPr>
            <w:tcW w:w="3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723.6 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577.9 </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$593.6 </w:t>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$633.1 </w:t>
            </w:r>
          </w:p>
        </w:tc>
        <w:tc>
          <w:tcPr>
            <w:tcW w:w="3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9140"/>
                <wp:effectExtent l="0" t="0" r="0" b="0"/>
                <wp:wrapNone/>
                <wp:docPr id="24"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2"/>
        <w:gridCol w:w="125"/>
        <w:gridCol w:w="111"/>
        <w:gridCol w:w="111"/>
        <w:gridCol w:w="111"/>
        <w:gridCol w:w="111"/>
        <w:gridCol w:w="109"/>
        <w:gridCol w:w="109"/>
        <w:gridCol w:w="109"/>
        <w:gridCol w:w="391"/>
        <w:gridCol w:w="231"/>
        <w:gridCol w:w="548"/>
        <w:gridCol w:w="109"/>
        <w:gridCol w:w="109"/>
        <w:gridCol w:w="109"/>
        <w:gridCol w:w="435"/>
        <w:gridCol w:w="435"/>
        <w:gridCol w:w="436"/>
        <w:gridCol w:w="109"/>
        <w:gridCol w:w="109"/>
        <w:gridCol w:w="109"/>
        <w:gridCol w:w="392"/>
        <w:gridCol w:w="232"/>
        <w:gridCol w:w="551"/>
        <w:gridCol w:w="109"/>
        <w:gridCol w:w="109"/>
        <w:gridCol w:w="109"/>
        <w:gridCol w:w="391"/>
        <w:gridCol w:w="231"/>
        <w:gridCol w:w="548"/>
        <w:gridCol w:w="109"/>
        <w:gridCol w:w="109"/>
        <w:gridCol w:w="109"/>
        <w:gridCol w:w="435"/>
        <w:gridCol w:w="435"/>
        <w:gridCol w:w="436"/>
        <w:gridCol w:w="109"/>
        <w:gridCol w:w="109"/>
        <w:gridCol w:w="109"/>
        <w:gridCol w:w="401"/>
        <w:gridCol w:w="222"/>
        <w:gridCol w:w="642"/>
      </w:tblGrid>
      <w:tr>
        <w:trPr/>
        <w:tc>
          <w:tcPr>
            <w:tcW w:w="2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June 30,</w:t>
            </w:r>
          </w:p>
        </w:tc>
      </w:tr>
      <w:tr>
        <w:trPr/>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r>
      <w:tr>
        <w:trPr/>
        <w:tc>
          <w:tcPr>
            <w:tcW w:w="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$33.3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$73.5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$64.1 </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16.1 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$27.2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$57.4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$50.8 </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18.5 </w:t>
            </w:r>
          </w:p>
        </w:tc>
        <w:tc>
          <w:tcPr>
            <w:tcW w:w="5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22.0 </w:t>
            </w:r>
          </w:p>
        </w:tc>
        <w:tc>
          <w:tcPr>
            <w:tcW w:w="55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24.2 </w:t>
            </w:r>
          </w:p>
        </w:tc>
        <w:tc>
          <w:tcPr>
            <w:tcW w:w="5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20.8 </w:t>
            </w:r>
          </w:p>
        </w:tc>
        <w:tc>
          <w:tcPr>
            <w:tcW w:w="6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7857" w:type="dxa"/>
            <w:gridSpan w:val="30"/>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6224" w:type="dxa"/>
            <w:gridSpan w:val="24"/>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tcPr>
          <w:p>
            <w:pPr>
              <w:pStyle w:val="TableContents"/>
              <w:bidi w:val="0"/>
              <w:spacing w:before="0" w:after="283"/>
              <w:jc w:val="left"/>
              <w:rPr>
                <w:sz w:val="4"/>
                <w:szCs w:val="4"/>
              </w:rPr>
            </w:pPr>
            <w:r>
              <w:rPr>
                <w:sz w:val="4"/>
                <w:szCs w:val="4"/>
              </w:rPr>
            </w:r>
          </w:p>
        </w:tc>
      </w:tr>
    </w:tbl>
    <w:tbl>
      <w:tblPr>
        <w:tblW w:w="10722" w:type="dxa"/>
        <w:jc w:val="left"/>
        <w:tblInd w:w="0" w:type="dxa"/>
        <w:tblLayout w:type="fixed"/>
        <w:tblCellMar>
          <w:top w:w="28" w:type="dxa"/>
          <w:left w:w="28" w:type="dxa"/>
          <w:bottom w:w="28" w:type="dxa"/>
          <w:right w:w="28" w:type="dxa"/>
        </w:tblCellMar>
      </w:tblPr>
      <w:tblGrid>
        <w:gridCol w:w="405"/>
        <w:gridCol w:w="310"/>
        <w:gridCol w:w="110"/>
        <w:gridCol w:w="110"/>
        <w:gridCol w:w="110"/>
        <w:gridCol w:w="111"/>
        <w:gridCol w:w="109"/>
        <w:gridCol w:w="109"/>
        <w:gridCol w:w="109"/>
        <w:gridCol w:w="509"/>
        <w:gridCol w:w="227"/>
        <w:gridCol w:w="537"/>
        <w:gridCol w:w="109"/>
        <w:gridCol w:w="109"/>
        <w:gridCol w:w="109"/>
        <w:gridCol w:w="430"/>
        <w:gridCol w:w="430"/>
        <w:gridCol w:w="431"/>
        <w:gridCol w:w="109"/>
        <w:gridCol w:w="109"/>
        <w:gridCol w:w="109"/>
        <w:gridCol w:w="494"/>
        <w:gridCol w:w="227"/>
        <w:gridCol w:w="537"/>
        <w:gridCol w:w="109"/>
        <w:gridCol w:w="109"/>
        <w:gridCol w:w="109"/>
        <w:gridCol w:w="404"/>
        <w:gridCol w:w="227"/>
        <w:gridCol w:w="537"/>
        <w:gridCol w:w="109"/>
        <w:gridCol w:w="109"/>
        <w:gridCol w:w="109"/>
        <w:gridCol w:w="430"/>
        <w:gridCol w:w="430"/>
        <w:gridCol w:w="431"/>
        <w:gridCol w:w="109"/>
        <w:gridCol w:w="109"/>
        <w:gridCol w:w="109"/>
        <w:gridCol w:w="504"/>
        <w:gridCol w:w="217"/>
        <w:gridCol w:w="602"/>
      </w:tblGrid>
      <w:tr>
        <w:trPr/>
        <w:tc>
          <w:tcPr>
            <w:tcW w:w="4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Six Months Ended June 30,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(Loss) 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($282.3)</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($12.6)</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$114.7 </w:t>
            </w:r>
          </w:p>
        </w:tc>
        <w:tc>
          <w:tcPr>
            <w:tcW w:w="6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31.5 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12.9 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23.9 </w:t>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Loss from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($300.2)</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$105.5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($25.6)</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$90.8 </w:t>
            </w:r>
          </w:p>
        </w:tc>
        <w:tc>
          <w:tcPr>
            <w:tcW w:w="6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23.0 </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(102.6)</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20.8 </w:t>
            </w:r>
          </w:p>
        </w:tc>
        <w:tc>
          <w:tcPr>
            <w:tcW w:w="6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lineRule="auto" w:line="432"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tbl>
      <w:tblPr>
        <w:tblW w:w="10205" w:type="dxa"/>
        <w:jc w:val="left"/>
        <w:tblInd w:w="0" w:type="dxa"/>
        <w:tblLayout w:type="fixed"/>
        <w:tblCellMar>
          <w:top w:w="28" w:type="dxa"/>
          <w:left w:w="28" w:type="dxa"/>
          <w:bottom w:w="28" w:type="dxa"/>
          <w:right w:w="28" w:type="dxa"/>
        </w:tblCellMar>
      </w:tblPr>
      <w:tblGrid>
        <w:gridCol w:w="321"/>
        <w:gridCol w:w="262"/>
        <w:gridCol w:w="256"/>
        <w:gridCol w:w="256"/>
        <w:gridCol w:w="256"/>
        <w:gridCol w:w="256"/>
        <w:gridCol w:w="197"/>
        <w:gridCol w:w="197"/>
        <w:gridCol w:w="197"/>
        <w:gridCol w:w="480"/>
        <w:gridCol w:w="300"/>
        <w:gridCol w:w="270"/>
        <w:gridCol w:w="270"/>
        <w:gridCol w:w="270"/>
        <w:gridCol w:w="270"/>
        <w:gridCol w:w="480"/>
        <w:gridCol w:w="300"/>
        <w:gridCol w:w="270"/>
        <w:gridCol w:w="197"/>
        <w:gridCol w:w="197"/>
        <w:gridCol w:w="197"/>
        <w:gridCol w:w="336"/>
        <w:gridCol w:w="340"/>
        <w:gridCol w:w="577"/>
        <w:gridCol w:w="197"/>
        <w:gridCol w:w="197"/>
        <w:gridCol w:w="197"/>
        <w:gridCol w:w="554"/>
        <w:gridCol w:w="554"/>
        <w:gridCol w:w="1554"/>
      </w:tblGrid>
      <w:tr>
        <w:trPr/>
        <w:tc>
          <w:tcPr>
            <w:tcW w:w="3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June 30,</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 Change </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Constant-Currency % Change</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net revenue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$352.5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$318.6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10.7 </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9.3 </w:t>
            </w:r>
          </w:p>
        </w:tc>
        <w:tc>
          <w:tcPr>
            <w:tcW w:w="1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60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Less: ACS </w:t>
            </w:r>
            <w:r>
              <w:rPr>
                <w:rFonts w:ascii="Franklin Gothic Book;sans-serif" w:hAnsi="Franklin Gothic Book;sans-serif"/>
                <w:b w:val="false"/>
                <w:color w:val="000000"/>
                <w:sz w:val="10"/>
              </w:rPr>
              <w:t>(1)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57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155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6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Organic net revenue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$352.5 </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$315.6 </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N/A</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10.3 </w:t>
            </w:r>
          </w:p>
        </w:tc>
        <w:tc>
          <w:tcPr>
            <w:tcW w:w="155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vAlign w:val="center"/>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53" w:type="dxa"/>
            <w:gridSpan w:val="6"/>
            <w:tcBorders/>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53" w:type="dxa"/>
            <w:gridSpan w:val="6"/>
            <w:tcBorders/>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tcPr>
          <w:p>
            <w:pPr>
              <w:pStyle w:val="TableContents"/>
              <w:bidi w:val="0"/>
              <w:spacing w:before="0" w:after="283"/>
              <w:jc w:val="left"/>
              <w:rPr>
                <w:sz w:val="4"/>
                <w:szCs w:val="4"/>
              </w:rPr>
            </w:pPr>
            <w:r>
              <w:rPr>
                <w:sz w:val="4"/>
                <w:szCs w:val="4"/>
              </w:rPr>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662" w:type="dxa"/>
            <w:gridSpan w:val="3"/>
            <w:tcBorders/>
          </w:tcPr>
          <w:p>
            <w:pPr>
              <w:pStyle w:val="TableContents"/>
              <w:bidi w:val="0"/>
              <w:spacing w:before="0" w:after="283"/>
              <w:jc w:val="left"/>
              <w:rPr>
                <w:sz w:val="4"/>
                <w:szCs w:val="4"/>
              </w:rPr>
            </w:pPr>
            <w:r>
              <w:rPr>
                <w:sz w:val="4"/>
                <w:szCs w:val="4"/>
              </w:rPr>
            </w:r>
          </w:p>
        </w:tc>
      </w:tr>
    </w:tbl>
    <w:tbl>
      <w:tblPr>
        <w:tblW w:w="9846" w:type="dxa"/>
        <w:jc w:val="left"/>
        <w:tblInd w:w="0" w:type="dxa"/>
        <w:tblLayout w:type="fixed"/>
        <w:tblCellMar>
          <w:top w:w="28" w:type="dxa"/>
          <w:left w:w="28" w:type="dxa"/>
          <w:bottom w:w="28" w:type="dxa"/>
          <w:right w:w="28" w:type="dxa"/>
        </w:tblCellMar>
      </w:tblPr>
      <w:tblGrid>
        <w:gridCol w:w="341"/>
        <w:gridCol w:w="299"/>
        <w:gridCol w:w="299"/>
        <w:gridCol w:w="299"/>
        <w:gridCol w:w="299"/>
        <w:gridCol w:w="306"/>
        <w:gridCol w:w="109"/>
        <w:gridCol w:w="109"/>
        <w:gridCol w:w="109"/>
        <w:gridCol w:w="439"/>
        <w:gridCol w:w="291"/>
        <w:gridCol w:w="291"/>
        <w:gridCol w:w="291"/>
        <w:gridCol w:w="291"/>
        <w:gridCol w:w="291"/>
        <w:gridCol w:w="439"/>
        <w:gridCol w:w="291"/>
        <w:gridCol w:w="291"/>
        <w:gridCol w:w="109"/>
        <w:gridCol w:w="109"/>
        <w:gridCol w:w="109"/>
        <w:gridCol w:w="344"/>
        <w:gridCol w:w="346"/>
        <w:gridCol w:w="553"/>
        <w:gridCol w:w="109"/>
        <w:gridCol w:w="109"/>
        <w:gridCol w:w="109"/>
        <w:gridCol w:w="601"/>
        <w:gridCol w:w="601"/>
        <w:gridCol w:w="1662"/>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Constant-Currency % Change</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$669.4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$613.5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9.1 </w:t>
            </w:r>
          </w:p>
        </w:tc>
        <w:tc>
          <w:tcPr>
            <w:tcW w:w="1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84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Less: ACS </w:t>
            </w:r>
            <w:r>
              <w:rPr>
                <w:rFonts w:ascii="Franklin Gothic Book;sans-serif" w:hAnsi="Franklin Gothic Book;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8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Organic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$669.4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$606.4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10.4 </w:t>
            </w:r>
          </w:p>
        </w:tc>
        <w:tc>
          <w:tcPr>
            <w:tcW w:w="16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Includes net revenue from the Company’s former ACS reportable segment.</w:t>
      </w:r>
    </w:p>
    <w:p>
      <w:pPr>
        <w:pStyle w:val="TextBody"/>
        <w:bidi w:val="0"/>
        <w:spacing w:lineRule="auto" w:line="288" w:before="0" w:after="0"/>
        <w:ind w:left="0" w:right="0" w:hanging="360"/>
        <w:jc w:val="both"/>
        <w:rPr>
          <w:color w:val="000000"/>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384"/>
        <w:gridCol w:w="2094"/>
        <w:gridCol w:w="2102"/>
        <w:gridCol w:w="109"/>
        <w:gridCol w:w="109"/>
        <w:gridCol w:w="109"/>
        <w:gridCol w:w="1017"/>
        <w:gridCol w:w="1006"/>
        <w:gridCol w:w="1010"/>
        <w:gridCol w:w="109"/>
        <w:gridCol w:w="156"/>
      </w:tblGrid>
      <w:tr>
        <w:trPr/>
        <w:tc>
          <w:tcPr>
            <w:tcW w:w="238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$62.9 </w:t>
            </w:r>
          </w:p>
        </w:tc>
        <w:tc>
          <w:tcPr>
            <w:tcW w:w="10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Purchases of plant,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(15.1)</w:t>
            </w:r>
          </w:p>
        </w:tc>
        <w:tc>
          <w:tcPr>
            <w:tcW w:w="10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Cybersecurity incident insurance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w:t>
            </w:r>
          </w:p>
        </w:tc>
        <w:tc>
          <w:tcPr>
            <w:tcW w:w="10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Dividends received from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10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3T Heater-Cooler litigation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10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$47.8 </w:t>
            </w:r>
          </w:p>
        </w:tc>
        <w:tc>
          <w:tcPr>
            <w:tcW w:w="10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32"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25"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tbl>
      <w:tblPr>
        <w:tblW w:w="10205" w:type="dxa"/>
        <w:jc w:val="left"/>
        <w:tblInd w:w="0" w:type="dxa"/>
        <w:tblLayout w:type="fixed"/>
        <w:tblCellMar>
          <w:top w:w="28" w:type="dxa"/>
          <w:left w:w="28" w:type="dxa"/>
          <w:bottom w:w="28" w:type="dxa"/>
          <w:right w:w="28" w:type="dxa"/>
        </w:tblCellMar>
      </w:tblPr>
      <w:tblGrid>
        <w:gridCol w:w="1614"/>
        <w:gridCol w:w="1404"/>
        <w:gridCol w:w="1375"/>
        <w:gridCol w:w="457"/>
        <w:gridCol w:w="457"/>
        <w:gridCol w:w="457"/>
        <w:gridCol w:w="482"/>
        <w:gridCol w:w="457"/>
        <w:gridCol w:w="457"/>
        <w:gridCol w:w="457"/>
        <w:gridCol w:w="457"/>
        <w:gridCol w:w="457"/>
        <w:gridCol w:w="482"/>
        <w:gridCol w:w="457"/>
        <w:gridCol w:w="461"/>
        <w:gridCol w:w="109"/>
        <w:gridCol w:w="165"/>
      </w:tblGrid>
      <w:tr>
        <w:trPr/>
        <w:tc>
          <w:tcPr>
            <w:tcW w:w="161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9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(shares in millions)</w:t>
            </w:r>
          </w:p>
        </w:tc>
        <w:tc>
          <w:tcPr>
            <w:tcW w:w="274" w:type="dxa"/>
            <w:gridSpan w:val="2"/>
            <w:tcBorders/>
          </w:tcPr>
          <w:p>
            <w:pPr>
              <w:pStyle w:val="TableContents"/>
              <w:bidi w:val="0"/>
              <w:spacing w:before="0" w:after="283"/>
              <w:jc w:val="left"/>
              <w:rPr>
                <w:sz w:val="4"/>
                <w:szCs w:val="4"/>
              </w:rPr>
            </w:pPr>
            <w:r>
              <w:rPr>
                <w:sz w:val="4"/>
                <w:szCs w:val="4"/>
              </w:rPr>
            </w:r>
          </w:p>
        </w:tc>
      </w:tr>
      <w:tr>
        <w:trPr/>
        <w:tc>
          <w:tcPr>
            <w:tcW w:w="4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diluted weighted average shares outstanding</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54.5 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54.2 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Effects of stock-based compensation instruments</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4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diluted weighted average shares outstanding</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54.7 </w:t>
            </w:r>
          </w:p>
        </w:tc>
        <w:tc>
          <w:tcPr>
            <w:tcW w:w="4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54.6 </w:t>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9140"/>
                <wp:effectExtent l="0" t="0" r="0" b="0"/>
                <wp:wrapNone/>
                <wp:docPr id="26"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32"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During the second quarter of 2025, the Company identified and corrected an immaterial error related to the classification of certain employee costs in the Cardiopulmonary segment between cost of sales and selling, general, and administrative expense in the consolidated statements of income (loss). This misclassification understated cost of sales and overstated selling, general, and administrative expense by equal and offsetting amounts, with no impact to operating income (loss) or net income (loss) for annual and interim periods for the years ended December 31, 2023 and 2024 and the three months ended March 31, 2025. The table below shows the as-reported amounts compared to the revised results with respect to the impacted metrics for the periods presented.</w:t>
      </w:r>
    </w:p>
    <w:tbl>
      <w:tblPr>
        <w:tblW w:w="14921" w:type="dxa"/>
        <w:jc w:val="left"/>
        <w:tblInd w:w="0" w:type="dxa"/>
        <w:tblLayout w:type="fixed"/>
        <w:tblCellMar>
          <w:top w:w="28" w:type="dxa"/>
          <w:left w:w="28" w:type="dxa"/>
          <w:bottom w:w="28" w:type="dxa"/>
          <w:right w:w="28" w:type="dxa"/>
        </w:tblCellMar>
      </w:tblPr>
      <w:tblGrid>
        <w:gridCol w:w="247"/>
        <w:gridCol w:w="217"/>
        <w:gridCol w:w="217"/>
        <w:gridCol w:w="217"/>
        <w:gridCol w:w="217"/>
        <w:gridCol w:w="221"/>
        <w:gridCol w:w="308"/>
        <w:gridCol w:w="308"/>
        <w:gridCol w:w="419"/>
        <w:gridCol w:w="308"/>
        <w:gridCol w:w="308"/>
        <w:gridCol w:w="329"/>
        <w:gridCol w:w="109"/>
        <w:gridCol w:w="109"/>
        <w:gridCol w:w="109"/>
        <w:gridCol w:w="308"/>
        <w:gridCol w:w="308"/>
        <w:gridCol w:w="423"/>
        <w:gridCol w:w="360"/>
        <w:gridCol w:w="361"/>
        <w:gridCol w:w="367"/>
        <w:gridCol w:w="109"/>
        <w:gridCol w:w="109"/>
        <w:gridCol w:w="109"/>
        <w:gridCol w:w="308"/>
        <w:gridCol w:w="308"/>
        <w:gridCol w:w="323"/>
        <w:gridCol w:w="358"/>
        <w:gridCol w:w="258"/>
        <w:gridCol w:w="297"/>
        <w:gridCol w:w="109"/>
        <w:gridCol w:w="109"/>
        <w:gridCol w:w="109"/>
        <w:gridCol w:w="360"/>
        <w:gridCol w:w="361"/>
        <w:gridCol w:w="339"/>
        <w:gridCol w:w="374"/>
        <w:gridCol w:w="347"/>
        <w:gridCol w:w="266"/>
        <w:gridCol w:w="109"/>
        <w:gridCol w:w="109"/>
        <w:gridCol w:w="109"/>
        <w:gridCol w:w="360"/>
        <w:gridCol w:w="361"/>
        <w:gridCol w:w="285"/>
        <w:gridCol w:w="411"/>
        <w:gridCol w:w="310"/>
        <w:gridCol w:w="256"/>
        <w:gridCol w:w="109"/>
        <w:gridCol w:w="109"/>
        <w:gridCol w:w="109"/>
        <w:gridCol w:w="308"/>
        <w:gridCol w:w="308"/>
        <w:gridCol w:w="323"/>
        <w:gridCol w:w="379"/>
        <w:gridCol w:w="342"/>
        <w:gridCol w:w="301"/>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92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SUPPLEMENTAL UNAUDITED REVISED FINANCIAL INFORMATION AND NON-GAAP MEASURES</w:t>
              <w:br/>
              <w:t>(U.S. dollars in millions, except statistics amounts)</w:t>
            </w:r>
          </w:p>
        </w:tc>
      </w:tr>
      <w:tr>
        <w:trPr/>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7"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Twelve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March 31, 2025</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Reported</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Reported</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Reported</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Reported</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Reported</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Reported</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As Revised</w:t>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$99.7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$103.7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$92.9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$102.5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$382.6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$96.1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207.4 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203.2 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218.9 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214.9 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225.3 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221.0 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219.4 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214.4 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870.9 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220.8 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129.9 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129.1 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125.1 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131.7 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135.6 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526.3 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$508.9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133.7 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129.1 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Statistics (as a percent of net revenue):</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70.3 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68.9 </w:t>
            </w:r>
          </w:p>
        </w:tc>
        <w:tc>
          <w:tcPr>
            <w:tcW w:w="3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68.7 </w:t>
            </w:r>
          </w:p>
        </w:tc>
        <w:tc>
          <w:tcPr>
            <w:tcW w:w="4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67.4 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70.8 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69.5 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68.2 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66.6 </w:t>
            </w:r>
          </w:p>
        </w:tc>
        <w:tc>
          <w:tcPr>
            <w:tcW w:w="2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69.5 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69.7 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44.0 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42.6 </w:t>
            </w:r>
          </w:p>
        </w:tc>
        <w:tc>
          <w:tcPr>
            <w:tcW w:w="3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40.5 </w:t>
            </w:r>
          </w:p>
        </w:tc>
        <w:tc>
          <w:tcPr>
            <w:tcW w:w="4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39.3 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41.4 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40.1 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42.1 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40.6 </w:t>
            </w:r>
          </w:p>
        </w:tc>
        <w:tc>
          <w:tcPr>
            <w:tcW w:w="2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42.0 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42.2 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40.8 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Non-GAAP</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$85.6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$97.8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$101.8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$91.7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$95.9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$98.9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$374.0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$94.0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209.3 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205.1 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220.8 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216.8 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226.5 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222.2 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222.9 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217.9 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879.5 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222.9 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218.4 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113.3 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109.1 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112.7 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108.7 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116.1 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111.9 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122.0 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469.1 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$451.7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120.2 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Statistics (as a percent of net revenue):</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71.0 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69.5 </w:t>
            </w:r>
          </w:p>
        </w:tc>
        <w:tc>
          <w:tcPr>
            <w:tcW w:w="3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69.3 </w:t>
            </w:r>
          </w:p>
        </w:tc>
        <w:tc>
          <w:tcPr>
            <w:tcW w:w="4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68.1 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71.2 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69.9 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69.3 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67.7 </w:t>
            </w:r>
          </w:p>
        </w:tc>
        <w:tc>
          <w:tcPr>
            <w:tcW w:w="2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70.2 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70.3 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38.4 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37.0 </w:t>
            </w:r>
          </w:p>
        </w:tc>
        <w:tc>
          <w:tcPr>
            <w:tcW w:w="3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35.4 </w:t>
            </w:r>
          </w:p>
        </w:tc>
        <w:tc>
          <w:tcPr>
            <w:tcW w:w="4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34.1 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36.5 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35.2 </w:t>
            </w:r>
          </w:p>
        </w:tc>
        <w:tc>
          <w:tcPr>
            <w:tcW w:w="29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39.5 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37.9 </w:t>
            </w:r>
          </w:p>
        </w:tc>
        <w:tc>
          <w:tcPr>
            <w:tcW w:w="2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37.4 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37.9 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681"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681" w:type="dxa"/>
            <w:gridSpan w:val="3"/>
            <w:tcBorders/>
            <w:vAlign w:val="center"/>
          </w:tcPr>
          <w:p>
            <w:pPr>
              <w:pStyle w:val="TableContents"/>
              <w:bidi w:val="0"/>
              <w:spacing w:before="0" w:after="283"/>
              <w:jc w:val="left"/>
              <w:rPr>
                <w:sz w:val="4"/>
                <w:szCs w:val="4"/>
              </w:rPr>
            </w:pPr>
            <w:r>
              <w:rPr>
                <w:sz w:val="4"/>
                <w:szCs w:val="4"/>
              </w:rPr>
            </w:r>
          </w:p>
        </w:tc>
        <w:tc>
          <w:tcPr>
            <w:tcW w:w="14240" w:type="dxa"/>
            <w:gridSpan w:val="54"/>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9140"/>
                <wp:effectExtent l="0" t="0" r="0" b="0"/>
                <wp:wrapNone/>
                <wp:docPr id="27"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7446</Words>
  <Characters>41364</Characters>
  <CharactersWithSpaces>47896</CharactersWithSpaces>
  <Paragraphs>2181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