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21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5907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90740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20" w:space="360"/>
            <w:col w:w="8500"/>
          </w:cols>
          <w:pgMar w:left="460" w:top="216" w:right="359" w:bottom="383"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Tezel Ahmet</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tcPr>
          <w:p>
            <w:pPr>
              <w:ind w:left="40"/>
              <w:spacing w:after="0"/>
              <w:rPr>
                <w:sz w:val="20"/>
                <w:szCs w:val="20"/>
                <w:color w:val="auto"/>
              </w:rPr>
            </w:pPr>
            <w:r>
              <w:rPr>
                <w:rFonts w:ascii="Arial" w:cs="Arial" w:eastAsia="Arial" w:hAnsi="Arial"/>
                <w:sz w:val="13"/>
                <w:szCs w:val="13"/>
                <w:color w:val="auto"/>
              </w:rPr>
              <w:t>(Last)</w:t>
            </w:r>
          </w:p>
        </w:tc>
        <w:tc>
          <w:tcPr>
            <w:tcW w:w="1300" w:type="dxa"/>
            <w:vAlign w:val="bottom"/>
          </w:tcPr>
          <w:p>
            <w:pPr>
              <w:ind w:left="260"/>
              <w:spacing w:after="0"/>
              <w:rPr>
                <w:sz w:val="20"/>
                <w:szCs w:val="20"/>
                <w:color w:val="auto"/>
              </w:rPr>
            </w:pPr>
            <w:r>
              <w:rPr>
                <w:rFonts w:ascii="Arial" w:cs="Arial" w:eastAsia="Arial" w:hAnsi="Arial"/>
                <w:sz w:val="13"/>
                <w:szCs w:val="13"/>
                <w:color w:val="auto"/>
              </w:rPr>
              <w:t>(First)</w:t>
            </w:r>
          </w:p>
        </w:tc>
        <w:tc>
          <w:tcPr>
            <w:tcW w:w="72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6"/>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20 EASTBOURNE TERRACE</w:t>
            </w:r>
          </w:p>
        </w:tc>
        <w:tc>
          <w:tcPr>
            <w:tcW w:w="720" w:type="dxa"/>
            <w:vAlign w:val="bottom"/>
          </w:tcPr>
          <w:p>
            <w:pPr>
              <w:spacing w:after="0"/>
              <w:rPr>
                <w:sz w:val="23"/>
                <w:szCs w:val="23"/>
                <w:color w:val="auto"/>
              </w:rPr>
            </w:pPr>
          </w:p>
        </w:tc>
      </w:tr>
      <w:tr>
        <w:trPr>
          <w:trHeight w:val="476"/>
        </w:trPr>
        <w:tc>
          <w:tcPr>
            <w:tcW w:w="1000" w:type="dxa"/>
            <w:vAlign w:val="bottom"/>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7"/>
        </w:trPr>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LONDON</w:t>
            </w:r>
          </w:p>
        </w:tc>
        <w:tc>
          <w:tcPr>
            <w:tcW w:w="13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3"/>
              </w:rPr>
              <w:t>W26LA</w:t>
            </w:r>
          </w:p>
        </w:tc>
      </w:tr>
      <w:tr>
        <w:trPr>
          <w:trHeight w:val="463"/>
        </w:trPr>
        <w:tc>
          <w:tcPr>
            <w:tcW w:w="1000" w:type="dxa"/>
            <w:vAlign w:val="bottom"/>
          </w:tcPr>
          <w:p>
            <w:pPr>
              <w:ind w:left="40"/>
              <w:spacing w:after="0"/>
              <w:rPr>
                <w:sz w:val="20"/>
                <w:szCs w:val="20"/>
                <w:color w:val="auto"/>
              </w:rPr>
            </w:pPr>
            <w:r>
              <w:rPr>
                <w:rFonts w:ascii="Arial" w:cs="Arial" w:eastAsia="Arial" w:hAnsi="Arial"/>
                <w:sz w:val="13"/>
                <w:szCs w:val="13"/>
                <w:color w:val="auto"/>
              </w:rPr>
              <w:t>(City)</w:t>
            </w:r>
          </w:p>
        </w:tc>
        <w:tc>
          <w:tcPr>
            <w:tcW w:w="1300" w:type="dxa"/>
            <w:vAlign w:val="bottom"/>
          </w:tcPr>
          <w:p>
            <w:pPr>
              <w:ind w:left="260"/>
              <w:spacing w:after="0"/>
              <w:rPr>
                <w:sz w:val="20"/>
                <w:szCs w:val="20"/>
                <w:color w:val="auto"/>
              </w:rPr>
            </w:pPr>
            <w:r>
              <w:rPr>
                <w:rFonts w:ascii="Arial" w:cs="Arial" w:eastAsia="Arial" w:hAnsi="Arial"/>
                <w:sz w:val="13"/>
                <w:szCs w:val="13"/>
                <w:color w:val="auto"/>
              </w:rPr>
              <w:t>(State)</w:t>
            </w:r>
          </w:p>
        </w:tc>
        <w:tc>
          <w:tcPr>
            <w:tcW w:w="72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LivaNova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06/15/2024</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Innovation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60"/>
        <w:spacing w:after="0" w:line="28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38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06/15/2024</w:t>
            </w:r>
          </w:p>
        </w:tc>
        <w:tc>
          <w:tcPr>
            <w:tcW w:w="108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11,863</w:t>
            </w:r>
          </w:p>
        </w:tc>
        <w:tc>
          <w:tcPr>
            <w:tcW w:w="300" w:type="dxa"/>
            <w:vAlign w:val="bottom"/>
          </w:tcPr>
          <w:p>
            <w:pPr>
              <w:spacing w:after="0"/>
              <w:rPr>
                <w:sz w:val="19"/>
                <w:szCs w:val="19"/>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11,863</w:t>
            </w:r>
          </w:p>
        </w:tc>
        <w:tc>
          <w:tcPr>
            <w:tcW w:w="68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11,863</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06/15/2024</w:t>
            </w:r>
          </w:p>
        </w:tc>
        <w:tc>
          <w:tcPr>
            <w:tcW w:w="1080" w:type="dxa"/>
            <w:vAlign w:val="bottom"/>
          </w:tcPr>
          <w:p>
            <w:pPr>
              <w:spacing w:after="0"/>
              <w:rPr>
                <w:sz w:val="15"/>
                <w:szCs w:val="1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3,559</w:t>
            </w:r>
          </w:p>
        </w:tc>
        <w:tc>
          <w:tcPr>
            <w:tcW w:w="300" w:type="dxa"/>
            <w:vAlign w:val="bottom"/>
          </w:tcPr>
          <w:p>
            <w:pPr>
              <w:spacing w:after="0"/>
              <w:rPr>
                <w:sz w:val="15"/>
                <w:szCs w:val="15"/>
                <w:color w:val="auto"/>
              </w:rPr>
            </w:pPr>
          </w:p>
        </w:tc>
        <w:tc>
          <w:tcPr>
            <w:tcW w:w="78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3,559</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3,559</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06/15/2024</w:t>
            </w:r>
          </w:p>
        </w:tc>
        <w:tc>
          <w:tcPr>
            <w:tcW w:w="1080" w:type="dxa"/>
            <w:vAlign w:val="bottom"/>
          </w:tcPr>
          <w:p>
            <w:pPr>
              <w:spacing w:after="0"/>
              <w:rPr>
                <w:sz w:val="15"/>
                <w:szCs w:val="1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3,559</w:t>
            </w:r>
          </w:p>
        </w:tc>
        <w:tc>
          <w:tcPr>
            <w:tcW w:w="300" w:type="dxa"/>
            <w:vAlign w:val="bottom"/>
          </w:tcPr>
          <w:p>
            <w:pPr>
              <w:spacing w:after="0"/>
              <w:rPr>
                <w:sz w:val="15"/>
                <w:szCs w:val="15"/>
                <w:color w:val="auto"/>
              </w:rPr>
            </w:pPr>
          </w:p>
        </w:tc>
        <w:tc>
          <w:tcPr>
            <w:tcW w:w="78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3,559</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3,559</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06/15/2024</w:t>
            </w:r>
          </w:p>
        </w:tc>
        <w:tc>
          <w:tcPr>
            <w:tcW w:w="1080" w:type="dxa"/>
            <w:vAlign w:val="bottom"/>
          </w:tcPr>
          <w:p>
            <w:pPr>
              <w:spacing w:after="0"/>
              <w:rPr>
                <w:sz w:val="15"/>
                <w:szCs w:val="1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7,118</w:t>
            </w:r>
          </w:p>
        </w:tc>
        <w:tc>
          <w:tcPr>
            <w:tcW w:w="300" w:type="dxa"/>
            <w:vAlign w:val="bottom"/>
          </w:tcPr>
          <w:p>
            <w:pPr>
              <w:spacing w:after="0"/>
              <w:rPr>
                <w:sz w:val="15"/>
                <w:szCs w:val="15"/>
                <w:color w:val="auto"/>
              </w:rPr>
            </w:pPr>
          </w:p>
        </w:tc>
        <w:tc>
          <w:tcPr>
            <w:tcW w:w="78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7,118</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7,118</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25,383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tcPr>
          <w:p>
            <w:pPr>
              <w:jc w:val="center"/>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52.68</w:t>
            </w:r>
          </w:p>
        </w:tc>
        <w:tc>
          <w:tcPr>
            <w:tcW w:w="10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06/15/2024</w:t>
            </w:r>
          </w:p>
        </w:tc>
        <w:tc>
          <w:tcPr>
            <w:tcW w:w="1080" w:type="dxa"/>
            <w:vAlign w:val="bottom"/>
          </w:tcPr>
          <w:p>
            <w:pPr>
              <w:spacing w:after="0"/>
              <w:rPr>
                <w:sz w:val="11"/>
                <w:szCs w:val="11"/>
                <w:color w:val="auto"/>
              </w:rPr>
            </w:pPr>
          </w:p>
        </w:tc>
        <w:tc>
          <w:tcPr>
            <w:tcW w:w="7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rPr>
              <w:t>25,383</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06/15/2034</w:t>
            </w: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25,383</w:t>
            </w:r>
          </w:p>
        </w:tc>
        <w:tc>
          <w:tcPr>
            <w:tcW w:w="7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54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ordinary share of LivaNova PLC ("the Company") GBP 1.00 par value in accordance with the terms of the Company's 2022 Incentive Award Plan ("the Plan") and the award agreement.</w:t>
      </w:r>
    </w:p>
    <w:p>
      <w:pPr>
        <w:spacing w:after="0" w:line="19" w:lineRule="exact"/>
        <w:rPr>
          <w:rFonts w:ascii="Times New Roman" w:cs="Times New Roman" w:eastAsia="Times New Roman" w:hAnsi="Times New Roman"/>
          <w:sz w:val="13"/>
          <w:szCs w:val="13"/>
          <w:color w:val="008000"/>
        </w:rPr>
      </w:pPr>
    </w:p>
    <w:p>
      <w:pPr>
        <w:ind w:left="40" w:right="22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2024, reporting person was granted RSUs subject to a four-year vesting in equal annual installments, the first vesting occurring on June 15, 2025.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GBP 1.00 par value, in accordance with the terms of the Plan and the award agreement.</w:t>
      </w:r>
    </w:p>
    <w:p>
      <w:pPr>
        <w:spacing w:after="0" w:line="42"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2024, reporting person was granted PSUs to vest or lapse on March 30, 2027 based on how the Company's free cash flow ("FCF") for performance period 2024-2026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40" w:right="20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2024, reporting person was granted PSUs to vest or lapse on March 30, 2027 based on how the Company's Return on Investment Capital ("ROIC") calculated for the performance period 2024-2026 compares to a target determined by the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40" w:right="34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2024, reporting person was granted PSUs to vest or lapse on March 30, 2027 based on the Company's total shareholder return ("TSR") for the three-year period beginning on January 1, 2024 and ending December 31, 2026 relative to the TSR of an index of companies, as determined by the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40" w:right="22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2024, reporting person was granted stock appreciation rights ("SARs") subject to a four-year vesting in equal annual installments, the first vesting occurring on June 15, 2025. The SARs are subject to forfeiture prior to vesting in accordance with the terms of the Plan and the award agreement.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1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181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2023439"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2024-06-18T15:15:49Z</dcterms:created>
  <dcterms:modified xsi:type="dcterms:W3CDTF">2024-06-18T15:15:49Z</dcterms:modified>
</cp:coreProperties>
</file>