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122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1226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80"/>
          </w:cols>
          <w:pgMar w:left="240" w:top="226" w:right="15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Moore Daniel Jeffrey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12/15/2018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43"/>
          </w:cols>
          <w:pgMar w:left="240" w:top="226" w:right="15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20"/>
          </w:cols>
          <w:pgMar w:left="240" w:top="226" w:right="15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6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8"/>
                <w:szCs w:val="18"/>
                <w:color w:val="0000FF"/>
              </w:rPr>
              <w:t>12/15/2018</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79"/>
              <w:spacing w:after="0"/>
              <w:rPr>
                <w:sz w:val="20"/>
                <w:szCs w:val="20"/>
                <w:color w:val="auto"/>
              </w:rPr>
            </w:pPr>
            <w:r>
              <w:rPr>
                <w:rFonts w:ascii="Arial" w:cs="Arial" w:eastAsia="Arial" w:hAnsi="Arial"/>
                <w:sz w:val="14"/>
                <w:szCs w:val="14"/>
                <w:color w:val="0000FF"/>
              </w:rPr>
              <w:t>M</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2,885</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A</w:t>
            </w:r>
          </w:p>
        </w:tc>
        <w:tc>
          <w:tcPr>
            <w:tcW w:w="680" w:type="dxa"/>
            <w:vAlign w:val="bottom"/>
            <w:tcBorders>
              <w:bottom w:val="single" w:sz="8" w:color="2C2C2C"/>
            </w:tcBorders>
          </w:tcPr>
          <w:p>
            <w:pPr>
              <w:jc w:val="center"/>
              <w:spacing w:after="0" w:line="324" w:lineRule="exact"/>
              <w:rPr>
                <w:sz w:val="20"/>
                <w:szCs w:val="20"/>
                <w:color w:val="auto"/>
              </w:rPr>
            </w:pPr>
            <w:r>
              <w:rPr>
                <w:rFonts w:ascii="Arial" w:cs="Arial" w:eastAsia="Arial" w:hAnsi="Arial"/>
                <w:sz w:val="35"/>
                <w:szCs w:val="35"/>
                <w:color w:val="000000"/>
                <w:w w:val="76"/>
                <w:vertAlign w:val="subscript"/>
              </w:rPr>
              <w:t>$</w:t>
            </w:r>
            <w:r>
              <w:rPr>
                <w:rFonts w:ascii="Arial" w:cs="Arial" w:eastAsia="Arial" w:hAnsi="Arial"/>
                <w:sz w:val="35"/>
                <w:szCs w:val="35"/>
                <w:color w:val="0000FF"/>
                <w:w w:val="76"/>
                <w:vertAlign w:val="subscript"/>
              </w:rPr>
              <w:t>0</w:t>
            </w:r>
            <w:r>
              <w:rPr>
                <w:rFonts w:ascii="Arial" w:cs="Arial" w:eastAsia="Arial" w:hAnsi="Arial"/>
                <w:sz w:val="11"/>
                <w:szCs w:val="11"/>
                <w:color w:val="008000"/>
                <w:w w:val="76"/>
              </w:rPr>
              <w:t>(1)</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7"/>
              </w:rPr>
              <w:t>46,181</w:t>
            </w:r>
          </w:p>
        </w:tc>
        <w:tc>
          <w:tcPr>
            <w:tcW w:w="3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309"/>
              <w:spacing w:after="0"/>
              <w:rPr>
                <w:sz w:val="20"/>
                <w:szCs w:val="20"/>
                <w:color w:val="auto"/>
              </w:rPr>
            </w:pPr>
            <w:r>
              <w:rPr>
                <w:rFonts w:ascii="Arial" w:cs="Arial" w:eastAsia="Arial" w:hAnsi="Arial"/>
                <w:sz w:val="18"/>
                <w:szCs w:val="18"/>
                <w:color w:val="0000FF"/>
              </w:rPr>
              <w:t>D</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8"/>
                <w:szCs w:val="18"/>
                <w:color w:val="0000FF"/>
              </w:rPr>
              <w:t>12/15/2018</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79"/>
              <w:spacing w:after="0"/>
              <w:rPr>
                <w:sz w:val="20"/>
                <w:szCs w:val="20"/>
                <w:color w:val="auto"/>
              </w:rPr>
            </w:pPr>
            <w:r>
              <w:rPr>
                <w:rFonts w:ascii="Arial" w:cs="Arial" w:eastAsia="Arial" w:hAnsi="Arial"/>
                <w:sz w:val="14"/>
                <w:szCs w:val="14"/>
                <w:color w:val="0000FF"/>
                <w:w w:val="92"/>
              </w:rPr>
              <w:t>F</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2"/>
              </w:rPr>
              <w:t>1,298</w:t>
            </w:r>
            <w:r>
              <w:rPr>
                <w:rFonts w:ascii="Arial" w:cs="Arial" w:eastAsia="Arial" w:hAnsi="Arial"/>
                <w:sz w:val="22"/>
                <w:szCs w:val="22"/>
                <w:color w:val="008000"/>
                <w:w w:val="82"/>
                <w:vertAlign w:val="superscript"/>
              </w:rPr>
              <w:t>(2)</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94.45</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7"/>
              </w:rPr>
              <w:t>44,883</w:t>
            </w:r>
          </w:p>
        </w:tc>
        <w:tc>
          <w:tcPr>
            <w:tcW w:w="3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309"/>
              <w:spacing w:after="0"/>
              <w:rPr>
                <w:sz w:val="20"/>
                <w:szCs w:val="20"/>
                <w:color w:val="auto"/>
              </w:rPr>
            </w:pPr>
            <w:r>
              <w:rPr>
                <w:rFonts w:ascii="Arial" w:cs="Arial" w:eastAsia="Arial" w:hAnsi="Arial"/>
                <w:sz w:val="18"/>
                <w:szCs w:val="18"/>
                <w:color w:val="0000FF"/>
              </w:rPr>
              <w:t>D</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8"/>
                <w:szCs w:val="18"/>
                <w:color w:val="0000FF"/>
              </w:rPr>
              <w:t>12/15/2018</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79"/>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1,000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91.846</w:t>
            </w:r>
            <w:r>
              <w:rPr>
                <w:rFonts w:ascii="Arial" w:cs="Arial" w:eastAsia="Arial" w:hAnsi="Arial"/>
                <w:sz w:val="22"/>
                <w:szCs w:val="22"/>
                <w:color w:val="008000"/>
                <w:w w:val="84"/>
                <w:vertAlign w:val="superscript"/>
              </w:rPr>
              <w:t>(4)</w:t>
            </w: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7"/>
              </w:rPr>
              <w:t>43,883</w:t>
            </w:r>
          </w:p>
        </w:tc>
        <w:tc>
          <w:tcPr>
            <w:tcW w:w="3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309"/>
              <w:spacing w:after="0"/>
              <w:rPr>
                <w:sz w:val="20"/>
                <w:szCs w:val="20"/>
                <w:color w:val="auto"/>
              </w:rPr>
            </w:pPr>
            <w:r>
              <w:rPr>
                <w:rFonts w:ascii="Arial" w:cs="Arial" w:eastAsia="Arial" w:hAnsi="Arial"/>
                <w:sz w:val="18"/>
                <w:szCs w:val="18"/>
                <w:color w:val="0000FF"/>
              </w:rPr>
              <w:t>D</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60" w:type="dxa"/>
            <w:vAlign w:val="bottom"/>
            <w:gridSpan w:val="3"/>
          </w:tcPr>
          <w:p>
            <w:pPr>
              <w:ind w:left="60"/>
              <w:spacing w:after="0"/>
              <w:rPr>
                <w:sz w:val="20"/>
                <w:szCs w:val="20"/>
                <w:color w:val="auto"/>
              </w:rPr>
            </w:pPr>
            <w:r>
              <w:rPr>
                <w:rFonts w:ascii="Arial" w:cs="Arial" w:eastAsia="Arial" w:hAnsi="Arial"/>
                <w:sz w:val="18"/>
                <w:szCs w:val="18"/>
                <w:color w:val="0000FF"/>
              </w:rPr>
              <w:t>DJM</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8"/>
              </w:rPr>
              <w:t>2,586</w:t>
            </w:r>
          </w:p>
        </w:tc>
        <w:tc>
          <w:tcPr>
            <w:tcW w:w="320" w:type="dxa"/>
            <w:vAlign w:val="bottom"/>
          </w:tcPr>
          <w:p>
            <w:pPr>
              <w:spacing w:after="0"/>
              <w:rPr>
                <w:sz w:val="18"/>
                <w:szCs w:val="18"/>
                <w:color w:val="auto"/>
              </w:rPr>
            </w:pPr>
          </w:p>
        </w:tc>
        <w:tc>
          <w:tcPr>
            <w:tcW w:w="560" w:type="dxa"/>
            <w:vAlign w:val="bottom"/>
            <w:vMerge w:val="restart"/>
          </w:tcPr>
          <w:p>
            <w:pPr>
              <w:jc w:val="center"/>
              <w:ind w:right="309"/>
              <w:spacing w:after="0"/>
              <w:rPr>
                <w:sz w:val="20"/>
                <w:szCs w:val="20"/>
                <w:color w:val="auto"/>
              </w:rPr>
            </w:pPr>
            <w:r>
              <w:rPr>
                <w:rFonts w:ascii="Arial" w:cs="Arial" w:eastAsia="Arial" w:hAnsi="Arial"/>
                <w:sz w:val="18"/>
                <w:szCs w:val="18"/>
                <w:color w:val="0000FF"/>
              </w:rPr>
              <w:t>I</w:t>
            </w:r>
          </w:p>
        </w:tc>
        <w:tc>
          <w:tcPr>
            <w:tcW w:w="960" w:type="dxa"/>
            <w:vAlign w:val="bottom"/>
            <w:gridSpan w:val="3"/>
          </w:tcPr>
          <w:p>
            <w:pPr>
              <w:ind w:left="60"/>
              <w:spacing w:after="0"/>
              <w:rPr>
                <w:sz w:val="20"/>
                <w:szCs w:val="20"/>
                <w:color w:val="auto"/>
              </w:rPr>
            </w:pPr>
            <w:r>
              <w:rPr>
                <w:rFonts w:ascii="Arial" w:cs="Arial" w:eastAsia="Arial" w:hAnsi="Arial"/>
                <w:sz w:val="18"/>
                <w:szCs w:val="18"/>
                <w:color w:val="0000FF"/>
              </w:rPr>
              <w:t>Family</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60" w:type="dxa"/>
            <w:vAlign w:val="bottom"/>
            <w:gridSpan w:val="3"/>
            <w:vMerge w:val="restart"/>
          </w:tcPr>
          <w:p>
            <w:pPr>
              <w:ind w:left="60"/>
              <w:spacing w:after="0"/>
              <w:rPr>
                <w:sz w:val="20"/>
                <w:szCs w:val="20"/>
                <w:color w:val="auto"/>
              </w:rPr>
            </w:pPr>
            <w:r>
              <w:rPr>
                <w:rFonts w:ascii="Arial" w:cs="Arial" w:eastAsia="Arial" w:hAnsi="Arial"/>
                <w:sz w:val="18"/>
                <w:szCs w:val="18"/>
                <w:color w:val="0000FF"/>
                <w:w w:val="95"/>
              </w:rPr>
              <w:t>Partnership</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6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gridSpan w:val="3"/>
          </w:tcPr>
          <w:p>
            <w:pPr>
              <w:ind w:left="60"/>
              <w:spacing w:after="0"/>
              <w:rPr>
                <w:sz w:val="20"/>
                <w:szCs w:val="20"/>
                <w:color w:val="auto"/>
              </w:rPr>
            </w:pPr>
            <w:r>
              <w:rPr>
                <w:rFonts w:ascii="Arial" w:cs="Arial" w:eastAsia="Arial" w:hAnsi="Arial"/>
                <w:sz w:val="18"/>
                <w:szCs w:val="18"/>
                <w:color w:val="0000FF"/>
              </w:rPr>
              <w:t>Ltd.</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800" w:type="dxa"/>
            <w:vAlign w:val="bottom"/>
            <w:tcBorders>
              <w:bottom w:val="single" w:sz="8" w:color="2C2C2C"/>
            </w:tcBorders>
            <w:gridSpan w:val="5"/>
          </w:tcPr>
          <w:p>
            <w:pPr>
              <w:spacing w:after="0"/>
              <w:rPr>
                <w:sz w:val="8"/>
                <w:szCs w:val="8"/>
                <w:color w:val="auto"/>
              </w:rPr>
            </w:pPr>
          </w:p>
        </w:tc>
        <w:tc>
          <w:tcPr>
            <w:tcW w:w="288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Reported</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(5)</w:t>
            </w:r>
          </w:p>
        </w:tc>
        <w:tc>
          <w:tcPr>
            <w:tcW w:w="560" w:type="dxa"/>
            <w:vAlign w:val="bottom"/>
            <w:vMerge w:val="restart"/>
          </w:tcPr>
          <w:p>
            <w:pPr>
              <w:ind w:left="80"/>
              <w:spacing w:after="0"/>
              <w:rPr>
                <w:sz w:val="20"/>
                <w:szCs w:val="20"/>
                <w:color w:val="auto"/>
              </w:rPr>
            </w:pPr>
            <w:r>
              <w:rPr>
                <w:rFonts w:ascii="Arial" w:cs="Arial" w:eastAsia="Arial" w:hAnsi="Arial"/>
                <w:sz w:val="14"/>
                <w:szCs w:val="14"/>
                <w:color w:val="0000FF"/>
                <w:w w:val="85"/>
              </w:rPr>
              <w:t>Ordinary</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0000FF"/>
              </w:rPr>
              <w:t>2,885</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12/15/2018</w:t>
            </w:r>
          </w:p>
        </w:tc>
        <w:tc>
          <w:tcPr>
            <w:tcW w:w="1140" w:type="dxa"/>
            <w:vAlign w:val="bottom"/>
          </w:tcPr>
          <w:p>
            <w:pPr>
              <w:spacing w:after="0"/>
              <w:rPr>
                <w:sz w:val="5"/>
                <w:szCs w:val="5"/>
                <w:color w:val="auto"/>
              </w:rPr>
            </w:pPr>
          </w:p>
        </w:tc>
        <w:tc>
          <w:tcPr>
            <w:tcW w:w="40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440" w:type="dxa"/>
            <w:vAlign w:val="bottom"/>
          </w:tcPr>
          <w:p>
            <w:pPr>
              <w:spacing w:after="0"/>
              <w:rPr>
                <w:sz w:val="5"/>
                <w:szCs w:val="5"/>
                <w:color w:val="auto"/>
              </w:rPr>
            </w:pPr>
          </w:p>
        </w:tc>
        <w:tc>
          <w:tcPr>
            <w:tcW w:w="720" w:type="dxa"/>
            <w:vAlign w:val="bottom"/>
            <w:gridSpan w:val="2"/>
            <w:vMerge w:val="restart"/>
          </w:tcPr>
          <w:p>
            <w:pPr>
              <w:ind w:left="380"/>
              <w:spacing w:after="0" w:line="149" w:lineRule="exact"/>
              <w:rPr>
                <w:sz w:val="20"/>
                <w:szCs w:val="20"/>
                <w:color w:val="auto"/>
              </w:rPr>
            </w:pPr>
            <w:r>
              <w:rPr>
                <w:rFonts w:ascii="Arial" w:cs="Arial" w:eastAsia="Arial" w:hAnsi="Arial"/>
                <w:sz w:val="14"/>
                <w:szCs w:val="14"/>
                <w:color w:val="0000FF"/>
                <w:w w:val="91"/>
              </w:rPr>
              <w:t>2,885</w:t>
            </w:r>
          </w:p>
        </w:tc>
        <w:tc>
          <w:tcPr>
            <w:tcW w:w="8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vMerge w:val="restart"/>
          </w:tcPr>
          <w:p>
            <w:pPr>
              <w:ind w:left="280"/>
              <w:spacing w:after="0" w:line="149" w:lineRule="exact"/>
              <w:rPr>
                <w:sz w:val="20"/>
                <w:szCs w:val="20"/>
                <w:color w:val="auto"/>
              </w:rPr>
            </w:pPr>
            <w:r>
              <w:rPr>
                <w:rFonts w:ascii="Arial" w:cs="Arial" w:eastAsia="Arial" w:hAnsi="Arial"/>
                <w:sz w:val="14"/>
                <w:szCs w:val="14"/>
                <w:color w:val="0000FF"/>
              </w:rPr>
              <w:t>1,762</w:t>
            </w:r>
          </w:p>
        </w:tc>
        <w:tc>
          <w:tcPr>
            <w:tcW w:w="56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D</w:t>
            </w: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60" w:type="dxa"/>
            <w:vAlign w:val="bottom"/>
            <w:vMerge w:val="restart"/>
          </w:tcPr>
          <w:p>
            <w:pPr>
              <w:ind w:left="140"/>
              <w:spacing w:after="0"/>
              <w:rPr>
                <w:sz w:val="20"/>
                <w:szCs w:val="20"/>
                <w:color w:val="auto"/>
              </w:rPr>
            </w:pPr>
            <w:r>
              <w:rPr>
                <w:rFonts w:ascii="Arial" w:cs="Arial" w:eastAsia="Arial" w:hAnsi="Arial"/>
                <w:sz w:val="14"/>
                <w:szCs w:val="14"/>
                <w:color w:val="0000FF"/>
                <w:w w:val="90"/>
              </w:rPr>
              <w:t>Shares</w:t>
            </w:r>
          </w:p>
        </w:tc>
        <w:tc>
          <w:tcPr>
            <w:tcW w:w="6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had vested restricted stock units (RSUs) settled in ordinary shares of LivaNova PLC (the Company), GBP 1.00 par value.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referenced shares were withheld from distribution at the request of reporting person to satisfy tax liability.</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sold pursuant to a Rule 10b5-1 Plan adopted by reporting person on November 24, 2017.</w:t>
      </w:r>
    </w:p>
    <w:p>
      <w:pPr>
        <w:spacing w:after="0" w:line="41" w:lineRule="exact"/>
        <w:rPr>
          <w:rFonts w:ascii="Arial" w:cs="Arial" w:eastAsia="Arial" w:hAnsi="Arial"/>
          <w:sz w:val="14"/>
          <w:szCs w:val="14"/>
          <w:color w:val="008000"/>
        </w:rPr>
      </w:pPr>
    </w:p>
    <w:p>
      <w:pPr>
        <w:ind w:left="40" w:right="3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weighted average selling price. Securities sold through 8 separate sales on the transaction date at prices ranging from $91.28 to $93.22. The reporting person hereby undertakes to provide upon request to the SEC, the issuer or any stockholder of the issuer, the full information regarding the number of shares and prices at which the transaction was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December 15, 2017, reporting person was granted RSUs that vested and all forfeiture restrictions thereon lapsed on December 15, 2018.</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0000FF"/>
                <w:w w:val="89"/>
              </w:rPr>
              <w:t>/s/ Daniel J. Moore</w:t>
            </w:r>
          </w:p>
        </w:tc>
        <w:tc>
          <w:tcPr>
            <w:tcW w:w="7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12/18/2018</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085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2019-12-24T08:57:22Z</dcterms:created>
  <dcterms:modified xsi:type="dcterms:W3CDTF">2019-12-24T08:57:22Z</dcterms:modified>
</cp:coreProperties>
</file>