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429895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170180</wp:posOffset>
            </wp:positionV>
            <wp:extent cx="1465580" cy="460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5580" cy="460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3" w:lineRule="exact"/>
        <w:rPr>
          <w:sz w:val="24"/>
          <w:szCs w:val="24"/>
          <w:color w:val="auto"/>
        </w:rPr>
      </w:pPr>
    </w:p>
    <w:tbl>
      <w:tblPr>
        <w:tblLayout w:type="fixed"/>
        <w:tblInd w:w="1320" w:type="dxa"/>
        <w:tblCellMar>
          <w:top w:w="0" w:type="dxa"/>
          <w:left w:w="0" w:type="dxa"/>
          <w:bottom w:w="0" w:type="dxa"/>
          <w:right w:w="0" w:type="dxa"/>
        </w:tblCellMar>
      </w:tblPr>
      <w:tr>
        <w:trPr>
          <w:trHeight w:val="237"/>
        </w:trPr>
        <w:tc>
          <w:tcPr>
            <w:tcW w:w="21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4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98-1268150</w:t>
            </w:r>
          </w:p>
        </w:tc>
      </w:tr>
      <w:tr>
        <w:trPr>
          <w:trHeight w:val="250"/>
        </w:trPr>
        <w:tc>
          <w:tcPr>
            <w:tcW w:w="214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(IRS Employer</w:t>
            </w:r>
          </w:p>
        </w:tc>
      </w:tr>
      <w:tr>
        <w:trPr>
          <w:trHeight w:val="233"/>
        </w:trPr>
        <w:tc>
          <w:tcPr>
            <w:tcW w:w="21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of Incorporation)</w:t>
            </w:r>
          </w:p>
        </w:tc>
        <w:tc>
          <w:tcPr>
            <w:tcW w:w="44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File Number)</w:t>
            </w:r>
          </w:p>
        </w:tc>
        <w:tc>
          <w:tcPr>
            <w:tcW w:w="16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4"/>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20 Eastbourne Terrace</w:t>
            </w:r>
          </w:p>
        </w:tc>
        <w:tc>
          <w:tcPr>
            <w:tcW w:w="1660" w:type="dxa"/>
            <w:vAlign w:val="bottom"/>
          </w:tcPr>
          <w:p>
            <w:pPr>
              <w:spacing w:after="0"/>
              <w:rPr>
                <w:sz w:val="24"/>
                <w:szCs w:val="24"/>
                <w:color w:val="auto"/>
              </w:rPr>
            </w:pPr>
          </w:p>
        </w:tc>
      </w:tr>
      <w:tr>
        <w:trPr>
          <w:trHeight w:val="215"/>
        </w:trPr>
        <w:tc>
          <w:tcPr>
            <w:tcW w:w="2140" w:type="dxa"/>
            <w:vAlign w:val="bottom"/>
          </w:tcPr>
          <w:p>
            <w:pPr>
              <w:spacing w:after="0"/>
              <w:rPr>
                <w:sz w:val="18"/>
                <w:szCs w:val="18"/>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London, W2 6LG</w:t>
            </w:r>
          </w:p>
        </w:tc>
        <w:tc>
          <w:tcPr>
            <w:tcW w:w="1660" w:type="dxa"/>
            <w:vAlign w:val="bottom"/>
          </w:tcPr>
          <w:p>
            <w:pPr>
              <w:spacing w:after="0"/>
              <w:rPr>
                <w:sz w:val="18"/>
                <w:szCs w:val="18"/>
                <w:color w:val="auto"/>
              </w:rPr>
            </w:pPr>
          </w:p>
        </w:tc>
      </w:tr>
      <w:tr>
        <w:trPr>
          <w:trHeight w:val="219"/>
        </w:trPr>
        <w:tc>
          <w:tcPr>
            <w:tcW w:w="2140" w:type="dxa"/>
            <w:vAlign w:val="bottom"/>
          </w:tcPr>
          <w:p>
            <w:pPr>
              <w:spacing w:after="0"/>
              <w:rPr>
                <w:sz w:val="19"/>
                <w:szCs w:val="19"/>
                <w:color w:val="auto"/>
              </w:rPr>
            </w:pPr>
          </w:p>
        </w:tc>
        <w:tc>
          <w:tcPr>
            <w:tcW w:w="44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3"/>
        </w:trPr>
        <w:tc>
          <w:tcPr>
            <w:tcW w:w="2140" w:type="dxa"/>
            <w:vAlign w:val="bottom"/>
          </w:tcPr>
          <w:p>
            <w:pPr>
              <w:spacing w:after="0"/>
              <w:rPr>
                <w:sz w:val="20"/>
                <w:szCs w:val="20"/>
                <w:color w:val="auto"/>
              </w:rPr>
            </w:pPr>
          </w:p>
        </w:tc>
        <w:tc>
          <w:tcPr>
            <w:tcW w:w="44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60" w:type="dxa"/>
            <w:vAlign w:val="bottom"/>
          </w:tcPr>
          <w:p>
            <w:pPr>
              <w:spacing w:after="0"/>
              <w:rPr>
                <w:sz w:val="20"/>
                <w:szCs w:val="20"/>
                <w:color w:val="auto"/>
              </w:rPr>
            </w:pPr>
          </w:p>
        </w:tc>
      </w:tr>
      <w:tr>
        <w:trPr>
          <w:trHeight w:val="438"/>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+44 20 33250660</w:t>
            </w:r>
          </w:p>
        </w:tc>
        <w:tc>
          <w:tcPr>
            <w:tcW w:w="1660" w:type="dxa"/>
            <w:vAlign w:val="bottom"/>
          </w:tcPr>
          <w:p>
            <w:pPr>
              <w:spacing w:after="0"/>
              <w:rPr>
                <w:sz w:val="24"/>
                <w:szCs w:val="24"/>
                <w:color w:val="auto"/>
              </w:rPr>
            </w:pPr>
          </w:p>
        </w:tc>
      </w:tr>
      <w:tr>
        <w:trPr>
          <w:trHeight w:val="233"/>
        </w:trPr>
        <w:tc>
          <w:tcPr>
            <w:tcW w:w="2140" w:type="dxa"/>
            <w:vAlign w:val="bottom"/>
          </w:tcPr>
          <w:p>
            <w:pPr>
              <w:spacing w:after="0"/>
              <w:rPr>
                <w:sz w:val="20"/>
                <w:szCs w:val="20"/>
                <w:color w:val="auto"/>
              </w:rPr>
            </w:pPr>
          </w:p>
        </w:tc>
        <w:tc>
          <w:tcPr>
            <w:tcW w:w="44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1660" w:type="dxa"/>
            <w:vAlign w:val="bottom"/>
          </w:tcPr>
          <w:p>
            <w:pPr>
              <w:spacing w:after="0"/>
              <w:rPr>
                <w:sz w:val="20"/>
                <w:szCs w:val="20"/>
                <w:color w:val="auto"/>
              </w:rPr>
            </w:pPr>
          </w:p>
        </w:tc>
      </w:tr>
    </w:tbl>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1"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0"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7"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7"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7" w:lineRule="exact"/>
        <w:rPr>
          <w:rFonts w:ascii="MS PGothic" w:cs="MS PGothic" w:eastAsia="MS PGothic" w:hAnsi="MS PGothic"/>
          <w:sz w:val="21"/>
          <w:szCs w:val="21"/>
          <w:color w:val="auto"/>
        </w:rPr>
      </w:pPr>
    </w:p>
    <w:p>
      <w:pPr>
        <w:ind w:right="3000" w:firstLine="7"/>
        <w:spacing w:after="0" w:line="403" w:lineRule="auto"/>
        <w:tabs>
          <w:tab w:leader="none" w:pos="233"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2"/>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on each exchange on which registered</w:t>
            </w:r>
          </w:p>
        </w:tc>
      </w:tr>
      <w:tr>
        <w:trPr>
          <w:trHeight w:val="222"/>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317"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780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7"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5" w:right="339" w:bottom="1440" w:gutter="0" w:footer="0" w:header="0"/>
        </w:sectPr>
      </w:pPr>
    </w:p>
    <w:p>
      <w:pPr>
        <w:spacing w:after="0" w:line="25"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500380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223520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0" w:lineRule="exact"/>
        <w:rPr>
          <w:sz w:val="20"/>
          <w:szCs w:val="20"/>
          <w:color w:val="auto"/>
        </w:rPr>
      </w:pPr>
    </w:p>
    <w:p>
      <w:pPr>
        <w:jc w:val="both"/>
        <w:ind w:firstLine="644"/>
        <w:spacing w:after="0" w:line="243" w:lineRule="auto"/>
        <w:rPr>
          <w:sz w:val="20"/>
          <w:szCs w:val="20"/>
          <w:color w:val="auto"/>
        </w:rPr>
      </w:pPr>
      <w:r>
        <w:rPr>
          <w:rFonts w:ascii="Times New Roman" w:cs="Times New Roman" w:eastAsia="Times New Roman" w:hAnsi="Times New Roman"/>
          <w:sz w:val="18"/>
          <w:szCs w:val="18"/>
          <w:color w:val="auto"/>
        </w:rPr>
        <w:t xml:space="preserve">On February 25, 2025, LivaNova PLC (the “Company”) issued a press release announcing financial results for the quarter and full year ended December 31, 2024. The Company will host a business update conference call and webcast today, February 25, 2025, at 1 p.m. London time (8 a.m. Eastern Time), during which the Company will discuss the financial results. The conference call will be available through the LivaNova website at </w:t>
      </w:r>
      <w:r>
        <w:rPr>
          <w:rFonts w:ascii="Times New Roman" w:cs="Times New Roman" w:eastAsia="Times New Roman" w:hAnsi="Times New Roman"/>
          <w:sz w:val="18"/>
          <w:szCs w:val="18"/>
          <w:color w:val="3051F2"/>
        </w:rPr>
        <w:t>www.livanova.com/events</w:t>
      </w:r>
      <w:r>
        <w:rPr>
          <w:rFonts w:ascii="Times New Roman" w:cs="Times New Roman" w:eastAsia="Times New Roman" w:hAnsi="Times New Roman"/>
          <w:sz w:val="18"/>
          <w:szCs w:val="18"/>
          <w:color w:val="000000"/>
        </w:rPr>
        <w:t>.</w:t>
      </w:r>
    </w:p>
    <w:p>
      <w:pPr>
        <w:spacing w:after="0" w:line="209" w:lineRule="exact"/>
        <w:rPr>
          <w:sz w:val="20"/>
          <w:szCs w:val="20"/>
          <w:color w:val="auto"/>
        </w:rPr>
      </w:pPr>
    </w:p>
    <w:p>
      <w:pPr>
        <w:jc w:val="both"/>
        <w:ind w:firstLine="644"/>
        <w:spacing w:after="0" w:line="238" w:lineRule="auto"/>
        <w:rPr>
          <w:sz w:val="20"/>
          <w:szCs w:val="20"/>
          <w:color w:val="auto"/>
        </w:rPr>
      </w:pPr>
      <w:r>
        <w:rPr>
          <w:rFonts w:ascii="Times New Roman" w:cs="Times New Roman" w:eastAsia="Times New Roman" w:hAnsi="Times New Roman"/>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6"/>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4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40" w:type="dxa"/>
            <w:vAlign w:val="bottom"/>
          </w:tcPr>
          <w:p>
            <w:pPr>
              <w:spacing w:after="0"/>
              <w:rPr>
                <w:sz w:val="18"/>
                <w:szCs w:val="18"/>
                <w:color w:val="auto"/>
              </w:rPr>
            </w:pPr>
          </w:p>
        </w:tc>
        <w:tc>
          <w:tcPr>
            <w:tcW w:w="4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Press Release of LivaNova PLC dated February 25, 2025</w:t>
            </w:r>
          </w:p>
        </w:tc>
        <w:tc>
          <w:tcPr>
            <w:tcW w:w="5600" w:type="dxa"/>
            <w:vAlign w:val="bottom"/>
          </w:tcPr>
          <w:p>
            <w:pPr>
              <w:spacing w:after="0"/>
              <w:rPr>
                <w:sz w:val="18"/>
                <w:szCs w:val="18"/>
                <w:color w:val="auto"/>
              </w:rPr>
            </w:pPr>
          </w:p>
        </w:tc>
      </w:tr>
      <w:tr>
        <w:trPr>
          <w:trHeight w:val="249"/>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1"/>
                <w:szCs w:val="21"/>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6"/>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ind w:firstLine="644"/>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1" w:lineRule="exact"/>
        <w:rPr>
          <w:sz w:val="20"/>
          <w:szCs w:val="20"/>
          <w:color w:val="auto"/>
        </w:rPr>
      </w:pPr>
    </w:p>
    <w:p>
      <w:pPr>
        <w:jc w:val="right"/>
        <w:ind w:right="3280"/>
        <w:spacing w:after="0"/>
        <w:tabs>
          <w:tab w:leader="none" w:pos="522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Michael Hutchinson</w:t>
      </w:r>
    </w:p>
    <w:p>
      <w:pPr>
        <w:spacing w:after="0" w:line="61"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20"/>
          </w:cols>
          <w:pgMar w:left="320" w:top="1003"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670050" cy="477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0" cy="47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Fourth-Quarter and Full-Year 2024 Results;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Issues 2025 Guidance</w:t>
      </w:r>
    </w:p>
    <w:p>
      <w:pPr>
        <w:spacing w:after="0" w:line="386" w:lineRule="exact"/>
        <w:rPr>
          <w:sz w:val="20"/>
          <w:szCs w:val="20"/>
          <w:color w:val="auto"/>
        </w:rPr>
      </w:pPr>
    </w:p>
    <w:p>
      <w:pPr>
        <w:spacing w:after="0" w:line="297" w:lineRule="auto"/>
        <w:rPr>
          <w:sz w:val="20"/>
          <w:szCs w:val="20"/>
          <w:color w:val="auto"/>
        </w:rPr>
      </w:pPr>
      <w:r>
        <w:rPr>
          <w:rFonts w:ascii="Arial" w:cs="Arial" w:eastAsia="Arial" w:hAnsi="Arial"/>
          <w:sz w:val="20"/>
          <w:szCs w:val="20"/>
          <w:color w:val="auto"/>
        </w:rPr>
        <w:t xml:space="preserve">London, February 25, 2025 </w:t>
      </w:r>
      <w:r>
        <w:rPr>
          <w:rFonts w:ascii="Arial" w:cs="Arial" w:eastAsia="Arial" w:hAnsi="Arial"/>
          <w:sz w:val="20"/>
          <w:szCs w:val="20"/>
          <w:b w:val="1"/>
          <w:bCs w:val="1"/>
          <w:color w:val="auto"/>
        </w:rPr>
        <w:t>–</w:t>
      </w:r>
      <w:r>
        <w:rPr>
          <w:rFonts w:ascii="Arial" w:cs="Arial" w:eastAsia="Arial" w:hAnsi="Arial"/>
          <w:sz w:val="20"/>
          <w:szCs w:val="20"/>
          <w:color w:val="auto"/>
        </w:rPr>
        <w:t xml:space="preserve"> LivaNova PLC (Nasdaq: LIVN), a market-leading medical technology company, today reported fourth-quarter and full-year 2024 results and issued full-year 2025 guidance.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41" w:lineRule="exact"/>
        <w:rPr>
          <w:sz w:val="20"/>
          <w:szCs w:val="20"/>
          <w:color w:val="auto"/>
        </w:rPr>
      </w:pPr>
    </w:p>
    <w:p>
      <w:pPr>
        <w:ind w:left="320" w:hanging="313"/>
        <w:spacing w:after="0" w:line="276" w:lineRule="auto"/>
        <w:tabs>
          <w:tab w:leader="none" w:pos="26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Fourth-quarter revenue of $321.8 million increased 3.8% on a reported basis, 4.7% on a constant-currency basis, and 6.8% on an organic basis as compared to the prior-year period</w:t>
      </w:r>
    </w:p>
    <w:p>
      <w:pPr>
        <w:spacing w:after="0" w:line="16" w:lineRule="exact"/>
        <w:rPr>
          <w:rFonts w:ascii="Arial" w:cs="Arial" w:eastAsia="Arial" w:hAnsi="Arial"/>
          <w:sz w:val="20"/>
          <w:szCs w:val="20"/>
          <w:b w:val="1"/>
          <w:bCs w:val="1"/>
          <w:color w:val="auto"/>
        </w:rPr>
      </w:pPr>
    </w:p>
    <w:p>
      <w:pPr>
        <w:ind w:left="280" w:hanging="273"/>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Fourth-quarter U.S. GAAP diluted earnings per share of $1.02 and adjusted diluted earnings per share of $0.81</w:t>
      </w:r>
    </w:p>
    <w:p>
      <w:pPr>
        <w:spacing w:after="0" w:line="78" w:lineRule="exact"/>
        <w:rPr>
          <w:rFonts w:ascii="Arial" w:cs="Arial" w:eastAsia="Arial" w:hAnsi="Arial"/>
          <w:sz w:val="20"/>
          <w:szCs w:val="20"/>
          <w:color w:val="auto"/>
        </w:rPr>
      </w:pPr>
    </w:p>
    <w:p>
      <w:pPr>
        <w:ind w:left="320" w:hanging="313"/>
        <w:spacing w:after="0" w:line="294"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Full-year 2024 revenue of $1.25 billion increased 8.7% on a reported basis, 9.3% on a constant-currency basis, and 10.7% on an organic basis as compared to the prior-year</w:t>
      </w:r>
    </w:p>
    <w:p>
      <w:pPr>
        <w:ind w:left="280" w:hanging="273"/>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Full-year 2024 U.S. GAAP diluted earnings per share of $1.16 and adjusted diluted earnings per share of $3.38</w:t>
      </w:r>
    </w:p>
    <w:p>
      <w:pPr>
        <w:spacing w:after="0" w:line="78" w:lineRule="exact"/>
        <w:rPr>
          <w:rFonts w:ascii="Arial" w:cs="Arial" w:eastAsia="Arial" w:hAnsi="Arial"/>
          <w:sz w:val="20"/>
          <w:szCs w:val="20"/>
          <w:color w:val="auto"/>
        </w:rPr>
      </w:pPr>
    </w:p>
    <w:p>
      <w:pPr>
        <w:ind w:left="280" w:hanging="273"/>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Full-year 2024 net cash provided by operating activities of $183.0 million and adjusted free cash flow of $162.9 million</w:t>
      </w:r>
    </w:p>
    <w:p>
      <w:pPr>
        <w:spacing w:after="0" w:line="78" w:lineRule="exact"/>
        <w:rPr>
          <w:rFonts w:ascii="Arial" w:cs="Arial" w:eastAsia="Arial" w:hAnsi="Arial"/>
          <w:sz w:val="20"/>
          <w:szCs w:val="20"/>
          <w:color w:val="auto"/>
        </w:rPr>
      </w:pPr>
    </w:p>
    <w:p>
      <w:pPr>
        <w:jc w:val="both"/>
        <w:ind w:left="320" w:hanging="313"/>
        <w:spacing w:after="0" w:line="280"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Expects full-year 2025 revenue to grow between 5.0% and 6.0% on a constant-currency basis and between 6.0% and 7.0% on an organic basis. Adjusted diluted earnings per share for 2025 is expected to be in the range of $3.65 to $3.75. Adjusted free cash flow is expected to be in the range of $135 million to $155 million</w:t>
      </w:r>
    </w:p>
    <w:p>
      <w:pPr>
        <w:spacing w:after="0" w:line="13" w:lineRule="exact"/>
        <w:rPr>
          <w:rFonts w:ascii="Arial" w:cs="Arial" w:eastAsia="Arial" w:hAnsi="Arial"/>
          <w:sz w:val="20"/>
          <w:szCs w:val="20"/>
          <w:color w:val="auto"/>
        </w:rPr>
      </w:pPr>
    </w:p>
    <w:p>
      <w:pPr>
        <w:jc w:val="both"/>
        <w:ind w:left="320" w:hanging="313"/>
        <w:spacing w:after="0" w:line="287"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the OSPREY clinical study for moderate-to-severe obstructive sleep apnea met its primary safety and efficacy endpoints as well as a significant reduction of apnea-hypopnea index and oxygenation desaturation index against baseline values through six months of therapy</w:t>
      </w:r>
    </w:p>
    <w:p>
      <w:pPr>
        <w:spacing w:after="0" w:line="7" w:lineRule="exact"/>
        <w:rPr>
          <w:rFonts w:ascii="Arial" w:cs="Arial" w:eastAsia="Arial" w:hAnsi="Arial"/>
          <w:sz w:val="20"/>
          <w:szCs w:val="20"/>
          <w:color w:val="auto"/>
        </w:rPr>
      </w:pPr>
    </w:p>
    <w:p>
      <w:pPr>
        <w:jc w:val="both"/>
        <w:ind w:left="320" w:hanging="313"/>
        <w:spacing w:after="0" w:line="254"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the publication of two pivotal articles chronicling the treatment-resistant depression unipolar cohort data set in the RECOVER clinical study; the articles concluded that active VNS Therapy</w:t>
      </w:r>
      <w:r>
        <w:rPr>
          <w:rFonts w:ascii="Arial" w:cs="Arial" w:eastAsia="Arial" w:hAnsi="Arial"/>
          <w:sz w:val="25"/>
          <w:szCs w:val="25"/>
          <w:color w:val="auto"/>
          <w:vertAlign w:val="superscript"/>
        </w:rPr>
        <w:t>TM</w:t>
      </w:r>
      <w:r>
        <w:rPr>
          <w:rFonts w:ascii="Arial" w:cs="Arial" w:eastAsia="Arial" w:hAnsi="Arial"/>
          <w:sz w:val="20"/>
          <w:szCs w:val="20"/>
          <w:color w:val="auto"/>
        </w:rPr>
        <w:t>, as compared to sham, safely and effectively demonstrated clinically meaningful therapeutic effects on depressive symptoms and positive effects on quality of life and daily function</w:t>
      </w:r>
    </w:p>
    <w:p>
      <w:pPr>
        <w:spacing w:after="0" w:line="39" w:lineRule="exact"/>
        <w:rPr>
          <w:rFonts w:ascii="Arial" w:cs="Arial" w:eastAsia="Arial" w:hAnsi="Arial"/>
          <w:sz w:val="20"/>
          <w:szCs w:val="20"/>
          <w:color w:val="auto"/>
        </w:rPr>
      </w:pPr>
    </w:p>
    <w:p>
      <w:pPr>
        <w:ind w:left="280" w:hanging="273"/>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January 2025, announced Natalia Kozmina's appointment as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1704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60" w:firstLine="7"/>
        <w:spacing w:after="0" w:line="263" w:lineRule="auto"/>
        <w:tabs>
          <w:tab w:leader="none" w:pos="115"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Constant-currency percent change, organic revenue percent change, organic revenue, adjusted operating income, adjusted diluted earnings per share, and adjusted free cash flow are non-GAAP measures. Constant-currency percent change excludes the impact from fluctuations in the various currencies in which the Company operates as compared to reported percent change. Organic revenue percent change excludes the impact of acquisitions, divestitures, and currency translation effects. Organic revenue excludes the impact of acquisitions and divestitures.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paragraph to their most directly comparable forward-looking GAAP financial measures without unreasonable efforts.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04" w:right="339" w:bottom="1440" w:gutter="0" w:footer="0" w:header="0"/>
        </w:sectPr>
      </w:pPr>
    </w:p>
    <w:bookmarkStart w:id="4" w:name="page5"/>
    <w:bookmarkEnd w:id="4"/>
    <w:p>
      <w:pPr>
        <w:spacing w:after="0" w:line="141" w:lineRule="exact"/>
        <w:rPr>
          <w:sz w:val="20"/>
          <w:szCs w:val="20"/>
          <w:color w:val="auto"/>
        </w:rPr>
      </w:pPr>
    </w:p>
    <w:p>
      <w:pPr>
        <w:jc w:val="both"/>
        <w:spacing w:after="0" w:line="378" w:lineRule="auto"/>
        <w:rPr>
          <w:sz w:val="20"/>
          <w:szCs w:val="20"/>
          <w:color w:val="auto"/>
        </w:rPr>
      </w:pPr>
      <w:r>
        <w:rPr>
          <w:rFonts w:ascii="Arial" w:cs="Arial" w:eastAsia="Arial" w:hAnsi="Arial"/>
          <w:sz w:val="20"/>
          <w:szCs w:val="20"/>
          <w:color w:val="auto"/>
        </w:rPr>
        <w:t>"In 2024, LivaNova delivered strong revenue growth, expanded operating margin, and significantly improved cash generation," said Vladimir Makatsaria, Chief Executive Officer of LivaNova. "We are pleased with these results and the clinical milestones achieved in both the obstructive sleep apnea and difficult-to-treat depression programs. We look forward to building on this momentum in 2025 with a continued focus on talent, innovation, growth, and operational excellence."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2024 Results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by segment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gridSpan w:val="4"/>
          </w:tcPr>
          <w:p>
            <w:pPr>
              <w:jc w:val="center"/>
              <w:ind w:left="511"/>
              <w:spacing w:after="0"/>
              <w:rPr>
                <w:sz w:val="20"/>
                <w:szCs w:val="20"/>
                <w:color w:val="auto"/>
              </w:rPr>
            </w:pPr>
            <w:r>
              <w:rPr>
                <w:rFonts w:ascii="Arial" w:cs="Arial" w:eastAsia="Arial" w:hAnsi="Arial"/>
                <w:sz w:val="18"/>
                <w:szCs w:val="18"/>
                <w:b w:val="1"/>
                <w:bCs w:val="1"/>
                <w:color w:val="auto"/>
                <w:w w:val="98"/>
              </w:rPr>
              <w:t>Three Months Ended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20"/>
                <w:szCs w:val="20"/>
                <w:b w:val="1"/>
                <w:bCs w:val="1"/>
                <w:color w:val="auto"/>
              </w:rPr>
              <w:t>Constant-</w:t>
            </w:r>
          </w:p>
        </w:tc>
      </w:tr>
      <w:tr>
        <w:trPr>
          <w:trHeight w:val="188"/>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580"/>
              <w:spacing w:after="0" w:line="168" w:lineRule="exact"/>
              <w:rPr>
                <w:sz w:val="20"/>
                <w:szCs w:val="20"/>
                <w:color w:val="auto"/>
              </w:rPr>
            </w:pPr>
            <w:r>
              <w:rPr>
                <w:rFonts w:ascii="Arial" w:cs="Arial" w:eastAsia="Arial" w:hAnsi="Arial"/>
                <w:sz w:val="18"/>
                <w:szCs w:val="18"/>
                <w:b w:val="1"/>
                <w:bCs w:val="1"/>
                <w:color w:val="auto"/>
                <w:w w:val="99"/>
              </w:rPr>
              <w:t>December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ind w:left="420"/>
              <w:spacing w:after="0" w:line="182" w:lineRule="exact"/>
              <w:rPr>
                <w:sz w:val="20"/>
                <w:szCs w:val="20"/>
                <w:color w:val="auto"/>
              </w:rPr>
            </w:pPr>
            <w:r>
              <w:rPr>
                <w:rFonts w:ascii="Arial" w:cs="Arial" w:eastAsia="Arial" w:hAnsi="Arial"/>
                <w:sz w:val="20"/>
                <w:szCs w:val="20"/>
                <w:b w:val="1"/>
                <w:bCs w:val="1"/>
                <w:color w:val="auto"/>
              </w:rPr>
              <w:t>Currency</w:t>
            </w:r>
          </w:p>
        </w:tc>
      </w:tr>
      <w:tr>
        <w:trPr>
          <w:trHeight w:val="248"/>
        </w:trPr>
        <w:tc>
          <w:tcPr>
            <w:tcW w:w="494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2024</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ind w:left="400"/>
              <w:spacing w:after="0"/>
              <w:rPr>
                <w:sz w:val="20"/>
                <w:szCs w:val="20"/>
                <w:color w:val="auto"/>
              </w:rPr>
            </w:pPr>
            <w:r>
              <w:rPr>
                <w:rFonts w:ascii="Arial" w:cs="Arial" w:eastAsia="Arial" w:hAnsi="Arial"/>
                <w:sz w:val="20"/>
                <w:szCs w:val="20"/>
                <w:b w:val="1"/>
                <w:bCs w:val="1"/>
                <w:color w:val="auto"/>
              </w:rPr>
              <w:t>% Change</w:t>
            </w:r>
          </w:p>
        </w:tc>
      </w:tr>
      <w:tr>
        <w:trPr>
          <w:trHeight w:val="216"/>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11.2 %</w:t>
            </w:r>
          </w:p>
        </w:tc>
      </w:tr>
      <w:tr>
        <w:trPr>
          <w:trHeight w:val="22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6"/>
        </w:trPr>
        <w:tc>
          <w:tcPr>
            <w:tcW w:w="4940" w:type="dxa"/>
            <w:vAlign w:val="bottom"/>
            <w:gridSpan w:val="3"/>
          </w:tcPr>
          <w:p>
            <w:pPr>
              <w:ind w:left="20"/>
              <w:spacing w:after="0" w:line="236"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14"/>
        </w:trPr>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6"/>
        </w:trPr>
        <w:tc>
          <w:tcPr>
            <w:tcW w:w="4940" w:type="dxa"/>
            <w:vAlign w:val="bottom"/>
            <w:gridSpan w:val="3"/>
          </w:tcPr>
          <w:p>
            <w:pPr>
              <w:ind w:left="20"/>
              <w:spacing w:after="0" w:line="236" w:lineRule="exact"/>
              <w:rPr>
                <w:sz w:val="20"/>
                <w:szCs w:val="20"/>
                <w:color w:val="auto"/>
              </w:rPr>
            </w:pPr>
            <w:r>
              <w:rPr>
                <w:rFonts w:ascii="Arial" w:cs="Arial" w:eastAsia="Arial" w:hAnsi="Arial"/>
                <w:sz w:val="18"/>
                <w:szCs w:val="18"/>
                <w:color w:val="auto"/>
              </w:rPr>
              <w:t xml:space="preserve">Less: ACS </w:t>
            </w:r>
            <w:r>
              <w:rPr>
                <w:rFonts w:ascii="Arial" w:cs="Arial" w:eastAsia="Arial" w:hAnsi="Arial"/>
                <w:sz w:val="23"/>
                <w:szCs w:val="23"/>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2"/>
        </w:trPr>
        <w:tc>
          <w:tcPr>
            <w:tcW w:w="3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Organic Net Revenue</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3"/>
        <w:spacing w:after="0" w:line="226" w:lineRule="auto"/>
        <w:tabs>
          <w:tab w:leader="none" w:pos="314"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ind w:left="320" w:hanging="313"/>
        <w:spacing w:after="0" w:line="190" w:lineRule="auto"/>
        <w:tabs>
          <w:tab w:leader="none" w:pos="3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the results from the wind-down portion of the Company's former ACS reportable segment.</w:t>
      </w:r>
    </w:p>
    <w:p>
      <w:pPr>
        <w:ind w:left="320" w:hanging="313"/>
        <w:spacing w:after="0" w:line="268" w:lineRule="auto"/>
        <w:tabs>
          <w:tab w:leader="none" w:pos="25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13" w:lineRule="exact"/>
        <w:rPr>
          <w:sz w:val="20"/>
          <w:szCs w:val="20"/>
          <w:color w:val="auto"/>
        </w:rPr>
      </w:pPr>
    </w:p>
    <w:p>
      <w:pPr>
        <w:jc w:val="both"/>
        <w:spacing w:after="0" w:line="385" w:lineRule="auto"/>
        <w:rPr>
          <w:sz w:val="20"/>
          <w:szCs w:val="20"/>
          <w:color w:val="auto"/>
        </w:rPr>
      </w:pPr>
      <w:r>
        <w:rPr>
          <w:rFonts w:ascii="Arial" w:cs="Arial" w:eastAsia="Arial" w:hAnsi="Arial"/>
          <w:sz w:val="20"/>
          <w:szCs w:val="20"/>
          <w:color w:val="auto"/>
        </w:rPr>
        <w:t>Fourth-quarter 2024 cardiopulmonary revenue increased 9.9% on a reported basis and 11.2% on a constant-currency basis versus the fourth quarter of 2023 with growth across all regions, driven by strong consumables demand and Essenz™ Perfusion System sales.</w:t>
      </w:r>
    </w:p>
    <w:p>
      <w:pPr>
        <w:spacing w:after="0" w:line="168" w:lineRule="exact"/>
        <w:rPr>
          <w:sz w:val="20"/>
          <w:szCs w:val="20"/>
          <w:color w:val="auto"/>
        </w:rPr>
      </w:pPr>
    </w:p>
    <w:p>
      <w:pPr>
        <w:jc w:val="both"/>
        <w:spacing w:after="0" w:line="407" w:lineRule="auto"/>
        <w:rPr>
          <w:sz w:val="20"/>
          <w:szCs w:val="20"/>
          <w:color w:val="auto"/>
        </w:rPr>
      </w:pPr>
      <w:r>
        <w:rPr>
          <w:rFonts w:ascii="Arial" w:cs="Arial" w:eastAsia="Arial" w:hAnsi="Arial"/>
          <w:sz w:val="20"/>
          <w:szCs w:val="20"/>
          <w:color w:val="auto"/>
        </w:rPr>
        <w:t>Fourth-quarter 2024 neuromodulation revenue increased 0.5% on a reported basis and 1.0% on a constant-currency basis versus the fourth quarter of 2023 with growth in the U.S., mostly offset by a decline in the Europe and Rest of World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20"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fourth-quarter 2024 operating income was $37.0 million, as compared to an operating loss of $88.0 million for the fourth quarter of 2023. Adjusted operating income for the fourth quarter of 2024 was $55.6 million, as compared to adjusted operating income of $48.0 million for the fourth quarter of 2023.</w:t>
      </w:r>
    </w:p>
    <w:p>
      <w:pPr>
        <w:spacing w:after="0" w:line="182"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fourth-quarter 2024 diluted earnings per share was $1.02, as compared to diluted earnings per share of $0.30 in the fourth quarter of 2023. Fourth-quarter 2024 adjusted diluted earnings per share was $0.81, as compared to adjusted diluted earnings per share of $0.87 in the fourth quarter of 2023.</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2024 Results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by segment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3"/>
          </w:tcPr>
          <w:p>
            <w:pPr>
              <w:jc w:val="center"/>
              <w:ind w:left="1111"/>
              <w:spacing w:after="0"/>
              <w:rPr>
                <w:sz w:val="20"/>
                <w:szCs w:val="20"/>
                <w:color w:val="auto"/>
              </w:rPr>
            </w:pPr>
            <w:r>
              <w:rPr>
                <w:rFonts w:ascii="Arial" w:cs="Arial" w:eastAsia="Arial" w:hAnsi="Arial"/>
                <w:sz w:val="18"/>
                <w:szCs w:val="18"/>
                <w:b w:val="1"/>
                <w:bCs w:val="1"/>
                <w:color w:val="auto"/>
                <w:w w:val="98"/>
              </w:rPr>
              <w:t>Year Ended</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20"/>
                <w:szCs w:val="20"/>
                <w:b w:val="1"/>
                <w:bCs w:val="1"/>
                <w:color w:val="auto"/>
              </w:rPr>
              <w:t>Constant-</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Borders>
              <w:bottom w:val="single" w:sz="8" w:color="auto"/>
            </w:tcBorders>
            <w:gridSpan w:val="3"/>
          </w:tcPr>
          <w:p>
            <w:pPr>
              <w:jc w:val="center"/>
              <w:ind w:left="1151"/>
              <w:spacing w:after="0" w:line="168" w:lineRule="exact"/>
              <w:rPr>
                <w:sz w:val="20"/>
                <w:szCs w:val="20"/>
                <w:color w:val="auto"/>
              </w:rPr>
            </w:pPr>
            <w:r>
              <w:rPr>
                <w:rFonts w:ascii="Arial" w:cs="Arial" w:eastAsia="Arial" w:hAnsi="Arial"/>
                <w:sz w:val="18"/>
                <w:szCs w:val="18"/>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ind w:left="420"/>
              <w:spacing w:after="0" w:line="168" w:lineRule="exact"/>
              <w:rPr>
                <w:sz w:val="20"/>
                <w:szCs w:val="20"/>
                <w:color w:val="auto"/>
              </w:rPr>
            </w:pPr>
            <w:r>
              <w:rPr>
                <w:rFonts w:ascii="Arial" w:cs="Arial" w:eastAsia="Arial" w:hAnsi="Arial"/>
                <w:sz w:val="19"/>
                <w:szCs w:val="19"/>
                <w:b w:val="1"/>
                <w:bCs w:val="1"/>
                <w:color w:val="auto"/>
              </w:rPr>
              <w:t>Currency</w:t>
            </w:r>
          </w:p>
        </w:tc>
        <w:tc>
          <w:tcPr>
            <w:tcW w:w="0" w:type="dxa"/>
            <w:vAlign w:val="bottom"/>
          </w:tcPr>
          <w:p>
            <w:pPr>
              <w:spacing w:after="0"/>
              <w:rPr>
                <w:sz w:val="1"/>
                <w:szCs w:val="1"/>
                <w:color w:val="auto"/>
              </w:rPr>
            </w:pPr>
          </w:p>
        </w:tc>
      </w:tr>
      <w:tr>
        <w:trPr>
          <w:trHeight w:val="248"/>
        </w:trPr>
        <w:tc>
          <w:tcPr>
            <w:tcW w:w="3720" w:type="dxa"/>
            <w:vAlign w:val="bottom"/>
            <w:gridSpan w:val="2"/>
            <w:vMerge w:val="restart"/>
          </w:tcPr>
          <w:p>
            <w:pPr>
              <w:ind w:left="20"/>
              <w:spacing w:after="0"/>
              <w:rPr>
                <w:sz w:val="20"/>
                <w:szCs w:val="20"/>
                <w:color w:val="auto"/>
              </w:rPr>
            </w:pPr>
            <w:r>
              <w:rPr>
                <w:rFonts w:ascii="Arial" w:cs="Arial" w:eastAsia="Arial" w:hAnsi="Arial"/>
                <w:sz w:val="18"/>
                <w:szCs w:val="18"/>
                <w:color w:val="auto"/>
              </w:rPr>
              <w:t>Cardiopulmonary</w:t>
            </w:r>
          </w:p>
        </w:tc>
        <w:tc>
          <w:tcPr>
            <w:tcW w:w="1880" w:type="dxa"/>
            <w:vAlign w:val="bottom"/>
          </w:tcPr>
          <w:p>
            <w:pPr>
              <w:jc w:val="right"/>
              <w:ind w:right="651"/>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ind w:right="67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1"/>
                <w:szCs w:val="21"/>
                <w:color w:val="auto"/>
              </w:rPr>
            </w:pPr>
          </w:p>
        </w:tc>
        <w:tc>
          <w:tcPr>
            <w:tcW w:w="1800" w:type="dxa"/>
            <w:vAlign w:val="bottom"/>
            <w:gridSpan w:val="2"/>
          </w:tcPr>
          <w:p>
            <w:pPr>
              <w:ind w:left="38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ind w:left="400"/>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16"/>
        </w:trPr>
        <w:tc>
          <w:tcPr>
            <w:tcW w:w="3720" w:type="dxa"/>
            <w:vAlign w:val="bottom"/>
            <w:gridSpan w:val="2"/>
            <w:vMerge w:val="continue"/>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8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8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6"/>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Neuromodulation</w:t>
            </w:r>
          </w:p>
        </w:tc>
        <w:tc>
          <w:tcPr>
            <w:tcW w:w="1880" w:type="dxa"/>
            <w:vAlign w:val="bottom"/>
          </w:tcPr>
          <w:p>
            <w:pPr>
              <w:jc w:val="right"/>
              <w:spacing w:after="0"/>
              <w:rPr>
                <w:sz w:val="20"/>
                <w:szCs w:val="20"/>
                <w:color w:val="auto"/>
              </w:rPr>
            </w:pPr>
            <w:r>
              <w:rPr>
                <w:rFonts w:ascii="Arial" w:cs="Arial" w:eastAsia="Arial" w:hAnsi="Arial"/>
                <w:sz w:val="18"/>
                <w:szCs w:val="18"/>
                <w:color w:val="auto"/>
              </w:rPr>
              <w:t>554.2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6"/>
        </w:trPr>
        <w:tc>
          <w:tcPr>
            <w:tcW w:w="3720" w:type="dxa"/>
            <w:vAlign w:val="bottom"/>
            <w:gridSpan w:val="2"/>
          </w:tcPr>
          <w:p>
            <w:pPr>
              <w:ind w:left="20"/>
              <w:spacing w:after="0" w:line="236"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4"/>
        </w:trPr>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8"/>
                <w:szCs w:val="18"/>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$1,253.4</w:t>
            </w: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6"/>
        </w:trPr>
        <w:tc>
          <w:tcPr>
            <w:tcW w:w="3720" w:type="dxa"/>
            <w:vAlign w:val="bottom"/>
            <w:gridSpan w:val="2"/>
          </w:tcPr>
          <w:p>
            <w:pPr>
              <w:ind w:left="20"/>
              <w:spacing w:after="0" w:line="236" w:lineRule="exact"/>
              <w:rPr>
                <w:sz w:val="20"/>
                <w:szCs w:val="20"/>
                <w:color w:val="auto"/>
              </w:rPr>
            </w:pPr>
            <w:r>
              <w:rPr>
                <w:rFonts w:ascii="Arial" w:cs="Arial" w:eastAsia="Arial" w:hAnsi="Arial"/>
                <w:sz w:val="18"/>
                <w:szCs w:val="18"/>
                <w:color w:val="auto"/>
              </w:rPr>
              <w:t xml:space="preserve">Less: ACS </w:t>
            </w:r>
            <w:r>
              <w:rPr>
                <w:rFonts w:ascii="Arial" w:cs="Arial" w:eastAsia="Arial" w:hAnsi="Arial"/>
                <w:sz w:val="23"/>
                <w:szCs w:val="23"/>
                <w:color w:val="auto"/>
                <w:vertAlign w:val="superscript"/>
              </w:rPr>
              <w:t>(2)</w:t>
            </w:r>
          </w:p>
        </w:tc>
        <w:tc>
          <w:tcPr>
            <w:tcW w:w="18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Organic Net Revenue</w:t>
            </w:r>
          </w:p>
        </w:tc>
        <w:tc>
          <w:tcPr>
            <w:tcW w:w="8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$1,241.8</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320" w:hanging="313"/>
        <w:spacing w:after="0" w:line="234" w:lineRule="auto"/>
        <w:tabs>
          <w:tab w:leader="none" w:pos="31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ind w:left="320" w:hanging="313"/>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the results from the wind-down portion of the Company's former ACS reportable segment.</w:t>
      </w:r>
    </w:p>
    <w:p>
      <w:pPr>
        <w:spacing w:after="0" w:line="44" w:lineRule="exact"/>
        <w:rPr>
          <w:sz w:val="20"/>
          <w:szCs w:val="20"/>
          <w:color w:val="auto"/>
        </w:rPr>
      </w:pPr>
    </w:p>
    <w:p>
      <w:pPr>
        <w:ind w:left="320" w:right="20" w:hanging="313"/>
        <w:spacing w:after="0" w:line="280" w:lineRule="auto"/>
        <w:tabs>
          <w:tab w:leader="none" w:pos="269"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06" w:lineRule="exact"/>
        <w:rPr>
          <w:sz w:val="20"/>
          <w:szCs w:val="20"/>
          <w:color w:val="auto"/>
        </w:rPr>
      </w:pPr>
    </w:p>
    <w:p>
      <w:pPr>
        <w:spacing w:after="0" w:line="407" w:lineRule="auto"/>
        <w:rPr>
          <w:sz w:val="20"/>
          <w:szCs w:val="20"/>
          <w:color w:val="auto"/>
        </w:rPr>
      </w:pPr>
      <w:r>
        <w:rPr>
          <w:rFonts w:ascii="Arial" w:cs="Arial" w:eastAsia="Arial" w:hAnsi="Arial"/>
          <w:sz w:val="20"/>
          <w:szCs w:val="20"/>
          <w:color w:val="auto"/>
        </w:rPr>
        <w:t>Full-year 2024 cardiopulmonary revenue increased 13.1% on a reported basis and 14.1% on a constant-currency basis versus full-year 2023 with growth across all regions, driven by Essenz Perfusion System sales and strong consumables demand.</w:t>
      </w:r>
    </w:p>
    <w:p>
      <w:pPr>
        <w:spacing w:after="0" w:line="146" w:lineRule="exact"/>
        <w:rPr>
          <w:sz w:val="20"/>
          <w:szCs w:val="20"/>
          <w:color w:val="auto"/>
        </w:rPr>
      </w:pPr>
    </w:p>
    <w:p>
      <w:pPr>
        <w:spacing w:after="0" w:line="393" w:lineRule="auto"/>
        <w:rPr>
          <w:sz w:val="20"/>
          <w:szCs w:val="20"/>
          <w:color w:val="auto"/>
        </w:rPr>
      </w:pPr>
      <w:r>
        <w:rPr>
          <w:rFonts w:ascii="Arial" w:cs="Arial" w:eastAsia="Arial" w:hAnsi="Arial"/>
          <w:sz w:val="20"/>
          <w:szCs w:val="20"/>
          <w:color w:val="auto"/>
        </w:rPr>
        <w:t>Full-year 2024 neuromodulation revenue increased 6.6% on a reported basis and 7.0% on a constant-currency basis versus full-year 2023 with growth in the Rest of World and U.S. regions, partially offset by a decline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20"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full-year 2024 operating income was $129.1 million, as compared to an operating loss of $68.5 million for full-year 2023. Adjusted operating income for full-year 2024 was $239.2 million, as compared to adjusted operating income of $169.3 million for full-year 2023.</w:t>
      </w:r>
    </w:p>
    <w:p>
      <w:pPr>
        <w:spacing w:after="0" w:line="182"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a U.S. GAAP basis, full-year 2024 diluted earnings per share was $1.16, as compared to diluted earnings per share of $0.32 for full-year 2023. Full-year 2024 adjusted diluted earnings per share was $3.38, as compared to adjusted diluted earnings per share of $2.80 for full-year 2023.</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Update</w:t>
      </w:r>
    </w:p>
    <w:p>
      <w:pPr>
        <w:spacing w:after="0" w:line="336"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On February 26, 2025, the Italian Supreme Court will hold a public hearing in connection with the SNIA litigation. While the Company does not anticipate a decision at the hearing, it expects a decision during the first half of 2025 in response to all of the appeals of LivaNova and counter-appeals submitted by the Italian Public Administrations.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2025 Guidance</w:t>
      </w:r>
    </w:p>
    <w:p>
      <w:pPr>
        <w:spacing w:after="0" w:line="322" w:lineRule="exact"/>
        <w:rPr>
          <w:sz w:val="20"/>
          <w:szCs w:val="20"/>
          <w:color w:val="auto"/>
        </w:rPr>
      </w:pPr>
    </w:p>
    <w:p>
      <w:pPr>
        <w:jc w:val="both"/>
        <w:ind w:right="20"/>
        <w:spacing w:after="0" w:line="426" w:lineRule="auto"/>
        <w:rPr>
          <w:sz w:val="20"/>
          <w:szCs w:val="20"/>
          <w:color w:val="auto"/>
        </w:rPr>
      </w:pPr>
      <w:r>
        <w:rPr>
          <w:rFonts w:ascii="Arial" w:cs="Arial" w:eastAsia="Arial" w:hAnsi="Arial"/>
          <w:sz w:val="19"/>
          <w:szCs w:val="19"/>
          <w:color w:val="auto"/>
        </w:rPr>
        <w:t>LivaNova expects full-year 2025 revenue to grow between 5.0% and 6.0% on a constant-currency basis and between 6.0% and 7.0% on an organic basis. Foreign currency is expected to be a headwind of 1.5% to 2.0% based on current exchange rates.</w:t>
      </w:r>
    </w:p>
    <w:p>
      <w:pPr>
        <w:spacing w:after="0" w:line="124"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Adjusted diluted earnings per share for 2025 is expected to be in the range of $3.65 to $3.75, assuming a share count of approximately 55 million for full-year 2025. In 2025, the Company estimates that adjusted free cash flow will be in the range of $135 million to $155 million.</w:t>
      </w:r>
    </w:p>
    <w:p>
      <w:pPr>
        <w:spacing w:after="0" w:line="182"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36"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 xml:space="preserve">The Company will host an audiocast for interested parties commencing at 1 p.m. London time (8 a.m. Eastern Time) on Tuesday, February 25, 2025 that will be accessible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982570. Within 24 hours of the audiocast, a replay will be available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where it will be archived and accessible for approximately 90 days.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20"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 xml:space="preserve">LivaNova PLC is a global medical technology company built on nearly five decades of experience and a relentless commitment to provide hope for patients and their families through medical technologies, delivering life-changing solutions in select neurological and cardiac conditions.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20"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spacing w:after="0" w:line="189"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In this news release, the Company refers to revenue and percentage change in revenue on a comparable, constant-currency, and organic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28" w:lineRule="exact"/>
        <w:rPr>
          <w:sz w:val="20"/>
          <w:szCs w:val="20"/>
          <w:color w:val="auto"/>
        </w:rPr>
      </w:pPr>
    </w:p>
    <w:p>
      <w:pPr>
        <w:jc w:val="both"/>
        <w:spacing w:after="0" w:line="393" w:lineRule="auto"/>
        <w:rPr>
          <w:sz w:val="20"/>
          <w:szCs w:val="20"/>
          <w:color w:val="auto"/>
        </w:rPr>
      </w:pPr>
      <w:r>
        <w:rPr>
          <w:rFonts w:ascii="Arial" w:cs="Arial" w:eastAsia="Arial" w:hAnsi="Arial"/>
          <w:sz w:val="20"/>
          <w:szCs w:val="20"/>
          <w:color w:val="auto"/>
        </w:rPr>
        <w:t>prior-year period. Organic revenue percent change excludes the impact of acquisitions, divestitures, and currency translation effects.</w:t>
      </w:r>
    </w:p>
    <w:p>
      <w:pPr>
        <w:spacing w:after="0" w:line="146" w:lineRule="exact"/>
        <w:rPr>
          <w:sz w:val="20"/>
          <w:szCs w:val="20"/>
          <w:color w:val="auto"/>
        </w:rPr>
      </w:pPr>
    </w:p>
    <w:p>
      <w:pPr>
        <w:jc w:val="both"/>
        <w:spacing w:after="0" w:line="358"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proceeds, CARES Act tax stimulus benefits, SNIA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the Company does not reconcile non-GAAP financial measures on a forward-looking basis as it is impractical to do so without unreasonable effort.</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Adjusted financial measures such as organic revenue, adjusted cost of sales, adjusted gross profit, adjusted selling, general, and administrative expense, adjusted research and development expense, adjusted other operating expenses, adjusted operating income, adjusted income before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34" w:lineRule="exact"/>
        <w:rPr>
          <w:sz w:val="20"/>
          <w:szCs w:val="20"/>
          <w:color w:val="auto"/>
        </w:rPr>
      </w:pPr>
    </w:p>
    <w:p>
      <w:pPr>
        <w:jc w:val="both"/>
        <w:spacing w:after="0" w:line="377" w:lineRule="auto"/>
        <w:rPr>
          <w:sz w:val="20"/>
          <w:szCs w:val="20"/>
          <w:color w:val="auto"/>
        </w:rPr>
      </w:pPr>
      <w:r>
        <w:rPr>
          <w:rFonts w:ascii="Arial" w:cs="Arial" w:eastAsia="Arial" w:hAnsi="Arial"/>
          <w:sz w:val="19"/>
          <w:szCs w:val="19"/>
          <w:color w:val="auto"/>
        </w:rPr>
        <w:t>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1"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91"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spacing w:after="0" w:line="188"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VNS Therapy and Essenz are trademarks of LivaNova USA, Inc.</w:t>
      </w: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Briana Gotlin</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Vice President, Investor Relations</w:t>
      </w:r>
    </w:p>
    <w:p>
      <w:pPr>
        <w:ind w:left="80"/>
        <w:spacing w:after="0"/>
        <w:rPr>
          <w:sz w:val="20"/>
          <w:szCs w:val="20"/>
          <w:color w:val="auto"/>
        </w:rPr>
      </w:pPr>
      <w:r>
        <w:rPr>
          <w:rFonts w:ascii="Arial" w:cs="Arial" w:eastAsia="Arial" w:hAnsi="Arial"/>
          <w:sz w:val="20"/>
          <w:szCs w:val="20"/>
          <w:color w:val="auto"/>
        </w:rPr>
        <w:t>Phone: +1 281 895 2382</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NET REVENUE - UNAUDITED</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0" w:type="dxa"/>
            <w:vAlign w:val="bottom"/>
            <w:gridSpan w:val="4"/>
            <w:vMerge w:val="restart"/>
          </w:tcPr>
          <w:p>
            <w:pPr>
              <w:ind w:left="540"/>
              <w:spacing w:after="0"/>
              <w:rPr>
                <w:sz w:val="20"/>
                <w:szCs w:val="20"/>
                <w:color w:val="auto"/>
              </w:rPr>
            </w:pPr>
            <w:r>
              <w:rPr>
                <w:rFonts w:ascii="Arial" w:cs="Arial" w:eastAsia="Arial" w:hAnsi="Arial"/>
                <w:sz w:val="18"/>
                <w:szCs w:val="18"/>
                <w:b w:val="1"/>
                <w:bCs w:val="1"/>
                <w:color w:val="auto"/>
              </w:rPr>
              <w:t>Three Months Ended December 31,</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800" w:type="dxa"/>
            <w:vAlign w:val="bottom"/>
            <w:vMerge w:val="restart"/>
          </w:tcPr>
          <w:p>
            <w:pPr>
              <w:jc w:val="right"/>
              <w:ind w:right="61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4"/>
                <w:szCs w:val="14"/>
                <w:color w:val="auto"/>
              </w:rPr>
            </w:pPr>
          </w:p>
        </w:tc>
        <w:tc>
          <w:tcPr>
            <w:tcW w:w="1800" w:type="dxa"/>
            <w:vAlign w:val="bottom"/>
            <w:vMerge w:val="restart"/>
          </w:tcPr>
          <w:p>
            <w:pPr>
              <w:jc w:val="right"/>
              <w:ind w:right="61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4"/>
                <w:szCs w:val="14"/>
                <w:color w:val="auto"/>
              </w:rPr>
            </w:pPr>
          </w:p>
        </w:tc>
        <w:tc>
          <w:tcPr>
            <w:tcW w:w="20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 Change</w:t>
            </w:r>
          </w:p>
        </w:tc>
        <w:tc>
          <w:tcPr>
            <w:tcW w:w="198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Constant-Currency %</w:t>
            </w:r>
          </w:p>
        </w:tc>
        <w:tc>
          <w:tcPr>
            <w:tcW w:w="0" w:type="dxa"/>
            <w:vAlign w:val="bottom"/>
          </w:tcPr>
          <w:p>
            <w:pPr>
              <w:spacing w:after="0"/>
              <w:rPr>
                <w:sz w:val="1"/>
                <w:szCs w:val="1"/>
                <w:color w:val="auto"/>
              </w:rPr>
            </w:pPr>
          </w:p>
        </w:tc>
      </w:tr>
      <w:tr>
        <w:trPr>
          <w:trHeight w:val="242"/>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3"/>
        </w:trPr>
        <w:tc>
          <w:tcPr>
            <w:tcW w:w="3240" w:type="dxa"/>
            <w:vAlign w:val="bottom"/>
            <w:vMerge w:val="continue"/>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4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8"/>
        </w:trPr>
        <w:tc>
          <w:tcPr>
            <w:tcW w:w="324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6"/>
        </w:trPr>
        <w:tc>
          <w:tcPr>
            <w:tcW w:w="3240" w:type="dxa"/>
            <w:vAlign w:val="bottom"/>
          </w:tcPr>
          <w:p>
            <w:pPr>
              <w:ind w:left="120"/>
              <w:spacing w:after="0" w:line="236"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3"/>
        </w:trPr>
        <w:tc>
          <w:tcPr>
            <w:tcW w:w="324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4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106.5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8"/>
        </w:trPr>
        <w:tc>
          <w:tcPr>
            <w:tcW w:w="324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6"/>
        </w:trPr>
        <w:tc>
          <w:tcPr>
            <w:tcW w:w="3240" w:type="dxa"/>
            <w:vAlign w:val="bottom"/>
          </w:tcPr>
          <w:p>
            <w:pPr>
              <w:ind w:left="120"/>
              <w:spacing w:after="0" w:line="236"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2"/>
        </w:trPr>
        <w:tc>
          <w:tcPr>
            <w:tcW w:w="3240" w:type="dxa"/>
            <w:vAlign w:val="bottom"/>
          </w:tcPr>
          <w:p>
            <w:pPr>
              <w:spacing w:after="0" w:line="222" w:lineRule="exact"/>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3"/>
        </w:trPr>
        <w:tc>
          <w:tcPr>
            <w:tcW w:w="3240" w:type="dxa"/>
            <w:vAlign w:val="bottom"/>
          </w:tcPr>
          <w:p>
            <w:pPr>
              <w:spacing w:after="0" w:line="203" w:lineRule="exact"/>
              <w:rPr>
                <w:sz w:val="20"/>
                <w:szCs w:val="20"/>
                <w:color w:val="auto"/>
              </w:rPr>
            </w:pPr>
            <w:r>
              <w:rPr>
                <w:rFonts w:ascii="Arial" w:cs="Arial" w:eastAsia="Arial" w:hAnsi="Arial"/>
                <w:sz w:val="18"/>
                <w:szCs w:val="18"/>
                <w:b w:val="1"/>
                <w:bCs w:val="1"/>
                <w:color w:val="auto"/>
              </w:rPr>
              <w:t>Totals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40" w:type="dxa"/>
            <w:vAlign w:val="bottom"/>
          </w:tcPr>
          <w:p>
            <w:pPr>
              <w:ind w:left="120"/>
              <w:spacing w:after="0"/>
              <w:rPr>
                <w:sz w:val="20"/>
                <w:szCs w:val="20"/>
                <w:color w:val="auto"/>
              </w:rPr>
            </w:pPr>
            <w:r>
              <w:rPr>
                <w:rFonts w:ascii="Arial" w:cs="Arial" w:eastAsia="Arial" w:hAnsi="Arial"/>
                <w:sz w:val="18"/>
                <w:szCs w:val="18"/>
                <w:color w:val="auto"/>
              </w:rPr>
              <w:t>U.S.</w:t>
            </w:r>
          </w:p>
        </w:tc>
        <w:tc>
          <w:tcPr>
            <w:tcW w:w="180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173.2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8"/>
        </w:trPr>
        <w:tc>
          <w:tcPr>
            <w:tcW w:w="324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3240" w:type="dxa"/>
            <w:vAlign w:val="bottom"/>
          </w:tcPr>
          <w:p>
            <w:pPr>
              <w:ind w:left="120"/>
              <w:spacing w:after="0" w:line="236"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320" w:hanging="313"/>
        <w:spacing w:after="0" w:line="220" w:lineRule="auto"/>
        <w:tabs>
          <w:tab w:leader="none" w:pos="314"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auto"/>
          <w:vertAlign w:val="superscript"/>
        </w:rPr>
      </w:pPr>
    </w:p>
    <w:p>
      <w:pPr>
        <w:ind w:left="320" w:hanging="313"/>
        <w:spacing w:after="0" w:line="219" w:lineRule="auto"/>
        <w:tabs>
          <w:tab w:leader="none" w:pos="314"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spacing w:after="0" w:line="1" w:lineRule="exact"/>
        <w:rPr>
          <w:sz w:val="20"/>
          <w:szCs w:val="20"/>
          <w:color w:val="auto"/>
        </w:rPr>
      </w:pPr>
    </w:p>
    <w:p>
      <w:pPr>
        <w:ind w:left="320" w:hanging="313"/>
        <w:spacing w:after="0" w:line="268" w:lineRule="auto"/>
        <w:tabs>
          <w:tab w:leader="none" w:pos="253" w:val="left"/>
        </w:tabs>
        <w:numPr>
          <w:ilvl w:val="0"/>
          <w:numId w:val="9"/>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NET REVENUE - UNAUDITED</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28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4"/>
            <w:vMerge w:val="restart"/>
          </w:tcPr>
          <w:p>
            <w:pPr>
              <w:ind w:left="940"/>
              <w:spacing w:after="0"/>
              <w:rPr>
                <w:sz w:val="20"/>
                <w:szCs w:val="20"/>
                <w:color w:val="auto"/>
              </w:rPr>
            </w:pPr>
            <w:r>
              <w:rPr>
                <w:rFonts w:ascii="Arial" w:cs="Arial" w:eastAsia="Arial" w:hAnsi="Arial"/>
                <w:sz w:val="18"/>
                <w:szCs w:val="18"/>
                <w:b w:val="1"/>
                <w:bCs w:val="1"/>
                <w:color w:val="auto"/>
              </w:rPr>
              <w:t>Year Ended December 31,</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820" w:type="dxa"/>
            <w:vAlign w:val="bottom"/>
            <w:vMerge w:val="restart"/>
          </w:tcPr>
          <w:p>
            <w:pPr>
              <w:jc w:val="right"/>
              <w:ind w:right="6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4"/>
                <w:szCs w:val="14"/>
                <w:color w:val="auto"/>
              </w:rPr>
            </w:pPr>
          </w:p>
        </w:tc>
        <w:tc>
          <w:tcPr>
            <w:tcW w:w="1820" w:type="dxa"/>
            <w:vAlign w:val="bottom"/>
            <w:vMerge w:val="restart"/>
          </w:tcPr>
          <w:p>
            <w:pPr>
              <w:jc w:val="right"/>
              <w:ind w:right="63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20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 Change</w:t>
            </w:r>
          </w:p>
        </w:tc>
        <w:tc>
          <w:tcPr>
            <w:tcW w:w="198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Constant-Currency %</w:t>
            </w:r>
          </w:p>
        </w:tc>
        <w:tc>
          <w:tcPr>
            <w:tcW w:w="0" w:type="dxa"/>
            <w:vAlign w:val="bottom"/>
          </w:tcPr>
          <w:p>
            <w:pPr>
              <w:spacing w:after="0"/>
              <w:rPr>
                <w:sz w:val="1"/>
                <w:szCs w:val="1"/>
                <w:color w:val="auto"/>
              </w:rPr>
            </w:pPr>
          </w:p>
        </w:tc>
      </w:tr>
      <w:tr>
        <w:trPr>
          <w:trHeight w:val="242"/>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1980" w:type="dxa"/>
            <w:vAlign w:val="bottom"/>
          </w:tcPr>
          <w:p>
            <w:pPr>
              <w:jc w:val="right"/>
              <w:ind w:right="57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ind w:left="120"/>
              <w:spacing w:after="0"/>
              <w:rPr>
                <w:sz w:val="20"/>
                <w:szCs w:val="20"/>
                <w:color w:val="auto"/>
              </w:rPr>
            </w:pPr>
            <w:r>
              <w:rPr>
                <w:rFonts w:ascii="Arial" w:cs="Arial" w:eastAsia="Arial" w:hAnsi="Arial"/>
                <w:sz w:val="18"/>
                <w:szCs w:val="18"/>
                <w:color w:val="auto"/>
              </w:rPr>
              <w:t>U.S.</w:t>
            </w:r>
          </w:p>
        </w:tc>
        <w:tc>
          <w:tcPr>
            <w:tcW w:w="182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$202.4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8"/>
        </w:trPr>
        <w:tc>
          <w:tcPr>
            <w:tcW w:w="328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157.4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6"/>
        </w:trPr>
        <w:tc>
          <w:tcPr>
            <w:tcW w:w="3280" w:type="dxa"/>
            <w:vAlign w:val="bottom"/>
          </w:tcPr>
          <w:p>
            <w:pPr>
              <w:ind w:left="120"/>
              <w:spacing w:after="0" w:line="236"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2"/>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ind w:left="120"/>
              <w:spacing w:after="0"/>
              <w:rPr>
                <w:sz w:val="20"/>
                <w:szCs w:val="20"/>
                <w:color w:val="auto"/>
              </w:rPr>
            </w:pPr>
            <w:r>
              <w:rPr>
                <w:rFonts w:ascii="Arial" w:cs="Arial" w:eastAsia="Arial" w:hAnsi="Arial"/>
                <w:sz w:val="18"/>
                <w:szCs w:val="18"/>
                <w:color w:val="auto"/>
              </w:rPr>
              <w:t>U.S.</w:t>
            </w:r>
          </w:p>
        </w:tc>
        <w:tc>
          <w:tcPr>
            <w:tcW w:w="182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407.5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8"/>
        </w:trPr>
        <w:tc>
          <w:tcPr>
            <w:tcW w:w="328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6"/>
        </w:trPr>
        <w:tc>
          <w:tcPr>
            <w:tcW w:w="3280" w:type="dxa"/>
            <w:vAlign w:val="bottom"/>
          </w:tcPr>
          <w:p>
            <w:pPr>
              <w:ind w:left="120"/>
              <w:spacing w:after="0" w:line="236"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2"/>
        </w:trPr>
        <w:tc>
          <w:tcPr>
            <w:tcW w:w="3280" w:type="dxa"/>
            <w:vAlign w:val="bottom"/>
          </w:tcPr>
          <w:p>
            <w:pPr>
              <w:spacing w:after="0" w:line="222" w:lineRule="exact"/>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Arial" w:cs="Arial" w:eastAsia="Arial" w:hAnsi="Arial"/>
                <w:sz w:val="18"/>
                <w:szCs w:val="18"/>
                <w:b w:val="1"/>
                <w:bCs w:val="1"/>
                <w:color w:val="auto"/>
              </w:rPr>
              <w:t>Totals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ind w:left="120"/>
              <w:spacing w:after="0"/>
              <w:rPr>
                <w:sz w:val="20"/>
                <w:szCs w:val="20"/>
                <w:color w:val="auto"/>
              </w:rPr>
            </w:pPr>
            <w:r>
              <w:rPr>
                <w:rFonts w:ascii="Arial" w:cs="Arial" w:eastAsia="Arial" w:hAnsi="Arial"/>
                <w:sz w:val="18"/>
                <w:szCs w:val="18"/>
                <w:color w:val="auto"/>
              </w:rPr>
              <w:t>U.S.</w:t>
            </w:r>
          </w:p>
        </w:tc>
        <w:tc>
          <w:tcPr>
            <w:tcW w:w="182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635.0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8"/>
        </w:trPr>
        <w:tc>
          <w:tcPr>
            <w:tcW w:w="328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214.8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6"/>
        </w:trPr>
        <w:tc>
          <w:tcPr>
            <w:tcW w:w="3280" w:type="dxa"/>
            <w:vAlign w:val="bottom"/>
          </w:tcPr>
          <w:p>
            <w:pPr>
              <w:ind w:left="120"/>
              <w:spacing w:after="0" w:line="236"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320" w:hanging="313"/>
        <w:spacing w:after="0" w:line="220" w:lineRule="auto"/>
        <w:tabs>
          <w:tab w:leader="none" w:pos="314"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segments.</w:t>
      </w:r>
    </w:p>
    <w:p>
      <w:pPr>
        <w:spacing w:after="0" w:line="4" w:lineRule="exact"/>
        <w:rPr>
          <w:sz w:val="20"/>
          <w:szCs w:val="20"/>
          <w:color w:val="auto"/>
        </w:rPr>
      </w:pPr>
    </w:p>
    <w:p>
      <w:pPr>
        <w:ind w:left="320" w:hanging="313"/>
        <w:spacing w:after="0" w:line="268" w:lineRule="auto"/>
        <w:tabs>
          <w:tab w:leader="none" w:pos="25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LIVANOVA PLC AND SUBSIDIARIES</w:t>
      </w:r>
    </w:p>
    <w:p>
      <w:pPr>
        <w:spacing w:after="0" w:line="39" w:lineRule="exact"/>
        <w:rPr>
          <w:sz w:val="20"/>
          <w:szCs w:val="20"/>
          <w:color w:val="auto"/>
        </w:rPr>
      </w:pPr>
    </w:p>
    <w:p>
      <w:pPr>
        <w:ind w:left="33" w:right="5060"/>
        <w:spacing w:after="0" w:line="289"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208" w:lineRule="exact"/>
        <w:rPr>
          <w:sz w:val="20"/>
          <w:szCs w:val="20"/>
          <w:color w:val="auto"/>
        </w:rPr>
      </w:pPr>
    </w:p>
    <w:p>
      <w:pPr>
        <w:ind w:left="7793"/>
        <w:spacing w:after="0"/>
        <w:rPr>
          <w:sz w:val="20"/>
          <w:szCs w:val="20"/>
          <w:color w:val="auto"/>
        </w:rPr>
      </w:pPr>
      <w:r>
        <w:rPr>
          <w:rFonts w:ascii="Arial" w:cs="Arial" w:eastAsia="Arial" w:hAnsi="Arial"/>
          <w:sz w:val="18"/>
          <w:szCs w:val="18"/>
          <w:b w:val="1"/>
          <w:bCs w:val="1"/>
          <w:color w:val="auto"/>
        </w:rPr>
        <w:t>Three Months Ended December 31,</w:t>
      </w:r>
    </w:p>
    <w:p>
      <w:pPr>
        <w:spacing w:after="0" w:line="27" w:lineRule="exact"/>
        <w:rPr>
          <w:sz w:val="20"/>
          <w:szCs w:val="20"/>
          <w:color w:val="auto"/>
        </w:rPr>
      </w:pPr>
    </w:p>
    <w:tbl>
      <w:tblPr>
        <w:tblLayout w:type="fixed"/>
        <w:tblInd w:w="33" w:type="dxa"/>
        <w:tblCellMar>
          <w:top w:w="0" w:type="dxa"/>
          <w:left w:w="0" w:type="dxa"/>
          <w:bottom w:w="0" w:type="dxa"/>
          <w:right w:w="0" w:type="dxa"/>
        </w:tblCellMar>
      </w:tblPr>
      <w:tr>
        <w:trPr>
          <w:trHeight w:val="222"/>
        </w:trPr>
        <w:tc>
          <w:tcPr>
            <w:tcW w:w="73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2023</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revenue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$310.1</w:t>
            </w: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2"/>
        </w:trPr>
        <w:tc>
          <w:tcPr>
            <w:tcW w:w="73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03"/>
        </w:trPr>
        <w:tc>
          <w:tcPr>
            <w:tcW w:w="73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8"/>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28"/>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8"/>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Impairment of long-lived assets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4"/>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Other operating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4"/>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Income (loss) before tax</w:t>
            </w:r>
          </w:p>
        </w:tc>
        <w:tc>
          <w:tcPr>
            <w:tcW w:w="1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22"/>
        </w:trPr>
        <w:tc>
          <w:tcPr>
            <w:tcW w:w="734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7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458"/>
        </w:trPr>
        <w:tc>
          <w:tcPr>
            <w:tcW w:w="852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36"/>
        </w:trPr>
        <w:tc>
          <w:tcPr>
            <w:tcW w:w="852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489"/>
        </w:trPr>
        <w:tc>
          <w:tcPr>
            <w:tcW w:w="85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8"/>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6"/>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54.3</w:t>
            </w:r>
          </w:p>
        </w:tc>
      </w:tr>
    </w:tbl>
    <w:p>
      <w:pPr>
        <w:spacing w:after="0" w:line="171" w:lineRule="exact"/>
        <w:rPr>
          <w:sz w:val="20"/>
          <w:szCs w:val="20"/>
          <w:color w:val="auto"/>
        </w:rPr>
      </w:pPr>
    </w:p>
    <w:p>
      <w:pPr>
        <w:ind w:left="233" w:hanging="233"/>
        <w:spacing w:after="0"/>
        <w:tabs>
          <w:tab w:leader="none" w:pos="233"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13"/>
          </w:cols>
          <w:pgMar w:left="327" w:top="1440" w:right="359" w:bottom="1440" w:gutter="0" w:footer="0" w:header="0"/>
        </w:sectPr>
      </w:pPr>
    </w:p>
    <w:bookmarkStart w:id="14" w:name="page15"/>
    <w:bookmarkEnd w:id="14"/>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 - Unaudited</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7160" w:type="dxa"/>
            <w:vAlign w:val="bottom"/>
          </w:tcPr>
          <w:p>
            <w:pPr>
              <w:spacing w:after="0"/>
              <w:rPr>
                <w:sz w:val="24"/>
                <w:szCs w:val="24"/>
                <w:color w:val="auto"/>
              </w:rPr>
            </w:pPr>
          </w:p>
        </w:tc>
        <w:tc>
          <w:tcPr>
            <w:tcW w:w="37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8"/>
                <w:szCs w:val="18"/>
                <w:b w:val="1"/>
                <w:bCs w:val="1"/>
                <w:color w:val="auto"/>
              </w:rPr>
              <w:t>Three Months Ended December 31,</w:t>
            </w:r>
          </w:p>
        </w:tc>
        <w:tc>
          <w:tcPr>
            <w:tcW w:w="0" w:type="dxa"/>
            <w:vAlign w:val="bottom"/>
          </w:tcPr>
          <w:p>
            <w:pPr>
              <w:spacing w:after="0"/>
              <w:rPr>
                <w:sz w:val="1"/>
                <w:szCs w:val="1"/>
                <w:color w:val="auto"/>
              </w:rPr>
            </w:pPr>
          </w:p>
        </w:tc>
      </w:tr>
      <w:tr>
        <w:trPr>
          <w:trHeight w:val="222"/>
        </w:trPr>
        <w:tc>
          <w:tcPr>
            <w:tcW w:w="7160" w:type="dxa"/>
            <w:vAlign w:val="bottom"/>
            <w:vMerge w:val="restart"/>
          </w:tcPr>
          <w:p>
            <w:pPr>
              <w:ind w:left="20"/>
              <w:spacing w:after="0"/>
              <w:rPr>
                <w:sz w:val="20"/>
                <w:szCs w:val="20"/>
                <w:color w:val="auto"/>
              </w:rPr>
            </w:pPr>
            <w:r>
              <w:rPr>
                <w:rFonts w:ascii="Arial" w:cs="Arial" w:eastAsia="Arial" w:hAnsi="Arial"/>
                <w:sz w:val="18"/>
                <w:szCs w:val="18"/>
                <w:color w:val="auto"/>
              </w:rPr>
              <w:t>Adjusted SG&amp;A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71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8"/>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Adjusted R&amp;D</w:t>
            </w: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8"/>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8"/>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Adjusted 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Adjusted diluted earnings per share</w:t>
            </w:r>
          </w:p>
        </w:tc>
        <w:tc>
          <w:tcPr>
            <w:tcW w:w="66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80" w:type="dxa"/>
            <w:vAlign w:val="bottom"/>
            <w:gridSpan w:val="5"/>
          </w:tcPr>
          <w:p>
            <w:pPr>
              <w:spacing w:after="0"/>
              <w:rPr>
                <w:sz w:val="20"/>
                <w:szCs w:val="20"/>
                <w:color w:val="auto"/>
              </w:rPr>
            </w:pPr>
            <w:r>
              <w:rPr>
                <w:rFonts w:ascii="Arial" w:cs="Arial" w:eastAsia="Arial" w:hAnsi="Arial"/>
                <w:sz w:val="18"/>
                <w:szCs w:val="18"/>
                <w:b w:val="1"/>
                <w:bCs w:val="1"/>
                <w:color w:val="auto"/>
              </w:rPr>
              <w:t>Statistics (as a % of net revenue, except for income tax rate) - Unaudited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300" w:type="dxa"/>
            <w:vAlign w:val="bottom"/>
          </w:tcPr>
          <w:p>
            <w:pPr>
              <w:spacing w:after="0"/>
              <w:rPr>
                <w:sz w:val="24"/>
                <w:szCs w:val="24"/>
                <w:color w:val="auto"/>
              </w:rPr>
            </w:pPr>
          </w:p>
        </w:tc>
        <w:tc>
          <w:tcPr>
            <w:tcW w:w="3180" w:type="dxa"/>
            <w:vAlign w:val="bottom"/>
            <w:gridSpan w:val="4"/>
          </w:tcPr>
          <w:p>
            <w:pPr>
              <w:ind w:left="760"/>
              <w:spacing w:after="0"/>
              <w:rPr>
                <w:sz w:val="20"/>
                <w:szCs w:val="20"/>
                <w:color w:val="auto"/>
              </w:rPr>
            </w:pPr>
            <w:r>
              <w:rPr>
                <w:rFonts w:ascii="Arial" w:cs="Arial" w:eastAsia="Arial" w:hAnsi="Arial"/>
                <w:sz w:val="18"/>
                <w:szCs w:val="18"/>
                <w:b w:val="1"/>
                <w:bCs w:val="1"/>
                <w:color w:val="auto"/>
              </w:rPr>
              <w:t>GAAP 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Adjusted Three Months Ended</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3"/>
          </w:tcPr>
          <w:p>
            <w:pPr>
              <w:jc w:val="center"/>
              <w:ind w:left="1151"/>
              <w:spacing w:after="0"/>
              <w:rPr>
                <w:sz w:val="20"/>
                <w:szCs w:val="20"/>
                <w:color w:val="auto"/>
              </w:rPr>
            </w:pPr>
            <w:r>
              <w:rPr>
                <w:rFonts w:ascii="Arial" w:cs="Arial" w:eastAsia="Arial" w:hAnsi="Arial"/>
                <w:sz w:val="18"/>
                <w:szCs w:val="18"/>
                <w:b w:val="1"/>
                <w:bCs w:val="1"/>
                <w:color w:val="auto"/>
                <w:w w:val="99"/>
              </w:rPr>
              <w:t>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Gross profit</w:t>
            </w: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2024</w:t>
            </w:r>
          </w:p>
        </w:tc>
        <w:tc>
          <w:tcPr>
            <w:tcW w:w="1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ind w:right="67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68.2 %</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28"/>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SG&amp;A</w:t>
            </w:r>
          </w:p>
        </w:tc>
        <w:tc>
          <w:tcPr>
            <w:tcW w:w="660" w:type="dxa"/>
            <w:vAlign w:val="bottom"/>
          </w:tcPr>
          <w:p>
            <w:pPr>
              <w:jc w:val="right"/>
              <w:spacing w:after="0"/>
              <w:rPr>
                <w:sz w:val="20"/>
                <w:szCs w:val="20"/>
                <w:color w:val="auto"/>
              </w:rPr>
            </w:pPr>
            <w:r>
              <w:rPr>
                <w:rFonts w:ascii="Arial" w:cs="Arial" w:eastAsia="Arial" w:hAnsi="Arial"/>
                <w:sz w:val="18"/>
                <w:szCs w:val="18"/>
                <w:color w:val="auto"/>
              </w:rPr>
              <w:t>42.1 %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28"/>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R&amp;D</w:t>
            </w:r>
          </w:p>
        </w:tc>
        <w:tc>
          <w:tcPr>
            <w:tcW w:w="66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8"/>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Operating income (loss)</w:t>
            </w:r>
          </w:p>
        </w:tc>
        <w:tc>
          <w:tcPr>
            <w:tcW w:w="660" w:type="dxa"/>
            <w:vAlign w:val="bottom"/>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8"/>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36"/>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Income tax rate</w:t>
            </w: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00"/>
          </w:cols>
          <w:pgMar w:left="320" w:top="1440" w:right="379" w:bottom="1440" w:gutter="0" w:footer="0" w:header="0"/>
        </w:sectPr>
      </w:pPr>
    </w:p>
    <w:bookmarkStart w:id="15" w:name="page16"/>
    <w:bookmarkEnd w:id="15"/>
    <w:p>
      <w:pPr>
        <w:spacing w:after="0" w:line="1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LIVANOVA PLC AND SUBSIDIARIES</w:t>
      </w:r>
    </w:p>
    <w:p>
      <w:pPr>
        <w:spacing w:after="0" w:line="39" w:lineRule="exact"/>
        <w:rPr>
          <w:sz w:val="20"/>
          <w:szCs w:val="20"/>
          <w:color w:val="auto"/>
        </w:rPr>
      </w:pPr>
    </w:p>
    <w:p>
      <w:pPr>
        <w:ind w:left="33" w:right="5060"/>
        <w:spacing w:after="0" w:line="289"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208" w:lineRule="exact"/>
        <w:rPr>
          <w:sz w:val="20"/>
          <w:szCs w:val="20"/>
          <w:color w:val="auto"/>
        </w:rPr>
      </w:pPr>
    </w:p>
    <w:tbl>
      <w:tblPr>
        <w:tblLayout w:type="fixed"/>
        <w:tblInd w:w="33"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88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2"/>
        </w:trPr>
        <w:tc>
          <w:tcPr>
            <w:tcW w:w="730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8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7300" w:type="dxa"/>
            <w:vAlign w:val="bottom"/>
            <w:vMerge w:val="continue"/>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$1,253.4</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r>
              <w:rPr>
                <w:rFonts w:ascii="Arial" w:cs="Arial" w:eastAsia="Arial" w:hAnsi="Arial"/>
                <w:sz w:val="18"/>
                <w:szCs w:val="18"/>
                <w:color w:val="auto"/>
              </w:rPr>
              <w:t>Cost of sales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22"/>
        </w:trPr>
        <w:tc>
          <w:tcPr>
            <w:tcW w:w="730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0" w:type="dxa"/>
            <w:vAlign w:val="bottom"/>
          </w:tcPr>
          <w:p>
            <w:pPr>
              <w:spacing w:after="0"/>
              <w:rPr>
                <w:sz w:val="1"/>
                <w:szCs w:val="1"/>
                <w:color w:val="auto"/>
              </w:rPr>
            </w:pPr>
          </w:p>
        </w:tc>
      </w:tr>
      <w:tr>
        <w:trPr>
          <w:trHeight w:val="203"/>
        </w:trPr>
        <w:tc>
          <w:tcPr>
            <w:tcW w:w="73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80" w:type="dxa"/>
            <w:vAlign w:val="bottom"/>
          </w:tcPr>
          <w:p>
            <w:pPr>
              <w:jc w:val="right"/>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28"/>
        </w:trPr>
        <w:tc>
          <w:tcPr>
            <w:tcW w:w="73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8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28"/>
        </w:trPr>
        <w:tc>
          <w:tcPr>
            <w:tcW w:w="730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4"/>
        </w:trPr>
        <w:tc>
          <w:tcPr>
            <w:tcW w:w="73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8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8"/>
        </w:trPr>
        <w:tc>
          <w:tcPr>
            <w:tcW w:w="730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18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30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Income (loss) before tax</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18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4"/>
        </w:trPr>
        <w:tc>
          <w:tcPr>
            <w:tcW w:w="7300" w:type="dxa"/>
            <w:vAlign w:val="bottom"/>
          </w:tcPr>
          <w:p>
            <w:pPr>
              <w:ind w:left="120"/>
              <w:spacing w:after="0"/>
              <w:rPr>
                <w:sz w:val="20"/>
                <w:szCs w:val="20"/>
                <w:color w:val="auto"/>
              </w:rPr>
            </w:pPr>
            <w:r>
              <w:rPr>
                <w:rFonts w:ascii="Arial" w:cs="Arial" w:eastAsia="Arial" w:hAnsi="Arial"/>
                <w:sz w:val="18"/>
                <w:szCs w:val="18"/>
                <w:color w:val="auto"/>
              </w:rPr>
              <w:t>Loss from equity method investments</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7300" w:type="dxa"/>
            <w:vAlign w:val="bottom"/>
          </w:tcPr>
          <w:p>
            <w:pPr>
              <w:spacing w:after="0"/>
              <w:rPr>
                <w:sz w:val="20"/>
                <w:szCs w:val="20"/>
                <w:color w:val="auto"/>
              </w:rPr>
            </w:pPr>
            <w:r>
              <w:rPr>
                <w:rFonts w:ascii="Arial" w:cs="Arial" w:eastAsia="Arial" w:hAnsi="Arial"/>
                <w:sz w:val="18"/>
                <w:szCs w:val="18"/>
                <w:color w:val="auto"/>
              </w:rPr>
              <w:t>Basic income per share</w:t>
            </w:r>
          </w:p>
        </w:tc>
        <w:tc>
          <w:tcPr>
            <w:tcW w:w="18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6"/>
        </w:trPr>
        <w:tc>
          <w:tcPr>
            <w:tcW w:w="730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8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489"/>
        </w:trPr>
        <w:tc>
          <w:tcPr>
            <w:tcW w:w="73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120"/>
              <w:spacing w:after="0"/>
              <w:rPr>
                <w:sz w:val="20"/>
                <w:szCs w:val="20"/>
                <w:color w:val="auto"/>
              </w:rPr>
            </w:pPr>
            <w:r>
              <w:rPr>
                <w:rFonts w:ascii="Arial" w:cs="Arial" w:eastAsia="Arial" w:hAnsi="Arial"/>
                <w:sz w:val="18"/>
                <w:szCs w:val="18"/>
                <w:color w:val="auto"/>
              </w:rPr>
              <w:t>Basic</w:t>
            </w:r>
          </w:p>
        </w:tc>
        <w:tc>
          <w:tcPr>
            <w:tcW w:w="188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6"/>
        </w:trPr>
        <w:tc>
          <w:tcPr>
            <w:tcW w:w="7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8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33" w:hanging="233"/>
        <w:spacing w:after="0"/>
        <w:tabs>
          <w:tab w:leader="none" w:pos="233"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13"/>
          </w:cols>
          <w:pgMar w:left="327" w:top="1440" w:right="359" w:bottom="1440" w:gutter="0" w:footer="0" w:header="0"/>
        </w:sectPr>
      </w:pPr>
    </w:p>
    <w:bookmarkStart w:id="16" w:name="page17"/>
    <w:bookmarkEnd w:id="16"/>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 - Unaudited</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732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20" w:type="dxa"/>
            <w:vAlign w:val="bottom"/>
            <w:vMerge w:val="restart"/>
          </w:tcPr>
          <w:p>
            <w:pPr>
              <w:ind w:left="20"/>
              <w:spacing w:after="0"/>
              <w:rPr>
                <w:sz w:val="20"/>
                <w:szCs w:val="20"/>
                <w:color w:val="auto"/>
              </w:rPr>
            </w:pPr>
            <w:r>
              <w:rPr>
                <w:rFonts w:ascii="Arial" w:cs="Arial" w:eastAsia="Arial" w:hAnsi="Arial"/>
                <w:sz w:val="18"/>
                <w:szCs w:val="18"/>
                <w:color w:val="auto"/>
              </w:rPr>
              <w:t>Adjusted SG&amp;A</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$456.0</w:t>
            </w:r>
          </w:p>
        </w:tc>
        <w:tc>
          <w:tcPr>
            <w:tcW w:w="0" w:type="dxa"/>
            <w:vAlign w:val="bottom"/>
          </w:tcPr>
          <w:p>
            <w:pPr>
              <w:spacing w:after="0"/>
              <w:rPr>
                <w:sz w:val="1"/>
                <w:szCs w:val="1"/>
                <w:color w:val="auto"/>
              </w:rPr>
            </w:pPr>
          </w:p>
        </w:tc>
      </w:tr>
      <w:tr>
        <w:trPr>
          <w:trHeight w:val="228"/>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Adjusted R&amp;D</w:t>
            </w:r>
          </w:p>
        </w:tc>
        <w:tc>
          <w:tcPr>
            <w:tcW w:w="640" w:type="dxa"/>
            <w:vAlign w:val="bottom"/>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8"/>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8"/>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Adjusted 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6"/>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Adjusted diluted earnings per share</w:t>
            </w:r>
          </w:p>
        </w:tc>
        <w:tc>
          <w:tcPr>
            <w:tcW w:w="6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40" w:type="dxa"/>
            <w:vAlign w:val="bottom"/>
            <w:gridSpan w:val="5"/>
          </w:tcPr>
          <w:p>
            <w:pPr>
              <w:spacing w:after="0"/>
              <w:rPr>
                <w:sz w:val="20"/>
                <w:szCs w:val="20"/>
                <w:color w:val="auto"/>
              </w:rPr>
            </w:pPr>
            <w:r>
              <w:rPr>
                <w:rFonts w:ascii="Arial" w:cs="Arial" w:eastAsia="Arial" w:hAnsi="Arial"/>
                <w:sz w:val="18"/>
                <w:szCs w:val="18"/>
                <w:b w:val="1"/>
                <w:bCs w:val="1"/>
                <w:color w:val="auto"/>
              </w:rPr>
              <w:t>Statistics (as a % of net revenue, except for income tax rate) - Unaudited</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8"/>
              </w:rPr>
              <w:t>GAAP 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Adjusted Year Ended</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9"/>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Borders>
              <w:bottom w:val="single" w:sz="8" w:color="auto"/>
            </w:tcBorders>
            <w:gridSpan w:val="3"/>
          </w:tcPr>
          <w:p>
            <w:pPr>
              <w:jc w:val="center"/>
              <w:ind w:left="1191"/>
              <w:spacing w:after="0"/>
              <w:rPr>
                <w:sz w:val="20"/>
                <w:szCs w:val="20"/>
                <w:color w:val="auto"/>
              </w:rPr>
            </w:pPr>
            <w:r>
              <w:rPr>
                <w:rFonts w:ascii="Arial" w:cs="Arial" w:eastAsia="Arial" w:hAnsi="Arial"/>
                <w:sz w:val="18"/>
                <w:szCs w:val="18"/>
                <w:b w:val="1"/>
                <w:bCs w:val="1"/>
                <w:color w:val="auto"/>
                <w:w w:val="99"/>
              </w:rPr>
              <w:t>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20" w:type="dxa"/>
            <w:vAlign w:val="bottom"/>
            <w:vMerge w:val="restart"/>
          </w:tcPr>
          <w:p>
            <w:pPr>
              <w:ind w:left="40"/>
              <w:spacing w:after="0"/>
              <w:rPr>
                <w:sz w:val="20"/>
                <w:szCs w:val="20"/>
                <w:color w:val="auto"/>
              </w:rPr>
            </w:pPr>
            <w:r>
              <w:rPr>
                <w:rFonts w:ascii="Arial" w:cs="Arial" w:eastAsia="Arial" w:hAnsi="Arial"/>
                <w:sz w:val="18"/>
                <w:szCs w:val="18"/>
                <w:color w:val="auto"/>
              </w:rPr>
              <w:t>Gross profit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2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ind w:right="6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ind w:right="67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70.2 %</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69.6 %</w:t>
            </w:r>
          </w:p>
        </w:tc>
        <w:tc>
          <w:tcPr>
            <w:tcW w:w="0" w:type="dxa"/>
            <w:vAlign w:val="bottom"/>
          </w:tcPr>
          <w:p>
            <w:pPr>
              <w:spacing w:after="0"/>
              <w:rPr>
                <w:sz w:val="1"/>
                <w:szCs w:val="1"/>
                <w:color w:val="auto"/>
              </w:rPr>
            </w:pPr>
          </w:p>
        </w:tc>
      </w:tr>
      <w:tr>
        <w:trPr>
          <w:trHeight w:val="228"/>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42.0 %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37.4 %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28"/>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8"/>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8"/>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36"/>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121.7 %</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20" w:top="1440"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3"/>
                <w:szCs w:val="13"/>
                <w:b w:val="1"/>
                <w:bCs w:val="1"/>
                <w:color w:val="auto"/>
              </w:rPr>
              <w:t>Specified Items</w:t>
            </w:r>
          </w:p>
        </w:tc>
        <w:tc>
          <w:tcPr>
            <w:tcW w:w="3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Depreciation</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Financing</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900" w:type="dxa"/>
            <w:vAlign w:val="bottom"/>
            <w:gridSpan w:val="2"/>
            <w:vMerge w:val="restart"/>
          </w:tcPr>
          <w:p>
            <w:pPr>
              <w:jc w:val="right"/>
              <w:ind w:right="41"/>
              <w:spacing w:after="0"/>
              <w:rPr>
                <w:sz w:val="20"/>
                <w:szCs w:val="20"/>
                <w:color w:val="auto"/>
              </w:rPr>
            </w:pPr>
            <w:r>
              <w:rPr>
                <w:rFonts w:ascii="Arial" w:cs="Arial" w:eastAsia="Arial" w:hAnsi="Arial"/>
                <w:sz w:val="13"/>
                <w:szCs w:val="13"/>
                <w:b w:val="1"/>
                <w:bCs w:val="1"/>
                <w:color w:val="auto"/>
                <w:w w:val="97"/>
              </w:rPr>
              <w:t>Certain Legal</w:t>
            </w:r>
          </w:p>
        </w:tc>
        <w:tc>
          <w:tcPr>
            <w:tcW w:w="1040" w:type="dxa"/>
            <w:vAlign w:val="bottom"/>
            <w:gridSpan w:val="2"/>
            <w:vMerge w:val="restart"/>
          </w:tcPr>
          <w:p>
            <w:pPr>
              <w:jc w:val="right"/>
              <w:ind w:right="122"/>
              <w:spacing w:after="0"/>
              <w:rPr>
                <w:sz w:val="20"/>
                <w:szCs w:val="20"/>
                <w:color w:val="auto"/>
              </w:rPr>
            </w:pPr>
            <w:r>
              <w:rPr>
                <w:rFonts w:ascii="Arial" w:cs="Arial" w:eastAsia="Arial" w:hAnsi="Arial"/>
                <w:sz w:val="13"/>
                <w:szCs w:val="13"/>
                <w:b w:val="1"/>
                <w:bCs w:val="1"/>
                <w:color w:val="auto"/>
              </w:rPr>
              <w:t>Stock-based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21"/>
        </w:trPr>
        <w:tc>
          <w:tcPr>
            <w:tcW w:w="2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720" w:type="dxa"/>
            <w:vAlign w:val="bottom"/>
            <w:vMerge w:val="continue"/>
          </w:tcPr>
          <w:p>
            <w:pPr>
              <w:spacing w:after="0"/>
              <w:rPr>
                <w:sz w:val="10"/>
                <w:szCs w:val="10"/>
                <w:color w:val="auto"/>
              </w:rPr>
            </w:pPr>
          </w:p>
        </w:tc>
        <w:tc>
          <w:tcPr>
            <w:tcW w:w="1000" w:type="dxa"/>
            <w:vAlign w:val="bottom"/>
            <w:gridSpan w:val="2"/>
            <w:vMerge w:val="restart"/>
          </w:tcPr>
          <w:p>
            <w:pPr>
              <w:jc w:val="right"/>
              <w:ind w:right="85"/>
              <w:spacing w:after="0"/>
              <w:rPr>
                <w:sz w:val="20"/>
                <w:szCs w:val="20"/>
                <w:color w:val="auto"/>
              </w:rPr>
            </w:pPr>
            <w:r>
              <w:rPr>
                <w:rFonts w:ascii="Arial" w:cs="Arial" w:eastAsia="Arial" w:hAnsi="Arial"/>
                <w:sz w:val="13"/>
                <w:szCs w:val="13"/>
                <w:b w:val="1"/>
                <w:bCs w:val="1"/>
                <w:color w:val="auto"/>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7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1000" w:type="dxa"/>
            <w:vAlign w:val="bottom"/>
            <w:gridSpan w:val="2"/>
            <w:vMerge w:val="continue"/>
          </w:tcPr>
          <w:p>
            <w:pPr>
              <w:spacing w:after="0"/>
              <w:rPr>
                <w:sz w:val="8"/>
                <w:szCs w:val="8"/>
                <w:color w:val="auto"/>
              </w:rPr>
            </w:pPr>
          </w:p>
        </w:tc>
        <w:tc>
          <w:tcPr>
            <w:tcW w:w="9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Amortization</w:t>
            </w:r>
          </w:p>
        </w:tc>
        <w:tc>
          <w:tcPr>
            <w:tcW w:w="920" w:type="dxa"/>
            <w:vAlign w:val="bottom"/>
            <w:vMerge w:val="restart"/>
          </w:tcPr>
          <w:p>
            <w:pPr>
              <w:jc w:val="center"/>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980" w:type="dxa"/>
            <w:vAlign w:val="bottom"/>
            <w:vMerge w:val="restart"/>
          </w:tcPr>
          <w:p>
            <w:pPr>
              <w:jc w:val="center"/>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900" w:type="dxa"/>
            <w:vAlign w:val="bottom"/>
            <w:gridSpan w:val="2"/>
          </w:tcPr>
          <w:p>
            <w:pPr>
              <w:jc w:val="right"/>
              <w:ind w:right="41"/>
              <w:spacing w:after="0" w:line="94" w:lineRule="exact"/>
              <w:rPr>
                <w:sz w:val="20"/>
                <w:szCs w:val="20"/>
                <w:color w:val="auto"/>
              </w:rPr>
            </w:pPr>
            <w:r>
              <w:rPr>
                <w:rFonts w:ascii="Arial" w:cs="Arial" w:eastAsia="Arial" w:hAnsi="Arial"/>
                <w:sz w:val="10"/>
                <w:szCs w:val="10"/>
                <w:b w:val="1"/>
                <w:bCs w:val="1"/>
                <w:color w:val="auto"/>
              </w:rPr>
              <w:t>&amp; Regulatory</w:t>
            </w:r>
          </w:p>
        </w:tc>
        <w:tc>
          <w:tcPr>
            <w:tcW w:w="1040" w:type="dxa"/>
            <w:vAlign w:val="bottom"/>
            <w:gridSpan w:val="2"/>
          </w:tcPr>
          <w:p>
            <w:pPr>
              <w:jc w:val="right"/>
              <w:ind w:right="62"/>
              <w:spacing w:after="0" w:line="94" w:lineRule="exact"/>
              <w:rPr>
                <w:sz w:val="20"/>
                <w:szCs w:val="20"/>
                <w:color w:val="auto"/>
              </w:rPr>
            </w:pPr>
            <w:r>
              <w:rPr>
                <w:rFonts w:ascii="Arial" w:cs="Arial" w:eastAsia="Arial" w:hAnsi="Arial"/>
                <w:sz w:val="10"/>
                <w:szCs w:val="10"/>
                <w:b w:val="1"/>
                <w:bCs w:val="1"/>
                <w:color w:val="auto"/>
              </w:rPr>
              <w:t>Compensation</w:t>
            </w:r>
          </w:p>
        </w:tc>
        <w:tc>
          <w:tcPr>
            <w:tcW w:w="920" w:type="dxa"/>
            <w:vAlign w:val="bottom"/>
            <w:vMerge w:val="restart"/>
          </w:tcPr>
          <w:p>
            <w:pPr>
              <w:jc w:val="center"/>
              <w:ind w:right="19"/>
              <w:spacing w:after="0" w:line="121" w:lineRule="exact"/>
              <w:rPr>
                <w:sz w:val="20"/>
                <w:szCs w:val="20"/>
                <w:color w:val="auto"/>
              </w:rPr>
            </w:pPr>
            <w:r>
              <w:rPr>
                <w:rFonts w:ascii="Arial" w:cs="Arial" w:eastAsia="Arial" w:hAnsi="Arial"/>
                <w:sz w:val="13"/>
                <w:szCs w:val="13"/>
                <w:b w:val="1"/>
                <w:bCs w:val="1"/>
                <w:color w:val="auto"/>
                <w:w w:val="96"/>
              </w:rPr>
              <w:t>Adjustments</w:t>
            </w:r>
          </w:p>
        </w:tc>
        <w:tc>
          <w:tcPr>
            <w:tcW w:w="900" w:type="dxa"/>
            <w:vAlign w:val="bottom"/>
            <w:vMerge w:val="restart"/>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2024</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5"/>
              </w:rPr>
              <w:t>Expenses</w:t>
            </w:r>
          </w:p>
        </w:tc>
        <w:tc>
          <w:tcPr>
            <w:tcW w:w="260" w:type="dxa"/>
            <w:vAlign w:val="bottom"/>
          </w:tcPr>
          <w:p>
            <w:pPr>
              <w:jc w:val="center"/>
              <w:ind w:right="145"/>
              <w:spacing w:after="0" w:line="27" w:lineRule="exact"/>
              <w:rPr>
                <w:sz w:val="20"/>
                <w:szCs w:val="20"/>
                <w:color w:val="auto"/>
              </w:rPr>
            </w:pPr>
            <w:r>
              <w:rPr>
                <w:rFonts w:ascii="Arial" w:cs="Arial" w:eastAsia="Arial" w:hAnsi="Arial"/>
                <w:sz w:val="3"/>
                <w:szCs w:val="3"/>
                <w:b w:val="1"/>
                <w:bCs w:val="1"/>
                <w:color w:val="auto"/>
              </w:rPr>
              <w:t>(1)</w:t>
            </w:r>
          </w:p>
        </w:tc>
        <w:tc>
          <w:tcPr>
            <w:tcW w:w="920" w:type="dxa"/>
            <w:vAlign w:val="bottom"/>
            <w:vMerge w:val="restart"/>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Expenses </w:t>
            </w:r>
            <w:r>
              <w:rPr>
                <w:rFonts w:ascii="Arial" w:cs="Arial" w:eastAsia="Arial" w:hAnsi="Arial"/>
                <w:sz w:val="16"/>
                <w:szCs w:val="16"/>
                <w:b w:val="1"/>
                <w:bCs w:val="1"/>
                <w:color w:val="auto"/>
                <w:w w:val="90"/>
                <w:vertAlign w:val="superscript"/>
              </w:rPr>
              <w:t>(2)</w:t>
            </w:r>
          </w:p>
        </w:tc>
        <w:tc>
          <w:tcPr>
            <w:tcW w:w="9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b w:val="1"/>
                <w:bCs w:val="1"/>
                <w:color w:val="auto"/>
                <w:w w:val="99"/>
              </w:rPr>
              <w:t>Costs</w:t>
            </w:r>
          </w:p>
        </w:tc>
        <w:tc>
          <w:tcPr>
            <w:tcW w:w="340" w:type="dxa"/>
            <w:vAlign w:val="bottom"/>
          </w:tcPr>
          <w:p>
            <w:pPr>
              <w:jc w:val="right"/>
              <w:ind w:right="201"/>
              <w:spacing w:after="0" w:line="27" w:lineRule="exact"/>
              <w:rPr>
                <w:sz w:val="20"/>
                <w:szCs w:val="20"/>
                <w:color w:val="auto"/>
              </w:rPr>
            </w:pPr>
            <w:r>
              <w:rPr>
                <w:rFonts w:ascii="Arial" w:cs="Arial" w:eastAsia="Arial" w:hAnsi="Arial"/>
                <w:sz w:val="3"/>
                <w:szCs w:val="3"/>
                <w:b w:val="1"/>
                <w:bCs w:val="1"/>
                <w:color w:val="auto"/>
              </w:rPr>
              <w:t>(5)</w:t>
            </w:r>
          </w:p>
        </w:tc>
        <w:tc>
          <w:tcPr>
            <w:tcW w:w="6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4"/>
              </w:rPr>
              <w:t>Costs</w:t>
            </w:r>
          </w:p>
        </w:tc>
        <w:tc>
          <w:tcPr>
            <w:tcW w:w="440" w:type="dxa"/>
            <w:vAlign w:val="bottom"/>
          </w:tcPr>
          <w:p>
            <w:pPr>
              <w:jc w:val="right"/>
              <w:ind w:right="262"/>
              <w:spacing w:after="0" w:line="27" w:lineRule="exact"/>
              <w:rPr>
                <w:sz w:val="20"/>
                <w:szCs w:val="20"/>
                <w:color w:val="auto"/>
              </w:rPr>
            </w:pPr>
            <w:r>
              <w:rPr>
                <w:rFonts w:ascii="Arial" w:cs="Arial" w:eastAsia="Arial" w:hAnsi="Arial"/>
                <w:sz w:val="3"/>
                <w:szCs w:val="3"/>
                <w:b w:val="1"/>
                <w:bCs w:val="1"/>
                <w:color w:val="auto"/>
              </w:rPr>
              <w:t>(6)</w:t>
            </w:r>
          </w:p>
        </w:tc>
        <w:tc>
          <w:tcPr>
            <w:tcW w:w="92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line="20" w:lineRule="exact"/>
              <w:rPr>
                <w:sz w:val="1"/>
                <w:szCs w:val="1"/>
                <w:color w:val="auto"/>
              </w:rPr>
            </w:pPr>
          </w:p>
        </w:tc>
      </w:tr>
      <w:tr>
        <w:trPr>
          <w:trHeight w:val="148"/>
        </w:trPr>
        <w:tc>
          <w:tcPr>
            <w:tcW w:w="22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w:t>
            </w:r>
          </w:p>
        </w:tc>
        <w:tc>
          <w:tcPr>
            <w:tcW w:w="56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(8)</w:t>
            </w: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$102.5</w:t>
            </w:r>
          </w:p>
        </w:tc>
        <w:tc>
          <w:tcPr>
            <w:tcW w:w="1000" w:type="dxa"/>
            <w:vAlign w:val="bottom"/>
            <w:gridSpan w:val="2"/>
          </w:tcPr>
          <w:p>
            <w:pPr>
              <w:jc w:val="right"/>
              <w:ind w:right="18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8"/>
              <w:spacing w:after="0"/>
              <w:rPr>
                <w:sz w:val="20"/>
                <w:szCs w:val="20"/>
                <w:color w:val="auto"/>
              </w:rPr>
            </w:pPr>
            <w:r>
              <w:rPr>
                <w:rFonts w:ascii="Arial" w:cs="Arial" w:eastAsia="Arial" w:hAnsi="Arial"/>
                <w:sz w:val="13"/>
                <w:szCs w:val="13"/>
                <w:color w:val="auto"/>
              </w:rPr>
              <w:t>($1.7)</w:t>
            </w:r>
          </w:p>
        </w:tc>
        <w:tc>
          <w:tcPr>
            <w:tcW w:w="920" w:type="dxa"/>
            <w:vAlign w:val="bottom"/>
          </w:tcPr>
          <w:p>
            <w:pPr>
              <w:ind w:left="5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($1.6)</w:t>
            </w:r>
          </w:p>
        </w:tc>
        <w:tc>
          <w:tcPr>
            <w:tcW w:w="900" w:type="dxa"/>
            <w:vAlign w:val="bottom"/>
            <w:gridSpan w:val="2"/>
          </w:tcPr>
          <w:p>
            <w:pPr>
              <w:jc w:val="right"/>
              <w:ind w:right="161"/>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2"/>
              <w:spacing w:after="0"/>
              <w:rPr>
                <w:sz w:val="20"/>
                <w:szCs w:val="20"/>
                <w:color w:val="auto"/>
              </w:rPr>
            </w:pPr>
            <w:r>
              <w:rPr>
                <w:rFonts w:ascii="Arial" w:cs="Arial" w:eastAsia="Arial" w:hAnsi="Arial"/>
                <w:sz w:val="13"/>
                <w:szCs w:val="13"/>
                <w:color w:val="auto"/>
              </w:rPr>
              <w:t>($0.3)</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$98.9</w:t>
            </w:r>
          </w:p>
        </w:tc>
        <w:tc>
          <w:tcPr>
            <w:tcW w:w="0" w:type="dxa"/>
            <w:vAlign w:val="bottom"/>
          </w:tcPr>
          <w:p>
            <w:pPr>
              <w:spacing w:after="0"/>
              <w:rPr>
                <w:sz w:val="1"/>
                <w:szCs w:val="1"/>
                <w:color w:val="auto"/>
              </w:rPr>
            </w:pPr>
          </w:p>
        </w:tc>
      </w:tr>
      <w:tr>
        <w:trPr>
          <w:trHeight w:val="170"/>
        </w:trPr>
        <w:tc>
          <w:tcPr>
            <w:tcW w:w="2220" w:type="dxa"/>
            <w:vAlign w:val="bottom"/>
          </w:tcPr>
          <w:p>
            <w:pPr>
              <w:ind w:left="20"/>
              <w:spacing w:after="0"/>
              <w:rPr>
                <w:sz w:val="20"/>
                <w:szCs w:val="20"/>
                <w:color w:val="auto"/>
              </w:rPr>
            </w:pPr>
            <w:r>
              <w:rPr>
                <w:rFonts w:ascii="Arial" w:cs="Arial" w:eastAsia="Arial" w:hAnsi="Arial"/>
                <w:sz w:val="13"/>
                <w:szCs w:val="13"/>
                <w:color w:val="auto"/>
              </w:rPr>
              <w:t>Gross profit 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68.2 %</w:t>
            </w:r>
          </w:p>
        </w:tc>
        <w:tc>
          <w:tcPr>
            <w:tcW w:w="1000" w:type="dxa"/>
            <w:vAlign w:val="bottom"/>
            <w:gridSpan w:val="2"/>
          </w:tcPr>
          <w:p>
            <w:pPr>
              <w:jc w:val="center"/>
              <w:ind w:left="57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0.5 %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0.5 %</w:t>
            </w:r>
          </w:p>
        </w:tc>
        <w:tc>
          <w:tcPr>
            <w:tcW w:w="560" w:type="dxa"/>
            <w:vAlign w:val="bottom"/>
          </w:tcPr>
          <w:p>
            <w:pPr>
              <w:spacing w:after="0"/>
              <w:rPr>
                <w:sz w:val="14"/>
                <w:szCs w:val="14"/>
                <w:color w:val="auto"/>
              </w:rPr>
            </w:pPr>
          </w:p>
        </w:tc>
        <w:tc>
          <w:tcPr>
            <w:tcW w:w="340" w:type="dxa"/>
            <w:vAlign w:val="bottom"/>
          </w:tcPr>
          <w:p>
            <w:pPr>
              <w:jc w:val="right"/>
              <w:ind w:right="1"/>
              <w:spacing w:after="0"/>
              <w:rPr>
                <w:sz w:val="20"/>
                <w:szCs w:val="20"/>
                <w:color w:val="auto"/>
              </w:rPr>
            </w:pPr>
            <w:r>
              <w:rPr>
                <w:rFonts w:ascii="Arial" w:cs="Arial" w:eastAsia="Arial" w:hAnsi="Arial"/>
                <w:sz w:val="13"/>
                <w:szCs w:val="13"/>
                <w:color w:val="auto"/>
                <w:w w:val="99"/>
              </w:rPr>
              <w:t>— %</w:t>
            </w:r>
          </w:p>
        </w:tc>
        <w:tc>
          <w:tcPr>
            <w:tcW w:w="600" w:type="dxa"/>
            <w:vAlign w:val="bottom"/>
          </w:tcPr>
          <w:p>
            <w:pPr>
              <w:spacing w:after="0"/>
              <w:rPr>
                <w:sz w:val="14"/>
                <w:szCs w:val="14"/>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69.3 %</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Selling, general, and administrative</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135.6</w:t>
            </w:r>
          </w:p>
        </w:tc>
        <w:tc>
          <w:tcPr>
            <w:tcW w:w="1000" w:type="dxa"/>
            <w:vAlign w:val="bottom"/>
            <w:gridSpan w:val="2"/>
          </w:tcPr>
          <w:p>
            <w:pPr>
              <w:jc w:val="right"/>
              <w:ind w:right="18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8"/>
              <w:spacing w:after="0"/>
              <w:rPr>
                <w:sz w:val="20"/>
                <w:szCs w:val="20"/>
                <w:color w:val="auto"/>
              </w:rPr>
            </w:pPr>
            <w:r>
              <w:rPr>
                <w:rFonts w:ascii="Arial" w:cs="Arial" w:eastAsia="Arial" w:hAnsi="Arial"/>
                <w:sz w:val="13"/>
                <w:szCs w:val="13"/>
                <w:color w:val="auto"/>
              </w:rPr>
              <w:t>(2.6)</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3"/>
                <w:szCs w:val="13"/>
                <w:color w:val="auto"/>
              </w:rPr>
              <w:t>(0.3)</w:t>
            </w:r>
          </w:p>
        </w:tc>
        <w:tc>
          <w:tcPr>
            <w:tcW w:w="600" w:type="dxa"/>
            <w:vAlign w:val="bottom"/>
          </w:tcPr>
          <w:p>
            <w:pPr>
              <w:spacing w:after="0"/>
              <w:rPr>
                <w:sz w:val="15"/>
                <w:szCs w:val="15"/>
                <w:color w:val="auto"/>
              </w:rPr>
            </w:pPr>
          </w:p>
        </w:tc>
        <w:tc>
          <w:tcPr>
            <w:tcW w:w="440" w:type="dxa"/>
            <w:vAlign w:val="bottom"/>
          </w:tcPr>
          <w:p>
            <w:pPr>
              <w:jc w:val="right"/>
              <w:ind w:right="122"/>
              <w:spacing w:after="0"/>
              <w:rPr>
                <w:sz w:val="20"/>
                <w:szCs w:val="20"/>
                <w:color w:val="auto"/>
              </w:rPr>
            </w:pPr>
            <w:r>
              <w:rPr>
                <w:rFonts w:ascii="Arial" w:cs="Arial" w:eastAsia="Arial" w:hAnsi="Arial"/>
                <w:sz w:val="13"/>
                <w:szCs w:val="13"/>
                <w:color w:val="auto"/>
                <w:w w:val="89"/>
              </w:rPr>
              <w:t>(5.8)</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127.0</w:t>
            </w:r>
          </w:p>
        </w:tc>
        <w:tc>
          <w:tcPr>
            <w:tcW w:w="0" w:type="dxa"/>
            <w:vAlign w:val="bottom"/>
          </w:tcPr>
          <w:p>
            <w:pPr>
              <w:spacing w:after="0"/>
              <w:rPr>
                <w:sz w:val="1"/>
                <w:szCs w:val="1"/>
                <w:color w:val="auto"/>
              </w:rPr>
            </w:pPr>
          </w:p>
        </w:tc>
      </w:tr>
      <w:tr>
        <w:trPr>
          <w:trHeight w:val="134"/>
        </w:trPr>
        <w:tc>
          <w:tcPr>
            <w:tcW w:w="2220" w:type="dxa"/>
            <w:vAlign w:val="bottom"/>
          </w:tcPr>
          <w:p>
            <w:pPr>
              <w:ind w:left="20"/>
              <w:spacing w:after="0" w:line="134" w:lineRule="exact"/>
              <w:rPr>
                <w:sz w:val="20"/>
                <w:szCs w:val="20"/>
                <w:color w:val="auto"/>
              </w:rPr>
            </w:pPr>
            <w:r>
              <w:rPr>
                <w:rFonts w:ascii="Arial" w:cs="Arial" w:eastAsia="Arial" w:hAnsi="Arial"/>
                <w:sz w:val="13"/>
                <w:szCs w:val="13"/>
                <w:color w:val="auto"/>
                <w:w w:val="99"/>
              </w:rPr>
              <w:t>Selling, general, and administrative as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a percent of net 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42.1 %</w:t>
            </w:r>
          </w:p>
        </w:tc>
        <w:tc>
          <w:tcPr>
            <w:tcW w:w="1000" w:type="dxa"/>
            <w:vAlign w:val="bottom"/>
            <w:gridSpan w:val="2"/>
          </w:tcPr>
          <w:p>
            <w:pPr>
              <w:jc w:val="center"/>
              <w:ind w:left="57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(0.8)%</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gridSpan w:val="2"/>
          </w:tcPr>
          <w:p>
            <w:pPr>
              <w:jc w:val="right"/>
              <w:ind w:right="1"/>
              <w:spacing w:after="0"/>
              <w:rPr>
                <w:sz w:val="20"/>
                <w:szCs w:val="20"/>
                <w:color w:val="auto"/>
              </w:rPr>
            </w:pPr>
            <w:r>
              <w:rPr>
                <w:rFonts w:ascii="Arial" w:cs="Arial" w:eastAsia="Arial" w:hAnsi="Arial"/>
                <w:sz w:val="13"/>
                <w:szCs w:val="13"/>
                <w:color w:val="auto"/>
              </w:rPr>
              <w:t>(0.1)%</w:t>
            </w:r>
          </w:p>
        </w:tc>
        <w:tc>
          <w:tcPr>
            <w:tcW w:w="60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color w:val="auto"/>
                <w:w w:val="93"/>
              </w:rPr>
              <w:t>(1.8)%</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39.5 %</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43.3</w:t>
            </w:r>
          </w:p>
        </w:tc>
        <w:tc>
          <w:tcPr>
            <w:tcW w:w="1000" w:type="dxa"/>
            <w:vAlign w:val="bottom"/>
            <w:gridSpan w:val="2"/>
          </w:tcPr>
          <w:p>
            <w:pPr>
              <w:jc w:val="right"/>
              <w:ind w:right="18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(1.4)</w:t>
            </w:r>
          </w:p>
        </w:tc>
        <w:tc>
          <w:tcPr>
            <w:tcW w:w="900" w:type="dxa"/>
            <w:vAlign w:val="bottom"/>
            <w:gridSpan w:val="2"/>
          </w:tcPr>
          <w:p>
            <w:pPr>
              <w:jc w:val="right"/>
              <w:ind w:right="121"/>
              <w:spacing w:after="0"/>
              <w:rPr>
                <w:sz w:val="20"/>
                <w:szCs w:val="20"/>
                <w:color w:val="auto"/>
              </w:rPr>
            </w:pPr>
            <w:r>
              <w:rPr>
                <w:rFonts w:ascii="Arial" w:cs="Arial" w:eastAsia="Arial" w:hAnsi="Arial"/>
                <w:sz w:val="13"/>
                <w:szCs w:val="13"/>
                <w:color w:val="auto"/>
              </w:rPr>
              <w:t>(0.8)</w:t>
            </w:r>
          </w:p>
        </w:tc>
        <w:tc>
          <w:tcPr>
            <w:tcW w:w="600" w:type="dxa"/>
            <w:vAlign w:val="bottom"/>
          </w:tcPr>
          <w:p>
            <w:pPr>
              <w:spacing w:after="0"/>
              <w:rPr>
                <w:sz w:val="15"/>
                <w:szCs w:val="15"/>
                <w:color w:val="auto"/>
              </w:rPr>
            </w:pPr>
          </w:p>
        </w:tc>
        <w:tc>
          <w:tcPr>
            <w:tcW w:w="440" w:type="dxa"/>
            <w:vAlign w:val="bottom"/>
          </w:tcPr>
          <w:p>
            <w:pPr>
              <w:jc w:val="right"/>
              <w:ind w:right="122"/>
              <w:spacing w:after="0"/>
              <w:rPr>
                <w:sz w:val="20"/>
                <w:szCs w:val="20"/>
                <w:color w:val="auto"/>
              </w:rPr>
            </w:pPr>
            <w:r>
              <w:rPr>
                <w:rFonts w:ascii="Arial" w:cs="Arial" w:eastAsia="Arial" w:hAnsi="Arial"/>
                <w:sz w:val="13"/>
                <w:szCs w:val="13"/>
                <w:color w:val="auto"/>
                <w:w w:val="89"/>
              </w:rPr>
              <w:t>(0.9)</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34"/>
        </w:trPr>
        <w:tc>
          <w:tcPr>
            <w:tcW w:w="2220" w:type="dxa"/>
            <w:vAlign w:val="bottom"/>
          </w:tcPr>
          <w:p>
            <w:pPr>
              <w:ind w:left="20"/>
              <w:spacing w:after="0" w:line="134" w:lineRule="exact"/>
              <w:rPr>
                <w:sz w:val="20"/>
                <w:szCs w:val="20"/>
                <w:color w:val="auto"/>
              </w:rPr>
            </w:pPr>
            <w:r>
              <w:rPr>
                <w:rFonts w:ascii="Arial" w:cs="Arial" w:eastAsia="Arial" w:hAnsi="Arial"/>
                <w:sz w:val="13"/>
                <w:szCs w:val="13"/>
                <w:color w:val="auto"/>
              </w:rPr>
              <w:t>Research and development as a</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13.5 %</w:t>
            </w:r>
          </w:p>
        </w:tc>
        <w:tc>
          <w:tcPr>
            <w:tcW w:w="1000" w:type="dxa"/>
            <w:vAlign w:val="bottom"/>
            <w:gridSpan w:val="2"/>
          </w:tcPr>
          <w:p>
            <w:pPr>
              <w:jc w:val="center"/>
              <w:ind w:left="57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(0.4)%</w:t>
            </w:r>
          </w:p>
        </w:tc>
        <w:tc>
          <w:tcPr>
            <w:tcW w:w="900" w:type="dxa"/>
            <w:vAlign w:val="bottom"/>
            <w:gridSpan w:val="2"/>
          </w:tcPr>
          <w:p>
            <w:pPr>
              <w:jc w:val="right"/>
              <w:ind w:right="1"/>
              <w:spacing w:after="0"/>
              <w:rPr>
                <w:sz w:val="20"/>
                <w:szCs w:val="20"/>
                <w:color w:val="auto"/>
              </w:rPr>
            </w:pPr>
            <w:r>
              <w:rPr>
                <w:rFonts w:ascii="Arial" w:cs="Arial" w:eastAsia="Arial" w:hAnsi="Arial"/>
                <w:sz w:val="13"/>
                <w:szCs w:val="13"/>
                <w:color w:val="auto"/>
              </w:rPr>
              <w:t>(0.2)%</w:t>
            </w:r>
          </w:p>
        </w:tc>
        <w:tc>
          <w:tcPr>
            <w:tcW w:w="60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color w:val="auto"/>
                <w:w w:val="93"/>
              </w:rPr>
              <w:t>(0.3)%</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Other operating expenses</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3.4</w:t>
            </w:r>
          </w:p>
        </w:tc>
        <w:tc>
          <w:tcPr>
            <w:tcW w:w="1000" w:type="dxa"/>
            <w:vAlign w:val="bottom"/>
            <w:gridSpan w:val="2"/>
          </w:tcPr>
          <w:p>
            <w:pPr>
              <w:jc w:val="right"/>
              <w:ind w:right="145"/>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3"/>
                <w:szCs w:val="13"/>
                <w:color w:val="auto"/>
              </w:rPr>
              <w:t>(2.9)</w:t>
            </w:r>
          </w:p>
        </w:tc>
        <w:tc>
          <w:tcPr>
            <w:tcW w:w="600" w:type="dxa"/>
            <w:vAlign w:val="bottom"/>
          </w:tcPr>
          <w:p>
            <w:pPr>
              <w:spacing w:after="0"/>
              <w:rPr>
                <w:sz w:val="15"/>
                <w:szCs w:val="15"/>
                <w:color w:val="auto"/>
              </w:rPr>
            </w:pPr>
          </w:p>
        </w:tc>
        <w:tc>
          <w:tcPr>
            <w:tcW w:w="440" w:type="dxa"/>
            <w:vAlign w:val="bottom"/>
          </w:tcPr>
          <w:p>
            <w:pPr>
              <w:jc w:val="right"/>
              <w:ind w:right="142"/>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37.0</w:t>
            </w:r>
          </w:p>
        </w:tc>
        <w:tc>
          <w:tcPr>
            <w:tcW w:w="1000" w:type="dxa"/>
            <w:vAlign w:val="bottom"/>
            <w:gridSpan w:val="2"/>
          </w:tcPr>
          <w:p>
            <w:pPr>
              <w:jc w:val="right"/>
              <w:ind w:right="185"/>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4.2</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161"/>
              <w:spacing w:after="0"/>
              <w:rPr>
                <w:sz w:val="20"/>
                <w:szCs w:val="20"/>
                <w:color w:val="auto"/>
              </w:rPr>
            </w:pPr>
            <w:r>
              <w:rPr>
                <w:rFonts w:ascii="Arial" w:cs="Arial" w:eastAsia="Arial" w:hAnsi="Arial"/>
                <w:sz w:val="13"/>
                <w:szCs w:val="13"/>
                <w:color w:val="auto"/>
              </w:rPr>
              <w:t>4.0</w:t>
            </w:r>
          </w:p>
        </w:tc>
        <w:tc>
          <w:tcPr>
            <w:tcW w:w="600" w:type="dxa"/>
            <w:vAlign w:val="bottom"/>
          </w:tcPr>
          <w:p>
            <w:pPr>
              <w:spacing w:after="0"/>
              <w:rPr>
                <w:sz w:val="15"/>
                <w:szCs w:val="15"/>
                <w:color w:val="auto"/>
              </w:rPr>
            </w:pPr>
          </w:p>
        </w:tc>
        <w:tc>
          <w:tcPr>
            <w:tcW w:w="440" w:type="dxa"/>
            <w:vAlign w:val="bottom"/>
          </w:tcPr>
          <w:p>
            <w:pPr>
              <w:jc w:val="right"/>
              <w:ind w:right="142"/>
              <w:spacing w:after="0"/>
              <w:rPr>
                <w:sz w:val="20"/>
                <w:szCs w:val="20"/>
                <w:color w:val="auto"/>
              </w:rPr>
            </w:pPr>
            <w:r>
              <w:rPr>
                <w:rFonts w:ascii="Arial" w:cs="Arial" w:eastAsia="Arial" w:hAnsi="Arial"/>
                <w:sz w:val="13"/>
                <w:szCs w:val="13"/>
                <w:color w:val="auto"/>
              </w:rPr>
              <w:t>6.9</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Operating margin 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11.5 %</w:t>
            </w:r>
          </w:p>
        </w:tc>
        <w:tc>
          <w:tcPr>
            <w:tcW w:w="1000" w:type="dxa"/>
            <w:vAlign w:val="bottom"/>
            <w:gridSpan w:val="2"/>
          </w:tcPr>
          <w:p>
            <w:pPr>
              <w:jc w:val="right"/>
              <w:ind w:right="25"/>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1.3 %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0.9 %</w:t>
            </w:r>
          </w:p>
        </w:tc>
        <w:tc>
          <w:tcPr>
            <w:tcW w:w="900" w:type="dxa"/>
            <w:vAlign w:val="bottom"/>
            <w:gridSpan w:val="2"/>
          </w:tcPr>
          <w:p>
            <w:pPr>
              <w:jc w:val="right"/>
              <w:ind w:right="1"/>
              <w:spacing w:after="0"/>
              <w:rPr>
                <w:sz w:val="20"/>
                <w:szCs w:val="20"/>
                <w:color w:val="auto"/>
              </w:rPr>
            </w:pPr>
            <w:r>
              <w:rPr>
                <w:rFonts w:ascii="Arial" w:cs="Arial" w:eastAsia="Arial" w:hAnsi="Arial"/>
                <w:sz w:val="13"/>
                <w:szCs w:val="13"/>
                <w:color w:val="auto"/>
              </w:rPr>
              <w:t>1.2 %</w:t>
            </w:r>
          </w:p>
        </w:tc>
        <w:tc>
          <w:tcPr>
            <w:tcW w:w="60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color w:val="auto"/>
              </w:rPr>
              <w:t>2.2 %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17.3 %</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55.9</w:t>
            </w:r>
          </w:p>
        </w:tc>
        <w:tc>
          <w:tcPr>
            <w:tcW w:w="1000" w:type="dxa"/>
            <w:vAlign w:val="bottom"/>
            <w:gridSpan w:val="2"/>
          </w:tcPr>
          <w:p>
            <w:pPr>
              <w:jc w:val="right"/>
              <w:ind w:right="185"/>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4.2</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(27.6)</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161"/>
              <w:spacing w:after="0"/>
              <w:rPr>
                <w:sz w:val="20"/>
                <w:szCs w:val="20"/>
                <w:color w:val="auto"/>
              </w:rPr>
            </w:pPr>
            <w:r>
              <w:rPr>
                <w:rFonts w:ascii="Arial" w:cs="Arial" w:eastAsia="Arial" w:hAnsi="Arial"/>
                <w:sz w:val="13"/>
                <w:szCs w:val="13"/>
                <w:color w:val="auto"/>
              </w:rPr>
              <w:t>4.0</w:t>
            </w:r>
          </w:p>
        </w:tc>
        <w:tc>
          <w:tcPr>
            <w:tcW w:w="600" w:type="dxa"/>
            <w:vAlign w:val="bottom"/>
          </w:tcPr>
          <w:p>
            <w:pPr>
              <w:spacing w:after="0"/>
              <w:rPr>
                <w:sz w:val="15"/>
                <w:szCs w:val="15"/>
                <w:color w:val="auto"/>
              </w:rPr>
            </w:pPr>
          </w:p>
        </w:tc>
        <w:tc>
          <w:tcPr>
            <w:tcW w:w="440" w:type="dxa"/>
            <w:vAlign w:val="bottom"/>
          </w:tcPr>
          <w:p>
            <w:pPr>
              <w:jc w:val="right"/>
              <w:ind w:right="142"/>
              <w:spacing w:after="0"/>
              <w:rPr>
                <w:sz w:val="20"/>
                <w:szCs w:val="20"/>
                <w:color w:val="auto"/>
              </w:rPr>
            </w:pPr>
            <w:r>
              <w:rPr>
                <w:rFonts w:ascii="Arial" w:cs="Arial" w:eastAsia="Arial" w:hAnsi="Arial"/>
                <w:sz w:val="13"/>
                <w:szCs w:val="13"/>
                <w:color w:val="auto"/>
              </w:rPr>
              <w:t>6.9</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(10.3)</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7.6</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34"/>
        </w:trPr>
        <w:tc>
          <w:tcPr>
            <w:tcW w:w="2220" w:type="dxa"/>
            <w:vAlign w:val="bottom"/>
          </w:tcPr>
          <w:p>
            <w:pPr>
              <w:ind w:left="20"/>
              <w:spacing w:after="0" w:line="134" w:lineRule="exact"/>
              <w:rPr>
                <w:sz w:val="20"/>
                <w:szCs w:val="20"/>
                <w:color w:val="auto"/>
              </w:rPr>
            </w:pPr>
            <w:r>
              <w:rPr>
                <w:rFonts w:ascii="Arial" w:cs="Arial" w:eastAsia="Arial" w:hAnsi="Arial"/>
                <w:sz w:val="13"/>
                <w:szCs w:val="13"/>
                <w:color w:val="auto"/>
              </w:rPr>
              <w:t>Net income as a percent of net</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revenue</w:t>
            </w:r>
          </w:p>
        </w:tc>
        <w:tc>
          <w:tcPr>
            <w:tcW w:w="720" w:type="dxa"/>
            <w:vAlign w:val="bottom"/>
          </w:tcPr>
          <w:p>
            <w:pPr>
              <w:jc w:val="right"/>
              <w:spacing w:after="0"/>
              <w:rPr>
                <w:sz w:val="20"/>
                <w:szCs w:val="20"/>
                <w:color w:val="auto"/>
              </w:rPr>
            </w:pPr>
            <w:r>
              <w:rPr>
                <w:rFonts w:ascii="Arial" w:cs="Arial" w:eastAsia="Arial" w:hAnsi="Arial"/>
                <w:sz w:val="13"/>
                <w:szCs w:val="13"/>
                <w:color w:val="auto"/>
              </w:rPr>
              <w:t>17.4 %</w:t>
            </w:r>
          </w:p>
        </w:tc>
        <w:tc>
          <w:tcPr>
            <w:tcW w:w="1000" w:type="dxa"/>
            <w:vAlign w:val="bottom"/>
            <w:gridSpan w:val="2"/>
          </w:tcPr>
          <w:p>
            <w:pPr>
              <w:jc w:val="right"/>
              <w:ind w:right="25"/>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1.3 %</w:t>
            </w:r>
          </w:p>
        </w:tc>
        <w:tc>
          <w:tcPr>
            <w:tcW w:w="920" w:type="dxa"/>
            <w:vAlign w:val="bottom"/>
          </w:tcPr>
          <w:p>
            <w:pPr>
              <w:jc w:val="right"/>
              <w:spacing w:after="0"/>
              <w:rPr>
                <w:sz w:val="20"/>
                <w:szCs w:val="20"/>
                <w:color w:val="auto"/>
              </w:rPr>
            </w:pPr>
            <w:r>
              <w:rPr>
                <w:rFonts w:ascii="Arial" w:cs="Arial" w:eastAsia="Arial" w:hAnsi="Arial"/>
                <w:sz w:val="13"/>
                <w:szCs w:val="13"/>
                <w:color w:val="auto"/>
              </w:rPr>
              <w:t>(8.6)%</w:t>
            </w:r>
          </w:p>
        </w:tc>
        <w:tc>
          <w:tcPr>
            <w:tcW w:w="980" w:type="dxa"/>
            <w:vAlign w:val="bottom"/>
          </w:tcPr>
          <w:p>
            <w:pPr>
              <w:jc w:val="right"/>
              <w:spacing w:after="0"/>
              <w:rPr>
                <w:sz w:val="20"/>
                <w:szCs w:val="20"/>
                <w:color w:val="auto"/>
              </w:rPr>
            </w:pPr>
            <w:r>
              <w:rPr>
                <w:rFonts w:ascii="Arial" w:cs="Arial" w:eastAsia="Arial" w:hAnsi="Arial"/>
                <w:sz w:val="13"/>
                <w:szCs w:val="13"/>
                <w:color w:val="auto"/>
              </w:rPr>
              <w:t>0.9 %</w:t>
            </w:r>
          </w:p>
        </w:tc>
        <w:tc>
          <w:tcPr>
            <w:tcW w:w="900" w:type="dxa"/>
            <w:vAlign w:val="bottom"/>
            <w:gridSpan w:val="2"/>
          </w:tcPr>
          <w:p>
            <w:pPr>
              <w:jc w:val="right"/>
              <w:ind w:right="1"/>
              <w:spacing w:after="0"/>
              <w:rPr>
                <w:sz w:val="20"/>
                <w:szCs w:val="20"/>
                <w:color w:val="auto"/>
              </w:rPr>
            </w:pPr>
            <w:r>
              <w:rPr>
                <w:rFonts w:ascii="Arial" w:cs="Arial" w:eastAsia="Arial" w:hAnsi="Arial"/>
                <w:sz w:val="13"/>
                <w:szCs w:val="13"/>
                <w:color w:val="auto"/>
              </w:rPr>
              <w:t>1.2 %</w:t>
            </w:r>
          </w:p>
        </w:tc>
        <w:tc>
          <w:tcPr>
            <w:tcW w:w="60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color w:val="auto"/>
              </w:rPr>
              <w:t>2.2 %</w:t>
            </w:r>
          </w:p>
        </w:tc>
        <w:tc>
          <w:tcPr>
            <w:tcW w:w="920" w:type="dxa"/>
            <w:vAlign w:val="bottom"/>
          </w:tcPr>
          <w:p>
            <w:pPr>
              <w:jc w:val="right"/>
              <w:spacing w:after="0"/>
              <w:rPr>
                <w:sz w:val="20"/>
                <w:szCs w:val="20"/>
                <w:color w:val="auto"/>
              </w:rPr>
            </w:pPr>
            <w:r>
              <w:rPr>
                <w:rFonts w:ascii="Arial" w:cs="Arial" w:eastAsia="Arial" w:hAnsi="Arial"/>
                <w:sz w:val="13"/>
                <w:szCs w:val="13"/>
                <w:color w:val="auto"/>
              </w:rPr>
              <w:t>(3.2)%</w:t>
            </w:r>
          </w:p>
        </w:tc>
        <w:tc>
          <w:tcPr>
            <w:tcW w:w="900" w:type="dxa"/>
            <w:vAlign w:val="bottom"/>
          </w:tcPr>
          <w:p>
            <w:pPr>
              <w:jc w:val="right"/>
              <w:spacing w:after="0"/>
              <w:rPr>
                <w:sz w:val="20"/>
                <w:szCs w:val="20"/>
                <w:color w:val="auto"/>
              </w:rPr>
            </w:pPr>
            <w:r>
              <w:rPr>
                <w:rFonts w:ascii="Arial" w:cs="Arial" w:eastAsia="Arial" w:hAnsi="Arial"/>
                <w:sz w:val="13"/>
                <w:szCs w:val="13"/>
                <w:color w:val="auto"/>
              </w:rPr>
              <w:t>2.4 %</w:t>
            </w:r>
          </w:p>
        </w:tc>
        <w:tc>
          <w:tcPr>
            <w:tcW w:w="720" w:type="dxa"/>
            <w:vAlign w:val="bottom"/>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$1.02</w:t>
            </w:r>
          </w:p>
        </w:tc>
        <w:tc>
          <w:tcPr>
            <w:tcW w:w="1000" w:type="dxa"/>
            <w:vAlign w:val="bottom"/>
            <w:gridSpan w:val="2"/>
          </w:tcPr>
          <w:p>
            <w:pPr>
              <w:jc w:val="right"/>
              <w:ind w:right="185"/>
              <w:spacing w:after="0"/>
              <w:rPr>
                <w:sz w:val="20"/>
                <w:szCs w:val="20"/>
                <w:color w:val="auto"/>
              </w:rPr>
            </w:pPr>
            <w:r>
              <w:rPr>
                <w:rFonts w:ascii="Arial" w:cs="Arial" w:eastAsia="Arial" w:hAnsi="Arial"/>
                <w:sz w:val="13"/>
                <w:szCs w:val="13"/>
                <w:color w:val="auto"/>
              </w:rPr>
              <w:t>$0.01</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$0.08</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($0.50)</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$0.05</w:t>
            </w:r>
          </w:p>
        </w:tc>
        <w:tc>
          <w:tcPr>
            <w:tcW w:w="900" w:type="dxa"/>
            <w:vAlign w:val="bottom"/>
            <w:gridSpan w:val="2"/>
          </w:tcPr>
          <w:p>
            <w:pPr>
              <w:jc w:val="right"/>
              <w:ind w:right="161"/>
              <w:spacing w:after="0"/>
              <w:rPr>
                <w:sz w:val="20"/>
                <w:szCs w:val="20"/>
                <w:color w:val="auto"/>
              </w:rPr>
            </w:pPr>
            <w:r>
              <w:rPr>
                <w:rFonts w:ascii="Arial" w:cs="Arial" w:eastAsia="Arial" w:hAnsi="Arial"/>
                <w:sz w:val="13"/>
                <w:szCs w:val="13"/>
                <w:color w:val="auto"/>
              </w:rPr>
              <w:t>$0.07</w:t>
            </w:r>
          </w:p>
        </w:tc>
        <w:tc>
          <w:tcPr>
            <w:tcW w:w="1040" w:type="dxa"/>
            <w:vAlign w:val="bottom"/>
            <w:gridSpan w:val="2"/>
          </w:tcPr>
          <w:p>
            <w:pPr>
              <w:jc w:val="right"/>
              <w:ind w:right="142"/>
              <w:spacing w:after="0"/>
              <w:rPr>
                <w:sz w:val="20"/>
                <w:szCs w:val="20"/>
                <w:color w:val="auto"/>
              </w:rPr>
            </w:pPr>
            <w:r>
              <w:rPr>
                <w:rFonts w:ascii="Arial" w:cs="Arial" w:eastAsia="Arial" w:hAnsi="Arial"/>
                <w:sz w:val="13"/>
                <w:szCs w:val="13"/>
                <w:color w:val="auto"/>
              </w:rPr>
              <w:t>$0.13</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($0.19)</w:t>
            </w: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$0.14</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$0.81</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three months ended December 31, 2024 include:</w:t>
      </w:r>
    </w:p>
    <w:p>
      <w:pPr>
        <w:spacing w:after="0" w:line="97"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adjustments for the 2025 and 2029 Notes embedded and capped call derivatives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the ImThera acquisition</w:t>
      </w:r>
    </w:p>
    <w:p>
      <w:pPr>
        <w:spacing w:after="0" w:line="4" w:lineRule="exact"/>
        <w:rPr>
          <w:rFonts w:ascii="Arial" w:cs="Arial" w:eastAsia="Arial" w:hAnsi="Arial"/>
          <w:sz w:val="21"/>
          <w:szCs w:val="21"/>
          <w:color w:val="auto"/>
          <w:vertAlign w:val="superscript"/>
        </w:rPr>
      </w:pPr>
    </w:p>
    <w:p>
      <w:pPr>
        <w:ind w:left="320" w:right="600" w:hanging="313"/>
        <w:spacing w:after="0" w:line="225" w:lineRule="auto"/>
        <w:tabs>
          <w:tab w:leader="none" w:pos="314"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Legal expenses primarily related to 3T Heater-Cooler defense, 3T Heater-Cooler litigation provision, cybersecurity incident costs net of insurance reimbursement, and Medical Device Regulation ("MDR") costs</w:t>
      </w:r>
    </w:p>
    <w:p>
      <w:pPr>
        <w:ind w:left="320" w:hanging="313"/>
        <w:spacing w:after="0" w:line="200"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3"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20" w:right="40" w:hanging="313"/>
        <w:spacing w:after="0" w:line="214" w:lineRule="auto"/>
        <w:tabs>
          <w:tab w:leader="none" w:pos="314"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Interest expense on the Term Facilities, non-cash interest expense on the 2025 and 2029 Notes and Revolving Credit Facility, and interest income on the collateral for the SNIA litigation guarantee and delayed draw on Term Facilities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vMerge w:val="restart"/>
          </w:tcPr>
          <w:p>
            <w:pPr>
              <w:ind w:left="80"/>
              <w:spacing w:after="0"/>
              <w:rPr>
                <w:sz w:val="20"/>
                <w:szCs w:val="20"/>
                <w:color w:val="auto"/>
              </w:rPr>
            </w:pPr>
            <w:r>
              <w:rPr>
                <w:rFonts w:ascii="Arial" w:cs="Arial" w:eastAsia="Arial" w:hAnsi="Arial"/>
                <w:sz w:val="16"/>
                <w:szCs w:val="16"/>
                <w:color w:val="auto"/>
              </w:rPr>
              <w:t>Numbers may not add precisely due to rounding.</w:t>
            </w:r>
          </w:p>
        </w:tc>
        <w:tc>
          <w:tcPr>
            <w:tcW w:w="1140" w:type="dxa"/>
            <w:vAlign w:val="bottom"/>
          </w:tcPr>
          <w:p>
            <w:pPr>
              <w:jc w:val="right"/>
              <w:spacing w:after="0"/>
              <w:rPr>
                <w:sz w:val="20"/>
                <w:szCs w:val="20"/>
                <w:color w:val="auto"/>
              </w:rPr>
            </w:pPr>
            <w:r>
              <w:rPr>
                <w:rFonts w:ascii="Arial" w:cs="Arial" w:eastAsia="Arial" w:hAnsi="Arial"/>
                <w:sz w:val="21"/>
                <w:szCs w:val="21"/>
                <w:color w:val="auto"/>
              </w:rPr>
              <w:t>15</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44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9"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Specified Items</w:t>
            </w:r>
          </w:p>
        </w:tc>
        <w:tc>
          <w:tcPr>
            <w:tcW w:w="5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Certain Legal</w:t>
            </w:r>
          </w:p>
        </w:tc>
        <w:tc>
          <w:tcPr>
            <w:tcW w:w="1020" w:type="dxa"/>
            <w:vAlign w:val="bottom"/>
            <w:gridSpan w:val="2"/>
            <w:vMerge w:val="restart"/>
          </w:tcPr>
          <w:p>
            <w:pPr>
              <w:jc w:val="right"/>
              <w:ind w:right="101"/>
              <w:spacing w:after="0"/>
              <w:rPr>
                <w:sz w:val="20"/>
                <w:szCs w:val="20"/>
                <w:color w:val="auto"/>
              </w:rPr>
            </w:pPr>
            <w:r>
              <w:rPr>
                <w:rFonts w:ascii="Arial" w:cs="Arial" w:eastAsia="Arial" w:hAnsi="Arial"/>
                <w:sz w:val="13"/>
                <w:szCs w:val="13"/>
                <w:b w:val="1"/>
                <w:bCs w:val="1"/>
                <w:color w:val="auto"/>
              </w:rPr>
              <w:t>Stock-based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1"/>
        </w:trPr>
        <w:tc>
          <w:tcPr>
            <w:tcW w:w="1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700" w:type="dxa"/>
            <w:vAlign w:val="bottom"/>
            <w:vMerge w:val="continue"/>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8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00" w:type="dxa"/>
            <w:vAlign w:val="bottom"/>
            <w:vMerge w:val="continue"/>
          </w:tcPr>
          <w:p>
            <w:pPr>
              <w:spacing w:after="0"/>
              <w:rPr>
                <w:sz w:val="8"/>
                <w:szCs w:val="8"/>
                <w:color w:val="auto"/>
              </w:rPr>
            </w:pPr>
          </w:p>
        </w:tc>
        <w:tc>
          <w:tcPr>
            <w:tcW w:w="7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980" w:type="dxa"/>
            <w:vAlign w:val="bottom"/>
            <w:gridSpan w:val="2"/>
            <w:vMerge w:val="continue"/>
          </w:tcPr>
          <w:p>
            <w:pPr>
              <w:spacing w:after="0"/>
              <w:rPr>
                <w:sz w:val="8"/>
                <w:szCs w:val="8"/>
                <w:color w:val="auto"/>
              </w:rPr>
            </w:pPr>
          </w:p>
        </w:tc>
        <w:tc>
          <w:tcPr>
            <w:tcW w:w="9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Amortization</w:t>
            </w:r>
          </w:p>
        </w:tc>
        <w:tc>
          <w:tcPr>
            <w:tcW w:w="820" w:type="dxa"/>
            <w:vAlign w:val="bottom"/>
            <w:vMerge w:val="restart"/>
          </w:tcPr>
          <w:p>
            <w:pPr>
              <w:jc w:val="right"/>
              <w:ind w:right="39"/>
              <w:spacing w:after="0" w:line="134" w:lineRule="exact"/>
              <w:rPr>
                <w:sz w:val="20"/>
                <w:szCs w:val="20"/>
                <w:color w:val="auto"/>
              </w:rPr>
            </w:pPr>
            <w:r>
              <w:rPr>
                <w:rFonts w:ascii="Arial" w:cs="Arial" w:eastAsia="Arial" w:hAnsi="Arial"/>
                <w:sz w:val="13"/>
                <w:szCs w:val="13"/>
                <w:b w:val="1"/>
                <w:bCs w:val="1"/>
                <w:color w:val="auto"/>
                <w:w w:val="99"/>
              </w:rPr>
              <w:t>Impairment</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Transactions</w:t>
            </w:r>
          </w:p>
        </w:tc>
        <w:tc>
          <w:tcPr>
            <w:tcW w:w="98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860" w:type="dxa"/>
            <w:vAlign w:val="bottom"/>
            <w:gridSpan w:val="2"/>
          </w:tcPr>
          <w:p>
            <w:pPr>
              <w:jc w:val="right"/>
              <w:ind w:right="19"/>
              <w:spacing w:after="0" w:line="94" w:lineRule="exact"/>
              <w:rPr>
                <w:sz w:val="20"/>
                <w:szCs w:val="20"/>
                <w:color w:val="auto"/>
              </w:rPr>
            </w:pPr>
            <w:r>
              <w:rPr>
                <w:rFonts w:ascii="Arial" w:cs="Arial" w:eastAsia="Arial" w:hAnsi="Arial"/>
                <w:sz w:val="10"/>
                <w:szCs w:val="10"/>
                <w:b w:val="1"/>
                <w:bCs w:val="1"/>
                <w:color w:val="auto"/>
              </w:rPr>
              <w:t>&amp; Regulatory</w:t>
            </w:r>
          </w:p>
        </w:tc>
        <w:tc>
          <w:tcPr>
            <w:tcW w:w="1020" w:type="dxa"/>
            <w:vAlign w:val="bottom"/>
            <w:gridSpan w:val="2"/>
          </w:tcPr>
          <w:p>
            <w:pPr>
              <w:jc w:val="right"/>
              <w:ind w:right="41"/>
              <w:spacing w:after="0" w:line="94" w:lineRule="exact"/>
              <w:rPr>
                <w:sz w:val="20"/>
                <w:szCs w:val="20"/>
                <w:color w:val="auto"/>
              </w:rPr>
            </w:pPr>
            <w:r>
              <w:rPr>
                <w:rFonts w:ascii="Arial" w:cs="Arial" w:eastAsia="Arial" w:hAnsi="Arial"/>
                <w:sz w:val="10"/>
                <w:szCs w:val="10"/>
                <w:b w:val="1"/>
                <w:bCs w:val="1"/>
                <w:color w:val="auto"/>
              </w:rPr>
              <w:t>Compensation</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Adjustments</w:t>
            </w:r>
          </w:p>
        </w:tc>
        <w:tc>
          <w:tcPr>
            <w:tcW w:w="74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0" w:type="dxa"/>
            <w:vAlign w:val="bottom"/>
          </w:tcPr>
          <w:p>
            <w:pPr>
              <w:spacing w:after="0"/>
              <w:rPr>
                <w:sz w:val="1"/>
                <w:szCs w:val="1"/>
                <w:color w:val="auto"/>
              </w:rPr>
            </w:pPr>
          </w:p>
        </w:tc>
      </w:tr>
      <w:tr>
        <w:trPr>
          <w:trHeight w:val="40"/>
        </w:trPr>
        <w:tc>
          <w:tcPr>
            <w:tcW w:w="1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2023</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20" w:type="dxa"/>
            <w:vAlign w:val="bottom"/>
            <w:vMerge w:val="restart"/>
          </w:tcPr>
          <w:p>
            <w:pPr>
              <w:ind w:left="120"/>
              <w:spacing w:after="0"/>
              <w:rPr>
                <w:sz w:val="20"/>
                <w:szCs w:val="20"/>
                <w:color w:val="auto"/>
              </w:rPr>
            </w:pPr>
            <w:r>
              <w:rPr>
                <w:rFonts w:ascii="Arial" w:cs="Arial" w:eastAsia="Arial" w:hAnsi="Arial"/>
                <w:sz w:val="13"/>
                <w:szCs w:val="13"/>
                <w:b w:val="1"/>
                <w:bCs w:val="1"/>
                <w:color w:val="auto"/>
                <w:w w:val="95"/>
              </w:rPr>
              <w:t>Expenses</w:t>
            </w:r>
          </w:p>
        </w:tc>
        <w:tc>
          <w:tcPr>
            <w:tcW w:w="260" w:type="dxa"/>
            <w:vAlign w:val="bottom"/>
          </w:tcPr>
          <w:p>
            <w:pPr>
              <w:jc w:val="center"/>
              <w:ind w:right="100"/>
              <w:spacing w:after="0" w:line="41" w:lineRule="exact"/>
              <w:rPr>
                <w:sz w:val="20"/>
                <w:szCs w:val="20"/>
                <w:color w:val="auto"/>
              </w:rPr>
            </w:pPr>
            <w:r>
              <w:rPr>
                <w:rFonts w:ascii="Arial" w:cs="Arial" w:eastAsia="Arial" w:hAnsi="Arial"/>
                <w:sz w:val="4"/>
                <w:szCs w:val="4"/>
                <w:b w:val="1"/>
                <w:bCs w:val="1"/>
                <w:color w:val="auto"/>
              </w:rPr>
              <w:t>(1)</w:t>
            </w:r>
          </w:p>
        </w:tc>
        <w:tc>
          <w:tcPr>
            <w:tcW w:w="920" w:type="dxa"/>
            <w:vAlign w:val="bottom"/>
            <w:vMerge w:val="restart"/>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8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b w:val="1"/>
                <w:bCs w:val="1"/>
                <w:color w:val="auto"/>
                <w:w w:val="94"/>
              </w:rPr>
              <w:t>Costs</w:t>
            </w:r>
          </w:p>
        </w:tc>
        <w:tc>
          <w:tcPr>
            <w:tcW w:w="320" w:type="dxa"/>
            <w:vAlign w:val="bottom"/>
          </w:tcPr>
          <w:p>
            <w:pPr>
              <w:jc w:val="right"/>
              <w:ind w:right="159"/>
              <w:spacing w:after="0" w:line="41" w:lineRule="exact"/>
              <w:rPr>
                <w:sz w:val="20"/>
                <w:szCs w:val="20"/>
                <w:color w:val="auto"/>
              </w:rPr>
            </w:pPr>
            <w:r>
              <w:rPr>
                <w:rFonts w:ascii="Arial" w:cs="Arial" w:eastAsia="Arial" w:hAnsi="Arial"/>
                <w:sz w:val="4"/>
                <w:szCs w:val="4"/>
                <w:b w:val="1"/>
                <w:bCs w:val="1"/>
                <w:color w:val="auto"/>
              </w:rPr>
              <w:t>(6)</w:t>
            </w:r>
          </w:p>
        </w:tc>
        <w:tc>
          <w:tcPr>
            <w:tcW w:w="6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4"/>
              </w:rPr>
              <w:t>Costs</w:t>
            </w:r>
          </w:p>
        </w:tc>
        <w:tc>
          <w:tcPr>
            <w:tcW w:w="420" w:type="dxa"/>
            <w:vAlign w:val="bottom"/>
          </w:tcPr>
          <w:p>
            <w:pPr>
              <w:jc w:val="right"/>
              <w:ind w:right="241"/>
              <w:spacing w:after="0" w:line="41" w:lineRule="exact"/>
              <w:rPr>
                <w:sz w:val="20"/>
                <w:szCs w:val="20"/>
                <w:color w:val="auto"/>
              </w:rPr>
            </w:pPr>
            <w:r>
              <w:rPr>
                <w:rFonts w:ascii="Arial" w:cs="Arial" w:eastAsia="Arial" w:hAnsi="Arial"/>
                <w:sz w:val="4"/>
                <w:szCs w:val="4"/>
                <w:b w:val="1"/>
                <w:bCs w:val="1"/>
                <w:color w:val="auto"/>
              </w:rPr>
              <w:t>(7)</w:t>
            </w:r>
          </w:p>
        </w:tc>
        <w:tc>
          <w:tcPr>
            <w:tcW w:w="9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34"/>
        </w:trPr>
        <w:tc>
          <w:tcPr>
            <w:tcW w:w="15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8"/>
                <w:szCs w:val="8"/>
                <w:b w:val="1"/>
                <w:bCs w:val="1"/>
                <w:color w:val="auto"/>
              </w:rPr>
              <w:t>(3)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w:t>
            </w:r>
          </w:p>
        </w:tc>
        <w:tc>
          <w:tcPr>
            <w:tcW w:w="54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(9)</w:t>
            </w: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$120.0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8"/>
              <w:spacing w:after="0"/>
              <w:rPr>
                <w:sz w:val="20"/>
                <w:szCs w:val="20"/>
                <w:color w:val="auto"/>
              </w:rPr>
            </w:pPr>
            <w:r>
              <w:rPr>
                <w:rFonts w:ascii="Arial" w:cs="Arial" w:eastAsia="Arial" w:hAnsi="Arial"/>
                <w:sz w:val="13"/>
                <w:szCs w:val="13"/>
                <w:color w:val="auto"/>
              </w:rPr>
              <w:t>($3.6)</w:t>
            </w:r>
          </w:p>
        </w:tc>
        <w:tc>
          <w:tcPr>
            <w:tcW w:w="820" w:type="dxa"/>
            <w:vAlign w:val="bottom"/>
          </w:tcPr>
          <w:p>
            <w:pPr>
              <w:jc w:val="right"/>
              <w:ind w:right="99"/>
              <w:spacing w:after="0"/>
              <w:rPr>
                <w:sz w:val="20"/>
                <w:szCs w:val="20"/>
                <w:color w:val="auto"/>
              </w:rPr>
            </w:pPr>
            <w:r>
              <w:rPr>
                <w:rFonts w:ascii="Arial" w:cs="Arial" w:eastAsia="Arial" w:hAnsi="Arial"/>
                <w:sz w:val="13"/>
                <w:szCs w:val="13"/>
                <w:color w:val="auto"/>
              </w:rPr>
              <w:t>($12.6)</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($3.4)</w:t>
            </w:r>
          </w:p>
        </w:tc>
        <w:tc>
          <w:tcPr>
            <w:tcW w:w="860" w:type="dxa"/>
            <w:vAlign w:val="bottom"/>
            <w:gridSpan w:val="2"/>
          </w:tcPr>
          <w:p>
            <w:pPr>
              <w:jc w:val="right"/>
              <w:ind w:right="159"/>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1"/>
              <w:spacing w:after="0"/>
              <w:rPr>
                <w:sz w:val="20"/>
                <w:szCs w:val="20"/>
                <w:color w:val="auto"/>
              </w:rPr>
            </w:pPr>
            <w:r>
              <w:rPr>
                <w:rFonts w:ascii="Arial" w:cs="Arial" w:eastAsia="Arial" w:hAnsi="Arial"/>
                <w:sz w:val="13"/>
                <w:szCs w:val="13"/>
                <w:color w:val="auto"/>
              </w:rPr>
              <w:t>($0.2)</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rPr>
                <w:sz w:val="20"/>
                <w:szCs w:val="20"/>
                <w:color w:val="auto"/>
              </w:rPr>
            </w:pPr>
            <w:r>
              <w:rPr>
                <w:rFonts w:ascii="Arial" w:cs="Arial" w:eastAsia="Arial" w:hAnsi="Arial"/>
                <w:sz w:val="13"/>
                <w:szCs w:val="13"/>
                <w:color w:val="auto"/>
              </w:rPr>
              <w:t>Gross profit 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61.3 %</w:t>
            </w:r>
          </w:p>
        </w:tc>
        <w:tc>
          <w:tcPr>
            <w:tcW w:w="980" w:type="dxa"/>
            <w:vAlign w:val="bottom"/>
            <w:gridSpan w:val="2"/>
          </w:tcPr>
          <w:p>
            <w:pPr>
              <w:jc w:val="center"/>
              <w:ind w:left="55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1.2 %</w:t>
            </w:r>
          </w:p>
        </w:tc>
        <w:tc>
          <w:tcPr>
            <w:tcW w:w="820" w:type="dxa"/>
            <w:vAlign w:val="bottom"/>
          </w:tcPr>
          <w:p>
            <w:pPr>
              <w:jc w:val="right"/>
              <w:spacing w:after="0"/>
              <w:rPr>
                <w:sz w:val="20"/>
                <w:szCs w:val="20"/>
                <w:color w:val="auto"/>
              </w:rPr>
            </w:pPr>
            <w:r>
              <w:rPr>
                <w:rFonts w:ascii="Arial" w:cs="Arial" w:eastAsia="Arial" w:hAnsi="Arial"/>
                <w:sz w:val="13"/>
                <w:szCs w:val="13"/>
                <w:color w:val="auto"/>
              </w:rPr>
              <w:t>4.1 %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1.1 %</w:t>
            </w: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67.7 %</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133.3</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8"/>
              <w:spacing w:after="0"/>
              <w:rPr>
                <w:sz w:val="20"/>
                <w:szCs w:val="20"/>
                <w:color w:val="auto"/>
              </w:rPr>
            </w:pPr>
            <w:r>
              <w:rPr>
                <w:rFonts w:ascii="Arial" w:cs="Arial" w:eastAsia="Arial" w:hAnsi="Arial"/>
                <w:sz w:val="13"/>
                <w:szCs w:val="13"/>
                <w:color w:val="auto"/>
              </w:rPr>
              <w:t>(2.8)</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19"/>
              <w:spacing w:after="0"/>
              <w:rPr>
                <w:sz w:val="20"/>
                <w:szCs w:val="20"/>
                <w:color w:val="auto"/>
              </w:rPr>
            </w:pPr>
            <w:r>
              <w:rPr>
                <w:rFonts w:ascii="Arial" w:cs="Arial" w:eastAsia="Arial" w:hAnsi="Arial"/>
                <w:sz w:val="13"/>
                <w:szCs w:val="13"/>
                <w:color w:val="auto"/>
              </w:rPr>
              <w:t>(3.6)</w:t>
            </w:r>
          </w:p>
        </w:tc>
        <w:tc>
          <w:tcPr>
            <w:tcW w:w="600" w:type="dxa"/>
            <w:vAlign w:val="bottom"/>
          </w:tcPr>
          <w:p>
            <w:pPr>
              <w:spacing w:after="0"/>
              <w:rPr>
                <w:sz w:val="15"/>
                <w:szCs w:val="15"/>
                <w:color w:val="auto"/>
              </w:rPr>
            </w:pPr>
          </w:p>
        </w:tc>
        <w:tc>
          <w:tcPr>
            <w:tcW w:w="420" w:type="dxa"/>
            <w:vAlign w:val="bottom"/>
          </w:tcPr>
          <w:p>
            <w:pPr>
              <w:jc w:val="right"/>
              <w:ind w:right="101"/>
              <w:spacing w:after="0"/>
              <w:rPr>
                <w:sz w:val="20"/>
                <w:szCs w:val="20"/>
                <w:color w:val="auto"/>
              </w:rPr>
            </w:pPr>
            <w:r>
              <w:rPr>
                <w:rFonts w:ascii="Arial" w:cs="Arial" w:eastAsia="Arial" w:hAnsi="Arial"/>
                <w:sz w:val="13"/>
                <w:szCs w:val="13"/>
                <w:color w:val="auto"/>
                <w:w w:val="89"/>
              </w:rPr>
              <w:t>(7.0)</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tcPr>
          <w:p>
            <w:pPr>
              <w:ind w:left="20"/>
              <w:spacing w:after="0" w:line="130" w:lineRule="exact"/>
              <w:rPr>
                <w:sz w:val="20"/>
                <w:szCs w:val="20"/>
                <w:color w:val="auto"/>
              </w:rPr>
            </w:pPr>
            <w:r>
              <w:rPr>
                <w:rFonts w:ascii="Arial" w:cs="Arial" w:eastAsia="Arial" w:hAnsi="Arial"/>
                <w:sz w:val="13"/>
                <w:szCs w:val="13"/>
                <w:color w:val="auto"/>
              </w:rPr>
              <w:t>administrative as a</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43.0 %</w:t>
            </w:r>
          </w:p>
        </w:tc>
        <w:tc>
          <w:tcPr>
            <w:tcW w:w="980" w:type="dxa"/>
            <w:vAlign w:val="bottom"/>
            <w:gridSpan w:val="2"/>
          </w:tcPr>
          <w:p>
            <w:pPr>
              <w:jc w:val="center"/>
              <w:ind w:left="55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(0.9)%</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3"/>
              </w:rPr>
              <w:t>(2.3)%</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38.7 %</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46.2</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(1.5)</w:t>
            </w:r>
          </w:p>
        </w:tc>
        <w:tc>
          <w:tcPr>
            <w:tcW w:w="860" w:type="dxa"/>
            <w:vAlign w:val="bottom"/>
            <w:gridSpan w:val="2"/>
          </w:tcPr>
          <w:p>
            <w:pPr>
              <w:jc w:val="right"/>
              <w:ind w:right="119"/>
              <w:spacing w:after="0"/>
              <w:rPr>
                <w:sz w:val="20"/>
                <w:szCs w:val="20"/>
                <w:color w:val="auto"/>
              </w:rPr>
            </w:pPr>
            <w:r>
              <w:rPr>
                <w:rFonts w:ascii="Arial" w:cs="Arial" w:eastAsia="Arial" w:hAnsi="Arial"/>
                <w:sz w:val="13"/>
                <w:szCs w:val="13"/>
                <w:color w:val="auto"/>
              </w:rPr>
              <w:t>(1.6)</w:t>
            </w:r>
          </w:p>
        </w:tc>
        <w:tc>
          <w:tcPr>
            <w:tcW w:w="600" w:type="dxa"/>
            <w:vAlign w:val="bottom"/>
          </w:tcPr>
          <w:p>
            <w:pPr>
              <w:spacing w:after="0"/>
              <w:rPr>
                <w:sz w:val="15"/>
                <w:szCs w:val="15"/>
                <w:color w:val="auto"/>
              </w:rPr>
            </w:pPr>
          </w:p>
        </w:tc>
        <w:tc>
          <w:tcPr>
            <w:tcW w:w="420" w:type="dxa"/>
            <w:vAlign w:val="bottom"/>
          </w:tcPr>
          <w:p>
            <w:pPr>
              <w:jc w:val="right"/>
              <w:ind w:right="101"/>
              <w:spacing w:after="0"/>
              <w:rPr>
                <w:sz w:val="20"/>
                <w:szCs w:val="20"/>
                <w:color w:val="auto"/>
              </w:rPr>
            </w:pPr>
            <w:r>
              <w:rPr>
                <w:rFonts w:ascii="Arial" w:cs="Arial" w:eastAsia="Arial" w:hAnsi="Arial"/>
                <w:sz w:val="13"/>
                <w:szCs w:val="13"/>
                <w:color w:val="auto"/>
                <w:w w:val="89"/>
              </w:rPr>
              <w:t>(1.1)</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tcPr>
          <w:p>
            <w:pPr>
              <w:ind w:left="20"/>
              <w:spacing w:after="0" w:line="130" w:lineRule="exact"/>
              <w:rPr>
                <w:sz w:val="20"/>
                <w:szCs w:val="20"/>
                <w:color w:val="auto"/>
              </w:rPr>
            </w:pPr>
            <w:r>
              <w:rPr>
                <w:rFonts w:ascii="Arial" w:cs="Arial" w:eastAsia="Arial" w:hAnsi="Arial"/>
                <w:sz w:val="13"/>
                <w:szCs w:val="13"/>
                <w:color w:val="auto"/>
              </w:rPr>
              <w:t>development as a</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14.9 %</w:t>
            </w:r>
          </w:p>
        </w:tc>
        <w:tc>
          <w:tcPr>
            <w:tcW w:w="980" w:type="dxa"/>
            <w:vAlign w:val="bottom"/>
            <w:gridSpan w:val="2"/>
          </w:tcPr>
          <w:p>
            <w:pPr>
              <w:jc w:val="center"/>
              <w:ind w:left="55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(0.5)%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3"/>
              </w:rPr>
              <w:t>(0.3)%</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13.6 %</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3"/>
                <w:szCs w:val="13"/>
                <w:color w:val="auto"/>
              </w:rPr>
              <w:t>Other operating</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expenses</w:t>
            </w: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8.7</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19"/>
              <w:spacing w:after="0"/>
              <w:rPr>
                <w:sz w:val="20"/>
                <w:szCs w:val="20"/>
                <w:color w:val="auto"/>
              </w:rPr>
            </w:pPr>
            <w:r>
              <w:rPr>
                <w:rFonts w:ascii="Arial" w:cs="Arial" w:eastAsia="Arial" w:hAnsi="Arial"/>
                <w:sz w:val="13"/>
                <w:szCs w:val="13"/>
                <w:color w:val="auto"/>
              </w:rPr>
              <w:t>(8.8)</w:t>
            </w:r>
          </w:p>
        </w:tc>
        <w:tc>
          <w:tcPr>
            <w:tcW w:w="600" w:type="dxa"/>
            <w:vAlign w:val="bottom"/>
          </w:tcPr>
          <w:p>
            <w:pPr>
              <w:spacing w:after="0"/>
              <w:rPr>
                <w:sz w:val="15"/>
                <w:szCs w:val="15"/>
                <w:color w:val="auto"/>
              </w:rPr>
            </w:pPr>
          </w:p>
        </w:tc>
        <w:tc>
          <w:tcPr>
            <w:tcW w:w="420" w:type="dxa"/>
            <w:vAlign w:val="bottom"/>
          </w:tcPr>
          <w:p>
            <w:pPr>
              <w:jc w:val="right"/>
              <w:ind w:right="141"/>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Operating (loss) income</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(88.0)</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6.4</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102.6</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4.8</w:t>
            </w:r>
          </w:p>
        </w:tc>
        <w:tc>
          <w:tcPr>
            <w:tcW w:w="860" w:type="dxa"/>
            <w:vAlign w:val="bottom"/>
            <w:gridSpan w:val="2"/>
          </w:tcPr>
          <w:p>
            <w:pPr>
              <w:jc w:val="right"/>
              <w:ind w:right="159"/>
              <w:spacing w:after="0"/>
              <w:rPr>
                <w:sz w:val="20"/>
                <w:szCs w:val="20"/>
                <w:color w:val="auto"/>
              </w:rPr>
            </w:pPr>
            <w:r>
              <w:rPr>
                <w:rFonts w:ascii="Arial" w:cs="Arial" w:eastAsia="Arial" w:hAnsi="Arial"/>
                <w:sz w:val="13"/>
                <w:szCs w:val="13"/>
                <w:color w:val="auto"/>
              </w:rPr>
              <w:t>14.0</w:t>
            </w:r>
          </w:p>
        </w:tc>
        <w:tc>
          <w:tcPr>
            <w:tcW w:w="600" w:type="dxa"/>
            <w:vAlign w:val="bottom"/>
          </w:tcPr>
          <w:p>
            <w:pPr>
              <w:spacing w:after="0"/>
              <w:rPr>
                <w:sz w:val="15"/>
                <w:szCs w:val="15"/>
                <w:color w:val="auto"/>
              </w:rPr>
            </w:pPr>
          </w:p>
        </w:tc>
        <w:tc>
          <w:tcPr>
            <w:tcW w:w="420" w:type="dxa"/>
            <w:vAlign w:val="bottom"/>
          </w:tcPr>
          <w:p>
            <w:pPr>
              <w:jc w:val="right"/>
              <w:ind w:right="141"/>
              <w:spacing w:after="0"/>
              <w:rPr>
                <w:sz w:val="20"/>
                <w:szCs w:val="20"/>
                <w:color w:val="auto"/>
              </w:rPr>
            </w:pPr>
            <w:r>
              <w:rPr>
                <w:rFonts w:ascii="Arial" w:cs="Arial" w:eastAsia="Arial" w:hAnsi="Arial"/>
                <w:sz w:val="13"/>
                <w:szCs w:val="13"/>
                <w:color w:val="auto"/>
              </w:rPr>
              <w:t>8.3</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w w:val="99"/>
              </w:rPr>
              <w:t>Operating margin 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(28.4)%</w:t>
            </w:r>
          </w:p>
        </w:tc>
        <w:tc>
          <w:tcPr>
            <w:tcW w:w="980" w:type="dxa"/>
            <w:vAlign w:val="bottom"/>
            <w:gridSpan w:val="2"/>
          </w:tcPr>
          <w:p>
            <w:pPr>
              <w:jc w:val="center"/>
              <w:ind w:left="55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2.1 %</w:t>
            </w:r>
          </w:p>
        </w:tc>
        <w:tc>
          <w:tcPr>
            <w:tcW w:w="820" w:type="dxa"/>
            <w:vAlign w:val="bottom"/>
          </w:tcPr>
          <w:p>
            <w:pPr>
              <w:jc w:val="right"/>
              <w:spacing w:after="0"/>
              <w:rPr>
                <w:sz w:val="20"/>
                <w:szCs w:val="20"/>
                <w:color w:val="auto"/>
              </w:rPr>
            </w:pPr>
            <w:r>
              <w:rPr>
                <w:rFonts w:ascii="Arial" w:cs="Arial" w:eastAsia="Arial" w:hAnsi="Arial"/>
                <w:sz w:val="13"/>
                <w:szCs w:val="13"/>
                <w:color w:val="auto"/>
              </w:rPr>
              <w:t>33.1 %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1.6 %</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4.5 %</w:t>
            </w:r>
          </w:p>
        </w:tc>
        <w:tc>
          <w:tcPr>
            <w:tcW w:w="6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15.5 %</w:t>
            </w: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16.3</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6.4</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102.6</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(2.6)</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4.8</w:t>
            </w:r>
          </w:p>
        </w:tc>
        <w:tc>
          <w:tcPr>
            <w:tcW w:w="860" w:type="dxa"/>
            <w:vAlign w:val="bottom"/>
            <w:gridSpan w:val="2"/>
          </w:tcPr>
          <w:p>
            <w:pPr>
              <w:jc w:val="right"/>
              <w:ind w:right="159"/>
              <w:spacing w:after="0"/>
              <w:rPr>
                <w:sz w:val="20"/>
                <w:szCs w:val="20"/>
                <w:color w:val="auto"/>
              </w:rPr>
            </w:pPr>
            <w:r>
              <w:rPr>
                <w:rFonts w:ascii="Arial" w:cs="Arial" w:eastAsia="Arial" w:hAnsi="Arial"/>
                <w:sz w:val="13"/>
                <w:szCs w:val="13"/>
                <w:color w:val="auto"/>
              </w:rPr>
              <w:t>12.4</w:t>
            </w:r>
          </w:p>
        </w:tc>
        <w:tc>
          <w:tcPr>
            <w:tcW w:w="600" w:type="dxa"/>
            <w:vAlign w:val="bottom"/>
          </w:tcPr>
          <w:p>
            <w:pPr>
              <w:spacing w:after="0"/>
              <w:rPr>
                <w:sz w:val="15"/>
                <w:szCs w:val="15"/>
                <w:color w:val="auto"/>
              </w:rPr>
            </w:pPr>
          </w:p>
        </w:tc>
        <w:tc>
          <w:tcPr>
            <w:tcW w:w="420" w:type="dxa"/>
            <w:vAlign w:val="bottom"/>
          </w:tcPr>
          <w:p>
            <w:pPr>
              <w:jc w:val="right"/>
              <w:ind w:right="141"/>
              <w:spacing w:after="0"/>
              <w:rPr>
                <w:sz w:val="20"/>
                <w:szCs w:val="20"/>
                <w:color w:val="auto"/>
              </w:rPr>
            </w:pPr>
            <w:r>
              <w:rPr>
                <w:rFonts w:ascii="Arial" w:cs="Arial" w:eastAsia="Arial" w:hAnsi="Arial"/>
                <w:sz w:val="13"/>
                <w:szCs w:val="13"/>
                <w:color w:val="auto"/>
              </w:rPr>
              <w:t>8.3</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(109.3)</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8.3</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3"/>
                <w:szCs w:val="13"/>
                <w:color w:val="auto"/>
              </w:rPr>
              <w:t>Net income as a percent</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of net 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5.3 %</w:t>
            </w:r>
          </w:p>
        </w:tc>
        <w:tc>
          <w:tcPr>
            <w:tcW w:w="980" w:type="dxa"/>
            <w:vAlign w:val="bottom"/>
            <w:gridSpan w:val="2"/>
          </w:tcPr>
          <w:p>
            <w:pPr>
              <w:jc w:val="center"/>
              <w:ind w:left="55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2.1 %</w:t>
            </w:r>
          </w:p>
        </w:tc>
        <w:tc>
          <w:tcPr>
            <w:tcW w:w="820" w:type="dxa"/>
            <w:vAlign w:val="bottom"/>
          </w:tcPr>
          <w:p>
            <w:pPr>
              <w:jc w:val="right"/>
              <w:spacing w:after="0"/>
              <w:rPr>
                <w:sz w:val="20"/>
                <w:szCs w:val="20"/>
                <w:color w:val="auto"/>
              </w:rPr>
            </w:pPr>
            <w:r>
              <w:rPr>
                <w:rFonts w:ascii="Arial" w:cs="Arial" w:eastAsia="Arial" w:hAnsi="Arial"/>
                <w:sz w:val="13"/>
                <w:szCs w:val="13"/>
                <w:color w:val="auto"/>
              </w:rPr>
              <w:t>33.1 %</w:t>
            </w:r>
          </w:p>
        </w:tc>
        <w:tc>
          <w:tcPr>
            <w:tcW w:w="920" w:type="dxa"/>
            <w:vAlign w:val="bottom"/>
          </w:tcPr>
          <w:p>
            <w:pPr>
              <w:jc w:val="right"/>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1.6 %</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4.0 %</w:t>
            </w:r>
          </w:p>
        </w:tc>
        <w:tc>
          <w:tcPr>
            <w:tcW w:w="6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2.7 %</w:t>
            </w:r>
          </w:p>
        </w:tc>
        <w:tc>
          <w:tcPr>
            <w:tcW w:w="920" w:type="dxa"/>
            <w:vAlign w:val="bottom"/>
          </w:tcPr>
          <w:p>
            <w:pPr>
              <w:jc w:val="right"/>
              <w:spacing w:after="0"/>
              <w:rPr>
                <w:sz w:val="20"/>
                <w:szCs w:val="20"/>
                <w:color w:val="auto"/>
              </w:rPr>
            </w:pPr>
            <w:r>
              <w:rPr>
                <w:rFonts w:ascii="Arial" w:cs="Arial" w:eastAsia="Arial" w:hAnsi="Arial"/>
                <w:sz w:val="13"/>
                <w:szCs w:val="13"/>
                <w:color w:val="auto"/>
              </w:rPr>
              <w:t>(35.2)%</w:t>
            </w:r>
          </w:p>
        </w:tc>
        <w:tc>
          <w:tcPr>
            <w:tcW w:w="880" w:type="dxa"/>
            <w:vAlign w:val="bottom"/>
          </w:tcPr>
          <w:p>
            <w:pPr>
              <w:jc w:val="right"/>
              <w:spacing w:after="0"/>
              <w:rPr>
                <w:sz w:val="20"/>
                <w:szCs w:val="20"/>
                <w:color w:val="auto"/>
              </w:rPr>
            </w:pPr>
            <w:r>
              <w:rPr>
                <w:rFonts w:ascii="Arial" w:cs="Arial" w:eastAsia="Arial" w:hAnsi="Arial"/>
                <w:sz w:val="13"/>
                <w:szCs w:val="13"/>
                <w:color w:val="auto"/>
              </w:rPr>
              <w:t>2.7 %</w:t>
            </w:r>
          </w:p>
        </w:tc>
        <w:tc>
          <w:tcPr>
            <w:tcW w:w="740" w:type="dxa"/>
            <w:vAlign w:val="bottom"/>
          </w:tcPr>
          <w:p>
            <w:pPr>
              <w:jc w:val="right"/>
              <w:spacing w:after="0"/>
              <w:rPr>
                <w:sz w:val="20"/>
                <w:szCs w:val="20"/>
                <w:color w:val="auto"/>
              </w:rPr>
            </w:pPr>
            <w:r>
              <w:rPr>
                <w:rFonts w:ascii="Arial" w:cs="Arial" w:eastAsia="Arial" w:hAnsi="Arial"/>
                <w:sz w:val="13"/>
                <w:szCs w:val="13"/>
                <w:color w:val="auto"/>
              </w:rPr>
              <w:t>15.2 %</w:t>
            </w:r>
          </w:p>
        </w:tc>
        <w:tc>
          <w:tcPr>
            <w:tcW w:w="0" w:type="dxa"/>
            <w:vAlign w:val="bottom"/>
          </w:tcPr>
          <w:p>
            <w:pPr>
              <w:spacing w:after="0"/>
              <w:rPr>
                <w:sz w:val="1"/>
                <w:szCs w:val="1"/>
                <w:color w:val="auto"/>
              </w:rPr>
            </w:pPr>
          </w:p>
        </w:tc>
      </w:tr>
      <w:tr>
        <w:trPr>
          <w:trHeight w:val="174"/>
        </w:trPr>
        <w:tc>
          <w:tcPr>
            <w:tcW w:w="150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$0.30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$0.12</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$1.89</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($0.05)</w:t>
            </w:r>
          </w:p>
        </w:tc>
        <w:tc>
          <w:tcPr>
            <w:tcW w:w="980" w:type="dxa"/>
            <w:vAlign w:val="bottom"/>
          </w:tcPr>
          <w:p>
            <w:pPr>
              <w:jc w:val="right"/>
              <w:ind w:right="119"/>
              <w:spacing w:after="0"/>
              <w:rPr>
                <w:sz w:val="20"/>
                <w:szCs w:val="20"/>
                <w:color w:val="auto"/>
              </w:rPr>
            </w:pPr>
            <w:r>
              <w:rPr>
                <w:rFonts w:ascii="Arial" w:cs="Arial" w:eastAsia="Arial" w:hAnsi="Arial"/>
                <w:sz w:val="13"/>
                <w:szCs w:val="13"/>
                <w:color w:val="auto"/>
              </w:rPr>
              <w:t>$0.09</w:t>
            </w:r>
          </w:p>
        </w:tc>
        <w:tc>
          <w:tcPr>
            <w:tcW w:w="860" w:type="dxa"/>
            <w:vAlign w:val="bottom"/>
            <w:gridSpan w:val="2"/>
          </w:tcPr>
          <w:p>
            <w:pPr>
              <w:jc w:val="right"/>
              <w:ind w:right="159"/>
              <w:spacing w:after="0"/>
              <w:rPr>
                <w:sz w:val="20"/>
                <w:szCs w:val="20"/>
                <w:color w:val="auto"/>
              </w:rPr>
            </w:pPr>
            <w:r>
              <w:rPr>
                <w:rFonts w:ascii="Arial" w:cs="Arial" w:eastAsia="Arial" w:hAnsi="Arial"/>
                <w:sz w:val="13"/>
                <w:szCs w:val="13"/>
                <w:color w:val="auto"/>
              </w:rPr>
              <w:t>$0.23</w:t>
            </w:r>
          </w:p>
        </w:tc>
        <w:tc>
          <w:tcPr>
            <w:tcW w:w="1020" w:type="dxa"/>
            <w:vAlign w:val="bottom"/>
            <w:gridSpan w:val="2"/>
          </w:tcPr>
          <w:p>
            <w:pPr>
              <w:jc w:val="right"/>
              <w:ind w:right="141"/>
              <w:spacing w:after="0"/>
              <w:rPr>
                <w:sz w:val="20"/>
                <w:szCs w:val="20"/>
                <w:color w:val="auto"/>
              </w:rPr>
            </w:pPr>
            <w:r>
              <w:rPr>
                <w:rFonts w:ascii="Arial" w:cs="Arial" w:eastAsia="Arial" w:hAnsi="Arial"/>
                <w:sz w:val="13"/>
                <w:szCs w:val="13"/>
                <w:color w:val="auto"/>
              </w:rPr>
              <w:t>$0.15</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($2.01)</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$0.15</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$0.87</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three months ended December 31, 2023 include:</w:t>
      </w:r>
    </w:p>
    <w:p>
      <w:pPr>
        <w:spacing w:after="0" w:line="97"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ACS inventory obsolescence adjustment and impairment of long-lived assets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 for the embedded and capped call derivatives associated with the 2025 Notes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acquisitions</w:t>
      </w:r>
    </w:p>
    <w:p>
      <w:pPr>
        <w:spacing w:after="0" w:line="4" w:lineRule="exact"/>
        <w:rPr>
          <w:rFonts w:ascii="Arial" w:cs="Arial" w:eastAsia="Arial" w:hAnsi="Arial"/>
          <w:sz w:val="21"/>
          <w:szCs w:val="21"/>
          <w:color w:val="auto"/>
          <w:vertAlign w:val="superscript"/>
        </w:rPr>
      </w:pPr>
    </w:p>
    <w:p>
      <w:pPr>
        <w:ind w:left="320" w:hanging="313"/>
        <w:spacing w:after="0" w:line="225" w:lineRule="auto"/>
        <w:tabs>
          <w:tab w:leader="none" w:pos="314"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costs related to the SNIA matter, MDR costs, and cybersecurity incident costs</w:t>
      </w:r>
    </w:p>
    <w:p>
      <w:pPr>
        <w:ind w:left="320" w:hanging="313"/>
        <w:spacing w:after="0" w:line="200"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3" w:lineRule="exact"/>
        <w:rPr>
          <w:rFonts w:ascii="Arial" w:cs="Arial" w:eastAsia="Arial" w:hAnsi="Arial"/>
          <w:sz w:val="21"/>
          <w:szCs w:val="21"/>
          <w:color w:val="auto"/>
          <w:vertAlign w:val="superscript"/>
        </w:rPr>
      </w:pPr>
    </w:p>
    <w:p>
      <w:pPr>
        <w:ind w:left="320" w:hanging="313"/>
        <w:spacing w:after="0" w:line="225" w:lineRule="auto"/>
        <w:tabs>
          <w:tab w:leader="none" w:pos="314"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R&amp;D tax credits, the tax impact of intercompany transactions, and the tax impact on non-GAAP adjustments</w:t>
      </w:r>
    </w:p>
    <w:p>
      <w:pPr>
        <w:ind w:left="320" w:right="20" w:hanging="313"/>
        <w:spacing w:after="0" w:line="227" w:lineRule="auto"/>
        <w:tabs>
          <w:tab w:leader="none" w:pos="314"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Non-cash interest expense on the 2025 Notes and Revolving Credit Facility, interest expense on the Term Facilities, and interest income on the collateral for the SNIA litigation guarantee and delayed draw on Term Facilities</w:t>
      </w:r>
    </w:p>
    <w:p>
      <w:pPr>
        <w:spacing w:after="0" w:line="109" w:lineRule="exact"/>
        <w:rPr>
          <w:sz w:val="20"/>
          <w:szCs w:val="20"/>
          <w:color w:val="auto"/>
        </w:rPr>
      </w:pPr>
    </w:p>
    <w:p>
      <w:pPr>
        <w:ind w:left="240" w:hanging="233"/>
        <w:spacing w:after="0"/>
        <w:tabs>
          <w:tab w:leader="none" w:pos="2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789"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6"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Specified Items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7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Financing</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1020" w:type="dxa"/>
            <w:vAlign w:val="bottom"/>
            <w:tcBorders>
              <w:top w:val="single" w:sz="8" w:color="auto"/>
            </w:tcBorders>
            <w:gridSpan w:val="2"/>
            <w:vMerge w:val="restart"/>
          </w:tcPr>
          <w:p>
            <w:pPr>
              <w:jc w:val="right"/>
              <w:ind w:right="103"/>
              <w:spacing w:after="0"/>
              <w:rPr>
                <w:sz w:val="20"/>
                <w:szCs w:val="20"/>
                <w:color w:val="auto"/>
              </w:rPr>
            </w:pPr>
            <w:r>
              <w:rPr>
                <w:rFonts w:ascii="Arial" w:cs="Arial" w:eastAsia="Arial" w:hAnsi="Arial"/>
                <w:sz w:val="13"/>
                <w:szCs w:val="13"/>
                <w:b w:val="1"/>
                <w:bCs w:val="1"/>
                <w:color w:val="auto"/>
              </w:rPr>
              <w:t>Stock-based</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21"/>
        </w:trPr>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 Ended</w:t>
            </w:r>
          </w:p>
        </w:tc>
        <w:tc>
          <w:tcPr>
            <w:tcW w:w="700" w:type="dxa"/>
            <w:vAlign w:val="bottom"/>
            <w:vMerge w:val="continue"/>
          </w:tcPr>
          <w:p>
            <w:pPr>
              <w:spacing w:after="0"/>
              <w:rPr>
                <w:sz w:val="10"/>
                <w:szCs w:val="10"/>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8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Legal &amp;</w:t>
            </w: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40" w:type="dxa"/>
            <w:vAlign w:val="bottom"/>
            <w:vMerge w:val="continue"/>
          </w:tcPr>
          <w:p>
            <w:pPr>
              <w:spacing w:after="0"/>
              <w:rPr>
                <w:sz w:val="8"/>
                <w:szCs w:val="8"/>
                <w:color w:val="auto"/>
              </w:rPr>
            </w:pPr>
          </w:p>
        </w:tc>
        <w:tc>
          <w:tcPr>
            <w:tcW w:w="7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1000" w:type="dxa"/>
            <w:vAlign w:val="bottom"/>
            <w:gridSpan w:val="2"/>
            <w:vMerge w:val="continue"/>
          </w:tcPr>
          <w:p>
            <w:pPr>
              <w:spacing w:after="0"/>
              <w:rPr>
                <w:sz w:val="8"/>
                <w:szCs w:val="8"/>
                <w:color w:val="auto"/>
              </w:rPr>
            </w:pPr>
          </w:p>
        </w:tc>
        <w:tc>
          <w:tcPr>
            <w:tcW w:w="9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Amortization</w:t>
            </w:r>
          </w:p>
        </w:tc>
        <w:tc>
          <w:tcPr>
            <w:tcW w:w="820" w:type="dxa"/>
            <w:vAlign w:val="bottom"/>
            <w:vMerge w:val="restart"/>
          </w:tcPr>
          <w:p>
            <w:pPr>
              <w:jc w:val="right"/>
              <w:ind w:right="39"/>
              <w:spacing w:after="0" w:line="134" w:lineRule="exact"/>
              <w:rPr>
                <w:sz w:val="20"/>
                <w:szCs w:val="20"/>
                <w:color w:val="auto"/>
              </w:rPr>
            </w:pPr>
            <w:r>
              <w:rPr>
                <w:rFonts w:ascii="Arial" w:cs="Arial" w:eastAsia="Arial" w:hAnsi="Arial"/>
                <w:sz w:val="13"/>
                <w:szCs w:val="13"/>
                <w:b w:val="1"/>
                <w:bCs w:val="1"/>
                <w:color w:val="auto"/>
                <w:w w:val="99"/>
              </w:rPr>
              <w:t>Impairment</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Transactions</w:t>
            </w:r>
          </w:p>
        </w:tc>
        <w:tc>
          <w:tcPr>
            <w:tcW w:w="1000" w:type="dxa"/>
            <w:vAlign w:val="bottom"/>
            <w:vMerge w:val="restart"/>
          </w:tcPr>
          <w:p>
            <w:pPr>
              <w:jc w:val="center"/>
              <w:ind w:right="19"/>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8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Regulatory</w:t>
            </w:r>
          </w:p>
        </w:tc>
        <w:tc>
          <w:tcPr>
            <w:tcW w:w="1020" w:type="dxa"/>
            <w:vAlign w:val="bottom"/>
            <w:gridSpan w:val="2"/>
          </w:tcPr>
          <w:p>
            <w:pPr>
              <w:jc w:val="right"/>
              <w:ind w:right="43"/>
              <w:spacing w:after="0" w:line="94" w:lineRule="exact"/>
              <w:rPr>
                <w:sz w:val="20"/>
                <w:szCs w:val="20"/>
                <w:color w:val="auto"/>
              </w:rPr>
            </w:pPr>
            <w:r>
              <w:rPr>
                <w:rFonts w:ascii="Arial" w:cs="Arial" w:eastAsia="Arial" w:hAnsi="Arial"/>
                <w:sz w:val="10"/>
                <w:szCs w:val="10"/>
                <w:b w:val="1"/>
                <w:bCs w:val="1"/>
                <w:color w:val="auto"/>
              </w:rPr>
              <w:t>Compensation</w:t>
            </w:r>
          </w:p>
        </w:tc>
        <w:tc>
          <w:tcPr>
            <w:tcW w:w="920" w:type="dxa"/>
            <w:vAlign w:val="bottom"/>
            <w:vMerge w:val="restart"/>
          </w:tcPr>
          <w:p>
            <w:pPr>
              <w:jc w:val="center"/>
              <w:ind w:right="19"/>
              <w:spacing w:after="0" w:line="134"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0" w:type="dxa"/>
            <w:vAlign w:val="bottom"/>
          </w:tcPr>
          <w:p>
            <w:pPr>
              <w:spacing w:after="0"/>
              <w:rPr>
                <w:sz w:val="1"/>
                <w:szCs w:val="1"/>
                <w:color w:val="auto"/>
              </w:rPr>
            </w:pPr>
          </w:p>
        </w:tc>
      </w:tr>
      <w:tr>
        <w:trPr>
          <w:trHeight w:val="40"/>
        </w:trPr>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2024</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5"/>
              </w:rPr>
              <w:t>Expenses</w:t>
            </w:r>
          </w:p>
        </w:tc>
        <w:tc>
          <w:tcPr>
            <w:tcW w:w="260" w:type="dxa"/>
            <w:vAlign w:val="bottom"/>
          </w:tcPr>
          <w:p>
            <w:pPr>
              <w:jc w:val="center"/>
              <w:ind w:right="100"/>
              <w:spacing w:after="0" w:line="41" w:lineRule="exact"/>
              <w:rPr>
                <w:sz w:val="20"/>
                <w:szCs w:val="20"/>
                <w:color w:val="auto"/>
              </w:rPr>
            </w:pPr>
            <w:r>
              <w:rPr>
                <w:rFonts w:ascii="Arial" w:cs="Arial" w:eastAsia="Arial" w:hAnsi="Arial"/>
                <w:sz w:val="4"/>
                <w:szCs w:val="4"/>
                <w:b w:val="1"/>
                <w:bCs w:val="1"/>
                <w:color w:val="auto"/>
              </w:rPr>
              <w:t>(1)</w:t>
            </w:r>
          </w:p>
        </w:tc>
        <w:tc>
          <w:tcPr>
            <w:tcW w:w="920" w:type="dxa"/>
            <w:vAlign w:val="bottom"/>
            <w:vMerge w:val="restart"/>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8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00" w:type="dxa"/>
            <w:vAlign w:val="bottom"/>
            <w:vMerge w:val="restart"/>
          </w:tcPr>
          <w:p>
            <w:pPr>
              <w:jc w:val="center"/>
              <w:ind w:right="18"/>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6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4"/>
              </w:rPr>
              <w:t>Costs</w:t>
            </w:r>
          </w:p>
        </w:tc>
        <w:tc>
          <w:tcPr>
            <w:tcW w:w="420" w:type="dxa"/>
            <w:vAlign w:val="bottom"/>
          </w:tcPr>
          <w:p>
            <w:pPr>
              <w:jc w:val="right"/>
              <w:ind w:right="243"/>
              <w:spacing w:after="0" w:line="41" w:lineRule="exact"/>
              <w:rPr>
                <w:sz w:val="20"/>
                <w:szCs w:val="20"/>
                <w:color w:val="auto"/>
              </w:rPr>
            </w:pPr>
            <w:r>
              <w:rPr>
                <w:rFonts w:ascii="Arial" w:cs="Arial" w:eastAsia="Arial" w:hAnsi="Arial"/>
                <w:sz w:val="4"/>
                <w:szCs w:val="4"/>
                <w:b w:val="1"/>
                <w:bCs w:val="1"/>
                <w:color w:val="auto"/>
              </w:rPr>
              <w:t>(7)</w:t>
            </w:r>
          </w:p>
        </w:tc>
        <w:tc>
          <w:tcPr>
            <w:tcW w:w="9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34"/>
        </w:trPr>
        <w:tc>
          <w:tcPr>
            <w:tcW w:w="154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8"/>
                <w:szCs w:val="8"/>
                <w:b w:val="1"/>
                <w:bCs w:val="1"/>
                <w:color w:val="auto"/>
              </w:rPr>
              <w:t>(3)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w:t>
            </w:r>
          </w:p>
        </w:tc>
        <w:tc>
          <w:tcPr>
            <w:tcW w:w="8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1"/>
              </w:rPr>
              <w:t>(9)</w:t>
            </w: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4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$382.6</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8"/>
              <w:spacing w:after="0"/>
              <w:rPr>
                <w:sz w:val="20"/>
                <w:szCs w:val="20"/>
                <w:color w:val="auto"/>
              </w:rPr>
            </w:pPr>
            <w:r>
              <w:rPr>
                <w:rFonts w:ascii="Arial" w:cs="Arial" w:eastAsia="Arial" w:hAnsi="Arial"/>
                <w:sz w:val="13"/>
                <w:szCs w:val="13"/>
                <w:color w:val="auto"/>
              </w:rPr>
              <w:t>($6.8)</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ind w:left="5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9"/>
              <w:spacing w:after="0"/>
              <w:rPr>
                <w:sz w:val="20"/>
                <w:szCs w:val="20"/>
                <w:color w:val="auto"/>
              </w:rPr>
            </w:pPr>
            <w:r>
              <w:rPr>
                <w:rFonts w:ascii="Arial" w:cs="Arial" w:eastAsia="Arial" w:hAnsi="Arial"/>
                <w:sz w:val="13"/>
                <w:szCs w:val="13"/>
                <w:color w:val="auto"/>
              </w:rPr>
              <w:t>($1.3)</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$0.7</w:t>
            </w:r>
          </w:p>
        </w:tc>
        <w:tc>
          <w:tcPr>
            <w:tcW w:w="1020" w:type="dxa"/>
            <w:vAlign w:val="bottom"/>
            <w:gridSpan w:val="2"/>
          </w:tcPr>
          <w:p>
            <w:pPr>
              <w:jc w:val="right"/>
              <w:ind w:right="103"/>
              <w:spacing w:after="0"/>
              <w:rPr>
                <w:sz w:val="20"/>
                <w:szCs w:val="20"/>
                <w:color w:val="auto"/>
              </w:rPr>
            </w:pPr>
            <w:r>
              <w:rPr>
                <w:rFonts w:ascii="Arial" w:cs="Arial" w:eastAsia="Arial" w:hAnsi="Arial"/>
                <w:sz w:val="13"/>
                <w:szCs w:val="13"/>
                <w:color w:val="auto"/>
              </w:rPr>
              <w:t>($1.2)</w:t>
            </w:r>
          </w:p>
        </w:tc>
        <w:tc>
          <w:tcPr>
            <w:tcW w:w="920" w:type="dxa"/>
            <w:vAlign w:val="bottom"/>
          </w:tcPr>
          <w:p>
            <w:pPr>
              <w:ind w:left="5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$374.0</w:t>
            </w: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Gross profit 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69.5 %</w:t>
            </w:r>
          </w:p>
        </w:tc>
        <w:tc>
          <w:tcPr>
            <w:tcW w:w="1000" w:type="dxa"/>
            <w:vAlign w:val="bottom"/>
            <w:gridSpan w:val="2"/>
          </w:tcPr>
          <w:p>
            <w:pPr>
              <w:jc w:val="center"/>
              <w:ind w:left="57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0.5 %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ind w:left="58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70.2 %</w:t>
            </w: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526.3</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8"/>
              <w:spacing w:after="0"/>
              <w:rPr>
                <w:sz w:val="20"/>
                <w:szCs w:val="20"/>
                <w:color w:val="auto"/>
              </w:rPr>
            </w:pPr>
            <w:r>
              <w:rPr>
                <w:rFonts w:ascii="Arial" w:cs="Arial" w:eastAsia="Arial" w:hAnsi="Arial"/>
                <w:sz w:val="13"/>
                <w:szCs w:val="13"/>
                <w:color w:val="auto"/>
              </w:rPr>
              <w:t>(10.5)</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(20.4)</w:t>
            </w:r>
          </w:p>
        </w:tc>
        <w:tc>
          <w:tcPr>
            <w:tcW w:w="1020" w:type="dxa"/>
            <w:vAlign w:val="bottom"/>
            <w:gridSpan w:val="2"/>
          </w:tcPr>
          <w:p>
            <w:pPr>
              <w:jc w:val="right"/>
              <w:ind w:right="103"/>
              <w:spacing w:after="0"/>
              <w:rPr>
                <w:sz w:val="20"/>
                <w:szCs w:val="20"/>
                <w:color w:val="auto"/>
              </w:rPr>
            </w:pPr>
            <w:r>
              <w:rPr>
                <w:rFonts w:ascii="Arial" w:cs="Arial" w:eastAsia="Arial" w:hAnsi="Arial"/>
                <w:sz w:val="13"/>
                <w:szCs w:val="13"/>
                <w:color w:val="auto"/>
              </w:rPr>
              <w:t>(26.3)</w:t>
            </w:r>
          </w:p>
        </w:tc>
        <w:tc>
          <w:tcPr>
            <w:tcW w:w="920" w:type="dxa"/>
            <w:vAlign w:val="bottom"/>
          </w:tcPr>
          <w:p>
            <w:pPr>
              <w:ind w:left="5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469.1</w:t>
            </w: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line="134" w:lineRule="exact"/>
              <w:rPr>
                <w:sz w:val="20"/>
                <w:szCs w:val="20"/>
                <w:color w:val="auto"/>
              </w:rPr>
            </w:pPr>
            <w:r>
              <w:rPr>
                <w:rFonts w:ascii="Arial" w:cs="Arial" w:eastAsia="Arial" w:hAnsi="Arial"/>
                <w:sz w:val="13"/>
                <w:szCs w:val="13"/>
                <w:color w:val="auto"/>
              </w:rPr>
              <w:t>Selling, general, and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ind w:left="20"/>
              <w:spacing w:after="0" w:line="130" w:lineRule="exact"/>
              <w:rPr>
                <w:sz w:val="20"/>
                <w:szCs w:val="20"/>
                <w:color w:val="auto"/>
              </w:rPr>
            </w:pPr>
            <w:r>
              <w:rPr>
                <w:rFonts w:ascii="Arial" w:cs="Arial" w:eastAsia="Arial" w:hAnsi="Arial"/>
                <w:sz w:val="13"/>
                <w:szCs w:val="13"/>
                <w:color w:val="auto"/>
              </w:rPr>
              <w:t>administrative as a</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tcPr>
          <w:p>
            <w:pPr>
              <w:ind w:left="20"/>
              <w:spacing w:after="0"/>
              <w:rPr>
                <w:sz w:val="20"/>
                <w:szCs w:val="20"/>
                <w:color w:val="auto"/>
              </w:rPr>
            </w:pPr>
            <w:r>
              <w:rPr>
                <w:rFonts w:ascii="Arial" w:cs="Arial" w:eastAsia="Arial" w:hAnsi="Arial"/>
                <w:sz w:val="13"/>
                <w:szCs w:val="13"/>
                <w:color w:val="auto"/>
              </w:rPr>
              <w:t>percent of net 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42.0 %</w:t>
            </w:r>
          </w:p>
        </w:tc>
        <w:tc>
          <w:tcPr>
            <w:tcW w:w="1000" w:type="dxa"/>
            <w:vAlign w:val="bottom"/>
            <w:gridSpan w:val="2"/>
          </w:tcPr>
          <w:p>
            <w:pPr>
              <w:jc w:val="center"/>
              <w:ind w:left="57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(0.8)%</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(1.6)%</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3"/>
              </w:rPr>
              <w:t>(2.1)%</w:t>
            </w:r>
          </w:p>
        </w:tc>
        <w:tc>
          <w:tcPr>
            <w:tcW w:w="920" w:type="dxa"/>
            <w:vAlign w:val="bottom"/>
          </w:tcPr>
          <w:p>
            <w:pPr>
              <w:ind w:left="58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37.4 %</w:t>
            </w: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182.5</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9"/>
              <w:spacing w:after="0"/>
              <w:rPr>
                <w:sz w:val="20"/>
                <w:szCs w:val="20"/>
                <w:color w:val="auto"/>
              </w:rPr>
            </w:pPr>
            <w:r>
              <w:rPr>
                <w:rFonts w:ascii="Arial" w:cs="Arial" w:eastAsia="Arial" w:hAnsi="Arial"/>
                <w:sz w:val="13"/>
                <w:szCs w:val="13"/>
                <w:color w:val="auto"/>
              </w:rPr>
              <w:t>(2.0)</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(3.1)</w:t>
            </w:r>
          </w:p>
        </w:tc>
        <w:tc>
          <w:tcPr>
            <w:tcW w:w="600" w:type="dxa"/>
            <w:vAlign w:val="bottom"/>
          </w:tcPr>
          <w:p>
            <w:pPr>
              <w:spacing w:after="0"/>
              <w:rPr>
                <w:sz w:val="15"/>
                <w:szCs w:val="15"/>
                <w:color w:val="auto"/>
              </w:rPr>
            </w:pPr>
          </w:p>
        </w:tc>
        <w:tc>
          <w:tcPr>
            <w:tcW w:w="420" w:type="dxa"/>
            <w:vAlign w:val="bottom"/>
          </w:tcPr>
          <w:p>
            <w:pPr>
              <w:jc w:val="right"/>
              <w:ind w:right="103"/>
              <w:spacing w:after="0"/>
              <w:rPr>
                <w:sz w:val="20"/>
                <w:szCs w:val="20"/>
                <w:color w:val="auto"/>
              </w:rPr>
            </w:pPr>
            <w:r>
              <w:rPr>
                <w:rFonts w:ascii="Arial" w:cs="Arial" w:eastAsia="Arial" w:hAnsi="Arial"/>
                <w:sz w:val="13"/>
                <w:szCs w:val="13"/>
                <w:color w:val="auto"/>
                <w:w w:val="89"/>
              </w:rPr>
              <w:t>(6.4)</w:t>
            </w:r>
          </w:p>
        </w:tc>
        <w:tc>
          <w:tcPr>
            <w:tcW w:w="920" w:type="dxa"/>
            <w:vAlign w:val="bottom"/>
          </w:tcPr>
          <w:p>
            <w:pPr>
              <w:ind w:left="5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tcPr>
          <w:p>
            <w:pPr>
              <w:ind w:left="20"/>
              <w:spacing w:after="0" w:line="130" w:lineRule="exact"/>
              <w:rPr>
                <w:sz w:val="20"/>
                <w:szCs w:val="20"/>
                <w:color w:val="auto"/>
              </w:rPr>
            </w:pPr>
            <w:r>
              <w:rPr>
                <w:rFonts w:ascii="Arial" w:cs="Arial" w:eastAsia="Arial" w:hAnsi="Arial"/>
                <w:sz w:val="13"/>
                <w:szCs w:val="13"/>
                <w:color w:val="auto"/>
              </w:rPr>
              <w:t>development as a percent</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tcPr>
          <w:p>
            <w:pPr>
              <w:ind w:left="20"/>
              <w:spacing w:after="0"/>
              <w:rPr>
                <w:sz w:val="20"/>
                <w:szCs w:val="20"/>
                <w:color w:val="auto"/>
              </w:rPr>
            </w:pPr>
            <w:r>
              <w:rPr>
                <w:rFonts w:ascii="Arial" w:cs="Arial" w:eastAsia="Arial" w:hAnsi="Arial"/>
                <w:sz w:val="13"/>
                <w:szCs w:val="13"/>
                <w:color w:val="auto"/>
              </w:rPr>
              <w:t>of net 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14.6 %</w:t>
            </w:r>
          </w:p>
        </w:tc>
        <w:tc>
          <w:tcPr>
            <w:tcW w:w="1000" w:type="dxa"/>
            <w:vAlign w:val="bottom"/>
            <w:gridSpan w:val="2"/>
          </w:tcPr>
          <w:p>
            <w:pPr>
              <w:jc w:val="center"/>
              <w:ind w:left="577"/>
              <w:spacing w:after="0"/>
              <w:rPr>
                <w:sz w:val="20"/>
                <w:szCs w:val="20"/>
                <w:color w:val="auto"/>
              </w:rPr>
            </w:pPr>
            <w:r>
              <w:rPr>
                <w:rFonts w:ascii="Arial" w:cs="Arial" w:eastAsia="Arial" w:hAnsi="Arial"/>
                <w:sz w:val="13"/>
                <w:szCs w:val="13"/>
                <w:color w:val="auto"/>
                <w:w w:val="99"/>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800" w:type="dxa"/>
            <w:vAlign w:val="bottom"/>
          </w:tcPr>
          <w:p>
            <w:pPr>
              <w:jc w:val="right"/>
              <w:spacing w:after="0"/>
              <w:rPr>
                <w:sz w:val="20"/>
                <w:szCs w:val="20"/>
                <w:color w:val="auto"/>
              </w:rPr>
            </w:pPr>
            <w:r>
              <w:rPr>
                <w:rFonts w:ascii="Arial" w:cs="Arial" w:eastAsia="Arial" w:hAnsi="Arial"/>
                <w:sz w:val="13"/>
                <w:szCs w:val="13"/>
                <w:color w:val="auto"/>
              </w:rPr>
              <w:t>(0.2)%</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3"/>
              </w:rPr>
              <w:t>(0.5)%</w:t>
            </w:r>
          </w:p>
        </w:tc>
        <w:tc>
          <w:tcPr>
            <w:tcW w:w="920" w:type="dxa"/>
            <w:vAlign w:val="bottom"/>
          </w:tcPr>
          <w:p>
            <w:pPr>
              <w:ind w:left="58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Other operating expenses</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33.0</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(13.4)</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(19.7)</w:t>
            </w:r>
          </w:p>
        </w:tc>
        <w:tc>
          <w:tcPr>
            <w:tcW w:w="600" w:type="dxa"/>
            <w:vAlign w:val="bottom"/>
          </w:tcPr>
          <w:p>
            <w:pPr>
              <w:spacing w:after="0"/>
              <w:rPr>
                <w:sz w:val="15"/>
                <w:szCs w:val="15"/>
                <w:color w:val="auto"/>
              </w:rPr>
            </w:pPr>
          </w:p>
        </w:tc>
        <w:tc>
          <w:tcPr>
            <w:tcW w:w="420" w:type="dxa"/>
            <w:vAlign w:val="bottom"/>
          </w:tcPr>
          <w:p>
            <w:pPr>
              <w:jc w:val="right"/>
              <w:ind w:right="143"/>
              <w:spacing w:after="0"/>
              <w:rPr>
                <w:sz w:val="20"/>
                <w:szCs w:val="20"/>
                <w:color w:val="auto"/>
              </w:rPr>
            </w:pPr>
            <w:r>
              <w:rPr>
                <w:rFonts w:ascii="Arial" w:cs="Arial" w:eastAsia="Arial" w:hAnsi="Arial"/>
                <w:sz w:val="13"/>
                <w:szCs w:val="13"/>
                <w:color w:val="auto"/>
              </w:rPr>
              <w:t>—</w:t>
            </w:r>
          </w:p>
        </w:tc>
        <w:tc>
          <w:tcPr>
            <w:tcW w:w="920" w:type="dxa"/>
            <w:vAlign w:val="bottom"/>
          </w:tcPr>
          <w:p>
            <w:pPr>
              <w:ind w:left="5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129.1</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13.4</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17.1</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3.3</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42.4</w:t>
            </w:r>
          </w:p>
        </w:tc>
        <w:tc>
          <w:tcPr>
            <w:tcW w:w="1020" w:type="dxa"/>
            <w:vAlign w:val="bottom"/>
            <w:gridSpan w:val="2"/>
          </w:tcPr>
          <w:p>
            <w:pPr>
              <w:jc w:val="right"/>
              <w:ind w:right="143"/>
              <w:spacing w:after="0"/>
              <w:rPr>
                <w:sz w:val="20"/>
                <w:szCs w:val="20"/>
                <w:color w:val="auto"/>
              </w:rPr>
            </w:pPr>
            <w:r>
              <w:rPr>
                <w:rFonts w:ascii="Arial" w:cs="Arial" w:eastAsia="Arial" w:hAnsi="Arial"/>
                <w:sz w:val="13"/>
                <w:szCs w:val="13"/>
                <w:color w:val="auto"/>
              </w:rPr>
              <w:t>33.9</w:t>
            </w:r>
          </w:p>
        </w:tc>
        <w:tc>
          <w:tcPr>
            <w:tcW w:w="920" w:type="dxa"/>
            <w:vAlign w:val="bottom"/>
          </w:tcPr>
          <w:p>
            <w:pPr>
              <w:ind w:left="5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239.2</w:t>
            </w: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Operating margin 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10.3 %</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1.1 %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0.3 %</w:t>
            </w:r>
          </w:p>
        </w:tc>
        <w:tc>
          <w:tcPr>
            <w:tcW w:w="800" w:type="dxa"/>
            <w:vAlign w:val="bottom"/>
          </w:tcPr>
          <w:p>
            <w:pPr>
              <w:jc w:val="right"/>
              <w:spacing w:after="0"/>
              <w:rPr>
                <w:sz w:val="20"/>
                <w:szCs w:val="20"/>
                <w:color w:val="auto"/>
              </w:rPr>
            </w:pPr>
            <w:r>
              <w:rPr>
                <w:rFonts w:ascii="Arial" w:cs="Arial" w:eastAsia="Arial" w:hAnsi="Arial"/>
                <w:sz w:val="13"/>
                <w:szCs w:val="13"/>
                <w:color w:val="auto"/>
              </w:rPr>
              <w:t>3.4 %</w:t>
            </w:r>
          </w:p>
        </w:tc>
        <w:tc>
          <w:tcPr>
            <w:tcW w:w="6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2.7 %</w:t>
            </w:r>
          </w:p>
        </w:tc>
        <w:tc>
          <w:tcPr>
            <w:tcW w:w="920" w:type="dxa"/>
            <w:vAlign w:val="bottom"/>
          </w:tcPr>
          <w:p>
            <w:pPr>
              <w:ind w:left="58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19.1 %</w:t>
            </w: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63.2</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13.4</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17.1</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5.8</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(1.9)</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3.3</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42.4</w:t>
            </w:r>
          </w:p>
        </w:tc>
        <w:tc>
          <w:tcPr>
            <w:tcW w:w="1020" w:type="dxa"/>
            <w:vAlign w:val="bottom"/>
            <w:gridSpan w:val="2"/>
          </w:tcPr>
          <w:p>
            <w:pPr>
              <w:jc w:val="right"/>
              <w:ind w:right="143"/>
              <w:spacing w:after="0"/>
              <w:rPr>
                <w:sz w:val="20"/>
                <w:szCs w:val="20"/>
                <w:color w:val="auto"/>
              </w:rPr>
            </w:pPr>
            <w:r>
              <w:rPr>
                <w:rFonts w:ascii="Arial" w:cs="Arial" w:eastAsia="Arial" w:hAnsi="Arial"/>
                <w:sz w:val="13"/>
                <w:szCs w:val="13"/>
                <w:color w:val="auto"/>
              </w:rPr>
              <w:t>33.9</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(24.0)</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31.0</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184.3</w:t>
            </w:r>
          </w:p>
        </w:tc>
        <w:tc>
          <w:tcPr>
            <w:tcW w:w="0" w:type="dxa"/>
            <w:vAlign w:val="bottom"/>
          </w:tcPr>
          <w:p>
            <w:pPr>
              <w:spacing w:after="0"/>
              <w:rPr>
                <w:sz w:val="1"/>
                <w:szCs w:val="1"/>
                <w:color w:val="auto"/>
              </w:rPr>
            </w:pPr>
          </w:p>
        </w:tc>
      </w:tr>
      <w:tr>
        <w:trPr>
          <w:trHeight w:val="134"/>
        </w:trPr>
        <w:tc>
          <w:tcPr>
            <w:tcW w:w="1540" w:type="dxa"/>
            <w:vAlign w:val="bottom"/>
          </w:tcPr>
          <w:p>
            <w:pPr>
              <w:ind w:left="20"/>
              <w:spacing w:after="0" w:line="134" w:lineRule="exact"/>
              <w:rPr>
                <w:sz w:val="20"/>
                <w:szCs w:val="20"/>
                <w:color w:val="auto"/>
              </w:rPr>
            </w:pPr>
            <w:r>
              <w:rPr>
                <w:rFonts w:ascii="Arial" w:cs="Arial" w:eastAsia="Arial" w:hAnsi="Arial"/>
                <w:sz w:val="13"/>
                <w:szCs w:val="13"/>
                <w:color w:val="auto"/>
              </w:rPr>
              <w:t>Net income as a percent</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of net 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5.0 %</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1.1 %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820" w:type="dxa"/>
            <w:vAlign w:val="bottom"/>
          </w:tcPr>
          <w:p>
            <w:pPr>
              <w:jc w:val="right"/>
              <w:spacing w:after="0"/>
              <w:rPr>
                <w:sz w:val="20"/>
                <w:szCs w:val="20"/>
                <w:color w:val="auto"/>
              </w:rPr>
            </w:pPr>
            <w:r>
              <w:rPr>
                <w:rFonts w:ascii="Arial" w:cs="Arial" w:eastAsia="Arial" w:hAnsi="Arial"/>
                <w:sz w:val="13"/>
                <w:szCs w:val="13"/>
                <w:color w:val="auto"/>
              </w:rPr>
              <w:t>0.5 %</w:t>
            </w:r>
          </w:p>
        </w:tc>
        <w:tc>
          <w:tcPr>
            <w:tcW w:w="920" w:type="dxa"/>
            <w:vAlign w:val="bottom"/>
          </w:tcPr>
          <w:p>
            <w:pPr>
              <w:jc w:val="right"/>
              <w:spacing w:after="0"/>
              <w:rPr>
                <w:sz w:val="20"/>
                <w:szCs w:val="20"/>
                <w:color w:val="auto"/>
              </w:rPr>
            </w:pPr>
            <w:r>
              <w:rPr>
                <w:rFonts w:ascii="Arial" w:cs="Arial" w:eastAsia="Arial" w:hAnsi="Arial"/>
                <w:sz w:val="13"/>
                <w:szCs w:val="13"/>
                <w:color w:val="auto"/>
              </w:rPr>
              <w:t>(0.1)%</w:t>
            </w:r>
          </w:p>
        </w:tc>
        <w:tc>
          <w:tcPr>
            <w:tcW w:w="1000" w:type="dxa"/>
            <w:vAlign w:val="bottom"/>
          </w:tcPr>
          <w:p>
            <w:pPr>
              <w:jc w:val="right"/>
              <w:spacing w:after="0"/>
              <w:rPr>
                <w:sz w:val="20"/>
                <w:szCs w:val="20"/>
                <w:color w:val="auto"/>
              </w:rPr>
            </w:pPr>
            <w:r>
              <w:rPr>
                <w:rFonts w:ascii="Arial" w:cs="Arial" w:eastAsia="Arial" w:hAnsi="Arial"/>
                <w:sz w:val="13"/>
                <w:szCs w:val="13"/>
                <w:color w:val="auto"/>
              </w:rPr>
              <w:t>0.3 %</w:t>
            </w:r>
          </w:p>
        </w:tc>
        <w:tc>
          <w:tcPr>
            <w:tcW w:w="800" w:type="dxa"/>
            <w:vAlign w:val="bottom"/>
          </w:tcPr>
          <w:p>
            <w:pPr>
              <w:jc w:val="right"/>
              <w:spacing w:after="0"/>
              <w:rPr>
                <w:sz w:val="20"/>
                <w:szCs w:val="20"/>
                <w:color w:val="auto"/>
              </w:rPr>
            </w:pPr>
            <w:r>
              <w:rPr>
                <w:rFonts w:ascii="Arial" w:cs="Arial" w:eastAsia="Arial" w:hAnsi="Arial"/>
                <w:sz w:val="13"/>
                <w:szCs w:val="13"/>
                <w:color w:val="auto"/>
              </w:rPr>
              <w:t>3.4 %</w:t>
            </w:r>
          </w:p>
        </w:tc>
        <w:tc>
          <w:tcPr>
            <w:tcW w:w="6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2.7 %</w:t>
            </w:r>
          </w:p>
        </w:tc>
        <w:tc>
          <w:tcPr>
            <w:tcW w:w="920" w:type="dxa"/>
            <w:vAlign w:val="bottom"/>
          </w:tcPr>
          <w:p>
            <w:pPr>
              <w:jc w:val="right"/>
              <w:spacing w:after="0"/>
              <w:rPr>
                <w:sz w:val="20"/>
                <w:szCs w:val="20"/>
                <w:color w:val="auto"/>
              </w:rPr>
            </w:pPr>
            <w:r>
              <w:rPr>
                <w:rFonts w:ascii="Arial" w:cs="Arial" w:eastAsia="Arial" w:hAnsi="Arial"/>
                <w:sz w:val="13"/>
                <w:szCs w:val="13"/>
                <w:color w:val="auto"/>
              </w:rPr>
              <w:t>(1.9)%</w:t>
            </w:r>
          </w:p>
        </w:tc>
        <w:tc>
          <w:tcPr>
            <w:tcW w:w="880" w:type="dxa"/>
            <w:vAlign w:val="bottom"/>
          </w:tcPr>
          <w:p>
            <w:pPr>
              <w:jc w:val="right"/>
              <w:spacing w:after="0"/>
              <w:rPr>
                <w:sz w:val="20"/>
                <w:szCs w:val="20"/>
                <w:color w:val="auto"/>
              </w:rPr>
            </w:pPr>
            <w:r>
              <w:rPr>
                <w:rFonts w:ascii="Arial" w:cs="Arial" w:eastAsia="Arial" w:hAnsi="Arial"/>
                <w:sz w:val="13"/>
                <w:szCs w:val="13"/>
                <w:color w:val="auto"/>
              </w:rPr>
              <w:t>2.5 %</w:t>
            </w:r>
          </w:p>
        </w:tc>
        <w:tc>
          <w:tcPr>
            <w:tcW w:w="720" w:type="dxa"/>
            <w:vAlign w:val="bottom"/>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74"/>
        </w:trPr>
        <w:tc>
          <w:tcPr>
            <w:tcW w:w="154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$1.16</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$0.24</w:t>
            </w:r>
          </w:p>
        </w:tc>
        <w:tc>
          <w:tcPr>
            <w:tcW w:w="920" w:type="dxa"/>
            <w:vAlign w:val="bottom"/>
          </w:tcPr>
          <w:p>
            <w:pPr>
              <w:jc w:val="right"/>
              <w:ind w:right="138"/>
              <w:spacing w:after="0"/>
              <w:rPr>
                <w:sz w:val="20"/>
                <w:szCs w:val="20"/>
                <w:color w:val="auto"/>
              </w:rPr>
            </w:pPr>
            <w:r>
              <w:rPr>
                <w:rFonts w:ascii="Arial" w:cs="Arial" w:eastAsia="Arial" w:hAnsi="Arial"/>
                <w:sz w:val="13"/>
                <w:szCs w:val="13"/>
                <w:color w:val="auto"/>
              </w:rPr>
              <w:t>$0.31</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$0.11</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($0.03)</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$0.06</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$0.78</w:t>
            </w:r>
          </w:p>
        </w:tc>
        <w:tc>
          <w:tcPr>
            <w:tcW w:w="1020" w:type="dxa"/>
            <w:vAlign w:val="bottom"/>
            <w:gridSpan w:val="2"/>
          </w:tcPr>
          <w:p>
            <w:pPr>
              <w:jc w:val="right"/>
              <w:ind w:right="143"/>
              <w:spacing w:after="0"/>
              <w:rPr>
                <w:sz w:val="20"/>
                <w:szCs w:val="20"/>
                <w:color w:val="auto"/>
              </w:rPr>
            </w:pPr>
            <w:r>
              <w:rPr>
                <w:rFonts w:ascii="Arial" w:cs="Arial" w:eastAsia="Arial" w:hAnsi="Arial"/>
                <w:sz w:val="13"/>
                <w:szCs w:val="13"/>
                <w:color w:val="auto"/>
              </w:rPr>
              <w:t>$0.62</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($0.44)</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$0.57</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year ended December 31, 2024 include:</w:t>
      </w:r>
    </w:p>
    <w:p>
      <w:pPr>
        <w:spacing w:after="0" w:line="97"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Impairment of investment in ShiraTronics, Inc.</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Loss on debt extinguishment, as well as mark-to-market adjustments for the 2025 &amp; 2029 Notes embedded and capped call derivatives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the ImThera acquisition</w:t>
      </w:r>
    </w:p>
    <w:p>
      <w:pPr>
        <w:spacing w:after="0" w:line="4" w:lineRule="exact"/>
        <w:rPr>
          <w:rFonts w:ascii="Arial" w:cs="Arial" w:eastAsia="Arial" w:hAnsi="Arial"/>
          <w:sz w:val="21"/>
          <w:szCs w:val="21"/>
          <w:color w:val="auto"/>
          <w:vertAlign w:val="superscript"/>
        </w:rPr>
      </w:pPr>
    </w:p>
    <w:p>
      <w:pPr>
        <w:ind w:left="320" w:right="660" w:hanging="313"/>
        <w:spacing w:after="0" w:line="225" w:lineRule="auto"/>
        <w:tabs>
          <w:tab w:leader="none" w:pos="314"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cybersecurity incident costs net of insurance reimbursement, MDR costs, and costs related to the SNIA matter</w:t>
      </w:r>
    </w:p>
    <w:p>
      <w:pPr>
        <w:ind w:left="320" w:hanging="313"/>
        <w:spacing w:after="0" w:line="200"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3"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20" w:right="40" w:hanging="313"/>
        <w:spacing w:after="0" w:line="214" w:lineRule="auto"/>
        <w:tabs>
          <w:tab w:leader="none" w:pos="314"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Interest expense on the Term Facilities, non-cash interest expense on the 2025 and 2029 Notes and Revolving Credit Facility, and interest income on the collateral for the SNIA litigation guarantee and delayed draw on Term Facilities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Numbers may not add precisely due to rounding.</w:t>
            </w:r>
          </w:p>
        </w:tc>
        <w:tc>
          <w:tcPr>
            <w:tcW w:w="1120" w:type="dxa"/>
            <w:vAlign w:val="bottom"/>
          </w:tcPr>
          <w:p>
            <w:pPr>
              <w:jc w:val="right"/>
              <w:spacing w:after="0"/>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44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2"/>
          </w:tcPr>
          <w:p>
            <w:pPr>
              <w:jc w:val="right"/>
              <w:ind w:right="379"/>
              <w:spacing w:after="0"/>
              <w:rPr>
                <w:sz w:val="20"/>
                <w:szCs w:val="20"/>
                <w:color w:val="auto"/>
              </w:rPr>
            </w:pPr>
            <w:r>
              <w:rPr>
                <w:rFonts w:ascii="Arial" w:cs="Arial" w:eastAsia="Arial" w:hAnsi="Arial"/>
                <w:sz w:val="13"/>
                <w:szCs w:val="13"/>
                <w:b w:val="1"/>
                <w:bCs w:val="1"/>
                <w:color w:val="auto"/>
              </w:rPr>
              <w:t>Specified Items</w:t>
            </w:r>
          </w:p>
        </w:tc>
        <w:tc>
          <w:tcPr>
            <w:tcW w:w="8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 Ended</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Merger and</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1020" w:type="dxa"/>
            <w:vAlign w:val="bottom"/>
            <w:gridSpan w:val="2"/>
            <w:vMerge w:val="restart"/>
          </w:tcPr>
          <w:p>
            <w:pPr>
              <w:jc w:val="right"/>
              <w:ind w:right="103"/>
              <w:spacing w:after="0"/>
              <w:rPr>
                <w:sz w:val="20"/>
                <w:szCs w:val="20"/>
                <w:color w:val="auto"/>
              </w:rPr>
            </w:pPr>
            <w:r>
              <w:rPr>
                <w:rFonts w:ascii="Arial" w:cs="Arial" w:eastAsia="Arial" w:hAnsi="Arial"/>
                <w:sz w:val="13"/>
                <w:szCs w:val="13"/>
                <w:b w:val="1"/>
                <w:bCs w:val="1"/>
                <w:color w:val="auto"/>
              </w:rPr>
              <w:t>Stock-based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98"/>
              </w:rPr>
              <w:t>Restructuring</w:t>
            </w:r>
          </w:p>
        </w:tc>
        <w:tc>
          <w:tcPr>
            <w:tcW w:w="900" w:type="dxa"/>
            <w:vAlign w:val="bottom"/>
          </w:tcPr>
          <w:p>
            <w:pPr>
              <w:jc w:val="center"/>
              <w:ind w:right="18"/>
              <w:spacing w:after="0" w:line="121" w:lineRule="exact"/>
              <w:rPr>
                <w:sz w:val="20"/>
                <w:szCs w:val="20"/>
                <w:color w:val="auto"/>
              </w:rPr>
            </w:pPr>
            <w:r>
              <w:rPr>
                <w:rFonts w:ascii="Arial" w:cs="Arial" w:eastAsia="Arial" w:hAnsi="Arial"/>
                <w:sz w:val="13"/>
                <w:szCs w:val="13"/>
                <w:b w:val="1"/>
                <w:bCs w:val="1"/>
                <w:color w:val="auto"/>
                <w:w w:val="94"/>
              </w:rPr>
              <w:t>and</w:t>
            </w:r>
          </w:p>
        </w:tc>
        <w:tc>
          <w:tcPr>
            <w:tcW w:w="8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Legal &amp;</w:t>
            </w: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60" w:type="dxa"/>
            <w:vAlign w:val="bottom"/>
          </w:tcPr>
          <w:p>
            <w:pPr>
              <w:ind w:left="20"/>
              <w:spacing w:after="0" w:line="94" w:lineRule="exact"/>
              <w:rPr>
                <w:sz w:val="20"/>
                <w:szCs w:val="20"/>
                <w:color w:val="auto"/>
              </w:rPr>
            </w:pPr>
            <w:r>
              <w:rPr>
                <w:rFonts w:ascii="Arial" w:cs="Arial" w:eastAsia="Arial" w:hAnsi="Arial"/>
                <w:sz w:val="10"/>
                <w:szCs w:val="10"/>
                <w:b w:val="1"/>
                <w:bCs w:val="1"/>
                <w:color w:val="auto"/>
              </w:rPr>
              <w:t>December</w:t>
            </w:r>
          </w:p>
        </w:tc>
        <w:tc>
          <w:tcPr>
            <w:tcW w:w="7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820" w:type="dxa"/>
            <w:vAlign w:val="bottom"/>
            <w:gridSpan w:val="2"/>
          </w:tcPr>
          <w:p>
            <w:pPr>
              <w:jc w:val="right"/>
              <w:ind w:right="80"/>
              <w:spacing w:after="0" w:line="94" w:lineRule="exact"/>
              <w:rPr>
                <w:sz w:val="20"/>
                <w:szCs w:val="20"/>
                <w:color w:val="auto"/>
              </w:rPr>
            </w:pPr>
            <w:r>
              <w:rPr>
                <w:rFonts w:ascii="Arial" w:cs="Arial" w:eastAsia="Arial" w:hAnsi="Arial"/>
                <w:sz w:val="10"/>
                <w:szCs w:val="10"/>
                <w:b w:val="1"/>
                <w:bCs w:val="1"/>
                <w:color w:val="auto"/>
              </w:rPr>
              <w:t>Integration</w:t>
            </w:r>
          </w:p>
        </w:tc>
        <w:tc>
          <w:tcPr>
            <w:tcW w:w="980" w:type="dxa"/>
            <w:vAlign w:val="bottom"/>
            <w:gridSpan w:val="2"/>
            <w:vMerge w:val="continue"/>
          </w:tcPr>
          <w:p>
            <w:pPr>
              <w:spacing w:after="0"/>
              <w:rPr>
                <w:sz w:val="8"/>
                <w:szCs w:val="8"/>
                <w:color w:val="auto"/>
              </w:rPr>
            </w:pPr>
          </w:p>
        </w:tc>
        <w:tc>
          <w:tcPr>
            <w:tcW w:w="9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Amortization</w:t>
            </w:r>
          </w:p>
        </w:tc>
        <w:tc>
          <w:tcPr>
            <w:tcW w:w="820" w:type="dxa"/>
            <w:vAlign w:val="bottom"/>
            <w:vMerge w:val="restart"/>
          </w:tcPr>
          <w:p>
            <w:pPr>
              <w:jc w:val="right"/>
              <w:ind w:right="39"/>
              <w:spacing w:after="0" w:line="134" w:lineRule="exact"/>
              <w:rPr>
                <w:sz w:val="20"/>
                <w:szCs w:val="20"/>
                <w:color w:val="auto"/>
              </w:rPr>
            </w:pPr>
            <w:r>
              <w:rPr>
                <w:rFonts w:ascii="Arial" w:cs="Arial" w:eastAsia="Arial" w:hAnsi="Arial"/>
                <w:sz w:val="13"/>
                <w:szCs w:val="13"/>
                <w:b w:val="1"/>
                <w:bCs w:val="1"/>
                <w:color w:val="auto"/>
                <w:w w:val="99"/>
              </w:rPr>
              <w:t>Impairment</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3"/>
              </w:rPr>
              <w:t>Transactions</w:t>
            </w:r>
          </w:p>
        </w:tc>
        <w:tc>
          <w:tcPr>
            <w:tcW w:w="100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Consideration</w:t>
            </w:r>
          </w:p>
        </w:tc>
        <w:tc>
          <w:tcPr>
            <w:tcW w:w="8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Regulatory</w:t>
            </w:r>
          </w:p>
        </w:tc>
        <w:tc>
          <w:tcPr>
            <w:tcW w:w="1020" w:type="dxa"/>
            <w:vAlign w:val="bottom"/>
            <w:gridSpan w:val="2"/>
          </w:tcPr>
          <w:p>
            <w:pPr>
              <w:jc w:val="right"/>
              <w:ind w:right="43"/>
              <w:spacing w:after="0" w:line="94" w:lineRule="exact"/>
              <w:rPr>
                <w:sz w:val="20"/>
                <w:szCs w:val="20"/>
                <w:color w:val="auto"/>
              </w:rPr>
            </w:pPr>
            <w:r>
              <w:rPr>
                <w:rFonts w:ascii="Arial" w:cs="Arial" w:eastAsia="Arial" w:hAnsi="Arial"/>
                <w:sz w:val="10"/>
                <w:szCs w:val="10"/>
                <w:b w:val="1"/>
                <w:bCs w:val="1"/>
                <w:color w:val="auto"/>
              </w:rPr>
              <w:t>Compensation</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Financial</w:t>
            </w:r>
          </w:p>
        </w:tc>
        <w:tc>
          <w:tcPr>
            <w:tcW w:w="0" w:type="dxa"/>
            <w:vAlign w:val="bottom"/>
          </w:tcPr>
          <w:p>
            <w:pPr>
              <w:spacing w:after="0"/>
              <w:rPr>
                <w:sz w:val="1"/>
                <w:szCs w:val="1"/>
                <w:color w:val="auto"/>
              </w:rPr>
            </w:pPr>
          </w:p>
        </w:tc>
      </w:tr>
      <w:tr>
        <w:trPr>
          <w:trHeight w:val="40"/>
        </w:trPr>
        <w:tc>
          <w:tcPr>
            <w:tcW w:w="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31, 2023</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Expenses</w:t>
            </w:r>
          </w:p>
        </w:tc>
        <w:tc>
          <w:tcPr>
            <w:tcW w:w="180" w:type="dxa"/>
            <w:vAlign w:val="bottom"/>
          </w:tcPr>
          <w:p>
            <w:pPr>
              <w:jc w:val="right"/>
              <w:ind w:right="40"/>
              <w:spacing w:after="0" w:line="41" w:lineRule="exact"/>
              <w:rPr>
                <w:sz w:val="20"/>
                <w:szCs w:val="20"/>
                <w:color w:val="auto"/>
              </w:rPr>
            </w:pPr>
            <w:r>
              <w:rPr>
                <w:rFonts w:ascii="Arial" w:cs="Arial" w:eastAsia="Arial" w:hAnsi="Arial"/>
                <w:sz w:val="4"/>
                <w:szCs w:val="4"/>
                <w:b w:val="1"/>
                <w:bCs w:val="1"/>
                <w:color w:val="auto"/>
              </w:rPr>
              <w:t>(1)</w:t>
            </w:r>
          </w:p>
        </w:tc>
        <w:tc>
          <w:tcPr>
            <w:tcW w:w="70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5"/>
              </w:rPr>
              <w:t>Expenses</w:t>
            </w:r>
          </w:p>
        </w:tc>
        <w:tc>
          <w:tcPr>
            <w:tcW w:w="280" w:type="dxa"/>
            <w:vAlign w:val="bottom"/>
          </w:tcPr>
          <w:p>
            <w:pPr>
              <w:jc w:val="center"/>
              <w:ind w:right="120"/>
              <w:spacing w:after="0" w:line="41" w:lineRule="exact"/>
              <w:rPr>
                <w:sz w:val="20"/>
                <w:szCs w:val="20"/>
                <w:color w:val="auto"/>
              </w:rPr>
            </w:pPr>
            <w:r>
              <w:rPr>
                <w:rFonts w:ascii="Arial" w:cs="Arial" w:eastAsia="Arial" w:hAnsi="Arial"/>
                <w:sz w:val="4"/>
                <w:szCs w:val="4"/>
                <w:b w:val="1"/>
                <w:bCs w:val="1"/>
                <w:color w:val="auto"/>
              </w:rPr>
              <w:t>(2)</w:t>
            </w:r>
          </w:p>
        </w:tc>
        <w:tc>
          <w:tcPr>
            <w:tcW w:w="900" w:type="dxa"/>
            <w:vAlign w:val="bottom"/>
            <w:vMerge w:val="restart"/>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(3)</w:t>
            </w:r>
          </w:p>
        </w:tc>
        <w:tc>
          <w:tcPr>
            <w:tcW w:w="8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00" w:type="dxa"/>
            <w:vAlign w:val="bottom"/>
            <w:vMerge w:val="restart"/>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60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4"/>
              </w:rPr>
              <w:t>Costs</w:t>
            </w:r>
          </w:p>
        </w:tc>
        <w:tc>
          <w:tcPr>
            <w:tcW w:w="420" w:type="dxa"/>
            <w:vAlign w:val="bottom"/>
          </w:tcPr>
          <w:p>
            <w:pPr>
              <w:jc w:val="right"/>
              <w:ind w:right="243"/>
              <w:spacing w:after="0" w:line="41" w:lineRule="exact"/>
              <w:rPr>
                <w:sz w:val="20"/>
                <w:szCs w:val="20"/>
                <w:color w:val="auto"/>
              </w:rPr>
            </w:pPr>
            <w:r>
              <w:rPr>
                <w:rFonts w:ascii="Arial" w:cs="Arial" w:eastAsia="Arial" w:hAnsi="Arial"/>
                <w:sz w:val="4"/>
                <w:szCs w:val="4"/>
                <w:b w:val="1"/>
                <w:bCs w:val="1"/>
                <w:color w:val="auto"/>
              </w:rPr>
              <w:t>(8)</w:t>
            </w:r>
          </w:p>
        </w:tc>
        <w:tc>
          <w:tcPr>
            <w:tcW w:w="9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34"/>
        </w:trPr>
        <w:tc>
          <w:tcPr>
            <w:tcW w:w="86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8"/>
                <w:szCs w:val="8"/>
                <w:b w:val="1"/>
                <w:bCs w:val="1"/>
                <w:color w:val="auto"/>
              </w:rPr>
              <w:t>(4)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(6)</w:t>
            </w:r>
          </w:p>
        </w:tc>
        <w:tc>
          <w:tcPr>
            <w:tcW w:w="8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(10)</w:t>
            </w: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$382.3</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($14.7)</w:t>
            </w:r>
          </w:p>
        </w:tc>
        <w:tc>
          <w:tcPr>
            <w:tcW w:w="820" w:type="dxa"/>
            <w:vAlign w:val="bottom"/>
          </w:tcPr>
          <w:p>
            <w:pPr>
              <w:jc w:val="right"/>
              <w:ind w:right="99"/>
              <w:spacing w:after="0"/>
              <w:rPr>
                <w:sz w:val="20"/>
                <w:szCs w:val="20"/>
                <w:color w:val="auto"/>
              </w:rPr>
            </w:pPr>
            <w:r>
              <w:rPr>
                <w:rFonts w:ascii="Arial" w:cs="Arial" w:eastAsia="Arial" w:hAnsi="Arial"/>
                <w:sz w:val="13"/>
                <w:szCs w:val="13"/>
                <w:color w:val="auto"/>
              </w:rPr>
              <w:t>($12.6)</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9"/>
              <w:spacing w:after="0"/>
              <w:rPr>
                <w:sz w:val="20"/>
                <w:szCs w:val="20"/>
                <w:color w:val="auto"/>
              </w:rPr>
            </w:pPr>
            <w:r>
              <w:rPr>
                <w:rFonts w:ascii="Arial" w:cs="Arial" w:eastAsia="Arial" w:hAnsi="Arial"/>
                <w:sz w:val="13"/>
                <w:szCs w:val="13"/>
                <w:color w:val="auto"/>
              </w:rPr>
              <w:t>($3.8)</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3"/>
              <w:spacing w:after="0"/>
              <w:rPr>
                <w:sz w:val="20"/>
                <w:szCs w:val="20"/>
                <w:color w:val="auto"/>
              </w:rPr>
            </w:pPr>
            <w:r>
              <w:rPr>
                <w:rFonts w:ascii="Arial" w:cs="Arial" w:eastAsia="Arial" w:hAnsi="Arial"/>
                <w:sz w:val="13"/>
                <w:szCs w:val="13"/>
                <w:color w:val="auto"/>
              </w:rPr>
              <w:t>($1.0)</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$350.2</w:t>
            </w: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Gross profit</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66.9 %</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jc w:val="center"/>
              <w:ind w:left="517"/>
              <w:spacing w:after="0"/>
              <w:rPr>
                <w:sz w:val="20"/>
                <w:szCs w:val="20"/>
                <w:color w:val="auto"/>
              </w:rPr>
            </w:pPr>
            <w:r>
              <w:rPr>
                <w:rFonts w:ascii="Arial" w:cs="Arial" w:eastAsia="Arial" w:hAnsi="Arial"/>
                <w:sz w:val="13"/>
                <w:szCs w:val="13"/>
                <w:color w:val="auto"/>
                <w:w w:val="99"/>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1.3 %</w:t>
            </w: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0.3 %</w:t>
            </w: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6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69.6 %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Selling,</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general, and</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518.1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(11.5)</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(21.3)</w:t>
            </w:r>
          </w:p>
        </w:tc>
        <w:tc>
          <w:tcPr>
            <w:tcW w:w="1020" w:type="dxa"/>
            <w:vAlign w:val="bottom"/>
            <w:gridSpan w:val="2"/>
          </w:tcPr>
          <w:p>
            <w:pPr>
              <w:jc w:val="right"/>
              <w:ind w:right="103"/>
              <w:spacing w:after="0"/>
              <w:rPr>
                <w:sz w:val="20"/>
                <w:szCs w:val="20"/>
                <w:color w:val="auto"/>
              </w:rPr>
            </w:pPr>
            <w:r>
              <w:rPr>
                <w:rFonts w:ascii="Arial" w:cs="Arial" w:eastAsia="Arial" w:hAnsi="Arial"/>
                <w:sz w:val="13"/>
                <w:szCs w:val="13"/>
                <w:color w:val="auto"/>
              </w:rPr>
              <w:t>(29.4)</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456.0</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Selling,</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general, and</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administrative</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of net</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44.9 %</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jc w:val="center"/>
              <w:ind w:left="517"/>
              <w:spacing w:after="0"/>
              <w:rPr>
                <w:sz w:val="20"/>
                <w:szCs w:val="20"/>
                <w:color w:val="auto"/>
              </w:rPr>
            </w:pPr>
            <w:r>
              <w:rPr>
                <w:rFonts w:ascii="Arial" w:cs="Arial" w:eastAsia="Arial" w:hAnsi="Arial"/>
                <w:sz w:val="13"/>
                <w:szCs w:val="13"/>
                <w:color w:val="auto"/>
                <w:w w:val="99"/>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3"/>
              </w:rPr>
              <w:t>(2.6)%</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39.5 %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193.8</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8"/>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9"/>
              <w:spacing w:after="0"/>
              <w:rPr>
                <w:sz w:val="20"/>
                <w:szCs w:val="20"/>
                <w:color w:val="auto"/>
              </w:rPr>
            </w:pPr>
            <w:r>
              <w:rPr>
                <w:rFonts w:ascii="Arial" w:cs="Arial" w:eastAsia="Arial" w:hAnsi="Arial"/>
                <w:sz w:val="13"/>
                <w:szCs w:val="13"/>
                <w:color w:val="auto"/>
              </w:rPr>
              <w:t>(5.6)</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(4.3)</w:t>
            </w:r>
          </w:p>
        </w:tc>
        <w:tc>
          <w:tcPr>
            <w:tcW w:w="600" w:type="dxa"/>
            <w:vAlign w:val="bottom"/>
          </w:tcPr>
          <w:p>
            <w:pPr>
              <w:spacing w:after="0"/>
              <w:rPr>
                <w:sz w:val="15"/>
                <w:szCs w:val="15"/>
                <w:color w:val="auto"/>
              </w:rPr>
            </w:pPr>
          </w:p>
        </w:tc>
        <w:tc>
          <w:tcPr>
            <w:tcW w:w="420" w:type="dxa"/>
            <w:vAlign w:val="bottom"/>
          </w:tcPr>
          <w:p>
            <w:pPr>
              <w:jc w:val="right"/>
              <w:ind w:right="103"/>
              <w:spacing w:after="0"/>
              <w:rPr>
                <w:sz w:val="20"/>
                <w:szCs w:val="20"/>
                <w:color w:val="auto"/>
              </w:rPr>
            </w:pPr>
            <w:r>
              <w:rPr>
                <w:rFonts w:ascii="Arial" w:cs="Arial" w:eastAsia="Arial" w:hAnsi="Arial"/>
                <w:sz w:val="13"/>
                <w:szCs w:val="13"/>
                <w:color w:val="auto"/>
                <w:w w:val="89"/>
              </w:rPr>
              <w:t>(6.0)</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178.1</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development</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of net</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3"/>
                <w:szCs w:val="13"/>
                <w:color w:val="auto"/>
              </w:rPr>
              <w:t>16.8 %</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jc w:val="center"/>
              <w:ind w:left="517"/>
              <w:spacing w:after="0"/>
              <w:rPr>
                <w:sz w:val="20"/>
                <w:szCs w:val="20"/>
                <w:color w:val="auto"/>
              </w:rPr>
            </w:pPr>
            <w:r>
              <w:rPr>
                <w:rFonts w:ascii="Arial" w:cs="Arial" w:eastAsia="Arial" w:hAnsi="Arial"/>
                <w:sz w:val="13"/>
                <w:szCs w:val="13"/>
                <w:color w:val="auto"/>
                <w:w w:val="99"/>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(0.5)%</w:t>
            </w:r>
          </w:p>
        </w:tc>
        <w:tc>
          <w:tcPr>
            <w:tcW w:w="800" w:type="dxa"/>
            <w:vAlign w:val="bottom"/>
          </w:tcPr>
          <w:p>
            <w:pPr>
              <w:jc w:val="right"/>
              <w:spacing w:after="0"/>
              <w:rPr>
                <w:sz w:val="20"/>
                <w:szCs w:val="20"/>
                <w:color w:val="auto"/>
              </w:rPr>
            </w:pPr>
            <w:r>
              <w:rPr>
                <w:rFonts w:ascii="Arial" w:cs="Arial" w:eastAsia="Arial" w:hAnsi="Arial"/>
                <w:sz w:val="13"/>
                <w:szCs w:val="13"/>
                <w:color w:val="auto"/>
              </w:rPr>
              <w:t>(0.4)%</w:t>
            </w:r>
          </w:p>
        </w:tc>
        <w:tc>
          <w:tcPr>
            <w:tcW w:w="6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3"/>
              </w:rPr>
              <w:t>(0.5)%</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15.4 %</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Other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expenses</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37.8</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(0.1)</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(36.8)</w:t>
            </w:r>
          </w:p>
        </w:tc>
        <w:tc>
          <w:tcPr>
            <w:tcW w:w="600" w:type="dxa"/>
            <w:vAlign w:val="bottom"/>
          </w:tcPr>
          <w:p>
            <w:pPr>
              <w:spacing w:after="0"/>
              <w:rPr>
                <w:sz w:val="14"/>
                <w:szCs w:val="14"/>
                <w:color w:val="auto"/>
              </w:rPr>
            </w:pPr>
          </w:p>
        </w:tc>
        <w:tc>
          <w:tcPr>
            <w:tcW w:w="420" w:type="dxa"/>
            <w:vAlign w:val="bottom"/>
          </w:tcPr>
          <w:p>
            <w:pPr>
              <w:jc w:val="right"/>
              <w:ind w:right="14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(loss) income</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(68.5)</w:t>
            </w:r>
          </w:p>
        </w:tc>
        <w:tc>
          <w:tcPr>
            <w:tcW w:w="640" w:type="dxa"/>
            <w:vAlign w:val="bottom"/>
          </w:tcPr>
          <w:p>
            <w:pPr>
              <w:jc w:val="right"/>
              <w:spacing w:after="0"/>
              <w:rPr>
                <w:sz w:val="20"/>
                <w:szCs w:val="20"/>
                <w:color w:val="auto"/>
              </w:rPr>
            </w:pPr>
            <w:r>
              <w:rPr>
                <w:rFonts w:ascii="Arial" w:cs="Arial" w:eastAsia="Arial" w:hAnsi="Arial"/>
                <w:sz w:val="13"/>
                <w:szCs w:val="13"/>
                <w:color w:val="auto"/>
              </w:rPr>
              <w:t>0.1</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138"/>
              <w:spacing w:after="0"/>
              <w:rPr>
                <w:sz w:val="20"/>
                <w:szCs w:val="20"/>
                <w:color w:val="auto"/>
              </w:rPr>
            </w:pPr>
            <w:r>
              <w:rPr>
                <w:rFonts w:ascii="Arial" w:cs="Arial" w:eastAsia="Arial" w:hAnsi="Arial"/>
                <w:sz w:val="13"/>
                <w:szCs w:val="13"/>
                <w:color w:val="auto"/>
              </w:rPr>
              <w:t>26.0</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102.6</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9.4</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62.4</w:t>
            </w:r>
          </w:p>
        </w:tc>
        <w:tc>
          <w:tcPr>
            <w:tcW w:w="1020" w:type="dxa"/>
            <w:vAlign w:val="bottom"/>
            <w:gridSpan w:val="2"/>
          </w:tcPr>
          <w:p>
            <w:pPr>
              <w:jc w:val="right"/>
              <w:ind w:right="143"/>
              <w:spacing w:after="0"/>
              <w:rPr>
                <w:sz w:val="20"/>
                <w:szCs w:val="20"/>
                <w:color w:val="auto"/>
              </w:rPr>
            </w:pPr>
            <w:r>
              <w:rPr>
                <w:rFonts w:ascii="Arial" w:cs="Arial" w:eastAsia="Arial" w:hAnsi="Arial"/>
                <w:sz w:val="13"/>
                <w:szCs w:val="13"/>
                <w:color w:val="auto"/>
              </w:rPr>
              <w:t>36.4</w:t>
            </w:r>
          </w:p>
        </w:tc>
        <w:tc>
          <w:tcPr>
            <w:tcW w:w="9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169.3</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Operating</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margin</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3"/>
                <w:szCs w:val="13"/>
                <w:color w:val="auto"/>
              </w:rPr>
              <w:t>(5.9)%</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0.1 %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820" w:type="dxa"/>
            <w:vAlign w:val="bottom"/>
          </w:tcPr>
          <w:p>
            <w:pPr>
              <w:jc w:val="right"/>
              <w:spacing w:after="0"/>
              <w:rPr>
                <w:sz w:val="20"/>
                <w:szCs w:val="20"/>
                <w:color w:val="auto"/>
              </w:rPr>
            </w:pPr>
            <w:r>
              <w:rPr>
                <w:rFonts w:ascii="Arial" w:cs="Arial" w:eastAsia="Arial" w:hAnsi="Arial"/>
                <w:sz w:val="13"/>
                <w:szCs w:val="13"/>
                <w:color w:val="auto"/>
              </w:rPr>
              <w:t>8.9 %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0.8 %</w:t>
            </w:r>
          </w:p>
        </w:tc>
        <w:tc>
          <w:tcPr>
            <w:tcW w:w="800" w:type="dxa"/>
            <w:vAlign w:val="bottom"/>
          </w:tcPr>
          <w:p>
            <w:pPr>
              <w:jc w:val="right"/>
              <w:spacing w:after="0"/>
              <w:rPr>
                <w:sz w:val="20"/>
                <w:szCs w:val="20"/>
                <w:color w:val="auto"/>
              </w:rPr>
            </w:pPr>
            <w:r>
              <w:rPr>
                <w:rFonts w:ascii="Arial" w:cs="Arial" w:eastAsia="Arial" w:hAnsi="Arial"/>
                <w:sz w:val="13"/>
                <w:szCs w:val="13"/>
                <w:color w:val="auto"/>
              </w:rPr>
              <w:t>5.4 %</w:t>
            </w: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3.2 %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74"/>
        </w:trPr>
        <w:tc>
          <w:tcPr>
            <w:tcW w:w="8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17.5</w:t>
            </w:r>
          </w:p>
        </w:tc>
        <w:tc>
          <w:tcPr>
            <w:tcW w:w="640" w:type="dxa"/>
            <w:vAlign w:val="bottom"/>
          </w:tcPr>
          <w:p>
            <w:pPr>
              <w:jc w:val="right"/>
              <w:spacing w:after="0"/>
              <w:rPr>
                <w:sz w:val="20"/>
                <w:szCs w:val="20"/>
                <w:color w:val="auto"/>
              </w:rPr>
            </w:pPr>
            <w:r>
              <w:rPr>
                <w:rFonts w:ascii="Arial" w:cs="Arial" w:eastAsia="Arial" w:hAnsi="Arial"/>
                <w:sz w:val="13"/>
                <w:szCs w:val="13"/>
                <w:color w:val="auto"/>
              </w:rPr>
              <w:t>0.1</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1.0</w:t>
            </w:r>
          </w:p>
        </w:tc>
        <w:tc>
          <w:tcPr>
            <w:tcW w:w="900" w:type="dxa"/>
            <w:vAlign w:val="bottom"/>
          </w:tcPr>
          <w:p>
            <w:pPr>
              <w:jc w:val="right"/>
              <w:ind w:right="138"/>
              <w:spacing w:after="0"/>
              <w:rPr>
                <w:sz w:val="20"/>
                <w:szCs w:val="20"/>
                <w:color w:val="auto"/>
              </w:rPr>
            </w:pPr>
            <w:r>
              <w:rPr>
                <w:rFonts w:ascii="Arial" w:cs="Arial" w:eastAsia="Arial" w:hAnsi="Arial"/>
                <w:sz w:val="13"/>
                <w:szCs w:val="13"/>
                <w:color w:val="auto"/>
              </w:rPr>
              <w:t>26.0</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102.6</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(24.2)</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9.4</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60.9</w:t>
            </w:r>
          </w:p>
        </w:tc>
        <w:tc>
          <w:tcPr>
            <w:tcW w:w="1020" w:type="dxa"/>
            <w:vAlign w:val="bottom"/>
            <w:gridSpan w:val="2"/>
          </w:tcPr>
          <w:p>
            <w:pPr>
              <w:jc w:val="right"/>
              <w:ind w:right="143"/>
              <w:spacing w:after="0"/>
              <w:rPr>
                <w:sz w:val="20"/>
                <w:szCs w:val="20"/>
                <w:color w:val="auto"/>
              </w:rPr>
            </w:pPr>
            <w:r>
              <w:rPr>
                <w:rFonts w:ascii="Arial" w:cs="Arial" w:eastAsia="Arial" w:hAnsi="Arial"/>
                <w:sz w:val="13"/>
                <w:szCs w:val="13"/>
                <w:color w:val="auto"/>
              </w:rPr>
              <w:t>36.4</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(108.1)</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30.5</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152.0</w:t>
            </w:r>
          </w:p>
        </w:tc>
        <w:tc>
          <w:tcPr>
            <w:tcW w:w="0" w:type="dxa"/>
            <w:vAlign w:val="bottom"/>
          </w:tcPr>
          <w:p>
            <w:pPr>
              <w:spacing w:after="0"/>
              <w:rPr>
                <w:sz w:val="1"/>
                <w:szCs w:val="1"/>
                <w:color w:val="auto"/>
              </w:rPr>
            </w:pPr>
          </w:p>
        </w:tc>
      </w:tr>
      <w:tr>
        <w:trPr>
          <w:trHeight w:val="134"/>
        </w:trPr>
        <w:tc>
          <w:tcPr>
            <w:tcW w:w="860" w:type="dxa"/>
            <w:vAlign w:val="bottom"/>
          </w:tcPr>
          <w:p>
            <w:pPr>
              <w:ind w:left="20"/>
              <w:spacing w:after="0" w:line="134" w:lineRule="exact"/>
              <w:rPr>
                <w:sz w:val="20"/>
                <w:szCs w:val="20"/>
                <w:color w:val="auto"/>
              </w:rPr>
            </w:pPr>
            <w:r>
              <w:rPr>
                <w:rFonts w:ascii="Arial" w:cs="Arial" w:eastAsia="Arial" w:hAnsi="Arial"/>
                <w:sz w:val="13"/>
                <w:szCs w:val="13"/>
                <w:color w:val="auto"/>
              </w:rPr>
              <w:t>Net income</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ind w:left="20"/>
              <w:spacing w:after="0" w:line="130" w:lineRule="exact"/>
              <w:rPr>
                <w:sz w:val="20"/>
                <w:szCs w:val="20"/>
                <w:color w:val="auto"/>
              </w:rPr>
            </w:pPr>
            <w:r>
              <w:rPr>
                <w:rFonts w:ascii="Arial" w:cs="Arial" w:eastAsia="Arial" w:hAnsi="Arial"/>
                <w:sz w:val="13"/>
                <w:szCs w:val="13"/>
                <w:color w:val="auto"/>
              </w:rPr>
              <w:t>as a percent</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60" w:type="dxa"/>
            <w:vAlign w:val="bottom"/>
          </w:tcPr>
          <w:p>
            <w:pPr>
              <w:ind w:left="20"/>
              <w:spacing w:after="0" w:line="126" w:lineRule="exact"/>
              <w:rPr>
                <w:sz w:val="20"/>
                <w:szCs w:val="20"/>
                <w:color w:val="auto"/>
              </w:rPr>
            </w:pPr>
            <w:r>
              <w:rPr>
                <w:rFonts w:ascii="Arial" w:cs="Arial" w:eastAsia="Arial" w:hAnsi="Arial"/>
                <w:sz w:val="13"/>
                <w:szCs w:val="13"/>
                <w:color w:val="auto"/>
              </w:rPr>
              <w:t>of net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1.5 %</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 %</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0.1 %</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2.3 %</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8.9 %</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0.8 %</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5.3 %</w:t>
            </w:r>
          </w:p>
        </w:tc>
        <w:tc>
          <w:tcPr>
            <w:tcW w:w="6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3.2 %</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(9.4)%</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13.2 %</w:t>
            </w:r>
          </w:p>
        </w:tc>
        <w:tc>
          <w:tcPr>
            <w:tcW w:w="0" w:type="dxa"/>
            <w:vAlign w:val="bottom"/>
          </w:tcPr>
          <w:p>
            <w:pPr>
              <w:spacing w:after="0"/>
              <w:rPr>
                <w:sz w:val="1"/>
                <w:szCs w:val="1"/>
                <w:color w:val="auto"/>
              </w:rPr>
            </w:pPr>
          </w:p>
        </w:tc>
      </w:tr>
      <w:tr>
        <w:trPr>
          <w:trHeight w:val="165"/>
        </w:trPr>
        <w:tc>
          <w:tcPr>
            <w:tcW w:w="86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6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$0.32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$0.02</w:t>
            </w:r>
          </w:p>
        </w:tc>
        <w:tc>
          <w:tcPr>
            <w:tcW w:w="900" w:type="dxa"/>
            <w:vAlign w:val="bottom"/>
          </w:tcPr>
          <w:p>
            <w:pPr>
              <w:jc w:val="right"/>
              <w:ind w:right="138"/>
              <w:spacing w:after="0"/>
              <w:rPr>
                <w:sz w:val="20"/>
                <w:szCs w:val="20"/>
                <w:color w:val="auto"/>
              </w:rPr>
            </w:pPr>
            <w:r>
              <w:rPr>
                <w:rFonts w:ascii="Arial" w:cs="Arial" w:eastAsia="Arial" w:hAnsi="Arial"/>
                <w:sz w:val="13"/>
                <w:szCs w:val="13"/>
                <w:color w:val="auto"/>
              </w:rPr>
              <w:t>$0.48</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$1.89</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($0.45)</w:t>
            </w:r>
          </w:p>
        </w:tc>
        <w:tc>
          <w:tcPr>
            <w:tcW w:w="1000" w:type="dxa"/>
            <w:vAlign w:val="bottom"/>
          </w:tcPr>
          <w:p>
            <w:pPr>
              <w:jc w:val="right"/>
              <w:ind w:right="139"/>
              <w:spacing w:after="0"/>
              <w:rPr>
                <w:sz w:val="20"/>
                <w:szCs w:val="20"/>
                <w:color w:val="auto"/>
              </w:rPr>
            </w:pPr>
            <w:r>
              <w:rPr>
                <w:rFonts w:ascii="Arial" w:cs="Arial" w:eastAsia="Arial" w:hAnsi="Arial"/>
                <w:sz w:val="13"/>
                <w:szCs w:val="13"/>
                <w:color w:val="auto"/>
              </w:rPr>
              <w:t>$0.17</w:t>
            </w:r>
          </w:p>
        </w:tc>
        <w:tc>
          <w:tcPr>
            <w:tcW w:w="800" w:type="dxa"/>
            <w:vAlign w:val="bottom"/>
          </w:tcPr>
          <w:p>
            <w:pPr>
              <w:jc w:val="right"/>
              <w:ind w:right="138"/>
              <w:spacing w:after="0"/>
              <w:rPr>
                <w:sz w:val="20"/>
                <w:szCs w:val="20"/>
                <w:color w:val="auto"/>
              </w:rPr>
            </w:pPr>
            <w:r>
              <w:rPr>
                <w:rFonts w:ascii="Arial" w:cs="Arial" w:eastAsia="Arial" w:hAnsi="Arial"/>
                <w:sz w:val="13"/>
                <w:szCs w:val="13"/>
                <w:color w:val="auto"/>
              </w:rPr>
              <w:t>$1.12</w:t>
            </w:r>
          </w:p>
        </w:tc>
        <w:tc>
          <w:tcPr>
            <w:tcW w:w="1020" w:type="dxa"/>
            <w:vAlign w:val="bottom"/>
            <w:gridSpan w:val="2"/>
          </w:tcPr>
          <w:p>
            <w:pPr>
              <w:jc w:val="right"/>
              <w:ind w:right="143"/>
              <w:spacing w:after="0"/>
              <w:rPr>
                <w:sz w:val="20"/>
                <w:szCs w:val="20"/>
                <w:color w:val="auto"/>
              </w:rPr>
            </w:pPr>
            <w:r>
              <w:rPr>
                <w:rFonts w:ascii="Arial" w:cs="Arial" w:eastAsia="Arial" w:hAnsi="Arial"/>
                <w:sz w:val="13"/>
                <w:szCs w:val="13"/>
                <w:color w:val="auto"/>
              </w:rPr>
              <w:t>$0.67</w:t>
            </w:r>
          </w:p>
        </w:tc>
        <w:tc>
          <w:tcPr>
            <w:tcW w:w="920" w:type="dxa"/>
            <w:vAlign w:val="bottom"/>
          </w:tcPr>
          <w:p>
            <w:pPr>
              <w:jc w:val="right"/>
              <w:ind w:right="99"/>
              <w:spacing w:after="0"/>
              <w:rPr>
                <w:sz w:val="20"/>
                <w:szCs w:val="20"/>
                <w:color w:val="auto"/>
              </w:rPr>
            </w:pPr>
            <w:r>
              <w:rPr>
                <w:rFonts w:ascii="Arial" w:cs="Arial" w:eastAsia="Arial" w:hAnsi="Arial"/>
                <w:sz w:val="13"/>
                <w:szCs w:val="13"/>
                <w:color w:val="auto"/>
              </w:rPr>
              <w:t>($1.99)</w:t>
            </w:r>
          </w:p>
        </w:tc>
        <w:tc>
          <w:tcPr>
            <w:tcW w:w="880" w:type="dxa"/>
            <w:vAlign w:val="bottom"/>
          </w:tcPr>
          <w:p>
            <w:pPr>
              <w:jc w:val="right"/>
              <w:ind w:right="99"/>
              <w:spacing w:after="0"/>
              <w:rPr>
                <w:sz w:val="20"/>
                <w:szCs w:val="20"/>
                <w:color w:val="auto"/>
              </w:rPr>
            </w:pPr>
            <w:r>
              <w:rPr>
                <w:rFonts w:ascii="Arial" w:cs="Arial" w:eastAsia="Arial" w:hAnsi="Arial"/>
                <w:sz w:val="13"/>
                <w:szCs w:val="13"/>
                <w:color w:val="auto"/>
              </w:rPr>
              <w:t>$0.56</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year ended December 31, 2023 include:</w:t>
      </w:r>
    </w:p>
    <w:p>
      <w:pPr>
        <w:spacing w:after="0" w:line="97"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Merger and integration expenses related to the acquisition of ALung Technologies, Inc.</w:t>
      </w:r>
    </w:p>
    <w:p>
      <w:pPr>
        <w:spacing w:after="0" w:line="3"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ACS inventory obsolescence adjustment and impairment of long-lived assets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 for the embedded and capped call derivatives associated with the 2025 Notes</w:t>
      </w:r>
    </w:p>
    <w:p>
      <w:pPr>
        <w:spacing w:after="0" w:line="4" w:lineRule="exact"/>
        <w:rPr>
          <w:rFonts w:ascii="Arial" w:cs="Arial" w:eastAsia="Arial" w:hAnsi="Arial"/>
          <w:sz w:val="21"/>
          <w:szCs w:val="21"/>
          <w:color w:val="auto"/>
          <w:vertAlign w:val="superscript"/>
        </w:rPr>
      </w:pPr>
    </w:p>
    <w:p>
      <w:pPr>
        <w:ind w:left="320" w:hanging="313"/>
        <w:spacing w:after="0" w:line="196"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acquisitions</w:t>
      </w:r>
    </w:p>
    <w:p>
      <w:pPr>
        <w:spacing w:after="0" w:line="4" w:lineRule="exact"/>
        <w:rPr>
          <w:rFonts w:ascii="Arial" w:cs="Arial" w:eastAsia="Arial" w:hAnsi="Arial"/>
          <w:sz w:val="21"/>
          <w:szCs w:val="21"/>
          <w:color w:val="auto"/>
          <w:vertAlign w:val="superscript"/>
        </w:rPr>
      </w:pPr>
    </w:p>
    <w:p>
      <w:pPr>
        <w:ind w:left="320" w:right="100" w:hanging="313"/>
        <w:spacing w:after="0" w:line="225" w:lineRule="auto"/>
        <w:tabs>
          <w:tab w:leader="none" w:pos="314"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the Saluggia site provision, costs related to the SNIA matter, MDR costs, and cybersecurity incident costs</w:t>
      </w:r>
    </w:p>
    <w:p>
      <w:pPr>
        <w:ind w:left="320" w:hanging="313"/>
        <w:spacing w:after="0" w:line="200" w:lineRule="auto"/>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3" w:lineRule="exact"/>
        <w:rPr>
          <w:rFonts w:ascii="Arial" w:cs="Arial" w:eastAsia="Arial" w:hAnsi="Arial"/>
          <w:sz w:val="21"/>
          <w:szCs w:val="21"/>
          <w:color w:val="auto"/>
          <w:vertAlign w:val="superscript"/>
        </w:rPr>
      </w:pPr>
    </w:p>
    <w:p>
      <w:pPr>
        <w:ind w:left="320" w:right="100" w:hanging="313"/>
        <w:spacing w:after="0" w:line="225" w:lineRule="auto"/>
        <w:tabs>
          <w:tab w:leader="none" w:pos="314"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R&amp;D tax credits, the tax impact of intercompany transactions, and the tax impact on non-GAAP adjustments</w:t>
      </w:r>
    </w:p>
    <w:p>
      <w:pPr>
        <w:ind w:left="320" w:right="100" w:hanging="313"/>
        <w:spacing w:after="0" w:line="227" w:lineRule="auto"/>
        <w:tabs>
          <w:tab w:leader="none" w:pos="305"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Non-cash interest expense on the 2025 Notes and Revolving Credit Facility, interest expense on the Term Facilities, and interest income on the collateral for the SNIA litigation guarantee and delayed draw on Term Facilities</w:t>
      </w:r>
    </w:p>
    <w:p>
      <w:pPr>
        <w:spacing w:after="0" w:line="109" w:lineRule="exact"/>
        <w:rPr>
          <w:sz w:val="20"/>
          <w:szCs w:val="20"/>
          <w:color w:val="auto"/>
        </w:rPr>
      </w:pPr>
    </w:p>
    <w:p>
      <w:pPr>
        <w:ind w:left="240" w:hanging="233"/>
        <w:spacing w:after="0"/>
        <w:tabs>
          <w:tab w:leader="none" w:pos="2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340"/>
          </w:cols>
          <w:pgMar w:left="320" w:top="789" w:right="239" w:bottom="1440" w:gutter="0" w:footer="0" w:header="0"/>
        </w:sectPr>
      </w:pPr>
    </w:p>
    <w:bookmarkStart w:id="21" w:name="page22"/>
    <w:bookmarkEnd w:id="21"/>
    <w:p>
      <w:pPr>
        <w:spacing w:after="0" w:line="10" w:lineRule="exact"/>
        <w:rPr>
          <w:sz w:val="20"/>
          <w:szCs w:val="20"/>
          <w:color w:val="auto"/>
        </w:rPr>
      </w:pPr>
    </w:p>
    <w:tbl>
      <w:tblPr>
        <w:tblLayout w:type="fixed"/>
        <w:tblInd w:w="33" w:type="dxa"/>
        <w:tblCellMar>
          <w:top w:w="0" w:type="dxa"/>
          <w:left w:w="0" w:type="dxa"/>
          <w:bottom w:w="0" w:type="dxa"/>
          <w:right w:w="0" w:type="dxa"/>
        </w:tblCellMar>
      </w:tblPr>
      <w:tr>
        <w:trPr>
          <w:trHeight w:val="228"/>
        </w:trPr>
        <w:tc>
          <w:tcPr>
            <w:tcW w:w="642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2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 UNAUDITED</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4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December 31, 2024</w:t>
            </w:r>
          </w:p>
        </w:tc>
        <w:tc>
          <w:tcPr>
            <w:tcW w:w="234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16"/>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gridSpan w:val="2"/>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20" w:type="dxa"/>
            <w:vAlign w:val="bottom"/>
            <w:vMerge w:val="continue"/>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340" w:type="dxa"/>
            <w:vAlign w:val="bottom"/>
          </w:tcPr>
          <w:p>
            <w:pPr>
              <w:jc w:val="right"/>
              <w:spacing w:after="0"/>
              <w:rPr>
                <w:sz w:val="20"/>
                <w:szCs w:val="20"/>
                <w:color w:val="auto"/>
              </w:rPr>
            </w:pPr>
            <w:r>
              <w:rPr>
                <w:rFonts w:ascii="Arial" w:cs="Arial" w:eastAsia="Arial" w:hAnsi="Arial"/>
                <w:sz w:val="18"/>
                <w:szCs w:val="18"/>
                <w:color w:val="auto"/>
              </w:rPr>
              <w:t>$428.9</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340" w:type="dxa"/>
            <w:vAlign w:val="bottom"/>
          </w:tcPr>
          <w:p>
            <w:pPr>
              <w:jc w:val="right"/>
              <w:spacing w:after="0"/>
              <w:rPr>
                <w:sz w:val="20"/>
                <w:szCs w:val="20"/>
                <w:color w:val="auto"/>
              </w:rPr>
            </w:pPr>
            <w:r>
              <w:rPr>
                <w:rFonts w:ascii="Arial" w:cs="Arial" w:eastAsia="Arial" w:hAnsi="Arial"/>
                <w:sz w:val="18"/>
                <w:szCs w:val="18"/>
                <w:color w:val="auto"/>
              </w:rPr>
              <w:t>294.7</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Accounts receivable, net of allowance</w:t>
            </w:r>
          </w:p>
        </w:tc>
        <w:tc>
          <w:tcPr>
            <w:tcW w:w="2340" w:type="dxa"/>
            <w:vAlign w:val="bottom"/>
          </w:tcPr>
          <w:p>
            <w:pPr>
              <w:jc w:val="right"/>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340" w:type="dxa"/>
            <w:vAlign w:val="bottom"/>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Prepaid and refundable taxes</w:t>
            </w:r>
          </w:p>
        </w:tc>
        <w:tc>
          <w:tcPr>
            <w:tcW w:w="234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4"/>
        </w:trPr>
        <w:tc>
          <w:tcPr>
            <w:tcW w:w="64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3" w:type="dxa"/>
        <w:tblCellMar>
          <w:top w:w="0" w:type="dxa"/>
          <w:left w:w="0" w:type="dxa"/>
          <w:bottom w:w="0" w:type="dxa"/>
          <w:right w:w="0" w:type="dxa"/>
        </w:tblCellMar>
      </w:tblP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Current Assets</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1,127.2</w:t>
            </w:r>
          </w:p>
        </w:tc>
        <w:tc>
          <w:tcPr>
            <w:tcW w:w="80" w:type="dxa"/>
            <w:vAlign w:val="bottom"/>
          </w:tcPr>
          <w:p>
            <w:pPr>
              <w:spacing w:after="0"/>
              <w:rPr>
                <w:sz w:val="19"/>
                <w:szCs w:val="19"/>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988.2</w:t>
            </w: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340" w:type="dxa"/>
            <w:vAlign w:val="bottom"/>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154.2</w:t>
            </w: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340" w:type="dxa"/>
            <w:vAlign w:val="bottom"/>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782.9</w:t>
            </w: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340" w:type="dxa"/>
            <w:vAlign w:val="bottom"/>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Long-term derivative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4"/>
        </w:trPr>
        <w:tc>
          <w:tcPr>
            <w:tcW w:w="64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1" w:lineRule="exact"/>
        <w:rPr>
          <w:sz w:val="20"/>
          <w:szCs w:val="20"/>
          <w:color w:val="auto"/>
        </w:rPr>
      </w:pPr>
    </w:p>
    <w:tbl>
      <w:tblPr>
        <w:tblLayout w:type="fixed"/>
        <w:tblInd w:w="33" w:type="dxa"/>
        <w:tblCellMar>
          <w:top w:w="0" w:type="dxa"/>
          <w:left w:w="0" w:type="dxa"/>
          <w:bottom w:w="0" w:type="dxa"/>
          <w:right w:w="0" w:type="dxa"/>
        </w:tblCellMar>
      </w:tblP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$2,506.4</w:t>
            </w:r>
          </w:p>
        </w:tc>
        <w:tc>
          <w:tcPr>
            <w:tcW w:w="80" w:type="dxa"/>
            <w:vAlign w:val="bottom"/>
          </w:tcPr>
          <w:p>
            <w:pPr>
              <w:spacing w:after="0"/>
              <w:rPr>
                <w:sz w:val="19"/>
                <w:szCs w:val="19"/>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$2,429.6</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42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4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Current debt obligations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34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Accrued liabilities and other</w:t>
            </w:r>
          </w:p>
        </w:tc>
        <w:tc>
          <w:tcPr>
            <w:tcW w:w="234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Current litigation provision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234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4"/>
        </w:trPr>
        <w:tc>
          <w:tcPr>
            <w:tcW w:w="6420" w:type="dxa"/>
            <w:vAlign w:val="bottom"/>
          </w:tcPr>
          <w:p>
            <w:pPr>
              <w:ind w:left="220"/>
              <w:spacing w:after="0"/>
              <w:rPr>
                <w:sz w:val="20"/>
                <w:szCs w:val="20"/>
                <w:color w:val="auto"/>
              </w:rPr>
            </w:pPr>
            <w:r>
              <w:rPr>
                <w:rFonts w:ascii="Arial" w:cs="Arial" w:eastAsia="Arial" w:hAnsi="Arial"/>
                <w:sz w:val="18"/>
                <w:szCs w:val="18"/>
                <w:color w:val="auto"/>
              </w:rPr>
              <w:t>Accrued employee compensation and related benefits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0"/>
                <w:szCs w:val="20"/>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392.1</w:t>
            </w:r>
          </w:p>
        </w:tc>
        <w:tc>
          <w:tcPr>
            <w:tcW w:w="8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335.0</w:t>
            </w:r>
          </w:p>
        </w:tc>
        <w:tc>
          <w:tcPr>
            <w:tcW w:w="0" w:type="dxa"/>
            <w:vAlign w:val="bottom"/>
          </w:tcPr>
          <w:p>
            <w:pPr>
              <w:spacing w:after="0"/>
              <w:rPr>
                <w:sz w:val="1"/>
                <w:szCs w:val="1"/>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Long-term debt obligations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549.6</w:t>
            </w:r>
          </w:p>
        </w:tc>
        <w:tc>
          <w:tcPr>
            <w:tcW w:w="8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Long-term employee compensation and related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8"/>
        </w:trPr>
        <w:tc>
          <w:tcPr>
            <w:tcW w:w="6420" w:type="dxa"/>
            <w:vAlign w:val="bottom"/>
          </w:tcPr>
          <w:p>
            <w:pPr>
              <w:ind w:left="220"/>
              <w:spacing w:after="0"/>
              <w:rPr>
                <w:sz w:val="20"/>
                <w:szCs w:val="20"/>
                <w:color w:val="auto"/>
              </w:rPr>
            </w:pPr>
            <w:r>
              <w:rPr>
                <w:rFonts w:ascii="Arial" w:cs="Arial" w:eastAsia="Arial" w:hAnsi="Arial"/>
                <w:sz w:val="18"/>
                <w:szCs w:val="18"/>
                <w:color w:val="auto"/>
              </w:rPr>
              <w:t>Long-term derivative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4"/>
        </w:trPr>
        <w:tc>
          <w:tcPr>
            <w:tcW w:w="64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20"/>
                <w:szCs w:val="20"/>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8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w:t>
            </w:r>
          </w:p>
        </w:tc>
        <w:tc>
          <w:tcPr>
            <w:tcW w:w="8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$2,506.4</w:t>
            </w:r>
          </w:p>
        </w:tc>
        <w:tc>
          <w:tcPr>
            <w:tcW w:w="8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33" w:hanging="233"/>
        <w:spacing w:after="0"/>
        <w:tabs>
          <w:tab w:leader="none" w:pos="23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224"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13"/>
          </w:cols>
          <w:pgMar w:left="327" w:top="1440" w:right="359" w:bottom="1440" w:gutter="0" w:footer="0" w:header="0"/>
        </w:sectPr>
      </w:pPr>
    </w:p>
    <w:bookmarkStart w:id="22" w:name="page23"/>
    <w:bookmarkEnd w:id="22"/>
    <w:tbl>
      <w:tblPr>
        <w:tblLayout w:type="fixed"/>
        <w:tblInd w:w="13" w:type="dxa"/>
        <w:tblCellMar>
          <w:top w:w="0" w:type="dxa"/>
          <w:left w:w="0" w:type="dxa"/>
          <w:bottom w:w="0" w:type="dxa"/>
          <w:right w:w="0" w:type="dxa"/>
        </w:tblCellMar>
      </w:tblPr>
      <w:tr>
        <w:trPr>
          <w:trHeight w:val="228"/>
        </w:trPr>
        <w:tc>
          <w:tcPr>
            <w:tcW w:w="762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358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2"/>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7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3"/>
        </w:trPr>
        <w:tc>
          <w:tcPr>
            <w:tcW w:w="762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17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Remeasurement of derivative instruments, net</w:t>
            </w:r>
          </w:p>
        </w:tc>
        <w:tc>
          <w:tcPr>
            <w:tcW w:w="17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7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17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Amortization of operating lease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Gain on investment revaluation - Ceribell, Inc.</w:t>
            </w: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17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Impairment of investments</w:t>
            </w:r>
          </w:p>
        </w:tc>
        <w:tc>
          <w:tcPr>
            <w:tcW w:w="1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Remeasurement of contingent consideration to 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ACS inventory obsolescence adjustment</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8"/>
        </w:trPr>
        <w:tc>
          <w:tcPr>
            <w:tcW w:w="7620" w:type="dxa"/>
            <w:vAlign w:val="bottom"/>
          </w:tcPr>
          <w:p>
            <w:pPr>
              <w:ind w:left="220"/>
              <w:spacing w:after="0"/>
              <w:rPr>
                <w:sz w:val="20"/>
                <w:szCs w:val="20"/>
                <w:color w:val="auto"/>
              </w:rPr>
            </w:pPr>
            <w:r>
              <w:rPr>
                <w:rFonts w:ascii="Arial" w:cs="Arial" w:eastAsia="Arial" w:hAnsi="Arial"/>
                <w:sz w:val="18"/>
                <w:szCs w:val="18"/>
                <w:color w:val="auto"/>
              </w:rPr>
              <w:t>Other</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7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Other current and non-current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Accounts payable and accrued current and non-current liabilities</w:t>
            </w:r>
          </w:p>
        </w:tc>
        <w:tc>
          <w:tcPr>
            <w:tcW w:w="17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Taxes payable</w:t>
            </w:r>
          </w:p>
        </w:tc>
        <w:tc>
          <w:tcPr>
            <w:tcW w:w="17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4"/>
        </w:trPr>
        <w:tc>
          <w:tcPr>
            <w:tcW w:w="7620" w:type="dxa"/>
            <w:vAlign w:val="bottom"/>
          </w:tcPr>
          <w:p>
            <w:pPr>
              <w:ind w:left="120"/>
              <w:spacing w:after="0"/>
              <w:rPr>
                <w:sz w:val="20"/>
                <w:szCs w:val="20"/>
                <w:color w:val="auto"/>
              </w:rPr>
            </w:pPr>
            <w:r>
              <w:rPr>
                <w:rFonts w:ascii="Arial" w:cs="Arial" w:eastAsia="Arial" w:hAnsi="Arial"/>
                <w:sz w:val="18"/>
                <w:szCs w:val="18"/>
                <w:color w:val="auto"/>
              </w:rPr>
              <w:t>Litigation provision liability</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2"/>
        </w:trPr>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3"/>
        </w:trPr>
        <w:tc>
          <w:tcPr>
            <w:tcW w:w="7620" w:type="dxa"/>
            <w:vAlign w:val="bottom"/>
          </w:tcPr>
          <w:p>
            <w:pPr>
              <w:spacing w:after="0" w:line="203" w:lineRule="exact"/>
              <w:rPr>
                <w:sz w:val="20"/>
                <w:szCs w:val="20"/>
                <w:color w:val="auto"/>
              </w:rPr>
            </w:pPr>
            <w:r>
              <w:rPr>
                <w:rFonts w:ascii="Arial" w:cs="Arial" w:eastAsia="Arial" w:hAnsi="Arial"/>
                <w:sz w:val="18"/>
                <w:szCs w:val="18"/>
                <w:b w:val="1"/>
                <w:bCs w:val="1"/>
                <w:color w:val="auto"/>
              </w:rPr>
              <w:t>Investing Activities: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17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Purchase of investments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4"/>
        </w:trPr>
        <w:tc>
          <w:tcPr>
            <w:tcW w:w="7620" w:type="dxa"/>
            <w:vAlign w:val="bottom"/>
          </w:tcPr>
          <w:p>
            <w:pPr>
              <w:ind w:left="12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7620" w:type="dxa"/>
            <w:vAlign w:val="bottom"/>
          </w:tcPr>
          <w:p>
            <w:pPr>
              <w:spacing w:after="0" w:line="203" w:lineRule="exact"/>
              <w:rPr>
                <w:sz w:val="20"/>
                <w:szCs w:val="20"/>
                <w:color w:val="auto"/>
              </w:rPr>
            </w:pPr>
            <w:r>
              <w:rPr>
                <w:rFonts w:ascii="Arial" w:cs="Arial" w:eastAsia="Arial" w:hAnsi="Arial"/>
                <w:sz w:val="18"/>
                <w:szCs w:val="18"/>
                <w:b w:val="1"/>
                <w:bCs w:val="1"/>
                <w:color w:val="auto"/>
              </w:rPr>
              <w:t>Financing Activities: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Proceeds from long-term debt obligations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Repayment of long-term debt obligations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Payment of debt extinguishment costs</w:t>
            </w:r>
          </w:p>
        </w:tc>
        <w:tc>
          <w:tcPr>
            <w:tcW w:w="17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Purchase of capped calls</w:t>
            </w:r>
          </w:p>
        </w:tc>
        <w:tc>
          <w:tcPr>
            <w:tcW w:w="17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Proceeds from unwind of capped calls</w:t>
            </w:r>
          </w:p>
        </w:tc>
        <w:tc>
          <w:tcPr>
            <w:tcW w:w="17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Payment of contingent consideration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Shares repurchased from employees for minimum tax withholding</w:t>
            </w:r>
          </w:p>
        </w:tc>
        <w:tc>
          <w:tcPr>
            <w:tcW w:w="17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1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620" w:type="dxa"/>
            <w:vAlign w:val="bottom"/>
          </w:tcPr>
          <w:p>
            <w:pPr>
              <w:ind w:left="12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financing activities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620" w:type="dxa"/>
            <w:vAlign w:val="bottom"/>
          </w:tcPr>
          <w:p>
            <w:pPr>
              <w:ind w:left="3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7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195"/>
        </w:trPr>
        <w:tc>
          <w:tcPr>
            <w:tcW w:w="7620" w:type="dxa"/>
            <w:vAlign w:val="bottom"/>
          </w:tcPr>
          <w:p>
            <w:pPr>
              <w:spacing w:after="0" w:line="195" w:lineRule="exact"/>
              <w:rPr>
                <w:sz w:val="20"/>
                <w:szCs w:val="20"/>
                <w:color w:val="auto"/>
              </w:rPr>
            </w:pPr>
            <w:r>
              <w:rPr>
                <w:rFonts w:ascii="Arial" w:cs="Arial" w:eastAsia="Arial" w:hAnsi="Arial"/>
                <w:sz w:val="18"/>
                <w:szCs w:val="18"/>
                <w:color w:val="auto"/>
              </w:rPr>
              <w:t>Cash, cash equivalents, and restricted cash at end of period</w:t>
            </w: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$723.6</w:t>
            </w:r>
          </w:p>
        </w:tc>
        <w:tc>
          <w:tcPr>
            <w:tcW w:w="100" w:type="dxa"/>
            <w:vAlign w:val="bottom"/>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5480"/>
              <w:spacing w:after="0"/>
              <w:rPr>
                <w:sz w:val="20"/>
                <w:szCs w:val="20"/>
                <w:color w:val="auto"/>
              </w:rPr>
            </w:pPr>
            <w:r>
              <w:rPr>
                <w:rFonts w:ascii="Arial" w:cs="Arial" w:eastAsia="Arial" w:hAnsi="Arial"/>
                <w:sz w:val="21"/>
                <w:szCs w:val="21"/>
                <w:color w:val="auto"/>
              </w:rPr>
              <w:t>20</w:t>
            </w: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vMerge w:val="continue"/>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6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33" w:hanging="233"/>
        <w:spacing w:after="0"/>
        <w:tabs>
          <w:tab w:leader="none" w:pos="233"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ectPr>
          <w:pgSz w:w="11900" w:h="16838" w:orient="portrait"/>
          <w:cols w:equalWidth="0" w:num="1">
            <w:col w:w="11213"/>
          </w:cols>
          <w:pgMar w:left="327" w:top="644" w:right="359" w:bottom="1440" w:gutter="0" w:footer="0" w:header="0"/>
        </w:sectPr>
      </w:pPr>
    </w:p>
    <w:bookmarkStart w:id="23" w:name="page24"/>
    <w:bookmarkEnd w:id="23"/>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4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900" w:type="dxa"/>
            <w:vAlign w:val="bottom"/>
            <w:tcBorders>
              <w:top w:val="single" w:sz="8" w:color="auto"/>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rPr>
              <w:t>Three Months Ended December 31,</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left="289"/>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rPr>
              <w:t>GAAP Financial</w:t>
            </w:r>
          </w:p>
        </w:tc>
        <w:tc>
          <w:tcPr>
            <w:tcW w:w="20" w:type="dxa"/>
            <w:vAlign w:val="bottom"/>
          </w:tcPr>
          <w:p>
            <w:pPr>
              <w:spacing w:after="0"/>
              <w:rPr>
                <w:sz w:val="12"/>
                <w:szCs w:val="12"/>
                <w:color w:val="auto"/>
              </w:rPr>
            </w:pPr>
          </w:p>
        </w:tc>
        <w:tc>
          <w:tcPr>
            <w:tcW w:w="1380" w:type="dxa"/>
            <w:vAlign w:val="bottom"/>
            <w:gridSpan w:val="4"/>
          </w:tcPr>
          <w:p>
            <w:pPr>
              <w:jc w:val="center"/>
              <w:ind w:right="100"/>
              <w:spacing w:after="0" w:line="146" w:lineRule="exact"/>
              <w:rPr>
                <w:sz w:val="20"/>
                <w:szCs w:val="20"/>
                <w:color w:val="auto"/>
              </w:rPr>
            </w:pPr>
            <w:r>
              <w:rPr>
                <w:rFonts w:ascii="Arial" w:cs="Arial" w:eastAsia="Arial" w:hAnsi="Arial"/>
                <w:sz w:val="14"/>
                <w:szCs w:val="14"/>
                <w:b w:val="1"/>
                <w:bCs w:val="1"/>
                <w:color w:val="auto"/>
                <w:w w:val="99"/>
              </w:rPr>
              <w:t>Certain Tax</w:t>
            </w:r>
          </w:p>
        </w:tc>
        <w:tc>
          <w:tcPr>
            <w:tcW w:w="20" w:type="dxa"/>
            <w:vAlign w:val="bottom"/>
          </w:tcPr>
          <w:p>
            <w:pPr>
              <w:spacing w:after="0"/>
              <w:rPr>
                <w:sz w:val="12"/>
                <w:szCs w:val="12"/>
                <w:color w:val="auto"/>
              </w:rPr>
            </w:pPr>
          </w:p>
        </w:tc>
        <w:tc>
          <w:tcPr>
            <w:tcW w:w="1460" w:type="dxa"/>
            <w:vAlign w:val="bottom"/>
            <w:gridSpan w:val="5"/>
          </w:tcPr>
          <w:p>
            <w:pPr>
              <w:jc w:val="center"/>
              <w:ind w:right="100"/>
              <w:spacing w:after="0" w:line="146" w:lineRule="exact"/>
              <w:rPr>
                <w:sz w:val="20"/>
                <w:szCs w:val="20"/>
                <w:color w:val="auto"/>
              </w:rPr>
            </w:pPr>
            <w:r>
              <w:rPr>
                <w:rFonts w:ascii="Arial" w:cs="Arial" w:eastAsia="Arial" w:hAnsi="Arial"/>
                <w:sz w:val="14"/>
                <w:szCs w:val="14"/>
                <w:b w:val="1"/>
                <w:bCs w:val="1"/>
                <w:color w:val="auto"/>
              </w:rPr>
              <w:t>Adjusted Financial</w:t>
            </w:r>
          </w:p>
        </w:tc>
        <w:tc>
          <w:tcPr>
            <w:tcW w:w="20" w:type="dxa"/>
            <w:vAlign w:val="bottom"/>
          </w:tcPr>
          <w:p>
            <w:pPr>
              <w:spacing w:after="0"/>
              <w:rPr>
                <w:sz w:val="12"/>
                <w:szCs w:val="12"/>
                <w:color w:val="auto"/>
              </w:rPr>
            </w:pPr>
          </w:p>
        </w:tc>
        <w:tc>
          <w:tcPr>
            <w:tcW w:w="142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color w:val="auto"/>
              </w:rPr>
              <w:t>GAAP Financial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5"/>
          </w:tcPr>
          <w:p>
            <w:pPr>
              <w:jc w:val="center"/>
              <w:ind w:right="120"/>
              <w:spacing w:after="0" w:line="146" w:lineRule="exact"/>
              <w:rPr>
                <w:sz w:val="20"/>
                <w:szCs w:val="20"/>
                <w:color w:val="auto"/>
              </w:rPr>
            </w:pPr>
            <w:r>
              <w:rPr>
                <w:rFonts w:ascii="Arial" w:cs="Arial" w:eastAsia="Arial" w:hAnsi="Arial"/>
                <w:sz w:val="14"/>
                <w:szCs w:val="14"/>
                <w:b w:val="1"/>
                <w:bCs w:val="1"/>
                <w:color w:val="auto"/>
              </w:rPr>
              <w:t>Certain Tax</w:t>
            </w:r>
          </w:p>
        </w:tc>
        <w:tc>
          <w:tcPr>
            <w:tcW w:w="20" w:type="dxa"/>
            <w:vAlign w:val="bottom"/>
          </w:tcPr>
          <w:p>
            <w:pPr>
              <w:spacing w:after="0"/>
              <w:rPr>
                <w:sz w:val="12"/>
                <w:szCs w:val="12"/>
                <w:color w:val="auto"/>
              </w:rPr>
            </w:pPr>
          </w:p>
        </w:tc>
        <w:tc>
          <w:tcPr>
            <w:tcW w:w="142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color w:val="auto"/>
              </w:rPr>
              <w:t>Adjusted Financial</w:t>
            </w:r>
          </w:p>
        </w:tc>
        <w:tc>
          <w:tcPr>
            <w:tcW w:w="0" w:type="dxa"/>
            <w:vAlign w:val="bottom"/>
          </w:tcPr>
          <w:p>
            <w:pPr>
              <w:spacing w:after="0"/>
              <w:rPr>
                <w:sz w:val="1"/>
                <w:szCs w:val="1"/>
                <w:color w:val="auto"/>
              </w:rPr>
            </w:pPr>
          </w:p>
        </w:tc>
      </w:tr>
      <w:tr>
        <w:trPr>
          <w:trHeight w:val="184"/>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Income (loss) before tax</w:t>
            </w:r>
          </w:p>
        </w:tc>
        <w:tc>
          <w:tcPr>
            <w:tcW w:w="20" w:type="dxa"/>
            <w:vAlign w:val="bottom"/>
          </w:tcPr>
          <w:p>
            <w:pPr>
              <w:spacing w:after="0"/>
              <w:rPr>
                <w:sz w:val="15"/>
                <w:szCs w:val="15"/>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Measures</w:t>
            </w:r>
          </w:p>
        </w:tc>
        <w:tc>
          <w:tcPr>
            <w:tcW w:w="20" w:type="dxa"/>
            <w:vAlign w:val="bottom"/>
          </w:tcPr>
          <w:p>
            <w:pPr>
              <w:spacing w:after="0"/>
              <w:rPr>
                <w:sz w:val="15"/>
                <w:szCs w:val="15"/>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5"/>
                <w:szCs w:val="15"/>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20" w:type="dxa"/>
            <w:vAlign w:val="bottom"/>
          </w:tcPr>
          <w:p>
            <w:pPr>
              <w:spacing w:after="0"/>
              <w:rPr>
                <w:sz w:val="15"/>
                <w:szCs w:val="15"/>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Measures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5"/>
                <w:szCs w:val="15"/>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78"/>
        </w:trPr>
        <w:tc>
          <w:tcPr>
            <w:tcW w:w="2540" w:type="dxa"/>
            <w:vAlign w:val="bottom"/>
            <w:vMerge w:val="continue"/>
          </w:tcPr>
          <w:p>
            <w:pPr>
              <w:spacing w:after="0"/>
              <w:rPr>
                <w:sz w:val="15"/>
                <w:szCs w:val="15"/>
                <w:color w:val="auto"/>
              </w:rPr>
            </w:pPr>
          </w:p>
        </w:tc>
        <w:tc>
          <w:tcPr>
            <w:tcW w:w="1400" w:type="dxa"/>
            <w:vAlign w:val="bottom"/>
            <w:tcBorders>
              <w:top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$56.5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$55.1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($94.3)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Borders>
              <w:top w:val="single" w:sz="8" w:color="auto"/>
            </w:tcBorders>
            <w:gridSpan w:val="3"/>
          </w:tcPr>
          <w:p>
            <w:pPr>
              <w:ind w:left="880"/>
              <w:spacing w:after="0"/>
              <w:rPr>
                <w:sz w:val="20"/>
                <w:szCs w:val="20"/>
                <w:color w:val="auto"/>
              </w:rPr>
            </w:pPr>
            <w:r>
              <w:rPr>
                <w:rFonts w:ascii="Arial" w:cs="Arial" w:eastAsia="Arial" w:hAnsi="Arial"/>
                <w:sz w:val="14"/>
                <w:szCs w:val="14"/>
                <w:color w:val="auto"/>
              </w:rPr>
              <w:t>$45.9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400" w:type="dxa"/>
            <w:vAlign w:val="bottom"/>
            <w:gridSpan w:val="2"/>
          </w:tcPr>
          <w:p>
            <w:pPr>
              <w:jc w:val="right"/>
              <w:ind w:right="109"/>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color w:val="auto"/>
              </w:rPr>
              <w:t>(110.7)</w:t>
            </w:r>
          </w:p>
        </w:tc>
        <w:tc>
          <w:tcPr>
            <w:tcW w:w="20" w:type="dxa"/>
            <w:vAlign w:val="bottom"/>
          </w:tcPr>
          <w:p>
            <w:pPr>
              <w:spacing w:after="0"/>
              <w:rPr>
                <w:sz w:val="17"/>
                <w:szCs w:val="17"/>
                <w:color w:val="auto"/>
              </w:rPr>
            </w:pPr>
          </w:p>
        </w:tc>
        <w:tc>
          <w:tcPr>
            <w:tcW w:w="1380" w:type="dxa"/>
            <w:vAlign w:val="bottom"/>
            <w:gridSpan w:val="5"/>
          </w:tcPr>
          <w:p>
            <w:pPr>
              <w:jc w:val="right"/>
              <w:ind w:right="8"/>
              <w:spacing w:after="0"/>
              <w:rPr>
                <w:sz w:val="20"/>
                <w:szCs w:val="20"/>
                <w:color w:val="auto"/>
              </w:rPr>
            </w:pPr>
            <w:r>
              <w:rPr>
                <w:rFonts w:ascii="Arial" w:cs="Arial" w:eastAsia="Arial" w:hAnsi="Arial"/>
                <w:sz w:val="14"/>
                <w:szCs w:val="14"/>
                <w:color w:val="auto"/>
              </w:rPr>
              <w:t>109.3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3"/>
          </w:tcPr>
          <w:p>
            <w:pPr>
              <w:ind w:left="98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0" w:type="dxa"/>
            <w:vAlign w:val="bottom"/>
            <w:tcBorders>
              <w:top w:val="single" w:sz="8" w:color="auto"/>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$55.9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Borders>
              <w:top w:val="single" w:sz="8" w:color="auto"/>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$44.2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top w:val="single" w:sz="8" w:color="auto"/>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($109.3)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top w:val="single" w:sz="8" w:color="auto"/>
              <w:bottom w:val="single" w:sz="8" w:color="auto"/>
            </w:tcBorders>
            <w:gridSpan w:val="3"/>
          </w:tcPr>
          <w:p>
            <w:pPr>
              <w:ind w:left="880"/>
              <w:spacing w:after="0"/>
              <w:rPr>
                <w:sz w:val="20"/>
                <w:szCs w:val="20"/>
                <w:color w:val="auto"/>
              </w:rPr>
            </w:pPr>
            <w:r>
              <w:rPr>
                <w:rFonts w:ascii="Arial" w:cs="Arial" w:eastAsia="Arial" w:hAnsi="Arial"/>
                <w:sz w:val="14"/>
                <w:szCs w:val="14"/>
                <w:color w:val="auto"/>
              </w:rPr>
              <w:t>$47.3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540" w:type="dxa"/>
            <w:vAlign w:val="bottom"/>
            <w:vMerge w:val="continue"/>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color w:val="auto"/>
              </w:rPr>
              <w:t>19.8 %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4"/>
                <w:szCs w:val="14"/>
                <w:color w:val="auto"/>
              </w:rPr>
              <w:t>117.3 %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3"/>
          </w:tcPr>
          <w:p>
            <w:pPr>
              <w:ind w:left="98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left="329"/>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GAAP Financial</w:t>
            </w:r>
          </w:p>
        </w:tc>
        <w:tc>
          <w:tcPr>
            <w:tcW w:w="20" w:type="dxa"/>
            <w:vAlign w:val="bottom"/>
          </w:tcPr>
          <w:p>
            <w:pPr>
              <w:spacing w:after="0"/>
              <w:rPr>
                <w:sz w:val="12"/>
                <w:szCs w:val="12"/>
                <w:color w:val="auto"/>
              </w:rPr>
            </w:pPr>
          </w:p>
        </w:tc>
        <w:tc>
          <w:tcPr>
            <w:tcW w:w="138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rPr>
              <w:t>Certain Tax</w:t>
            </w:r>
          </w:p>
        </w:tc>
        <w:tc>
          <w:tcPr>
            <w:tcW w:w="20" w:type="dxa"/>
            <w:vAlign w:val="bottom"/>
          </w:tcPr>
          <w:p>
            <w:pPr>
              <w:spacing w:after="0"/>
              <w:rPr>
                <w:sz w:val="12"/>
                <w:szCs w:val="12"/>
                <w:color w:val="auto"/>
              </w:rPr>
            </w:pPr>
          </w:p>
        </w:tc>
        <w:tc>
          <w:tcPr>
            <w:tcW w:w="1460" w:type="dxa"/>
            <w:vAlign w:val="bottom"/>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rPr>
              <w:t>Adjusted Financial</w:t>
            </w:r>
          </w:p>
        </w:tc>
        <w:tc>
          <w:tcPr>
            <w:tcW w:w="2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GAAP Financial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5"/>
          </w:tcPr>
          <w:p>
            <w:pPr>
              <w:jc w:val="center"/>
              <w:ind w:right="60"/>
              <w:spacing w:after="0" w:line="142" w:lineRule="exact"/>
              <w:rPr>
                <w:sz w:val="20"/>
                <w:szCs w:val="20"/>
                <w:color w:val="auto"/>
              </w:rPr>
            </w:pPr>
            <w:r>
              <w:rPr>
                <w:rFonts w:ascii="Arial" w:cs="Arial" w:eastAsia="Arial" w:hAnsi="Arial"/>
                <w:sz w:val="14"/>
                <w:szCs w:val="14"/>
                <w:b w:val="1"/>
                <w:bCs w:val="1"/>
                <w:color w:val="auto"/>
                <w:w w:val="99"/>
              </w:rPr>
              <w:t>Certain Tax</w:t>
            </w:r>
          </w:p>
        </w:tc>
        <w:tc>
          <w:tcPr>
            <w:tcW w:w="2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Adjusted Financial</w:t>
            </w: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20" w:type="dxa"/>
            <w:vAlign w:val="bottom"/>
          </w:tcPr>
          <w:p>
            <w:pPr>
              <w:spacing w:after="0"/>
              <w:rPr>
                <w:sz w:val="16"/>
                <w:szCs w:val="16"/>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6"/>
                <w:szCs w:val="16"/>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Measures</w:t>
            </w:r>
          </w:p>
        </w:tc>
        <w:tc>
          <w:tcPr>
            <w:tcW w:w="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Measures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4"/>
                <w:szCs w:val="14"/>
                <w:color w:val="auto"/>
              </w:rPr>
              <w:t>Income (loss) before tax</w:t>
            </w:r>
          </w:p>
        </w:tc>
        <w:tc>
          <w:tcPr>
            <w:tcW w:w="20" w:type="dxa"/>
            <w:vAlign w:val="bottom"/>
          </w:tcPr>
          <w:p>
            <w:pPr>
              <w:spacing w:after="0"/>
              <w:rPr>
                <w:sz w:val="15"/>
                <w:szCs w:val="15"/>
                <w:color w:val="auto"/>
              </w:rPr>
            </w:pPr>
          </w:p>
        </w:tc>
        <w:tc>
          <w:tcPr>
            <w:tcW w:w="13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$88.3</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$233.4</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($81.2)</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$161.3</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400" w:type="dxa"/>
            <w:vAlign w:val="bottom"/>
            <w:gridSpan w:val="2"/>
          </w:tcPr>
          <w:p>
            <w:pPr>
              <w:jc w:val="right"/>
              <w:ind w:right="109"/>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49.0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color w:val="auto"/>
              </w:rPr>
              <w:t>(98.9)</w:t>
            </w:r>
          </w:p>
        </w:tc>
        <w:tc>
          <w:tcPr>
            <w:tcW w:w="20" w:type="dxa"/>
            <w:vAlign w:val="bottom"/>
          </w:tcPr>
          <w:p>
            <w:pPr>
              <w:spacing w:after="0"/>
              <w:rPr>
                <w:sz w:val="17"/>
                <w:szCs w:val="17"/>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color w:val="auto"/>
              </w:rPr>
              <w:t>108.1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$63.2</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($24.0)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$184.3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$17.5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13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($108.1)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$152.0</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540" w:type="dxa"/>
            <w:vAlign w:val="bottom"/>
            <w:vMerge w:val="continue"/>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28.4 %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21.0 %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4"/>
                <w:szCs w:val="14"/>
                <w:color w:val="auto"/>
              </w:rPr>
              <w:t>121.7 %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464"/>
        </w:trPr>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Numbers may not add precisely due to rounding.</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900" w:type="dxa"/>
            <w:vAlign w:val="bottom"/>
            <w:gridSpan w:val="16"/>
          </w:tcPr>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dollars in millions)</w:t>
            </w: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360" w:type="dxa"/>
            <w:vAlign w:val="bottom"/>
            <w:gridSpan w:val="14"/>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Constant-Currency</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6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7"/>
          </w:tcPr>
          <w:p>
            <w:pPr>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7"/>
                <w:szCs w:val="17"/>
                <w:color w:val="auto"/>
              </w:rPr>
            </w:pPr>
          </w:p>
        </w:tc>
        <w:tc>
          <w:tcPr>
            <w:tcW w:w="14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540" w:type="dxa"/>
            <w:vAlign w:val="bottom"/>
          </w:tcPr>
          <w:p>
            <w:pPr>
              <w:ind w:left="20"/>
              <w:spacing w:after="0"/>
              <w:rPr>
                <w:sz w:val="20"/>
                <w:szCs w:val="20"/>
                <w:color w:val="auto"/>
              </w:rPr>
            </w:pPr>
            <w:r>
              <w:rPr>
                <w:rFonts w:ascii="Arial" w:cs="Arial" w:eastAsia="Arial" w:hAnsi="Arial"/>
                <w:sz w:val="14"/>
                <w:szCs w:val="14"/>
                <w:color w:val="auto"/>
              </w:rPr>
              <w:t>GAAP net revenue</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color w:val="auto"/>
              </w:rPr>
              <w:t>$321.8</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$310.1</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4.7 %</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color w:val="auto"/>
              </w:rPr>
              <w:t xml:space="preserve">Less: ACS </w:t>
            </w:r>
            <w:r>
              <w:rPr>
                <w:rFonts w:ascii="Arial" w:cs="Arial" w:eastAsia="Arial" w:hAnsi="Arial"/>
                <w:sz w:val="18"/>
                <w:szCs w:val="18"/>
                <w:color w:val="auto"/>
                <w:vertAlign w:val="superscript"/>
              </w:rPr>
              <w:t>(1)</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(98.7)%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ind w:left="8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Arial" w:cs="Arial" w:eastAsia="Arial" w:hAnsi="Arial"/>
                <w:sz w:val="14"/>
                <w:szCs w:val="14"/>
                <w:color w:val="auto"/>
              </w:rPr>
              <w:t>Organic net revenue</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$321.7</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$303.8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5.9 %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10"/>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Constant-Currency</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6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7"/>
          </w:tcPr>
          <w:p>
            <w:pPr>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7"/>
                <w:szCs w:val="17"/>
                <w:color w:val="auto"/>
              </w:rPr>
            </w:pPr>
          </w:p>
        </w:tc>
        <w:tc>
          <w:tcPr>
            <w:tcW w:w="14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540" w:type="dxa"/>
            <w:vAlign w:val="bottom"/>
          </w:tcPr>
          <w:p>
            <w:pPr>
              <w:ind w:left="20"/>
              <w:spacing w:after="0"/>
              <w:rPr>
                <w:sz w:val="20"/>
                <w:szCs w:val="20"/>
                <w:color w:val="auto"/>
              </w:rPr>
            </w:pPr>
            <w:r>
              <w:rPr>
                <w:rFonts w:ascii="Arial" w:cs="Arial" w:eastAsia="Arial" w:hAnsi="Arial"/>
                <w:sz w:val="14"/>
                <w:szCs w:val="14"/>
                <w:color w:val="auto"/>
              </w:rPr>
              <w:t>GAAP net revenue</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$1,253.4</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$1,153.5</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9.3 %</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color w:val="auto"/>
              </w:rPr>
              <w:t xml:space="preserve">Less: ACS </w:t>
            </w:r>
            <w:r>
              <w:rPr>
                <w:rFonts w:ascii="Arial" w:cs="Arial" w:eastAsia="Arial" w:hAnsi="Arial"/>
                <w:sz w:val="18"/>
                <w:szCs w:val="18"/>
                <w:color w:val="auto"/>
                <w:vertAlign w:val="superscript"/>
              </w:rPr>
              <w:t>(1)</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ind w:left="8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Arial" w:cs="Arial" w:eastAsia="Arial" w:hAnsi="Arial"/>
                <w:sz w:val="14"/>
                <w:szCs w:val="14"/>
                <w:color w:val="auto"/>
              </w:rPr>
              <w:t>Organic net revenue</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$1,241.8</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$1,128.4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10.1 %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10.7 %</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net revenue from the Company's former ACS reportable segment.</w:t>
      </w:r>
    </w:p>
    <w:p>
      <w:pPr>
        <w:spacing w:after="0" w:line="55" w:lineRule="exact"/>
        <w:rPr>
          <w:rFonts w:ascii="Arial" w:cs="Arial" w:eastAsia="Arial" w:hAnsi="Arial"/>
          <w:sz w:val="21"/>
          <w:szCs w:val="21"/>
          <w:color w:val="auto"/>
          <w:vertAlign w:val="superscript"/>
        </w:rPr>
      </w:pPr>
    </w:p>
    <w:p>
      <w:pPr>
        <w:spacing w:after="0" w:line="234" w:lineRule="auto"/>
        <w:rPr>
          <w:rFonts w:ascii="Arial" w:cs="Arial" w:eastAsia="Arial" w:hAnsi="Arial"/>
          <w:sz w:val="21"/>
          <w:szCs w:val="21"/>
          <w:color w:val="auto"/>
          <w:vertAlign w:val="superscript"/>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Numbers may not add precisely due to rounding.</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ind w:right="468"/>
              <w:spacing w:after="0" w:line="145" w:lineRule="exact"/>
              <w:rPr>
                <w:sz w:val="20"/>
                <w:szCs w:val="20"/>
                <w:color w:val="auto"/>
              </w:rPr>
            </w:pPr>
            <w:r>
              <w:rPr>
                <w:rFonts w:ascii="Arial" w:cs="Arial" w:eastAsia="Arial" w:hAnsi="Arial"/>
                <w:sz w:val="14"/>
                <w:szCs w:val="14"/>
                <w:b w:val="1"/>
                <w:bCs w:val="1"/>
                <w:color w:val="auto"/>
              </w:rPr>
              <w:t>Year Ended</w:t>
            </w:r>
          </w:p>
        </w:tc>
      </w:tr>
      <w:tr>
        <w:trPr>
          <w:trHeight w:val="184"/>
        </w:trPr>
        <w:tc>
          <w:tcPr>
            <w:tcW w:w="9100" w:type="dxa"/>
            <w:vAlign w:val="bottom"/>
          </w:tcPr>
          <w:p>
            <w:pPr>
              <w:spacing w:after="0"/>
              <w:rPr>
                <w:sz w:val="15"/>
                <w:szCs w:val="15"/>
                <w:color w:val="auto"/>
              </w:rPr>
            </w:pPr>
          </w:p>
        </w:tc>
        <w:tc>
          <w:tcPr>
            <w:tcW w:w="1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2024</w:t>
            </w:r>
          </w:p>
        </w:tc>
      </w:tr>
      <w:tr>
        <w:trPr>
          <w:trHeight w:val="187"/>
        </w:trPr>
        <w:tc>
          <w:tcPr>
            <w:tcW w:w="91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20" w:type="dxa"/>
            <w:vAlign w:val="bottom"/>
          </w:tcPr>
          <w:p>
            <w:pPr>
              <w:jc w:val="right"/>
              <w:spacing w:after="0"/>
              <w:rPr>
                <w:sz w:val="20"/>
                <w:szCs w:val="20"/>
                <w:color w:val="auto"/>
              </w:rPr>
            </w:pPr>
            <w:r>
              <w:rPr>
                <w:rFonts w:ascii="Arial" w:cs="Arial" w:eastAsia="Arial" w:hAnsi="Arial"/>
                <w:sz w:val="14"/>
                <w:szCs w:val="14"/>
                <w:color w:val="auto"/>
              </w:rPr>
              <w:t>$183.0</w:t>
            </w:r>
          </w:p>
        </w:tc>
      </w:tr>
      <w:tr>
        <w:trPr>
          <w:trHeight w:val="201"/>
        </w:trPr>
        <w:tc>
          <w:tcPr>
            <w:tcW w:w="9100" w:type="dxa"/>
            <w:vAlign w:val="bottom"/>
          </w:tcPr>
          <w:p>
            <w:pPr>
              <w:ind w:left="20"/>
              <w:spacing w:after="0"/>
              <w:rPr>
                <w:sz w:val="20"/>
                <w:szCs w:val="20"/>
                <w:color w:val="auto"/>
              </w:rPr>
            </w:pPr>
            <w:r>
              <w:rPr>
                <w:rFonts w:ascii="Arial" w:cs="Arial" w:eastAsia="Arial" w:hAnsi="Arial"/>
                <w:sz w:val="14"/>
                <w:szCs w:val="14"/>
                <w:color w:val="auto"/>
              </w:rPr>
              <w:t>Less: Purchases of plant, property, and equipment</w:t>
            </w:r>
          </w:p>
        </w:tc>
        <w:tc>
          <w:tcPr>
            <w:tcW w:w="182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201"/>
        </w:trPr>
        <w:tc>
          <w:tcPr>
            <w:tcW w:w="9100" w:type="dxa"/>
            <w:vAlign w:val="bottom"/>
          </w:tcPr>
          <w:p>
            <w:pPr>
              <w:ind w:left="20"/>
              <w:spacing w:after="0"/>
              <w:rPr>
                <w:sz w:val="20"/>
                <w:szCs w:val="20"/>
                <w:color w:val="auto"/>
              </w:rPr>
            </w:pPr>
            <w:r>
              <w:rPr>
                <w:rFonts w:ascii="Arial" w:cs="Arial" w:eastAsia="Arial" w:hAnsi="Arial"/>
                <w:sz w:val="14"/>
                <w:szCs w:val="14"/>
                <w:color w:val="auto"/>
              </w:rPr>
              <w:t>Less: Cybersecurity incident insurance proceeds</w:t>
            </w:r>
          </w:p>
        </w:tc>
        <w:tc>
          <w:tcPr>
            <w:tcW w:w="18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1"/>
        </w:trPr>
        <w:tc>
          <w:tcPr>
            <w:tcW w:w="9100" w:type="dxa"/>
            <w:vAlign w:val="bottom"/>
          </w:tcPr>
          <w:p>
            <w:pPr>
              <w:ind w:left="20"/>
              <w:spacing w:after="0"/>
              <w:rPr>
                <w:sz w:val="20"/>
                <w:szCs w:val="20"/>
                <w:color w:val="auto"/>
              </w:rPr>
            </w:pPr>
            <w:r>
              <w:rPr>
                <w:rFonts w:ascii="Arial" w:cs="Arial" w:eastAsia="Arial" w:hAnsi="Arial"/>
                <w:sz w:val="14"/>
                <w:szCs w:val="14"/>
                <w:color w:val="auto"/>
              </w:rPr>
              <w:t>Add: 3T Heater-Cooler litigation payments</w:t>
            </w:r>
          </w:p>
        </w:tc>
        <w:tc>
          <w:tcPr>
            <w:tcW w:w="182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05"/>
        </w:trPr>
        <w:tc>
          <w:tcPr>
            <w:tcW w:w="9100" w:type="dxa"/>
            <w:vAlign w:val="bottom"/>
          </w:tcPr>
          <w:p>
            <w:pPr>
              <w:ind w:left="20"/>
              <w:spacing w:after="0"/>
              <w:rPr>
                <w:sz w:val="20"/>
                <w:szCs w:val="20"/>
                <w:color w:val="auto"/>
              </w:rPr>
            </w:pPr>
            <w:r>
              <w:rPr>
                <w:rFonts w:ascii="Arial" w:cs="Arial" w:eastAsia="Arial" w:hAnsi="Arial"/>
                <w:sz w:val="14"/>
                <w:szCs w:val="14"/>
                <w:color w:val="auto"/>
              </w:rPr>
              <w:t>Add: SNIA financing and other costs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99"/>
        </w:trPr>
        <w:tc>
          <w:tcPr>
            <w:tcW w:w="9100" w:type="dxa"/>
            <w:vAlign w:val="bottom"/>
          </w:tcPr>
          <w:p>
            <w:pPr>
              <w:ind w:left="20"/>
              <w:spacing w:after="0"/>
              <w:rPr>
                <w:sz w:val="20"/>
                <w:szCs w:val="20"/>
                <w:color w:val="auto"/>
              </w:rPr>
            </w:pPr>
            <w:r>
              <w:rPr>
                <w:rFonts w:ascii="Arial" w:cs="Arial" w:eastAsia="Arial" w:hAnsi="Arial"/>
                <w:sz w:val="14"/>
                <w:szCs w:val="14"/>
                <w:color w:val="auto"/>
              </w:rPr>
              <w:t>Adjusted free cash flow</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w:t>
            </w:r>
          </w:p>
        </w:tc>
      </w:tr>
      <w:tr>
        <w:trPr>
          <w:trHeight w:val="20"/>
        </w:trPr>
        <w:tc>
          <w:tcPr>
            <w:tcW w:w="9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240" w:hanging="233"/>
        <w:spacing w:after="0"/>
        <w:tabs>
          <w:tab w:leader="none" w:pos="2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2025-02-25T05:09:17Z</dcterms:created>
  <dcterms:modified xsi:type="dcterms:W3CDTF">2025-02-25T05:09:17Z</dcterms:modified>
</cp:coreProperties>
</file>