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171450</wp:posOffset>
            </wp:positionV>
            <wp:extent cx="164592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45920" cy="291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LivaNova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35"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001-37599</w:t>
            </w: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98-1268150</w:t>
            </w:r>
          </w:p>
        </w:tc>
      </w:tr>
      <w:tr>
        <w:trPr>
          <w:trHeight w:val="252"/>
        </w:trPr>
        <w:tc>
          <w:tcPr>
            <w:tcW w:w="21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450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of Incorporation)</w:t>
            </w:r>
          </w:p>
        </w:tc>
        <w:tc>
          <w:tcPr>
            <w:tcW w:w="4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58"/>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166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441"/>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+44 20 33250660</w:t>
            </w:r>
          </w:p>
        </w:tc>
        <w:tc>
          <w:tcPr>
            <w:tcW w:w="166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660" w:type="dxa"/>
            <w:vAlign w:val="bottom"/>
          </w:tcPr>
          <w:p>
            <w:pPr>
              <w:spacing w:after="0"/>
              <w:rPr>
                <w:sz w:val="20"/>
                <w:szCs w:val="20"/>
                <w:color w:val="auto"/>
              </w:rPr>
            </w:pPr>
          </w:p>
        </w:tc>
      </w:tr>
    </w:tbl>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2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1"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1" w:lineRule="exact"/>
        <w:rPr>
          <w:rFonts w:ascii="MS PGothic" w:cs="MS PGothic" w:eastAsia="MS PGothic" w:hAnsi="MS PGothic"/>
          <w:sz w:val="22"/>
          <w:szCs w:val="22"/>
          <w:color w:val="auto"/>
        </w:rPr>
      </w:pPr>
    </w:p>
    <w:p>
      <w:pPr>
        <w:ind w:right="2960" w:firstLine="8"/>
        <w:spacing w:after="0" w:line="397" w:lineRule="auto"/>
        <w:tabs>
          <w:tab w:leader="none" w:pos="2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 w:lineRule="exact"/>
        <w:rPr>
          <w:sz w:val="24"/>
          <w:szCs w:val="24"/>
          <w:color w:val="auto"/>
        </w:rPr>
      </w:pPr>
    </w:p>
    <w:p>
      <w:pPr>
        <w:ind w:left="7780"/>
        <w:spacing w:after="0" w:line="207" w:lineRule="exact"/>
        <w:tabs>
          <w:tab w:leader="none" w:pos="1072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79" w:right="339" w:bottom="1440" w:gutter="0" w:footer="0" w:header="0"/>
        </w:sectPr>
      </w:pPr>
    </w:p>
    <w:p>
      <w:pPr>
        <w:spacing w:after="0" w:line="23"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On November 5, 2025, LivaNova PLC (the “Company”) issued a press release announcing financial results for the quarter ended September 30, 2025. The Company will host a business update conference call and webcast today, November 5, 2025, at 1 p.m. London time (8 a.m. Eastern Time), during which the Company will discuss the financial results. The conference call will be available through the LivaNova website at </w:t>
      </w:r>
      <w:r>
        <w:rPr>
          <w:rFonts w:ascii="Times New Roman" w:cs="Times New Roman" w:eastAsia="Times New Roman" w:hAnsi="Times New Roman"/>
          <w:sz w:val="18"/>
          <w:szCs w:val="18"/>
          <w:color w:val="3051F2"/>
        </w:rPr>
        <w:t>www.livanova.com/events</w:t>
      </w:r>
      <w:r>
        <w:rPr>
          <w:rFonts w:ascii="Times New Roman" w:cs="Times New Roman" w:eastAsia="Times New Roman" w:hAnsi="Times New Roman"/>
          <w:sz w:val="18"/>
          <w:szCs w:val="18"/>
          <w:color w:val="000000"/>
        </w:rPr>
        <w:t>.</w:t>
      </w:r>
    </w:p>
    <w:p>
      <w:pPr>
        <w:spacing w:after="0" w:line="208"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 copy of the Company’s press release related to the foregoing matters is attached hereto as Exhibit 99.1. The information in Exhibit 99.1 is being furnished and shall not be deemed “filed” for purposes of Section 18 of the Securities Exchange Act of 1934, as amended (the “Exchange Act”), and is not to be incorporated by reference into any filing by the Company under the Securities Act of 1933, as amended or the Exchange Act, regardless of any general incorporation language contained in such filing, unless otherwise expressly stated in such filing.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60" w:type="dxa"/>
            <w:vAlign w:val="bottom"/>
          </w:tcPr>
          <w:p>
            <w:pPr>
              <w:spacing w:after="0"/>
              <w:rPr>
                <w:sz w:val="17"/>
                <w:szCs w:val="17"/>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60" w:type="dxa"/>
            <w:vAlign w:val="bottom"/>
          </w:tcPr>
          <w:p>
            <w:pPr>
              <w:spacing w:after="0"/>
              <w:rPr>
                <w:sz w:val="18"/>
                <w:szCs w:val="18"/>
                <w:color w:val="auto"/>
              </w:rPr>
            </w:pPr>
          </w:p>
        </w:tc>
        <w:tc>
          <w:tcPr>
            <w:tcW w:w="41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LivaNova PLC dated November 5, 2025</w:t>
            </w:r>
          </w:p>
        </w:tc>
        <w:tc>
          <w:tcPr>
            <w:tcW w:w="5540" w:type="dxa"/>
            <w:vAlign w:val="bottom"/>
          </w:tcPr>
          <w:p>
            <w:pPr>
              <w:spacing w:after="0"/>
              <w:rPr>
                <w:sz w:val="18"/>
                <w:szCs w:val="18"/>
                <w:color w:val="auto"/>
              </w:rPr>
            </w:pPr>
          </w:p>
        </w:tc>
      </w:tr>
      <w:tr>
        <w:trPr>
          <w:trHeight w:val="250"/>
        </w:trPr>
        <w:tc>
          <w:tcPr>
            <w:tcW w:w="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60" w:type="dxa"/>
            <w:vAlign w:val="bottom"/>
          </w:tcPr>
          <w:p>
            <w:pPr>
              <w:spacing w:after="0"/>
              <w:rPr>
                <w:sz w:val="21"/>
                <w:szCs w:val="21"/>
                <w:color w:val="auto"/>
              </w:rPr>
            </w:pPr>
          </w:p>
        </w:tc>
        <w:tc>
          <w:tcPr>
            <w:tcW w:w="9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05"/>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320"/>
        <w:spacing w:after="0"/>
        <w:tabs>
          <w:tab w:leader="none" w:pos="530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Michael Hutchinson</w:t>
      </w:r>
    </w:p>
    <w:p>
      <w:pPr>
        <w:spacing w:after="0" w:line="63"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18"/>
          <w:szCs w:val="18"/>
          <w:color w:val="auto"/>
        </w:rPr>
        <w:t>Name: Michael Hutchinson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Title: SVP, Company Secretary &amp; Chief Legal Officer</w:t>
      </w:r>
    </w:p>
    <w:p>
      <w:pPr>
        <w:sectPr>
          <w:pgSz w:w="11900" w:h="16838" w:orient="portrait"/>
          <w:cols w:equalWidth="0" w:num="1">
            <w:col w:w="10980"/>
          </w:cols>
          <w:pgMar w:left="320" w:top="1008" w:right="59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060606"/>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1645920" cy="265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060606"/>
        </w:rPr>
        <w:t>NEWS RELEASE</w:t>
      </w:r>
    </w:p>
    <w:p>
      <w:pPr>
        <w:spacing w:after="0" w:line="221" w:lineRule="exact"/>
        <w:rPr>
          <w:sz w:val="20"/>
          <w:szCs w:val="20"/>
          <w:color w:val="auto"/>
        </w:rPr>
      </w:pPr>
    </w:p>
    <w:p>
      <w:pPr>
        <w:spacing w:after="0"/>
        <w:rPr>
          <w:sz w:val="20"/>
          <w:szCs w:val="20"/>
          <w:color w:val="auto"/>
        </w:rPr>
      </w:pPr>
      <w:r>
        <w:rPr>
          <w:rFonts w:ascii="Arial" w:cs="Arial" w:eastAsia="Arial" w:hAnsi="Arial"/>
          <w:sz w:val="31"/>
          <w:szCs w:val="31"/>
          <w:color w:val="9D19D1"/>
        </w:rPr>
        <w:t>LivaNova Reports Third-Quarter 2025 Results; Raises 2025 Guidance</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060606"/>
        </w:rPr>
        <w:t>–  Delivered double-digit reported and organic revenue growth and continued operating margin expansion</w:t>
      </w:r>
    </w:p>
    <w:p>
      <w:pPr>
        <w:spacing w:after="0" w:line="13" w:lineRule="exact"/>
        <w:rPr>
          <w:sz w:val="20"/>
          <w:szCs w:val="20"/>
          <w:color w:val="auto"/>
        </w:rPr>
      </w:pPr>
    </w:p>
    <w:p>
      <w:pPr>
        <w:ind w:left="340"/>
        <w:spacing w:after="0" w:line="202" w:lineRule="auto"/>
        <w:rPr>
          <w:sz w:val="20"/>
          <w:szCs w:val="20"/>
          <w:color w:val="auto"/>
        </w:rPr>
      </w:pPr>
      <w:r>
        <w:rPr>
          <w:rFonts w:ascii="Arial" w:cs="Arial" w:eastAsia="Arial" w:hAnsi="Arial"/>
          <w:sz w:val="20"/>
          <w:szCs w:val="20"/>
          <w:i w:val="1"/>
          <w:iCs w:val="1"/>
          <w:color w:val="060606"/>
        </w:rPr>
        <w:t>–  Raised full-year 2025 revenue, adjusted earnings per share, and adjusted free cash flow guidance</w:t>
      </w:r>
      <w:r>
        <w:rPr>
          <w:rFonts w:ascii="Arial" w:cs="Arial" w:eastAsia="Arial" w:hAnsi="Arial"/>
          <w:sz w:val="25"/>
          <w:szCs w:val="25"/>
          <w:i w:val="1"/>
          <w:iCs w:val="1"/>
          <w:color w:val="060606"/>
          <w:vertAlign w:val="superscript"/>
        </w:rPr>
        <w:t>(1)</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060606"/>
        </w:rPr>
        <w:t>–  Launched Essenz Perfusion System in China</w:t>
      </w:r>
    </w:p>
    <w:p>
      <w:pPr>
        <w:spacing w:after="0" w:line="171" w:lineRule="exact"/>
        <w:rPr>
          <w:sz w:val="20"/>
          <w:szCs w:val="20"/>
          <w:color w:val="auto"/>
        </w:rPr>
      </w:pPr>
    </w:p>
    <w:p>
      <w:pPr>
        <w:ind w:right="560"/>
        <w:spacing w:after="0" w:line="384" w:lineRule="auto"/>
        <w:rPr>
          <w:sz w:val="20"/>
          <w:szCs w:val="20"/>
          <w:color w:val="auto"/>
        </w:rPr>
      </w:pPr>
      <w:r>
        <w:rPr>
          <w:rFonts w:ascii="Arial" w:cs="Arial" w:eastAsia="Arial" w:hAnsi="Arial"/>
          <w:sz w:val="20"/>
          <w:szCs w:val="20"/>
          <w:color w:val="9D19D1"/>
        </w:rPr>
        <w:t xml:space="preserve">LONDON, NOV. 5, 2025 — </w:t>
      </w:r>
      <w:r>
        <w:rPr>
          <w:rFonts w:ascii="Arial" w:cs="Arial" w:eastAsia="Arial" w:hAnsi="Arial"/>
          <w:sz w:val="20"/>
          <w:szCs w:val="20"/>
          <w:color w:val="060606"/>
        </w:rPr>
        <w:t>LivaNova PLC (Nasdaq: LIVN), a market-leading medical technology company, today reported</w:t>
      </w:r>
      <w:r>
        <w:rPr>
          <w:rFonts w:ascii="Arial" w:cs="Arial" w:eastAsia="Arial" w:hAnsi="Arial"/>
          <w:sz w:val="20"/>
          <w:szCs w:val="20"/>
          <w:color w:val="9D19D1"/>
        </w:rPr>
        <w:t xml:space="preserve"> </w:t>
      </w:r>
      <w:r>
        <w:rPr>
          <w:rFonts w:ascii="Arial" w:cs="Arial" w:eastAsia="Arial" w:hAnsi="Arial"/>
          <w:sz w:val="20"/>
          <w:szCs w:val="20"/>
          <w:color w:val="060606"/>
        </w:rPr>
        <w:t>results for the third quarter ended September 30, 2025 and raised full-year 2025 guidance.</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60606"/>
        </w:rPr>
        <w:t>Financial Summary and Highlights</w:t>
      </w:r>
      <w:r>
        <w:rPr>
          <w:rFonts w:ascii="Arial" w:cs="Arial" w:eastAsia="Arial" w:hAnsi="Arial"/>
          <w:sz w:val="25"/>
          <w:szCs w:val="25"/>
          <w:color w:val="060606"/>
          <w:vertAlign w:val="superscript"/>
        </w:rPr>
        <w:t>(1)</w:t>
      </w:r>
    </w:p>
    <w:p>
      <w:pPr>
        <w:spacing w:after="0" w:line="170" w:lineRule="exact"/>
        <w:rPr>
          <w:sz w:val="20"/>
          <w:szCs w:val="20"/>
          <w:color w:val="auto"/>
        </w:rPr>
      </w:pPr>
    </w:p>
    <w:p>
      <w:pPr>
        <w:ind w:left="340" w:right="20" w:hanging="251"/>
        <w:spacing w:after="0" w:line="286" w:lineRule="auto"/>
        <w:tabs>
          <w:tab w:leader="none" w:pos="288" w:val="left"/>
        </w:tabs>
        <w:numPr>
          <w:ilvl w:val="0"/>
          <w:numId w:val="4"/>
        </w:numPr>
        <w:rPr>
          <w:rFonts w:ascii="Arial" w:cs="Arial" w:eastAsia="Arial" w:hAnsi="Arial"/>
          <w:sz w:val="20"/>
          <w:szCs w:val="20"/>
          <w:color w:val="060606"/>
        </w:rPr>
      </w:pPr>
      <w:r>
        <w:rPr>
          <w:rFonts w:ascii="Arial" w:cs="Arial" w:eastAsia="Arial" w:hAnsi="Arial"/>
          <w:sz w:val="20"/>
          <w:szCs w:val="20"/>
          <w:color w:val="060606"/>
        </w:rPr>
        <w:t>Third-quarter revenue of $357.8 million increased 12.5% on a reported basis, 11.0% on a constant-currency basis, and 12.5% on an organic basis as compared to the prior-year period</w:t>
      </w:r>
    </w:p>
    <w:p>
      <w:pPr>
        <w:spacing w:after="0" w:line="59" w:lineRule="exact"/>
        <w:rPr>
          <w:rFonts w:ascii="Arial" w:cs="Arial" w:eastAsia="Arial" w:hAnsi="Arial"/>
          <w:sz w:val="20"/>
          <w:szCs w:val="20"/>
          <w:color w:val="060606"/>
        </w:rPr>
      </w:pPr>
    </w:p>
    <w:p>
      <w:pPr>
        <w:ind w:left="280" w:hanging="191"/>
        <w:spacing w:after="0"/>
        <w:tabs>
          <w:tab w:leader="none" w:pos="280" w:val="left"/>
        </w:tabs>
        <w:numPr>
          <w:ilvl w:val="0"/>
          <w:numId w:val="4"/>
        </w:numPr>
        <w:rPr>
          <w:rFonts w:ascii="Arial" w:cs="Arial" w:eastAsia="Arial" w:hAnsi="Arial"/>
          <w:sz w:val="20"/>
          <w:szCs w:val="20"/>
          <w:color w:val="060606"/>
        </w:rPr>
      </w:pPr>
      <w:r>
        <w:rPr>
          <w:rFonts w:ascii="Arial" w:cs="Arial" w:eastAsia="Arial" w:hAnsi="Arial"/>
          <w:sz w:val="20"/>
          <w:szCs w:val="20"/>
          <w:color w:val="060606"/>
        </w:rPr>
        <w:t>Third-quarter U.S. GAAP diluted earnings per share of $0.49 and adjusted diluted earnings per share of $1.11</w:t>
      </w:r>
    </w:p>
    <w:p>
      <w:pPr>
        <w:spacing w:after="0" w:line="134" w:lineRule="exact"/>
        <w:rPr>
          <w:rFonts w:ascii="Arial" w:cs="Arial" w:eastAsia="Arial" w:hAnsi="Arial"/>
          <w:sz w:val="20"/>
          <w:szCs w:val="20"/>
          <w:color w:val="060606"/>
        </w:rPr>
      </w:pPr>
    </w:p>
    <w:p>
      <w:pPr>
        <w:ind w:left="280" w:hanging="191"/>
        <w:spacing w:after="0"/>
        <w:tabs>
          <w:tab w:leader="none" w:pos="280" w:val="left"/>
        </w:tabs>
        <w:numPr>
          <w:ilvl w:val="0"/>
          <w:numId w:val="4"/>
        </w:numPr>
        <w:rPr>
          <w:rFonts w:ascii="Arial" w:cs="Arial" w:eastAsia="Arial" w:hAnsi="Arial"/>
          <w:sz w:val="20"/>
          <w:szCs w:val="20"/>
          <w:color w:val="060606"/>
        </w:rPr>
      </w:pPr>
      <w:r>
        <w:rPr>
          <w:rFonts w:ascii="Arial" w:cs="Arial" w:eastAsia="Arial" w:hAnsi="Arial"/>
          <w:sz w:val="20"/>
          <w:szCs w:val="20"/>
          <w:color w:val="060606"/>
        </w:rPr>
        <w:t>Third-quarter net cash provided by operating activities of $85.1 million and adjusted free cash flow of $62.0 million</w:t>
      </w:r>
    </w:p>
    <w:p>
      <w:pPr>
        <w:spacing w:after="0" w:line="134" w:lineRule="exact"/>
        <w:rPr>
          <w:rFonts w:ascii="Arial" w:cs="Arial" w:eastAsia="Arial" w:hAnsi="Arial"/>
          <w:sz w:val="20"/>
          <w:szCs w:val="20"/>
          <w:color w:val="060606"/>
        </w:rPr>
      </w:pPr>
    </w:p>
    <w:p>
      <w:pPr>
        <w:jc w:val="both"/>
        <w:ind w:left="340" w:hanging="251"/>
        <w:spacing w:after="0" w:line="262" w:lineRule="auto"/>
        <w:tabs>
          <w:tab w:leader="none" w:pos="288" w:val="left"/>
        </w:tabs>
        <w:numPr>
          <w:ilvl w:val="0"/>
          <w:numId w:val="4"/>
        </w:numPr>
        <w:rPr>
          <w:rFonts w:ascii="Arial" w:cs="Arial" w:eastAsia="Arial" w:hAnsi="Arial"/>
          <w:sz w:val="20"/>
          <w:szCs w:val="20"/>
          <w:color w:val="060606"/>
        </w:rPr>
      </w:pPr>
      <w:r>
        <w:rPr>
          <w:rFonts w:ascii="Arial" w:cs="Arial" w:eastAsia="Arial" w:hAnsi="Arial"/>
          <w:sz w:val="20"/>
          <w:szCs w:val="20"/>
          <w:color w:val="060606"/>
        </w:rPr>
        <w:t>Raised full-year 2025 revenue growth range 50 basis points to 8.5% to 9.5% on a constant-currency basis and 9.5% to 10.5% on an organic basis. Raised full-year 2025 adjusted diluted earnings per share range by $0.10 at midpoint to $3.80 to $3.90. Raised full-year 2025 adjusted free cash flow range by $20 million at midpoint to $160 million to $180 million</w:t>
      </w:r>
    </w:p>
    <w:p>
      <w:pPr>
        <w:spacing w:after="0" w:line="83" w:lineRule="exact"/>
        <w:rPr>
          <w:rFonts w:ascii="Arial" w:cs="Arial" w:eastAsia="Arial" w:hAnsi="Arial"/>
          <w:sz w:val="20"/>
          <w:szCs w:val="20"/>
          <w:color w:val="060606"/>
        </w:rPr>
      </w:pPr>
    </w:p>
    <w:p>
      <w:pPr>
        <w:ind w:left="340" w:hanging="251"/>
        <w:spacing w:after="0" w:line="271" w:lineRule="auto"/>
        <w:tabs>
          <w:tab w:leader="none" w:pos="288" w:val="left"/>
        </w:tabs>
        <w:numPr>
          <w:ilvl w:val="0"/>
          <w:numId w:val="4"/>
        </w:numPr>
        <w:rPr>
          <w:rFonts w:ascii="Arial" w:cs="Arial" w:eastAsia="Arial" w:hAnsi="Arial"/>
          <w:sz w:val="20"/>
          <w:szCs w:val="20"/>
          <w:color w:val="060606"/>
        </w:rPr>
      </w:pPr>
      <w:r>
        <w:rPr>
          <w:rFonts w:ascii="Arial" w:cs="Arial" w:eastAsia="Arial" w:hAnsi="Arial"/>
          <w:sz w:val="20"/>
          <w:szCs w:val="20"/>
          <w:color w:val="060606"/>
        </w:rPr>
        <w:t>Initiated the commercial launch of the Essenz™ Perfusion System in China, the second-largest market for heart-lung machines after the United States</w:t>
      </w:r>
    </w:p>
    <w:p>
      <w:pPr>
        <w:spacing w:after="0" w:line="74" w:lineRule="exact"/>
        <w:rPr>
          <w:rFonts w:ascii="Arial" w:cs="Arial" w:eastAsia="Arial" w:hAnsi="Arial"/>
          <w:sz w:val="20"/>
          <w:szCs w:val="20"/>
          <w:color w:val="060606"/>
        </w:rPr>
      </w:pPr>
    </w:p>
    <w:p>
      <w:pPr>
        <w:ind w:left="280" w:hanging="191"/>
        <w:spacing w:after="0"/>
        <w:tabs>
          <w:tab w:leader="none" w:pos="280" w:val="left"/>
        </w:tabs>
        <w:numPr>
          <w:ilvl w:val="0"/>
          <w:numId w:val="4"/>
        </w:numPr>
        <w:rPr>
          <w:rFonts w:ascii="Arial" w:cs="Arial" w:eastAsia="Arial" w:hAnsi="Arial"/>
          <w:sz w:val="20"/>
          <w:szCs w:val="20"/>
          <w:color w:val="060606"/>
        </w:rPr>
      </w:pPr>
      <w:r>
        <w:rPr>
          <w:rFonts w:ascii="Arial" w:cs="Arial" w:eastAsia="Arial" w:hAnsi="Arial"/>
          <w:sz w:val="20"/>
          <w:szCs w:val="20"/>
          <w:color w:val="060606"/>
        </w:rPr>
        <w:t>Appointed Donald Zurbay to the Board of Directors and the Audit and Compliance Committee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060606"/>
        </w:rPr>
        <w:t>“LivaNova delivered another quarter of double-digit revenue growth, underscoring the durability of our Cardiopulmonary and Epilepsy businesses as a strong foundation for the Company,” said Vladimir Makatsaria, Chief Executive Officer of LivaNova. “Disciplined execution, enhanced productivity, and operational excellence are driving operating margin expansion and cash generation, as we continue to reinvest in the core to sustain market leadership and advance innovation. At the same time, we are leveraging our Neuromodulation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1714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7" w:lineRule="exact"/>
        <w:rPr>
          <w:sz w:val="20"/>
          <w:szCs w:val="20"/>
          <w:color w:val="auto"/>
        </w:rPr>
      </w:pPr>
    </w:p>
    <w:p>
      <w:pPr>
        <w:jc w:val="both"/>
        <w:ind w:left="80" w:hanging="72"/>
        <w:spacing w:after="0" w:line="238" w:lineRule="auto"/>
        <w:tabs>
          <w:tab w:leader="none" w:pos="134" w:val="left"/>
        </w:tabs>
        <w:numPr>
          <w:ilvl w:val="0"/>
          <w:numId w:val="5"/>
        </w:numPr>
        <w:rPr>
          <w:rFonts w:ascii="Arial" w:cs="Arial" w:eastAsia="Arial" w:hAnsi="Arial"/>
          <w:sz w:val="14"/>
          <w:szCs w:val="14"/>
          <w:color w:val="060606"/>
          <w:vertAlign w:val="superscript"/>
        </w:rPr>
      </w:pPr>
      <w:r>
        <w:rPr>
          <w:rFonts w:ascii="Arial" w:cs="Arial" w:eastAsia="Arial" w:hAnsi="Arial"/>
          <w:sz w:val="11"/>
          <w:szCs w:val="11"/>
          <w:color w:val="060606"/>
        </w:rPr>
        <w:t>Constant-currency percent change, organic revenue percent change, adjusted diluted earnings per share, and adjusted free cash flow are non-GAAP measures. Constant-currency percent change excludes the impact from fluctuations in the various currencies in which the Company operates as compared to reported percent change. Organic revenue percent change excludes the impact of acquisitions, divestitures, and currency translation effects. For an explanation of these and other non-GAAP measures used in this news release, see the section entitled "Use of Non-GAAP Financial Measures." For reconciliations of certain non-GAAP measures, see the tables that accompany this news release. 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paragraph to their most directly comparable forward-looking GAAP financial measures without unreasonable efforts.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1</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060606"/>
        </w:rPr>
        <w:t>to advance the Obstructive Sleep Apnea and Difficult-to-Treat Depression programs. We believe these efforts will position the Company for long-term growth and expansion into attractive markets with large patient populations and significant unmet needs. We look forward to updating investors on our strategic priorities for each of these businesses at our upcoming Investor Day on November 12.”</w:t>
      </w:r>
    </w:p>
    <w:p>
      <w:pPr>
        <w:spacing w:after="0" w:line="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060606"/>
        </w:rPr>
        <w:t>Third-Quarter 2025 Results</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060606"/>
        </w:rPr>
        <w:t>The following table summarizes revenue by segment (in millions):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gridSpan w:val="4"/>
          </w:tcPr>
          <w:p>
            <w:pPr>
              <w:jc w:val="center"/>
              <w:ind w:left="510"/>
              <w:spacing w:after="0"/>
              <w:rPr>
                <w:sz w:val="20"/>
                <w:szCs w:val="20"/>
                <w:color w:val="auto"/>
              </w:rPr>
            </w:pPr>
            <w:r>
              <w:rPr>
                <w:rFonts w:ascii="Arial" w:cs="Arial" w:eastAsia="Arial" w:hAnsi="Arial"/>
                <w:sz w:val="18"/>
                <w:szCs w:val="18"/>
                <w:color w:val="060606"/>
                <w:w w:val="99"/>
              </w:rPr>
              <w:t>Three Months Ended</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color w:val="060606"/>
                <w:w w:val="99"/>
              </w:rPr>
              <w:t>September 30,</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vMerge w:val="restart"/>
          </w:tcPr>
          <w:p>
            <w:pPr>
              <w:ind w:left="440"/>
              <w:spacing w:after="0"/>
              <w:rPr>
                <w:sz w:val="20"/>
                <w:szCs w:val="20"/>
                <w:color w:val="auto"/>
              </w:rPr>
            </w:pPr>
            <w:r>
              <w:rPr>
                <w:rFonts w:ascii="Arial" w:cs="Arial" w:eastAsia="Arial" w:hAnsi="Arial"/>
                <w:sz w:val="20"/>
                <w:szCs w:val="20"/>
                <w:color w:val="060606"/>
              </w:rPr>
              <w:t>% Change</w:t>
            </w:r>
          </w:p>
        </w:tc>
        <w:tc>
          <w:tcPr>
            <w:tcW w:w="1800" w:type="dxa"/>
            <w:vAlign w:val="bottom"/>
          </w:tcPr>
          <w:p>
            <w:pPr>
              <w:jc w:val="right"/>
              <w:ind w:right="8"/>
              <w:spacing w:after="0" w:line="215" w:lineRule="exact"/>
              <w:rPr>
                <w:sz w:val="20"/>
                <w:szCs w:val="20"/>
                <w:color w:val="auto"/>
              </w:rPr>
            </w:pPr>
            <w:r>
              <w:rPr>
                <w:rFonts w:ascii="Arial" w:cs="Arial" w:eastAsia="Arial" w:hAnsi="Arial"/>
                <w:sz w:val="20"/>
                <w:szCs w:val="20"/>
                <w:color w:val="060606"/>
              </w:rPr>
              <w:t>Constant-Currency</w:t>
            </w:r>
          </w:p>
        </w:tc>
        <w:tc>
          <w:tcPr>
            <w:tcW w:w="0" w:type="dxa"/>
            <w:vAlign w:val="bottom"/>
          </w:tcPr>
          <w:p>
            <w:pPr>
              <w:spacing w:after="0"/>
              <w:rPr>
                <w:sz w:val="1"/>
                <w:szCs w:val="1"/>
                <w:color w:val="auto"/>
              </w:rPr>
            </w:pPr>
          </w:p>
        </w:tc>
      </w:tr>
      <w:tr>
        <w:trPr>
          <w:trHeight w:val="237"/>
        </w:trPr>
        <w:tc>
          <w:tcPr>
            <w:tcW w:w="5220" w:type="dxa"/>
            <w:vAlign w:val="bottom"/>
            <w:gridSpan w:val="3"/>
          </w:tcPr>
          <w:p>
            <w:pPr>
              <w:ind w:left="4800"/>
              <w:spacing w:after="0"/>
              <w:rPr>
                <w:sz w:val="20"/>
                <w:szCs w:val="20"/>
                <w:color w:val="auto"/>
              </w:rPr>
            </w:pPr>
            <w:r>
              <w:rPr>
                <w:rFonts w:ascii="Arial" w:cs="Arial" w:eastAsia="Arial" w:hAnsi="Arial"/>
                <w:sz w:val="18"/>
                <w:szCs w:val="18"/>
                <w:color w:val="060606"/>
                <w:w w:val="99"/>
              </w:rPr>
              <w:t>2025</w:t>
            </w: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060606"/>
              </w:rPr>
              <w:t>2024</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800" w:type="dxa"/>
            <w:vAlign w:val="bottom"/>
          </w:tcPr>
          <w:p>
            <w:pPr>
              <w:jc w:val="right"/>
              <w:ind w:right="348"/>
              <w:spacing w:after="0"/>
              <w:rPr>
                <w:sz w:val="20"/>
                <w:szCs w:val="20"/>
                <w:color w:val="auto"/>
              </w:rPr>
            </w:pPr>
            <w:r>
              <w:rPr>
                <w:rFonts w:ascii="Arial" w:cs="Arial" w:eastAsia="Arial" w:hAnsi="Arial"/>
                <w:sz w:val="20"/>
                <w:szCs w:val="20"/>
                <w:color w:val="060606"/>
              </w:rPr>
              <w:t>% Change</w:t>
            </w:r>
          </w:p>
        </w:tc>
        <w:tc>
          <w:tcPr>
            <w:tcW w:w="0" w:type="dxa"/>
            <w:vAlign w:val="bottom"/>
          </w:tcPr>
          <w:p>
            <w:pPr>
              <w:spacing w:after="0"/>
              <w:rPr>
                <w:sz w:val="1"/>
                <w:szCs w:val="1"/>
                <w:color w:val="auto"/>
              </w:rPr>
            </w:pPr>
          </w:p>
        </w:tc>
      </w:tr>
      <w:tr>
        <w:trPr>
          <w:trHeight w:val="218"/>
        </w:trPr>
        <w:tc>
          <w:tcPr>
            <w:tcW w:w="4200" w:type="dxa"/>
            <w:vAlign w:val="bottom"/>
            <w:gridSpan w:val="2"/>
          </w:tcPr>
          <w:p>
            <w:pPr>
              <w:ind w:left="20"/>
              <w:spacing w:after="0"/>
              <w:rPr>
                <w:sz w:val="20"/>
                <w:szCs w:val="20"/>
                <w:color w:val="auto"/>
              </w:rPr>
            </w:pPr>
            <w:r>
              <w:rPr>
                <w:rFonts w:ascii="Arial" w:cs="Arial" w:eastAsia="Arial" w:hAnsi="Arial"/>
                <w:sz w:val="18"/>
                <w:szCs w:val="18"/>
                <w:color w:val="060606"/>
              </w:rPr>
              <w:t>Cardiopulmonary</w:t>
            </w: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60606"/>
              </w:rPr>
              <w:t>$203.2</w:t>
            </w: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60606"/>
                <w:w w:val="98"/>
              </w:rPr>
              <w:t>$172.2</w:t>
            </w:r>
          </w:p>
        </w:tc>
        <w:tc>
          <w:tcPr>
            <w:tcW w:w="80" w:type="dxa"/>
            <w:vAlign w:val="bottom"/>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60606"/>
              </w:rPr>
              <w:t>18.0 %</w:t>
            </w:r>
          </w:p>
        </w:tc>
        <w:tc>
          <w:tcPr>
            <w:tcW w:w="80" w:type="dxa"/>
            <w:vAlign w:val="bottom"/>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60606"/>
              </w:rPr>
              <w:t>15.9 %</w:t>
            </w:r>
          </w:p>
        </w:tc>
        <w:tc>
          <w:tcPr>
            <w:tcW w:w="0" w:type="dxa"/>
            <w:vAlign w:val="bottom"/>
          </w:tcPr>
          <w:p>
            <w:pPr>
              <w:spacing w:after="0"/>
              <w:rPr>
                <w:sz w:val="1"/>
                <w:szCs w:val="1"/>
                <w:color w:val="auto"/>
              </w:rPr>
            </w:pPr>
          </w:p>
        </w:tc>
      </w:tr>
      <w:tr>
        <w:trPr>
          <w:trHeight w:val="229"/>
        </w:trPr>
        <w:tc>
          <w:tcPr>
            <w:tcW w:w="5220" w:type="dxa"/>
            <w:vAlign w:val="bottom"/>
            <w:gridSpan w:val="3"/>
          </w:tcPr>
          <w:p>
            <w:pPr>
              <w:ind w:left="20"/>
              <w:spacing w:after="0"/>
              <w:rPr>
                <w:sz w:val="20"/>
                <w:szCs w:val="20"/>
                <w:color w:val="auto"/>
              </w:rPr>
            </w:pPr>
            <w:r>
              <w:rPr>
                <w:rFonts w:ascii="Arial" w:cs="Arial" w:eastAsia="Arial" w:hAnsi="Arial"/>
                <w:sz w:val="18"/>
                <w:szCs w:val="18"/>
                <w:color w:val="060606"/>
              </w:rPr>
              <w:t>Neuromodulation</w:t>
            </w:r>
          </w:p>
        </w:tc>
        <w:tc>
          <w:tcPr>
            <w:tcW w:w="600" w:type="dxa"/>
            <w:vAlign w:val="bottom"/>
          </w:tcPr>
          <w:p>
            <w:pPr>
              <w:jc w:val="right"/>
              <w:spacing w:after="0"/>
              <w:rPr>
                <w:sz w:val="20"/>
                <w:szCs w:val="20"/>
                <w:color w:val="auto"/>
              </w:rPr>
            </w:pPr>
            <w:r>
              <w:rPr>
                <w:rFonts w:ascii="Arial" w:cs="Arial" w:eastAsia="Arial" w:hAnsi="Arial"/>
                <w:sz w:val="18"/>
                <w:szCs w:val="18"/>
                <w:color w:val="060606"/>
              </w:rPr>
              <w:t>149.5</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60606"/>
              </w:rPr>
              <w:t>139.9</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6.9 %</w:t>
            </w:r>
          </w:p>
        </w:tc>
        <w:tc>
          <w:tcPr>
            <w:tcW w:w="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060606"/>
              </w:rPr>
              <w:t>6.4 %</w:t>
            </w:r>
          </w:p>
        </w:tc>
        <w:tc>
          <w:tcPr>
            <w:tcW w:w="0" w:type="dxa"/>
            <w:vAlign w:val="bottom"/>
          </w:tcPr>
          <w:p>
            <w:pPr>
              <w:spacing w:after="0"/>
              <w:rPr>
                <w:sz w:val="1"/>
                <w:szCs w:val="1"/>
                <w:color w:val="auto"/>
              </w:rPr>
            </w:pPr>
          </w:p>
        </w:tc>
      </w:tr>
      <w:tr>
        <w:trPr>
          <w:trHeight w:val="235"/>
        </w:trPr>
        <w:tc>
          <w:tcPr>
            <w:tcW w:w="5220" w:type="dxa"/>
            <w:vAlign w:val="bottom"/>
            <w:gridSpan w:val="3"/>
          </w:tcPr>
          <w:p>
            <w:pPr>
              <w:ind w:left="20"/>
              <w:spacing w:after="0" w:line="235" w:lineRule="exact"/>
              <w:rPr>
                <w:sz w:val="20"/>
                <w:szCs w:val="20"/>
                <w:color w:val="auto"/>
              </w:rPr>
            </w:pPr>
            <w:r>
              <w:rPr>
                <w:rFonts w:ascii="Arial" w:cs="Arial" w:eastAsia="Arial" w:hAnsi="Arial"/>
                <w:sz w:val="18"/>
                <w:szCs w:val="18"/>
                <w:color w:val="060606"/>
              </w:rPr>
              <w:t xml:space="preserve">Other Revenue </w:t>
            </w:r>
            <w:r>
              <w:rPr>
                <w:rFonts w:ascii="Arial" w:cs="Arial" w:eastAsia="Arial" w:hAnsi="Arial"/>
                <w:sz w:val="23"/>
                <w:szCs w:val="23"/>
                <w:color w:val="060606"/>
                <w:vertAlign w:val="superscript"/>
              </w:rPr>
              <w:t>(1)</w:t>
            </w:r>
          </w:p>
        </w:tc>
        <w:tc>
          <w:tcPr>
            <w:tcW w:w="600" w:type="dxa"/>
            <w:vAlign w:val="bottom"/>
          </w:tcPr>
          <w:p>
            <w:pPr>
              <w:jc w:val="right"/>
              <w:spacing w:after="0"/>
              <w:rPr>
                <w:sz w:val="20"/>
                <w:szCs w:val="20"/>
                <w:color w:val="auto"/>
              </w:rPr>
            </w:pPr>
            <w:r>
              <w:rPr>
                <w:rFonts w:ascii="Arial" w:cs="Arial" w:eastAsia="Arial" w:hAnsi="Arial"/>
                <w:sz w:val="18"/>
                <w:szCs w:val="18"/>
                <w:color w:val="060606"/>
              </w:rPr>
              <w:t>5.0</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060606"/>
              </w:rPr>
              <w:t>6.0</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(16.8)%</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060606"/>
              </w:rPr>
              <w:t>(21.3)%</w:t>
            </w:r>
          </w:p>
        </w:tc>
        <w:tc>
          <w:tcPr>
            <w:tcW w:w="0" w:type="dxa"/>
            <w:vAlign w:val="bottom"/>
          </w:tcPr>
          <w:p>
            <w:pPr>
              <w:spacing w:after="0"/>
              <w:rPr>
                <w:sz w:val="1"/>
                <w:szCs w:val="1"/>
                <w:color w:val="auto"/>
              </w:rPr>
            </w:pPr>
          </w:p>
        </w:tc>
      </w:tr>
      <w:tr>
        <w:trPr>
          <w:trHeight w:val="218"/>
        </w:trPr>
        <w:tc>
          <w:tcPr>
            <w:tcW w:w="4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060606"/>
              </w:rPr>
              <w:t>Total Net Revenue</w:t>
            </w: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60606"/>
              </w:rPr>
              <w:t>357.8</w:t>
            </w:r>
          </w:p>
        </w:tc>
        <w:tc>
          <w:tcPr>
            <w:tcW w:w="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060606"/>
              </w:rPr>
              <w:t>318.1</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12.5 %</w:t>
            </w:r>
          </w:p>
        </w:tc>
        <w:tc>
          <w:tcPr>
            <w:tcW w:w="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060606"/>
              </w:rPr>
              <w:t>11.0 %</w:t>
            </w:r>
          </w:p>
        </w:tc>
        <w:tc>
          <w:tcPr>
            <w:tcW w:w="0" w:type="dxa"/>
            <w:vAlign w:val="bottom"/>
          </w:tcPr>
          <w:p>
            <w:pPr>
              <w:spacing w:after="0"/>
              <w:rPr>
                <w:sz w:val="1"/>
                <w:szCs w:val="1"/>
                <w:color w:val="auto"/>
              </w:rPr>
            </w:pPr>
          </w:p>
        </w:tc>
      </w:tr>
      <w:tr>
        <w:trPr>
          <w:trHeight w:val="235"/>
        </w:trPr>
        <w:tc>
          <w:tcPr>
            <w:tcW w:w="5220" w:type="dxa"/>
            <w:vAlign w:val="bottom"/>
            <w:gridSpan w:val="3"/>
          </w:tcPr>
          <w:p>
            <w:pPr>
              <w:ind w:left="100"/>
              <w:spacing w:after="0" w:line="235" w:lineRule="exact"/>
              <w:rPr>
                <w:sz w:val="20"/>
                <w:szCs w:val="20"/>
                <w:color w:val="auto"/>
              </w:rPr>
            </w:pPr>
            <w:r>
              <w:rPr>
                <w:rFonts w:ascii="Arial" w:cs="Arial" w:eastAsia="Arial" w:hAnsi="Arial"/>
                <w:sz w:val="18"/>
                <w:szCs w:val="18"/>
                <w:color w:val="060606"/>
              </w:rPr>
              <w:t xml:space="preserve">Less: ACS </w:t>
            </w:r>
            <w:r>
              <w:rPr>
                <w:rFonts w:ascii="Arial" w:cs="Arial" w:eastAsia="Arial" w:hAnsi="Arial"/>
                <w:sz w:val="23"/>
                <w:szCs w:val="23"/>
                <w:color w:val="060606"/>
                <w:vertAlign w:val="superscript"/>
              </w:rPr>
              <w:t>(2)</w:t>
            </w:r>
          </w:p>
        </w:tc>
        <w:tc>
          <w:tcPr>
            <w:tcW w:w="1700" w:type="dxa"/>
            <w:vAlign w:val="bottom"/>
            <w:gridSpan w:val="3"/>
          </w:tcPr>
          <w:p>
            <w:pPr>
              <w:jc w:val="right"/>
              <w:ind w:right="1120"/>
              <w:spacing w:after="0"/>
              <w:rPr>
                <w:sz w:val="20"/>
                <w:szCs w:val="20"/>
                <w:color w:val="auto"/>
              </w:rPr>
            </w:pPr>
            <w:r>
              <w:rPr>
                <w:rFonts w:ascii="Arial" w:cs="Arial" w:eastAsia="Arial" w:hAnsi="Arial"/>
                <w:sz w:val="18"/>
                <w:szCs w:val="18"/>
                <w:color w:val="060606"/>
              </w:rPr>
              <w:t>—</w:t>
            </w:r>
          </w:p>
        </w:tc>
        <w:tc>
          <w:tcPr>
            <w:tcW w:w="580" w:type="dxa"/>
            <w:vAlign w:val="bottom"/>
          </w:tcPr>
          <w:p>
            <w:pPr>
              <w:jc w:val="right"/>
              <w:spacing w:after="0"/>
              <w:rPr>
                <w:sz w:val="20"/>
                <w:szCs w:val="20"/>
                <w:color w:val="auto"/>
              </w:rPr>
            </w:pPr>
            <w:r>
              <w:rPr>
                <w:rFonts w:ascii="Arial" w:cs="Arial" w:eastAsia="Arial" w:hAnsi="Arial"/>
                <w:sz w:val="18"/>
                <w:szCs w:val="18"/>
                <w:color w:val="060606"/>
              </w:rPr>
              <w:t>4.4</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(100.0)%</w:t>
            </w:r>
          </w:p>
        </w:tc>
        <w:tc>
          <w:tcPr>
            <w:tcW w:w="8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060606"/>
              </w:rPr>
              <w:t>(100.0)%</w:t>
            </w:r>
          </w:p>
        </w:tc>
        <w:tc>
          <w:tcPr>
            <w:tcW w:w="0" w:type="dxa"/>
            <w:vAlign w:val="bottom"/>
          </w:tcPr>
          <w:p>
            <w:pPr>
              <w:spacing w:after="0"/>
              <w:rPr>
                <w:sz w:val="1"/>
                <w:szCs w:val="1"/>
                <w:color w:val="auto"/>
              </w:rPr>
            </w:pPr>
          </w:p>
        </w:tc>
      </w:tr>
      <w:tr>
        <w:trPr>
          <w:trHeight w:val="223"/>
        </w:trPr>
        <w:tc>
          <w:tcPr>
            <w:tcW w:w="4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060606"/>
              </w:rPr>
              <w:t>Total Organic Net Revenue</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60606"/>
              </w:rPr>
              <w:t>$357.8</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60606"/>
                <w:w w:val="98"/>
              </w:rPr>
              <w:t>$313.7</w:t>
            </w:r>
          </w:p>
        </w:tc>
        <w:tc>
          <w:tcPr>
            <w:tcW w:w="80" w:type="dxa"/>
            <w:vAlign w:val="bottom"/>
          </w:tcPr>
          <w:p>
            <w:pPr>
              <w:spacing w:after="0"/>
              <w:rPr>
                <w:sz w:val="19"/>
                <w:szCs w:val="19"/>
                <w:color w:val="auto"/>
              </w:rPr>
            </w:pPr>
          </w:p>
        </w:tc>
        <w:tc>
          <w:tcPr>
            <w:tcW w:w="1860" w:type="dxa"/>
            <w:vAlign w:val="bottom"/>
            <w:gridSpan w:val="2"/>
          </w:tcPr>
          <w:p>
            <w:pPr>
              <w:ind w:left="1460"/>
              <w:spacing w:after="0"/>
              <w:rPr>
                <w:sz w:val="20"/>
                <w:szCs w:val="20"/>
                <w:color w:val="auto"/>
              </w:rPr>
            </w:pPr>
            <w:r>
              <w:rPr>
                <w:rFonts w:ascii="Arial" w:cs="Arial" w:eastAsia="Arial" w:hAnsi="Arial"/>
                <w:sz w:val="18"/>
                <w:szCs w:val="18"/>
                <w:color w:val="060606"/>
              </w:rPr>
              <w:t>N/A</w:t>
            </w:r>
          </w:p>
        </w:tc>
        <w:tc>
          <w:tcPr>
            <w:tcW w:w="1800" w:type="dxa"/>
            <w:vAlign w:val="bottom"/>
          </w:tcPr>
          <w:p>
            <w:pPr>
              <w:jc w:val="right"/>
              <w:spacing w:after="0"/>
              <w:rPr>
                <w:sz w:val="20"/>
                <w:szCs w:val="20"/>
                <w:color w:val="auto"/>
              </w:rPr>
            </w:pPr>
            <w:r>
              <w:rPr>
                <w:rFonts w:ascii="Arial" w:cs="Arial" w:eastAsia="Arial" w:hAnsi="Arial"/>
                <w:sz w:val="18"/>
                <w:szCs w:val="18"/>
                <w:color w:val="060606"/>
              </w:rPr>
              <w:t>12.5 %</w:t>
            </w:r>
          </w:p>
        </w:tc>
        <w:tc>
          <w:tcPr>
            <w:tcW w:w="0" w:type="dxa"/>
            <w:vAlign w:val="bottom"/>
          </w:tcPr>
          <w:p>
            <w:pPr>
              <w:spacing w:after="0"/>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line="227" w:lineRule="auto"/>
        <w:tabs>
          <w:tab w:leader="none" w:pos="333" w:val="left"/>
        </w:tabs>
        <w:numPr>
          <w:ilvl w:val="0"/>
          <w:numId w:val="6"/>
        </w:numPr>
        <w:rPr>
          <w:rFonts w:ascii="Arial" w:cs="Arial" w:eastAsia="Arial" w:hAnsi="Arial"/>
          <w:sz w:val="21"/>
          <w:szCs w:val="21"/>
          <w:color w:val="060606"/>
          <w:vertAlign w:val="superscript"/>
        </w:rPr>
      </w:pPr>
      <w:r>
        <w:rPr>
          <w:rFonts w:ascii="Arial" w:cs="Arial" w:eastAsia="Arial" w:hAnsi="Arial"/>
          <w:sz w:val="16"/>
          <w:szCs w:val="16"/>
          <w:color w:val="060606"/>
        </w:rPr>
        <w:t>“Other Revenue” includes rental and site services income not allocated to segments. In addition, for 2024, “Other Revenue” includes revenue from the Company’s former ACS reportable segment.</w:t>
      </w:r>
    </w:p>
    <w:p>
      <w:pPr>
        <w:spacing w:after="0" w:line="1" w:lineRule="exact"/>
        <w:rPr>
          <w:rFonts w:ascii="Arial" w:cs="Arial" w:eastAsia="Arial" w:hAnsi="Arial"/>
          <w:sz w:val="21"/>
          <w:szCs w:val="21"/>
          <w:color w:val="060606"/>
          <w:vertAlign w:val="superscript"/>
        </w:rPr>
      </w:pPr>
    </w:p>
    <w:p>
      <w:pPr>
        <w:ind w:left="320" w:hanging="312"/>
        <w:spacing w:after="0" w:line="191" w:lineRule="auto"/>
        <w:tabs>
          <w:tab w:leader="none" w:pos="320" w:val="left"/>
        </w:tabs>
        <w:numPr>
          <w:ilvl w:val="0"/>
          <w:numId w:val="6"/>
        </w:numPr>
        <w:rPr>
          <w:rFonts w:ascii="Arial" w:cs="Arial" w:eastAsia="Arial" w:hAnsi="Arial"/>
          <w:sz w:val="21"/>
          <w:szCs w:val="21"/>
          <w:color w:val="060606"/>
          <w:vertAlign w:val="superscript"/>
        </w:rPr>
      </w:pPr>
      <w:r>
        <w:rPr>
          <w:rFonts w:ascii="Arial" w:cs="Arial" w:eastAsia="Arial" w:hAnsi="Arial"/>
          <w:sz w:val="16"/>
          <w:szCs w:val="16"/>
          <w:color w:val="060606"/>
        </w:rPr>
        <w:t>Includes the results from the wind-down portion of the Company’s former ACS reportable segment.</w:t>
      </w:r>
    </w:p>
    <w:p>
      <w:pPr>
        <w:spacing w:after="0" w:line="1"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00" w:lineRule="exact"/>
        <w:rPr>
          <w:sz w:val="20"/>
          <w:szCs w:val="20"/>
          <w:color w:val="auto"/>
        </w:rPr>
      </w:pPr>
    </w:p>
    <w:p>
      <w:pPr>
        <w:spacing w:after="0" w:line="227" w:lineRule="exact"/>
        <w:rPr>
          <w:sz w:val="20"/>
          <w:szCs w:val="20"/>
          <w:color w:val="auto"/>
        </w:rPr>
      </w:pPr>
    </w:p>
    <w:p>
      <w:pPr>
        <w:ind w:right="400"/>
        <w:spacing w:after="0" w:line="375" w:lineRule="auto"/>
        <w:rPr>
          <w:sz w:val="20"/>
          <w:szCs w:val="20"/>
          <w:color w:val="auto"/>
        </w:rPr>
      </w:pPr>
      <w:r>
        <w:rPr>
          <w:rFonts w:ascii="Arial" w:cs="Arial" w:eastAsia="Arial" w:hAnsi="Arial"/>
          <w:sz w:val="20"/>
          <w:szCs w:val="20"/>
          <w:color w:val="060606"/>
        </w:rPr>
        <w:t>Third-quarter 2025 Cardiopulmonary revenue increased 18.0% on a reported basis and 15.9% on a constant-currency basis versus the third quarter of 2024 with growth across all regions, driven by Essenz Perfusion System sales and strong consumables demand.</w:t>
      </w:r>
    </w:p>
    <w:p>
      <w:pPr>
        <w:spacing w:after="0" w:line="164" w:lineRule="exact"/>
        <w:rPr>
          <w:sz w:val="20"/>
          <w:szCs w:val="20"/>
          <w:color w:val="auto"/>
        </w:rPr>
      </w:pPr>
    </w:p>
    <w:p>
      <w:pPr>
        <w:ind w:right="620"/>
        <w:spacing w:after="0" w:line="398" w:lineRule="auto"/>
        <w:rPr>
          <w:sz w:val="20"/>
          <w:szCs w:val="20"/>
          <w:color w:val="auto"/>
        </w:rPr>
      </w:pPr>
      <w:r>
        <w:rPr>
          <w:rFonts w:ascii="Arial" w:cs="Arial" w:eastAsia="Arial" w:hAnsi="Arial"/>
          <w:sz w:val="20"/>
          <w:szCs w:val="20"/>
          <w:color w:val="060606"/>
        </w:rPr>
        <w:t>Third-quarter 2025 Neuromodulation revenue increased 6.9% on a reported basis and 6.4% on a constant-currency basis versus the third quarter of 2024 with growth across all regions.</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i w:val="1"/>
          <w:iCs w:val="1"/>
          <w:color w:val="060606"/>
        </w:rPr>
        <w:t>Earnings Analysis</w:t>
      </w:r>
    </w:p>
    <w:p>
      <w:pPr>
        <w:spacing w:after="0" w:line="337"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On a U.S. GAAP basis, third-quarter 2025 operating income was $54.0 million, as compared to operating income of $35.6 million for the third quarter of 2024. Adjusted operating income for the third quarter of 2025 was $80.4 million, as compared to adjusted operating income of $63.6 million for the third quarter of 2024.</w:t>
      </w:r>
    </w:p>
    <w:p>
      <w:pPr>
        <w:spacing w:after="0" w:line="164"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On a U.S. GAAP basis, third-quarter 2025 diluted earnings per share was $0.49 as compared to diluted earnings per share of $0.60 in the third quarter of 2024. Third-quarter 2025 adjusted diluted earnings per share was $1.11, as compared to adjusted diluted earnings per share of $0.90 in the third quarter of 2024.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2</w:t>
      </w:r>
    </w:p>
    <w:p>
      <w:pPr>
        <w:sectPr>
          <w:pgSz w:w="11900" w:h="16838" w:orient="portrait"/>
          <w:cols w:equalWidth="0" w:num="1">
            <w:col w:w="11240"/>
          </w:cols>
          <w:pgMar w:left="320" w:top="1440" w:right="339" w:bottom="1440" w:gutter="0" w:footer="0" w:header="0"/>
          <w:type w:val="continuous"/>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u w:val="single" w:color="auto"/>
          <w:color w:val="060606"/>
        </w:rPr>
        <w:t>Full-Year 2025 Guidance</w:t>
      </w:r>
    </w:p>
    <w:p>
      <w:pPr>
        <w:spacing w:after="0" w:line="337"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LivaNova now expects full-year 2025 revenue to grow between 8.5% and 9.5% (versus 8.0% and 9.0% prior) on a constant-currency basis and between 9.5% and 10.5% (versus 9.0% and 10.0% prior) on an organic basis. Foreign currency is expected to be a tailwind of approximately 1.0% based on current exchange rates, consistent with prior guidance.</w:t>
      </w:r>
    </w:p>
    <w:p>
      <w:pPr>
        <w:spacing w:after="0" w:line="164" w:lineRule="exact"/>
        <w:rPr>
          <w:sz w:val="20"/>
          <w:szCs w:val="20"/>
          <w:color w:val="auto"/>
        </w:rPr>
      </w:pPr>
    </w:p>
    <w:p>
      <w:pPr>
        <w:jc w:val="both"/>
        <w:ind w:right="20"/>
        <w:spacing w:after="0" w:line="375" w:lineRule="auto"/>
        <w:rPr>
          <w:sz w:val="20"/>
          <w:szCs w:val="20"/>
          <w:color w:val="auto"/>
        </w:rPr>
      </w:pPr>
      <w:r>
        <w:rPr>
          <w:rFonts w:ascii="Arial" w:cs="Arial" w:eastAsia="Arial" w:hAnsi="Arial"/>
          <w:sz w:val="20"/>
          <w:szCs w:val="20"/>
          <w:color w:val="060606"/>
        </w:rPr>
        <w:t>Adjusted diluted earnings per share for 2025 is now expected to be in the range of $3.80 to $3.90 (versus $3.70 to $3.80 prior), assuming a share count of approximately 55 million for full-year 2025. In 2025, the Company now estimates adjusted free cash flow in the range of $160 million to $180 million (versus $140 million to $160 million prior).</w:t>
      </w:r>
    </w:p>
    <w:p>
      <w:pPr>
        <w:spacing w:after="0" w:line="17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060606"/>
        </w:rPr>
        <w:t>As discussed in the section entitled “Use of Non-GAAP Financial Measures” below, the Company is unable to predict with a reasonable degree of certainty the type and extent of certain items that would be expected to impact GAAP measures but would not impact the non-GAAP measures. Accordingly, the Company is unable to reconcile the forward-looking non-GAAP financial measures included in this section to their most directly comparable forward-looking GAAP financial measures without unreasonable efforts.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060606"/>
        </w:rPr>
        <w:t>Webcast and Conference Call Instructions</w:t>
      </w:r>
    </w:p>
    <w:p>
      <w:pPr>
        <w:spacing w:after="0" w:line="324"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060606"/>
        </w:rPr>
        <w:t xml:space="preserve">The Company will host a live audiocast at 1 p.m. London time (8 a.m. Eastern Time) on Wed., Nov. 5, 2025 that will be accessible at </w:t>
      </w:r>
      <w:r>
        <w:rPr>
          <w:rFonts w:ascii="Arial" w:cs="Arial" w:eastAsia="Arial" w:hAnsi="Arial"/>
          <w:sz w:val="20"/>
          <w:szCs w:val="20"/>
          <w:u w:val="single" w:color="auto"/>
          <w:color w:val="0E32E1"/>
        </w:rPr>
        <w:t>www.livanova.com/events</w:t>
      </w:r>
      <w:r>
        <w:rPr>
          <w:rFonts w:ascii="Arial" w:cs="Arial" w:eastAsia="Arial" w:hAnsi="Arial"/>
          <w:sz w:val="20"/>
          <w:szCs w:val="20"/>
          <w:color w:val="060606"/>
        </w:rPr>
        <w:t>. Listeners should register in advance and log on approximately 10 minutes early to ensure proper setup. To listen to the conference call by telephone, dial</w:t>
      </w:r>
    </w:p>
    <w:p>
      <w:pPr>
        <w:spacing w:after="0" w:line="2"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 xml:space="preserve">+1 833 470 1428 (if dialing from within the U.S.) or +1 929 526 1599 (if dialing from outside the U.S.). The conference call access code is 817099. Within 24 hours of the audiocast, a replay will be available at </w:t>
      </w:r>
      <w:r>
        <w:rPr>
          <w:rFonts w:ascii="Arial" w:cs="Arial" w:eastAsia="Arial" w:hAnsi="Arial"/>
          <w:sz w:val="20"/>
          <w:szCs w:val="20"/>
          <w:u w:val="single" w:color="auto"/>
          <w:color w:val="0E32E1"/>
        </w:rPr>
        <w:t>www.livanova.com/events</w:t>
      </w:r>
      <w:r>
        <w:rPr>
          <w:rFonts w:ascii="Arial" w:cs="Arial" w:eastAsia="Arial" w:hAnsi="Arial"/>
          <w:sz w:val="20"/>
          <w:szCs w:val="20"/>
          <w:color w:val="060606"/>
        </w:rPr>
        <w:t>, where it will be archived and accessible for approximately 90 days.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9D19D1"/>
        </w:rPr>
        <w:t>About LivaNova</w:t>
      </w:r>
    </w:p>
    <w:p>
      <w:pPr>
        <w:spacing w:after="0" w:line="33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060606"/>
        </w:rPr>
        <w:t xml:space="preserve">LivaNova PLC is a global medical technology company built on nearly five decades of experience and a vision to change the trajectory of lives for a new day. Through ingenious medical solutions in select neurological and cardiac conditions, LivaNova strives to ignite patient turnarounds. Headquartered in London, with approximately 3,000 employees and a presence in more than 100 countries, LivaNova serves patients, healthcare professionals, and healthcare systems worldwide. For more information, please visit </w:t>
      </w:r>
      <w:r>
        <w:rPr>
          <w:rFonts w:ascii="Arial" w:cs="Arial" w:eastAsia="Arial" w:hAnsi="Arial"/>
          <w:sz w:val="20"/>
          <w:szCs w:val="20"/>
          <w:u w:val="single" w:color="auto"/>
          <w:color w:val="0E32E1"/>
        </w:rPr>
        <w:t>www.livanova.com</w:t>
      </w:r>
      <w:r>
        <w:rPr>
          <w:rFonts w:ascii="Arial" w:cs="Arial" w:eastAsia="Arial" w:hAnsi="Arial"/>
          <w:sz w:val="20"/>
          <w:szCs w:val="20"/>
          <w:color w:val="060606"/>
        </w:rPr>
        <w: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3</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color w:val="9D19D1"/>
        </w:rPr>
        <w:t>Use of Non-GAAP Financial Measures</w:t>
      </w:r>
    </w:p>
    <w:p>
      <w:pPr>
        <w:spacing w:after="0" w:line="337"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060606"/>
        </w:rPr>
        <w:t>To supplement financial measures presented in accordance with generally accepted accounting principles in the United States (U.S. GAAP or GAAP), management has disclosed certain additional measures not presented in accordance with GAAP known as “non-GAAP financial measures” or “adjusted financial measures.” Company management uses these non-GAAP measures to monitor the Company’s operational performance and for benchmarking against other medical technology companies. Non-GAAP financial measures used by the Company may be calculated differently from, and therefore may not be comparable to, similarly titled measures used by other companies. These non-GAAP financial measures should be considered along with, but not as alternatives to, operational performance measures as prescribed by GAAP.</w:t>
      </w:r>
    </w:p>
    <w:p>
      <w:pPr>
        <w:spacing w:after="0" w:line="177"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060606"/>
        </w:rPr>
        <w:t>In this news release, the Company refers to revenue and percentage change in revenue on a comparable, constant-currency, and organic basis. Company management believes that these non-GAAP measures provide a useful way to evaluate the revenue performance of LivaNova and to compare the revenue performance of current periods to prior periods on a consistent basis. Constant-currency percent change measures the change in revenue between current and prior-year periods using average exchange rates in effect during the applicable prior-year period. Organic revenue percent change excludes the impact of acquisitions, divestitures, and currency translation effects.</w:t>
      </w:r>
    </w:p>
    <w:p>
      <w:pPr>
        <w:spacing w:after="0" w:line="185"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060606"/>
        </w:rPr>
        <w:t>LivaNova calculates forward-looking non-GAAP financial measures based on internal forecasts that omit certain amounts that would be included in GAAP financial measures. For example, forward-looking net revenue growth projections are estimated on a constant-currency basis and exclude the impact of foreign currency fluctuations. Forward-looking non-GAAP adjusted diluted earnings per share guidance excludes items such as, but not limited to, changes in fair value of derivatives and contingent consideration arrangements and asset impairment charges that would be included in comparable GAAP financial measures. The most directly comparable GAAP measure for adjusted free cash flow is net cash provided by operating activities. Adjusted free cash flow is defined as net cash provided by operating activities less cash used for the purchase of property, plant, and equipment excluding the impact of 3T litigation settlement payments, cybersecurity incident insurance proceeds, SNIA environmental liability and related financing costs, and gains related to dividends received from investments and further adjusted as needed for other charges, expenses or gains that may not be indicative of the Company’s operational performance. However, non-GAAP financial adjustments on a forward-looking basis are subject to uncertainty and variability as they are dependent on many factors, including but not limited to, the effect of foreign currency exchange fluctuations, impacts from potential acquisitions or divestitures, the ultimate outcome of legal proceedings, gains or losses on the potential sale of businesses or other assets, restructuring costs, merger and integration activities, changes in fair value of derivatives, and contingent consideration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4</w:t>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arrangements, asset impairment charges and the tax impact of the aforementioned items, tax law changes, or other tax matters. Accordingly, the Company does not reconcile non-GAAP financial measures on a forward-looking basis as it is impractical to do so without unreasonable effort.</w:t>
      </w:r>
    </w:p>
    <w:p>
      <w:pPr>
        <w:spacing w:after="0" w:line="177"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060606"/>
        </w:rPr>
        <w:t>Adjusted financial measures such as organic revenue, adjusted cost of sales, adjusted gross profit, adjusted selling, general, and administrative expense, adjusted research and development expense, adjusted other operating expense, adjusted operating income, adjusted income before tax, adjusted income tax expense, adjusted net income, and adjusted diluted earnings per share are measures that LivaNova generally uses to facilitate management review of the operational performance of the company, to serve as a basis for strategic planning, and in the design of incentive compensation plans. Additionally, the Company uses the non-GAAP liquidity measure adjusted free cash flow. The Company believes that the presentation of these adjusted financial measures allows investors to evaluate the Company’s operational performance for different periods on a more comparable and consistent basis, and with other medical technology companies by adjusting for items that are not related to the operational performance of the Company or incurred in the ordinary course of business.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9D19D1"/>
        </w:rPr>
        <w:t>Safe Harbor Statement</w:t>
      </w:r>
    </w:p>
    <w:p>
      <w:pPr>
        <w:spacing w:after="0" w:line="324" w:lineRule="exact"/>
        <w:rPr>
          <w:sz w:val="20"/>
          <w:szCs w:val="20"/>
          <w:color w:val="auto"/>
        </w:rPr>
      </w:pPr>
    </w:p>
    <w:p>
      <w:pPr>
        <w:jc w:val="both"/>
        <w:spacing w:after="0" w:line="361" w:lineRule="auto"/>
        <w:rPr>
          <w:sz w:val="20"/>
          <w:szCs w:val="20"/>
          <w:color w:val="auto"/>
        </w:rPr>
      </w:pPr>
      <w:r>
        <w:rPr>
          <w:rFonts w:ascii="Arial" w:cs="Arial" w:eastAsia="Arial" w:hAnsi="Arial"/>
          <w:sz w:val="20"/>
          <w:szCs w:val="20"/>
          <w:color w:val="060606"/>
        </w:rPr>
        <w:t>Certain statements in this news release,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forward-looking statements can be identified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news release, and include, but are not limited to, the following risks and uncertainties: volatility in the global market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5</w:t>
      </w:r>
    </w:p>
    <w:p>
      <w:pPr>
        <w:sectPr>
          <w:pgSz w:w="11900" w:h="16838" w:orient="portrait"/>
          <w:cols w:equalWidth="0" w:num="1">
            <w:col w:w="11240"/>
          </w:cols>
          <w:pgMar w:left="320" w:top="1440" w:right="339"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60" w:lineRule="auto"/>
        <w:rPr>
          <w:sz w:val="20"/>
          <w:szCs w:val="20"/>
          <w:color w:val="auto"/>
        </w:rPr>
      </w:pPr>
      <w:r>
        <w:rPr>
          <w:rFonts w:ascii="Arial" w:cs="Arial" w:eastAsia="Arial" w:hAnsi="Arial"/>
          <w:sz w:val="20"/>
          <w:szCs w:val="20"/>
          <w:color w:val="060606"/>
        </w:rPr>
        <w:t>and worldwide economic conditions, including as caused by the invasion of Ukraine, the evolving instability in the Middle East, inflation, changing interest rates, foreign exchange fluctuations, and changes to existing trade agreements and relationships between the U.S. and other countries, including the implementation of tariffs, trade restrictions, and sanctions; adverse changes in export and import costs and other trade restrictions as well as uncertainty over global tariffs; risks relating to supply chain pressures; cybersecurity incidents or other disruptions to the Company’s information technology systems or those of third parties with which the Company interacts; costs of complying with privacy and security of personal information requirements and laws; changes in technology, including the development of superior or alternative technology or devices by competitors and/or competition from providers of alternative medical therapies; failure of R&amp;D investments or investment collaborations to be successful; prolonged government shutdowns in the U.S. which may result in delays in FDA or CMS activities, including product approvals or reimbursement determinations; failure to maintain appropriate working relationships with healthcare professionals to aid in the continuing development of products; the risk of quality issues and the impacts thereof; risks relating to recalls, replacement of inventory, enforcement actions, or product liability claims; failure to comply with, or changes in, laws, regulations, or administrative practices affecting government regulation of the Company’s products; failure to retain key personnel, succession plan, and negotiate with local works councils; failure to obtain approvals or reimbursement in relation to the Company’s products; unfavorable results from clinical studies or failure to meet milestones; pending or existing climate change; global healthcare policy changes that may lead to restricted access and pricing as well as payback requirements and limited reimbursement; changes or reduction in reimbursement for the Company’s products or failure to comply with rules relating to reimbursement of healthcare goods and services; failure to comply with rules relating to healthcare goods and services as well as anti-bribery laws; product liability, intellectual property, shareholder-related, environmental-related, income tax, and other litigation, disputes, losses, and costs, including in the case of the Company’s 3T Heater-Cooler litigation; risks associated with environmental laws and regulations as well as environmental liabilities, violations, and litigation, including in the case of Saluggia and SNIA; failure to protect the Company’s proprietary intellectual property; risks relating to the Company’s indebtedness; failure of divestitures and/or new acquisitions to further the Company’s strategic objectives or strengthen the Company’s existing businesses; the potential for impairments of intangible assets, goodwill, and other long-lived assets; changes in tax laws and regulations, including exposure to additional income tax liabilities;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and other unknown or unpredictable factors that could harm the Company’s financial performance.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060606"/>
        </w:rPr>
        <w:t>The foregoing list of factors is not exhaustive. You should carefully consider the foregoing factors and the other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6</w:t>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060606"/>
        </w:rPr>
        <w:t>risks and uncertainties that affect the Company’s business, including those described in the “Risk Factors” section of the Annual Report on Form 10-K, Quarterly Reports on Form 10-Q, Current Reports on Form 8-K and other documents filed from time to time with the U.S. Securities and Exchange Commission by LivaNova.</w:t>
      </w:r>
    </w:p>
    <w:p>
      <w:pPr>
        <w:spacing w:after="0" w:line="177"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060606"/>
        </w:rPr>
        <w:t>Readers are cautioned not to place undue reliance on the Company’s forward-looking statements, which speak only as of the date of this news release. The Company undertakes no obligation to update publicly any of the forward-looking statements in this news release to reflect actual results, new information or future events, changes in assumptions or changes in other factors affecting forward-looking statements, except to the extent required by applicable law. If LivaNova updates one or more forward-looking statements, no inference should be drawn that the Company will make additional updates with respect to those or other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060606"/>
        </w:rPr>
        <w:t>Essenz is a trademark of LivaNova USA, Inc.</w:t>
      </w:r>
    </w:p>
    <w:p>
      <w:pPr>
        <w:spacing w:after="0" w:line="278" w:lineRule="exact"/>
        <w:rPr>
          <w:sz w:val="20"/>
          <w:szCs w:val="20"/>
          <w:color w:val="auto"/>
        </w:rPr>
      </w:pPr>
    </w:p>
    <w:p>
      <w:pPr>
        <w:ind w:left="80"/>
        <w:spacing w:after="0"/>
        <w:rPr>
          <w:sz w:val="20"/>
          <w:szCs w:val="20"/>
          <w:color w:val="auto"/>
        </w:rPr>
      </w:pPr>
      <w:r>
        <w:rPr>
          <w:rFonts w:ascii="Arial" w:cs="Arial" w:eastAsia="Arial" w:hAnsi="Arial"/>
          <w:sz w:val="22"/>
          <w:szCs w:val="22"/>
          <w:color w:val="060606"/>
        </w:rPr>
        <w:t>Briana Gotlin</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20"/>
          <w:szCs w:val="20"/>
          <w:color w:val="060606"/>
        </w:rPr>
        <w:t>Vice President, Investor Relations</w:t>
      </w:r>
    </w:p>
    <w:p>
      <w:pPr>
        <w:ind w:left="80"/>
        <w:spacing w:after="0"/>
        <w:rPr>
          <w:sz w:val="20"/>
          <w:szCs w:val="20"/>
          <w:color w:val="auto"/>
        </w:rPr>
      </w:pPr>
      <w:r>
        <w:rPr>
          <w:rFonts w:ascii="Arial" w:cs="Arial" w:eastAsia="Arial" w:hAnsi="Arial"/>
          <w:sz w:val="20"/>
          <w:szCs w:val="20"/>
          <w:color w:val="060606"/>
        </w:rPr>
        <w:t>Phone: +1 281 895 2382</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20"/>
          <w:szCs w:val="20"/>
          <w:color w:val="060606"/>
        </w:rPr>
        <w:t>e-mail: InvestorRelations@livanova.com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7</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920" w:type="dxa"/>
            <w:vAlign w:val="bottom"/>
          </w:tcPr>
          <w:p>
            <w:pPr>
              <w:spacing w:after="0"/>
              <w:rPr>
                <w:sz w:val="20"/>
                <w:szCs w:val="20"/>
                <w:color w:val="auto"/>
              </w:rPr>
            </w:pPr>
            <w:r>
              <w:rPr>
                <w:rFonts w:ascii="Arial" w:cs="Arial" w:eastAsia="Arial" w:hAnsi="Arial"/>
                <w:sz w:val="18"/>
                <w:szCs w:val="18"/>
                <w:color w:val="060606"/>
              </w:rPr>
              <w:t>LIVANOVA PLC</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060606"/>
              </w:rPr>
              <w:t>NET REVENUE - UNAUDITED</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tcPr>
          <w:p>
            <w:pPr>
              <w:spacing w:after="0"/>
              <w:rPr>
                <w:sz w:val="20"/>
                <w:szCs w:val="20"/>
                <w:color w:val="auto"/>
              </w:rPr>
            </w:pPr>
            <w:r>
              <w:rPr>
                <w:rFonts w:ascii="Arial" w:cs="Arial" w:eastAsia="Arial" w:hAnsi="Arial"/>
                <w:sz w:val="18"/>
                <w:szCs w:val="18"/>
                <w:color w:val="060606"/>
              </w:rPr>
              <w:t>(U.S. dollars in millions)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gridSpan w:val="4"/>
            <w:vMerge w:val="restart"/>
          </w:tcPr>
          <w:p>
            <w:pPr>
              <w:ind w:left="480"/>
              <w:spacing w:after="0"/>
              <w:rPr>
                <w:sz w:val="20"/>
                <w:szCs w:val="20"/>
                <w:color w:val="auto"/>
              </w:rPr>
            </w:pPr>
            <w:r>
              <w:rPr>
                <w:rFonts w:ascii="Arial" w:cs="Arial" w:eastAsia="Arial" w:hAnsi="Arial"/>
                <w:sz w:val="18"/>
                <w:szCs w:val="18"/>
                <w:color w:val="060606"/>
              </w:rPr>
              <w:t>Three Months Ended September 30,</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2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4"/>
            <w:vMerge w:val="continue"/>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1620" w:type="dxa"/>
            <w:vAlign w:val="bottom"/>
            <w:vMerge w:val="restart"/>
          </w:tcPr>
          <w:p>
            <w:pPr>
              <w:jc w:val="right"/>
              <w:ind w:right="510"/>
              <w:spacing w:after="0"/>
              <w:rPr>
                <w:sz w:val="20"/>
                <w:szCs w:val="20"/>
                <w:color w:val="auto"/>
              </w:rPr>
            </w:pPr>
            <w:r>
              <w:rPr>
                <w:rFonts w:ascii="Arial" w:cs="Arial" w:eastAsia="Arial" w:hAnsi="Arial"/>
                <w:sz w:val="18"/>
                <w:szCs w:val="18"/>
                <w:color w:val="060606"/>
              </w:rPr>
              <w:t>2025</w:t>
            </w:r>
          </w:p>
        </w:tc>
        <w:tc>
          <w:tcPr>
            <w:tcW w:w="100" w:type="dxa"/>
            <w:vAlign w:val="bottom"/>
          </w:tcPr>
          <w:p>
            <w:pPr>
              <w:spacing w:after="0"/>
              <w:rPr>
                <w:sz w:val="15"/>
                <w:szCs w:val="15"/>
                <w:color w:val="auto"/>
              </w:rPr>
            </w:pPr>
          </w:p>
        </w:tc>
        <w:tc>
          <w:tcPr>
            <w:tcW w:w="1620" w:type="dxa"/>
            <w:vAlign w:val="bottom"/>
            <w:vMerge w:val="restart"/>
          </w:tcPr>
          <w:p>
            <w:pPr>
              <w:jc w:val="right"/>
              <w:ind w:right="530"/>
              <w:spacing w:after="0"/>
              <w:rPr>
                <w:sz w:val="20"/>
                <w:szCs w:val="20"/>
                <w:color w:val="auto"/>
              </w:rPr>
            </w:pPr>
            <w:r>
              <w:rPr>
                <w:rFonts w:ascii="Arial" w:cs="Arial" w:eastAsia="Arial" w:hAnsi="Arial"/>
                <w:sz w:val="18"/>
                <w:szCs w:val="18"/>
                <w:color w:val="060606"/>
              </w:rPr>
              <w:t>2024</w:t>
            </w:r>
          </w:p>
        </w:tc>
        <w:tc>
          <w:tcPr>
            <w:tcW w:w="100" w:type="dxa"/>
            <w:vAlign w:val="bottom"/>
          </w:tcPr>
          <w:p>
            <w:pPr>
              <w:spacing w:after="0"/>
              <w:rPr>
                <w:sz w:val="15"/>
                <w:szCs w:val="15"/>
                <w:color w:val="auto"/>
              </w:rPr>
            </w:pPr>
          </w:p>
        </w:tc>
        <w:tc>
          <w:tcPr>
            <w:tcW w:w="1880" w:type="dxa"/>
            <w:vAlign w:val="bottom"/>
            <w:gridSpan w:val="2"/>
            <w:vMerge w:val="restart"/>
          </w:tcPr>
          <w:p>
            <w:pPr>
              <w:ind w:left="460"/>
              <w:spacing w:after="0"/>
              <w:rPr>
                <w:sz w:val="20"/>
                <w:szCs w:val="20"/>
                <w:color w:val="auto"/>
              </w:rPr>
            </w:pPr>
            <w:r>
              <w:rPr>
                <w:rFonts w:ascii="Arial" w:cs="Arial" w:eastAsia="Arial" w:hAnsi="Arial"/>
                <w:sz w:val="18"/>
                <w:szCs w:val="18"/>
                <w:color w:val="060606"/>
              </w:rPr>
              <w:t>% Change</w:t>
            </w:r>
          </w:p>
        </w:tc>
        <w:tc>
          <w:tcPr>
            <w:tcW w:w="1980" w:type="dxa"/>
            <w:vAlign w:val="bottom"/>
          </w:tcPr>
          <w:p>
            <w:pPr>
              <w:jc w:val="right"/>
              <w:ind w:right="150"/>
              <w:spacing w:after="0" w:line="177" w:lineRule="exact"/>
              <w:rPr>
                <w:sz w:val="20"/>
                <w:szCs w:val="20"/>
                <w:color w:val="auto"/>
              </w:rPr>
            </w:pPr>
            <w:r>
              <w:rPr>
                <w:rFonts w:ascii="Arial" w:cs="Arial" w:eastAsia="Arial" w:hAnsi="Arial"/>
                <w:sz w:val="18"/>
                <w:szCs w:val="18"/>
                <w:color w:val="060606"/>
              </w:rPr>
              <w:t>Constant-Currency</w:t>
            </w:r>
          </w:p>
        </w:tc>
        <w:tc>
          <w:tcPr>
            <w:tcW w:w="0" w:type="dxa"/>
            <w:vAlign w:val="bottom"/>
          </w:tcPr>
          <w:p>
            <w:pPr>
              <w:spacing w:after="0"/>
              <w:rPr>
                <w:sz w:val="1"/>
                <w:szCs w:val="1"/>
                <w:color w:val="auto"/>
              </w:rPr>
            </w:pPr>
          </w:p>
        </w:tc>
      </w:tr>
      <w:tr>
        <w:trPr>
          <w:trHeight w:val="235"/>
        </w:trPr>
        <w:tc>
          <w:tcPr>
            <w:tcW w:w="3920" w:type="dxa"/>
            <w:vAlign w:val="bottom"/>
            <w:vMerge w:val="restart"/>
          </w:tcPr>
          <w:p>
            <w:pPr>
              <w:spacing w:after="0"/>
              <w:rPr>
                <w:sz w:val="20"/>
                <w:szCs w:val="20"/>
                <w:color w:val="auto"/>
              </w:rPr>
            </w:pPr>
            <w:r>
              <w:rPr>
                <w:rFonts w:ascii="Arial" w:cs="Arial" w:eastAsia="Arial" w:hAnsi="Arial"/>
                <w:sz w:val="18"/>
                <w:szCs w:val="18"/>
                <w:color w:val="060606"/>
              </w:rPr>
              <w:t>Cardiopulmonary</w:t>
            </w: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1980" w:type="dxa"/>
            <w:vAlign w:val="bottom"/>
          </w:tcPr>
          <w:p>
            <w:pPr>
              <w:jc w:val="right"/>
              <w:ind w:right="490"/>
              <w:spacing w:after="0"/>
              <w:rPr>
                <w:sz w:val="20"/>
                <w:szCs w:val="20"/>
                <w:color w:val="auto"/>
              </w:rPr>
            </w:pPr>
            <w:r>
              <w:rPr>
                <w:rFonts w:ascii="Arial" w:cs="Arial" w:eastAsia="Arial" w:hAnsi="Arial"/>
                <w:sz w:val="18"/>
                <w:szCs w:val="18"/>
                <w:color w:val="060606"/>
              </w:rPr>
              <w:t>% Change</w:t>
            </w:r>
          </w:p>
        </w:tc>
        <w:tc>
          <w:tcPr>
            <w:tcW w:w="0" w:type="dxa"/>
            <w:vAlign w:val="bottom"/>
          </w:tcPr>
          <w:p>
            <w:pPr>
              <w:spacing w:after="0"/>
              <w:rPr>
                <w:sz w:val="1"/>
                <w:szCs w:val="1"/>
                <w:color w:val="auto"/>
              </w:rPr>
            </w:pPr>
          </w:p>
        </w:tc>
      </w:tr>
      <w:tr>
        <w:trPr>
          <w:trHeight w:val="204"/>
        </w:trPr>
        <w:tc>
          <w:tcPr>
            <w:tcW w:w="3920" w:type="dxa"/>
            <w:vAlign w:val="bottom"/>
            <w:vMerge w:val="continue"/>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$71.9</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$62.5</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15.1 %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15.1 %</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line="230"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50.1</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40.9</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22.4 %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15.5 %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81.2</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68.8</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18.0 %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16.8 %</w:t>
            </w:r>
          </w:p>
        </w:tc>
        <w:tc>
          <w:tcPr>
            <w:tcW w:w="0" w:type="dxa"/>
            <w:vAlign w:val="bottom"/>
          </w:tcPr>
          <w:p>
            <w:pPr>
              <w:spacing w:after="0"/>
              <w:rPr>
                <w:sz w:val="1"/>
                <w:szCs w:val="1"/>
                <w:color w:val="auto"/>
              </w:rPr>
            </w:pPr>
          </w:p>
        </w:tc>
      </w:tr>
      <w:tr>
        <w:trPr>
          <w:trHeight w:val="223"/>
        </w:trPr>
        <w:tc>
          <w:tcPr>
            <w:tcW w:w="3920" w:type="dxa"/>
            <w:vAlign w:val="bottom"/>
            <w:vMerge w:val="restart"/>
          </w:tcPr>
          <w:p>
            <w:pPr>
              <w:spacing w:after="0"/>
              <w:rPr>
                <w:sz w:val="20"/>
                <w:szCs w:val="20"/>
                <w:color w:val="auto"/>
              </w:rPr>
            </w:pPr>
            <w:r>
              <w:rPr>
                <w:rFonts w:ascii="Arial" w:cs="Arial" w:eastAsia="Arial" w:hAnsi="Arial"/>
                <w:sz w:val="18"/>
                <w:szCs w:val="18"/>
                <w:color w:val="060606"/>
              </w:rPr>
              <w:t>Neuromodulation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203.2</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172.2</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18.0 %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15.9 %</w:t>
            </w:r>
          </w:p>
        </w:tc>
        <w:tc>
          <w:tcPr>
            <w:tcW w:w="0" w:type="dxa"/>
            <w:vAlign w:val="bottom"/>
          </w:tcPr>
          <w:p>
            <w:pPr>
              <w:spacing w:after="0"/>
              <w:rPr>
                <w:sz w:val="1"/>
                <w:szCs w:val="1"/>
                <w:color w:val="auto"/>
              </w:rPr>
            </w:pPr>
          </w:p>
        </w:tc>
      </w:tr>
      <w:tr>
        <w:trPr>
          <w:trHeight w:val="204"/>
        </w:trPr>
        <w:tc>
          <w:tcPr>
            <w:tcW w:w="392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118.4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112.9</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4.9 %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4.9 %</w:t>
            </w:r>
          </w:p>
        </w:tc>
        <w:tc>
          <w:tcPr>
            <w:tcW w:w="0" w:type="dxa"/>
            <w:vAlign w:val="bottom"/>
          </w:tcPr>
          <w:p>
            <w:pPr>
              <w:spacing w:after="0"/>
              <w:rPr>
                <w:sz w:val="1"/>
                <w:szCs w:val="1"/>
                <w:color w:val="auto"/>
              </w:rPr>
            </w:pPr>
          </w:p>
        </w:tc>
      </w:tr>
      <w:tr>
        <w:trPr>
          <w:trHeight w:val="229"/>
        </w:trPr>
        <w:tc>
          <w:tcPr>
            <w:tcW w:w="3920" w:type="dxa"/>
            <w:vAlign w:val="bottom"/>
          </w:tcPr>
          <w:p>
            <w:pPr>
              <w:ind w:left="120"/>
              <w:spacing w:after="0" w:line="230"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14.5</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11.9</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21.8 %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14.5 %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16.6</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15.0</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10.5 %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11.4 %</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149.5</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139.9</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6.9 %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6.4 %</w:t>
            </w:r>
          </w:p>
        </w:tc>
        <w:tc>
          <w:tcPr>
            <w:tcW w:w="0" w:type="dxa"/>
            <w:vAlign w:val="bottom"/>
          </w:tcPr>
          <w:p>
            <w:pPr>
              <w:spacing w:after="0"/>
              <w:rPr>
                <w:sz w:val="1"/>
                <w:szCs w:val="1"/>
                <w:color w:val="auto"/>
              </w:rPr>
            </w:pPr>
          </w:p>
        </w:tc>
      </w:tr>
      <w:tr>
        <w:trPr>
          <w:trHeight w:val="223"/>
        </w:trPr>
        <w:tc>
          <w:tcPr>
            <w:tcW w:w="3920" w:type="dxa"/>
            <w:vAlign w:val="bottom"/>
          </w:tcPr>
          <w:p>
            <w:pPr>
              <w:spacing w:after="0" w:line="223" w:lineRule="exact"/>
              <w:rPr>
                <w:sz w:val="20"/>
                <w:szCs w:val="20"/>
                <w:color w:val="auto"/>
              </w:rPr>
            </w:pPr>
            <w:r>
              <w:rPr>
                <w:rFonts w:ascii="Arial" w:cs="Arial" w:eastAsia="Arial" w:hAnsi="Arial"/>
                <w:sz w:val="18"/>
                <w:szCs w:val="18"/>
                <w:color w:val="060606"/>
              </w:rPr>
              <w:t xml:space="preserve">Other Revenue </w:t>
            </w:r>
            <w:r>
              <w:rPr>
                <w:rFonts w:ascii="Arial" w:cs="Arial" w:eastAsia="Arial" w:hAnsi="Arial"/>
                <w:sz w:val="23"/>
                <w:szCs w:val="23"/>
                <w:color w:val="060606"/>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5.0</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6.0</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(16.8)%</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(21.3)%</w:t>
            </w:r>
          </w:p>
        </w:tc>
        <w:tc>
          <w:tcPr>
            <w:tcW w:w="0" w:type="dxa"/>
            <w:vAlign w:val="bottom"/>
          </w:tcPr>
          <w:p>
            <w:pPr>
              <w:spacing w:after="0"/>
              <w:rPr>
                <w:sz w:val="1"/>
                <w:szCs w:val="1"/>
                <w:color w:val="auto"/>
              </w:rPr>
            </w:pPr>
          </w:p>
        </w:tc>
      </w:tr>
      <w:tr>
        <w:trPr>
          <w:trHeight w:val="204"/>
        </w:trPr>
        <w:tc>
          <w:tcPr>
            <w:tcW w:w="3920" w:type="dxa"/>
            <w:vAlign w:val="bottom"/>
          </w:tcPr>
          <w:p>
            <w:pPr>
              <w:spacing w:after="0" w:line="204" w:lineRule="exact"/>
              <w:rPr>
                <w:sz w:val="20"/>
                <w:szCs w:val="20"/>
                <w:color w:val="auto"/>
              </w:rPr>
            </w:pPr>
            <w:r>
              <w:rPr>
                <w:rFonts w:ascii="Arial" w:cs="Arial" w:eastAsia="Arial" w:hAnsi="Arial"/>
                <w:sz w:val="18"/>
                <w:szCs w:val="18"/>
                <w:color w:val="060606"/>
              </w:rPr>
              <w:t>Totals</w:t>
            </w: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190.4</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179.8</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5.9 %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5.9 %</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line="230"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67.7</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060606"/>
              </w:rPr>
              <w:t>52.8</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28.2 %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20.9 %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99.6</w:t>
            </w:r>
          </w:p>
        </w:tc>
        <w:tc>
          <w:tcPr>
            <w:tcW w:w="10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85.5</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16.5 %</w:t>
            </w:r>
          </w:p>
        </w:tc>
        <w:tc>
          <w:tcPr>
            <w:tcW w:w="1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15.7 %</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$357.8</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$318.1</w:t>
            </w:r>
          </w:p>
        </w:tc>
        <w:tc>
          <w:tcPr>
            <w:tcW w:w="1860" w:type="dxa"/>
            <w:vAlign w:val="bottom"/>
            <w:gridSpan w:val="2"/>
          </w:tcPr>
          <w:p>
            <w:pPr>
              <w:jc w:val="right"/>
              <w:spacing w:after="0"/>
              <w:rPr>
                <w:sz w:val="20"/>
                <w:szCs w:val="20"/>
                <w:color w:val="auto"/>
              </w:rPr>
            </w:pPr>
            <w:r>
              <w:rPr>
                <w:rFonts w:ascii="Arial" w:cs="Arial" w:eastAsia="Arial" w:hAnsi="Arial"/>
                <w:sz w:val="18"/>
                <w:szCs w:val="18"/>
                <w:color w:val="060606"/>
              </w:rPr>
              <w:t>12.5 %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11.0 %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right="20" w:hanging="332"/>
        <w:spacing w:after="0" w:line="227" w:lineRule="auto"/>
        <w:tabs>
          <w:tab w:leader="none" w:pos="333" w:val="left"/>
        </w:tabs>
        <w:numPr>
          <w:ilvl w:val="0"/>
          <w:numId w:val="8"/>
        </w:numPr>
        <w:rPr>
          <w:rFonts w:ascii="Arial" w:cs="Arial" w:eastAsia="Arial" w:hAnsi="Arial"/>
          <w:sz w:val="21"/>
          <w:szCs w:val="21"/>
          <w:color w:val="060606"/>
          <w:vertAlign w:val="superscript"/>
        </w:rPr>
      </w:pPr>
      <w:r>
        <w:rPr>
          <w:rFonts w:ascii="Arial" w:cs="Arial" w:eastAsia="Arial" w:hAnsi="Arial"/>
          <w:sz w:val="16"/>
          <w:szCs w:val="16"/>
          <w:color w:val="060606"/>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2" w:lineRule="exact"/>
        <w:rPr>
          <w:rFonts w:ascii="Arial" w:cs="Arial" w:eastAsia="Arial" w:hAnsi="Arial"/>
          <w:sz w:val="21"/>
          <w:szCs w:val="21"/>
          <w:color w:val="060606"/>
          <w:vertAlign w:val="superscript"/>
        </w:rPr>
      </w:pPr>
    </w:p>
    <w:p>
      <w:pPr>
        <w:ind w:left="340" w:hanging="332"/>
        <w:spacing w:after="0" w:line="227" w:lineRule="auto"/>
        <w:tabs>
          <w:tab w:leader="none" w:pos="333" w:val="left"/>
        </w:tabs>
        <w:numPr>
          <w:ilvl w:val="0"/>
          <w:numId w:val="8"/>
        </w:numPr>
        <w:rPr>
          <w:rFonts w:ascii="Arial" w:cs="Arial" w:eastAsia="Arial" w:hAnsi="Arial"/>
          <w:sz w:val="21"/>
          <w:szCs w:val="21"/>
          <w:color w:val="060606"/>
          <w:vertAlign w:val="superscript"/>
        </w:rPr>
      </w:pPr>
      <w:r>
        <w:rPr>
          <w:rFonts w:ascii="Arial" w:cs="Arial" w:eastAsia="Arial" w:hAnsi="Arial"/>
          <w:sz w:val="16"/>
          <w:szCs w:val="16"/>
          <w:color w:val="060606"/>
        </w:rPr>
        <w:t>“Other Revenue” includes rental and site services income not allocated to segments. In addition, for 2024, “Other Revenue” includes revenue from the Company’s former ACS reportable segment.</w:t>
      </w:r>
    </w:p>
    <w:p>
      <w:pPr>
        <w:spacing w:after="0" w:line="3"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920" w:type="dxa"/>
            <w:vAlign w:val="bottom"/>
          </w:tcPr>
          <w:p>
            <w:pPr>
              <w:spacing w:after="0"/>
              <w:rPr>
                <w:sz w:val="20"/>
                <w:szCs w:val="20"/>
                <w:color w:val="auto"/>
              </w:rPr>
            </w:pPr>
            <w:r>
              <w:rPr>
                <w:rFonts w:ascii="Arial" w:cs="Arial" w:eastAsia="Arial" w:hAnsi="Arial"/>
                <w:sz w:val="18"/>
                <w:szCs w:val="18"/>
                <w:color w:val="060606"/>
              </w:rPr>
              <w:t>LIVANOVA PLC</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060606"/>
              </w:rPr>
              <w:t>NET REVENUE - UNAUDITED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20" w:type="dxa"/>
            <w:vAlign w:val="bottom"/>
          </w:tcPr>
          <w:p>
            <w:pPr>
              <w:spacing w:after="0"/>
              <w:rPr>
                <w:sz w:val="20"/>
                <w:szCs w:val="20"/>
                <w:color w:val="auto"/>
              </w:rPr>
            </w:pPr>
            <w:r>
              <w:rPr>
                <w:rFonts w:ascii="Arial" w:cs="Arial" w:eastAsia="Arial" w:hAnsi="Arial"/>
                <w:sz w:val="18"/>
                <w:szCs w:val="18"/>
                <w:color w:val="060606"/>
              </w:rPr>
              <w:t>(U.S. dollars in millions)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4"/>
            <w:vMerge w:val="restart"/>
          </w:tcPr>
          <w:p>
            <w:pPr>
              <w:ind w:left="500"/>
              <w:spacing w:after="0"/>
              <w:rPr>
                <w:sz w:val="20"/>
                <w:szCs w:val="20"/>
                <w:color w:val="auto"/>
              </w:rPr>
            </w:pPr>
            <w:r>
              <w:rPr>
                <w:rFonts w:ascii="Arial" w:cs="Arial" w:eastAsia="Arial" w:hAnsi="Arial"/>
                <w:sz w:val="18"/>
                <w:szCs w:val="18"/>
                <w:color w:val="060606"/>
              </w:rPr>
              <w:t>Nine Months Ended September 30,</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2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4"/>
            <w:vMerge w:val="continue"/>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3920" w:type="dxa"/>
            <w:vAlign w:val="bottom"/>
          </w:tcPr>
          <w:p>
            <w:pPr>
              <w:spacing w:after="0"/>
              <w:rPr>
                <w:sz w:val="15"/>
                <w:szCs w:val="15"/>
                <w:color w:val="auto"/>
              </w:rPr>
            </w:pPr>
          </w:p>
        </w:tc>
        <w:tc>
          <w:tcPr>
            <w:tcW w:w="1620" w:type="dxa"/>
            <w:vAlign w:val="bottom"/>
            <w:vMerge w:val="restart"/>
          </w:tcPr>
          <w:p>
            <w:pPr>
              <w:jc w:val="right"/>
              <w:ind w:right="510"/>
              <w:spacing w:after="0"/>
              <w:rPr>
                <w:sz w:val="20"/>
                <w:szCs w:val="20"/>
                <w:color w:val="auto"/>
              </w:rPr>
            </w:pPr>
            <w:r>
              <w:rPr>
                <w:rFonts w:ascii="Arial" w:cs="Arial" w:eastAsia="Arial" w:hAnsi="Arial"/>
                <w:sz w:val="18"/>
                <w:szCs w:val="18"/>
                <w:color w:val="060606"/>
              </w:rPr>
              <w:t>2025</w:t>
            </w:r>
          </w:p>
        </w:tc>
        <w:tc>
          <w:tcPr>
            <w:tcW w:w="120" w:type="dxa"/>
            <w:vAlign w:val="bottom"/>
          </w:tcPr>
          <w:p>
            <w:pPr>
              <w:spacing w:after="0"/>
              <w:rPr>
                <w:sz w:val="15"/>
                <w:szCs w:val="15"/>
                <w:color w:val="auto"/>
              </w:rPr>
            </w:pPr>
          </w:p>
        </w:tc>
        <w:tc>
          <w:tcPr>
            <w:tcW w:w="1600" w:type="dxa"/>
            <w:vAlign w:val="bottom"/>
            <w:vMerge w:val="restart"/>
          </w:tcPr>
          <w:p>
            <w:pPr>
              <w:jc w:val="right"/>
              <w:ind w:right="510"/>
              <w:spacing w:after="0"/>
              <w:rPr>
                <w:sz w:val="20"/>
                <w:szCs w:val="20"/>
                <w:color w:val="auto"/>
              </w:rPr>
            </w:pPr>
            <w:r>
              <w:rPr>
                <w:rFonts w:ascii="Arial" w:cs="Arial" w:eastAsia="Arial" w:hAnsi="Arial"/>
                <w:sz w:val="18"/>
                <w:szCs w:val="18"/>
                <w:color w:val="060606"/>
              </w:rPr>
              <w:t>2024</w:t>
            </w:r>
          </w:p>
        </w:tc>
        <w:tc>
          <w:tcPr>
            <w:tcW w:w="120" w:type="dxa"/>
            <w:vAlign w:val="bottom"/>
          </w:tcPr>
          <w:p>
            <w:pPr>
              <w:spacing w:after="0"/>
              <w:rPr>
                <w:sz w:val="15"/>
                <w:szCs w:val="15"/>
                <w:color w:val="auto"/>
              </w:rPr>
            </w:pPr>
          </w:p>
        </w:tc>
        <w:tc>
          <w:tcPr>
            <w:tcW w:w="1860" w:type="dxa"/>
            <w:vAlign w:val="bottom"/>
            <w:gridSpan w:val="2"/>
            <w:vMerge w:val="restart"/>
          </w:tcPr>
          <w:p>
            <w:pPr>
              <w:ind w:left="460"/>
              <w:spacing w:after="0"/>
              <w:rPr>
                <w:sz w:val="20"/>
                <w:szCs w:val="20"/>
                <w:color w:val="auto"/>
              </w:rPr>
            </w:pPr>
            <w:r>
              <w:rPr>
                <w:rFonts w:ascii="Arial" w:cs="Arial" w:eastAsia="Arial" w:hAnsi="Arial"/>
                <w:sz w:val="18"/>
                <w:szCs w:val="18"/>
                <w:color w:val="060606"/>
              </w:rPr>
              <w:t>% Change</w:t>
            </w:r>
          </w:p>
        </w:tc>
        <w:tc>
          <w:tcPr>
            <w:tcW w:w="1980" w:type="dxa"/>
            <w:vAlign w:val="bottom"/>
          </w:tcPr>
          <w:p>
            <w:pPr>
              <w:jc w:val="right"/>
              <w:ind w:right="30"/>
              <w:spacing w:after="0" w:line="177" w:lineRule="exact"/>
              <w:rPr>
                <w:sz w:val="20"/>
                <w:szCs w:val="20"/>
                <w:color w:val="auto"/>
              </w:rPr>
            </w:pPr>
            <w:r>
              <w:rPr>
                <w:rFonts w:ascii="Arial" w:cs="Arial" w:eastAsia="Arial" w:hAnsi="Arial"/>
                <w:sz w:val="18"/>
                <w:szCs w:val="18"/>
                <w:color w:val="060606"/>
              </w:rPr>
              <w:t>Constant-Currency %</w:t>
            </w:r>
          </w:p>
        </w:tc>
        <w:tc>
          <w:tcPr>
            <w:tcW w:w="0" w:type="dxa"/>
            <w:vAlign w:val="bottom"/>
          </w:tcPr>
          <w:p>
            <w:pPr>
              <w:spacing w:after="0"/>
              <w:rPr>
                <w:sz w:val="1"/>
                <w:szCs w:val="1"/>
                <w:color w:val="auto"/>
              </w:rPr>
            </w:pPr>
          </w:p>
        </w:tc>
      </w:tr>
      <w:tr>
        <w:trPr>
          <w:trHeight w:val="235"/>
        </w:trPr>
        <w:tc>
          <w:tcPr>
            <w:tcW w:w="3920" w:type="dxa"/>
            <w:vAlign w:val="bottom"/>
            <w:vMerge w:val="restart"/>
          </w:tcPr>
          <w:p>
            <w:pPr>
              <w:spacing w:after="0"/>
              <w:rPr>
                <w:sz w:val="20"/>
                <w:szCs w:val="20"/>
                <w:color w:val="auto"/>
              </w:rPr>
            </w:pPr>
            <w:r>
              <w:rPr>
                <w:rFonts w:ascii="Arial" w:cs="Arial" w:eastAsia="Arial" w:hAnsi="Arial"/>
                <w:sz w:val="18"/>
                <w:szCs w:val="18"/>
                <w:color w:val="060606"/>
              </w:rPr>
              <w:t>Cardiopulmonary</w:t>
            </w:r>
          </w:p>
        </w:tc>
        <w:tc>
          <w:tcPr>
            <w:tcW w:w="16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980" w:type="dxa"/>
            <w:vAlign w:val="bottom"/>
          </w:tcPr>
          <w:p>
            <w:pPr>
              <w:jc w:val="right"/>
              <w:ind w:right="590"/>
              <w:spacing w:after="0"/>
              <w:rPr>
                <w:sz w:val="20"/>
                <w:szCs w:val="20"/>
                <w:color w:val="auto"/>
              </w:rPr>
            </w:pPr>
            <w:r>
              <w:rPr>
                <w:rFonts w:ascii="Arial" w:cs="Arial" w:eastAsia="Arial" w:hAnsi="Arial"/>
                <w:sz w:val="18"/>
                <w:szCs w:val="18"/>
                <w:color w:val="060606"/>
              </w:rPr>
              <w:t>Change</w:t>
            </w:r>
          </w:p>
        </w:tc>
        <w:tc>
          <w:tcPr>
            <w:tcW w:w="0" w:type="dxa"/>
            <w:vAlign w:val="bottom"/>
          </w:tcPr>
          <w:p>
            <w:pPr>
              <w:spacing w:after="0"/>
              <w:rPr>
                <w:sz w:val="1"/>
                <w:szCs w:val="1"/>
                <w:color w:val="auto"/>
              </w:rPr>
            </w:pPr>
          </w:p>
        </w:tc>
      </w:tr>
      <w:tr>
        <w:trPr>
          <w:trHeight w:val="204"/>
        </w:trPr>
        <w:tc>
          <w:tcPr>
            <w:tcW w:w="3920" w:type="dxa"/>
            <w:vAlign w:val="bottom"/>
            <w:vMerge w:val="continue"/>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$204.0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60606"/>
              </w:rPr>
              <w:t>$178.0</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14.6 %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14.6 %</w:t>
            </w:r>
          </w:p>
        </w:tc>
        <w:tc>
          <w:tcPr>
            <w:tcW w:w="0" w:type="dxa"/>
            <w:vAlign w:val="bottom"/>
          </w:tcPr>
          <w:p>
            <w:pPr>
              <w:spacing w:after="0"/>
              <w:rPr>
                <w:sz w:val="1"/>
                <w:szCs w:val="1"/>
                <w:color w:val="auto"/>
              </w:rPr>
            </w:pPr>
          </w:p>
        </w:tc>
      </w:tr>
      <w:tr>
        <w:trPr>
          <w:trHeight w:val="229"/>
        </w:trPr>
        <w:tc>
          <w:tcPr>
            <w:tcW w:w="3920" w:type="dxa"/>
            <w:vAlign w:val="bottom"/>
          </w:tcPr>
          <w:p>
            <w:pPr>
              <w:ind w:left="120"/>
              <w:spacing w:after="0" w:line="230"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143.6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60606"/>
              </w:rPr>
              <w:t>120.4</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19.3 %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15.5 %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231.2</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203.5</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13.6 %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13.8 %</w:t>
            </w:r>
          </w:p>
        </w:tc>
        <w:tc>
          <w:tcPr>
            <w:tcW w:w="0" w:type="dxa"/>
            <w:vAlign w:val="bottom"/>
          </w:tcPr>
          <w:p>
            <w:pPr>
              <w:spacing w:after="0"/>
              <w:rPr>
                <w:sz w:val="1"/>
                <w:szCs w:val="1"/>
                <w:color w:val="auto"/>
              </w:rPr>
            </w:pPr>
          </w:p>
        </w:tc>
      </w:tr>
      <w:tr>
        <w:trPr>
          <w:trHeight w:val="223"/>
        </w:trPr>
        <w:tc>
          <w:tcPr>
            <w:tcW w:w="3920" w:type="dxa"/>
            <w:vAlign w:val="bottom"/>
            <w:vMerge w:val="restart"/>
          </w:tcPr>
          <w:p>
            <w:pPr>
              <w:spacing w:after="0"/>
              <w:rPr>
                <w:sz w:val="20"/>
                <w:szCs w:val="20"/>
                <w:color w:val="auto"/>
              </w:rPr>
            </w:pPr>
            <w:r>
              <w:rPr>
                <w:rFonts w:ascii="Arial" w:cs="Arial" w:eastAsia="Arial" w:hAnsi="Arial"/>
                <w:sz w:val="18"/>
                <w:szCs w:val="18"/>
                <w:color w:val="060606"/>
              </w:rPr>
              <w:t>Neuromodulation</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578.8</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501.8</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15.3 %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14.5 %</w:t>
            </w:r>
          </w:p>
        </w:tc>
        <w:tc>
          <w:tcPr>
            <w:tcW w:w="0" w:type="dxa"/>
            <w:vAlign w:val="bottom"/>
          </w:tcPr>
          <w:p>
            <w:pPr>
              <w:spacing w:after="0"/>
              <w:rPr>
                <w:sz w:val="1"/>
                <w:szCs w:val="1"/>
                <w:color w:val="auto"/>
              </w:rPr>
            </w:pPr>
          </w:p>
        </w:tc>
      </w:tr>
      <w:tr>
        <w:trPr>
          <w:trHeight w:val="204"/>
        </w:trPr>
        <w:tc>
          <w:tcPr>
            <w:tcW w:w="3920" w:type="dxa"/>
            <w:vAlign w:val="bottom"/>
            <w:vMerge w:val="continue"/>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344.0</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60606"/>
              </w:rPr>
              <w:t>330.5</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4.1 %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4.1 %</w:t>
            </w:r>
          </w:p>
        </w:tc>
        <w:tc>
          <w:tcPr>
            <w:tcW w:w="0" w:type="dxa"/>
            <w:vAlign w:val="bottom"/>
          </w:tcPr>
          <w:p>
            <w:pPr>
              <w:spacing w:after="0"/>
              <w:rPr>
                <w:sz w:val="1"/>
                <w:szCs w:val="1"/>
                <w:color w:val="auto"/>
              </w:rPr>
            </w:pPr>
          </w:p>
        </w:tc>
      </w:tr>
      <w:tr>
        <w:trPr>
          <w:trHeight w:val="229"/>
        </w:trPr>
        <w:tc>
          <w:tcPr>
            <w:tcW w:w="3920" w:type="dxa"/>
            <w:vAlign w:val="bottom"/>
          </w:tcPr>
          <w:p>
            <w:pPr>
              <w:ind w:left="120"/>
              <w:spacing w:after="0" w:line="230"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47.4</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60606"/>
              </w:rPr>
              <w:t>40.9</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15.9 %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12.2 %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48.7</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45.2</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7.8 %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10.4 %</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440.1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416.6</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5.6 %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5.5 %</w:t>
            </w:r>
          </w:p>
        </w:tc>
        <w:tc>
          <w:tcPr>
            <w:tcW w:w="0" w:type="dxa"/>
            <w:vAlign w:val="bottom"/>
          </w:tcPr>
          <w:p>
            <w:pPr>
              <w:spacing w:after="0"/>
              <w:rPr>
                <w:sz w:val="1"/>
                <w:szCs w:val="1"/>
                <w:color w:val="auto"/>
              </w:rPr>
            </w:pPr>
          </w:p>
        </w:tc>
      </w:tr>
      <w:tr>
        <w:trPr>
          <w:trHeight w:val="223"/>
        </w:trPr>
        <w:tc>
          <w:tcPr>
            <w:tcW w:w="3920" w:type="dxa"/>
            <w:vAlign w:val="bottom"/>
          </w:tcPr>
          <w:p>
            <w:pPr>
              <w:spacing w:after="0" w:line="223" w:lineRule="exact"/>
              <w:rPr>
                <w:sz w:val="20"/>
                <w:szCs w:val="20"/>
                <w:color w:val="auto"/>
              </w:rPr>
            </w:pPr>
            <w:r>
              <w:rPr>
                <w:rFonts w:ascii="Arial" w:cs="Arial" w:eastAsia="Arial" w:hAnsi="Arial"/>
                <w:sz w:val="18"/>
                <w:szCs w:val="18"/>
                <w:color w:val="060606"/>
              </w:rPr>
              <w:t xml:space="preserve">Other Revenue </w:t>
            </w:r>
            <w:r>
              <w:rPr>
                <w:rFonts w:ascii="Arial" w:cs="Arial" w:eastAsia="Arial" w:hAnsi="Arial"/>
                <w:sz w:val="23"/>
                <w:szCs w:val="23"/>
                <w:color w:val="060606"/>
                <w:vertAlign w:val="superscript"/>
              </w:rPr>
              <w:t>(2)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8.2</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13.2</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(37.4)%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(39.7)%</w:t>
            </w:r>
          </w:p>
        </w:tc>
        <w:tc>
          <w:tcPr>
            <w:tcW w:w="0" w:type="dxa"/>
            <w:vAlign w:val="bottom"/>
          </w:tcPr>
          <w:p>
            <w:pPr>
              <w:spacing w:after="0"/>
              <w:rPr>
                <w:sz w:val="1"/>
                <w:szCs w:val="1"/>
                <w:color w:val="auto"/>
              </w:rPr>
            </w:pPr>
          </w:p>
        </w:tc>
      </w:tr>
      <w:tr>
        <w:trPr>
          <w:trHeight w:val="204"/>
        </w:trPr>
        <w:tc>
          <w:tcPr>
            <w:tcW w:w="3920" w:type="dxa"/>
            <w:vAlign w:val="bottom"/>
          </w:tcPr>
          <w:p>
            <w:pPr>
              <w:spacing w:after="0" w:line="204" w:lineRule="exact"/>
              <w:rPr>
                <w:sz w:val="20"/>
                <w:szCs w:val="20"/>
                <w:color w:val="auto"/>
              </w:rPr>
            </w:pPr>
            <w:r>
              <w:rPr>
                <w:rFonts w:ascii="Arial" w:cs="Arial" w:eastAsia="Arial" w:hAnsi="Arial"/>
                <w:sz w:val="18"/>
                <w:szCs w:val="18"/>
                <w:color w:val="060606"/>
              </w:rPr>
              <w:t>Totals</w:t>
            </w: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20"/>
              <w:spacing w:after="0"/>
              <w:rPr>
                <w:sz w:val="20"/>
                <w:szCs w:val="20"/>
                <w:color w:val="auto"/>
              </w:rPr>
            </w:pPr>
            <w:r>
              <w:rPr>
                <w:rFonts w:ascii="Arial" w:cs="Arial" w:eastAsia="Arial" w:hAnsi="Arial"/>
                <w:sz w:val="18"/>
                <w:szCs w:val="18"/>
                <w:color w:val="060606"/>
              </w:rPr>
              <w:t>U.S.</w:t>
            </w:r>
          </w:p>
        </w:tc>
        <w:tc>
          <w:tcPr>
            <w:tcW w:w="1620" w:type="dxa"/>
            <w:vAlign w:val="bottom"/>
          </w:tcPr>
          <w:p>
            <w:pPr>
              <w:jc w:val="right"/>
              <w:spacing w:after="0"/>
              <w:rPr>
                <w:sz w:val="20"/>
                <w:szCs w:val="20"/>
                <w:color w:val="auto"/>
              </w:rPr>
            </w:pPr>
            <w:r>
              <w:rPr>
                <w:rFonts w:ascii="Arial" w:cs="Arial" w:eastAsia="Arial" w:hAnsi="Arial"/>
                <w:sz w:val="18"/>
                <w:szCs w:val="18"/>
                <w:color w:val="060606"/>
              </w:rPr>
              <w:t>548.1</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60606"/>
              </w:rPr>
              <w:t>520.0</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5.4 %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5.4 %</w:t>
            </w:r>
          </w:p>
        </w:tc>
        <w:tc>
          <w:tcPr>
            <w:tcW w:w="0" w:type="dxa"/>
            <w:vAlign w:val="bottom"/>
          </w:tcPr>
          <w:p>
            <w:pPr>
              <w:spacing w:after="0"/>
              <w:rPr>
                <w:sz w:val="1"/>
                <w:szCs w:val="1"/>
                <w:color w:val="auto"/>
              </w:rPr>
            </w:pPr>
          </w:p>
        </w:tc>
      </w:tr>
      <w:tr>
        <w:trPr>
          <w:trHeight w:val="230"/>
        </w:trPr>
        <w:tc>
          <w:tcPr>
            <w:tcW w:w="3920" w:type="dxa"/>
            <w:vAlign w:val="bottom"/>
          </w:tcPr>
          <w:p>
            <w:pPr>
              <w:ind w:left="120"/>
              <w:spacing w:after="0" w:line="230" w:lineRule="exact"/>
              <w:rPr>
                <w:sz w:val="20"/>
                <w:szCs w:val="20"/>
                <w:color w:val="auto"/>
              </w:rPr>
            </w:pPr>
            <w:r>
              <w:rPr>
                <w:rFonts w:ascii="Arial" w:cs="Arial" w:eastAsia="Arial" w:hAnsi="Arial"/>
                <w:sz w:val="18"/>
                <w:szCs w:val="18"/>
                <w:color w:val="060606"/>
              </w:rPr>
              <w:t xml:space="preserve">Europe </w:t>
            </w:r>
            <w:r>
              <w:rPr>
                <w:rFonts w:ascii="Arial" w:cs="Arial" w:eastAsia="Arial" w:hAnsi="Arial"/>
                <w:sz w:val="23"/>
                <w:szCs w:val="23"/>
                <w:color w:val="060606"/>
                <w:vertAlign w:val="superscript"/>
              </w:rPr>
              <w:t>(1)</w:t>
            </w:r>
          </w:p>
        </w:tc>
        <w:tc>
          <w:tcPr>
            <w:tcW w:w="1620" w:type="dxa"/>
            <w:vAlign w:val="bottom"/>
          </w:tcPr>
          <w:p>
            <w:pPr>
              <w:jc w:val="right"/>
              <w:spacing w:after="0"/>
              <w:rPr>
                <w:sz w:val="20"/>
                <w:szCs w:val="20"/>
                <w:color w:val="auto"/>
              </w:rPr>
            </w:pPr>
            <w:r>
              <w:rPr>
                <w:rFonts w:ascii="Arial" w:cs="Arial" w:eastAsia="Arial" w:hAnsi="Arial"/>
                <w:sz w:val="18"/>
                <w:szCs w:val="18"/>
                <w:color w:val="060606"/>
              </w:rPr>
              <w:t>194.2</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060606"/>
              </w:rPr>
              <w:t>158.4</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22.6 %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18.6 %</w:t>
            </w:r>
          </w:p>
        </w:tc>
        <w:tc>
          <w:tcPr>
            <w:tcW w:w="0" w:type="dxa"/>
            <w:vAlign w:val="bottom"/>
          </w:tcPr>
          <w:p>
            <w:pPr>
              <w:spacing w:after="0"/>
              <w:rPr>
                <w:sz w:val="1"/>
                <w:szCs w:val="1"/>
                <w:color w:val="auto"/>
              </w:rPr>
            </w:pPr>
          </w:p>
        </w:tc>
      </w:tr>
      <w:tr>
        <w:trPr>
          <w:trHeight w:val="235"/>
        </w:trPr>
        <w:tc>
          <w:tcPr>
            <w:tcW w:w="3920" w:type="dxa"/>
            <w:vAlign w:val="bottom"/>
          </w:tcPr>
          <w:p>
            <w:pPr>
              <w:ind w:left="120"/>
              <w:spacing w:after="0" w:line="235" w:lineRule="exact"/>
              <w:rPr>
                <w:sz w:val="20"/>
                <w:szCs w:val="20"/>
                <w:color w:val="auto"/>
              </w:rPr>
            </w:pPr>
            <w:r>
              <w:rPr>
                <w:rFonts w:ascii="Arial" w:cs="Arial" w:eastAsia="Arial" w:hAnsi="Arial"/>
                <w:sz w:val="18"/>
                <w:szCs w:val="18"/>
                <w:color w:val="060606"/>
              </w:rPr>
              <w:t xml:space="preserve">Rest of World </w:t>
            </w:r>
            <w:r>
              <w:rPr>
                <w:rFonts w:ascii="Arial" w:cs="Arial" w:eastAsia="Arial" w:hAnsi="Arial"/>
                <w:sz w:val="23"/>
                <w:szCs w:val="23"/>
                <w:color w:val="060606"/>
                <w:vertAlign w:val="superscript"/>
              </w:rPr>
              <w:t>(1)</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284.9</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253.2</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12.5 %</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13.1 %</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$1,027.1</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$931.6</w:t>
            </w:r>
          </w:p>
        </w:tc>
        <w:tc>
          <w:tcPr>
            <w:tcW w:w="1880" w:type="dxa"/>
            <w:vAlign w:val="bottom"/>
            <w:gridSpan w:val="2"/>
          </w:tcPr>
          <w:p>
            <w:pPr>
              <w:jc w:val="right"/>
              <w:spacing w:after="0"/>
              <w:rPr>
                <w:sz w:val="20"/>
                <w:szCs w:val="20"/>
                <w:color w:val="auto"/>
              </w:rPr>
            </w:pPr>
            <w:r>
              <w:rPr>
                <w:rFonts w:ascii="Arial" w:cs="Arial" w:eastAsia="Arial" w:hAnsi="Arial"/>
                <w:sz w:val="18"/>
                <w:szCs w:val="18"/>
                <w:color w:val="060606"/>
              </w:rPr>
              <w:t>10.3 %</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060606"/>
              </w:rPr>
              <w:t>9.7 %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340" w:right="20" w:hanging="332"/>
        <w:spacing w:after="0" w:line="227" w:lineRule="auto"/>
        <w:tabs>
          <w:tab w:leader="none" w:pos="333" w:val="left"/>
        </w:tabs>
        <w:numPr>
          <w:ilvl w:val="0"/>
          <w:numId w:val="10"/>
        </w:numPr>
        <w:rPr>
          <w:rFonts w:ascii="Arial" w:cs="Arial" w:eastAsia="Arial" w:hAnsi="Arial"/>
          <w:sz w:val="21"/>
          <w:szCs w:val="21"/>
          <w:color w:val="060606"/>
          <w:vertAlign w:val="superscript"/>
        </w:rPr>
      </w:pPr>
      <w:r>
        <w:rPr>
          <w:rFonts w:ascii="Arial" w:cs="Arial" w:eastAsia="Arial" w:hAnsi="Arial"/>
          <w:sz w:val="16"/>
          <w:szCs w:val="16"/>
          <w:color w:val="060606"/>
        </w:rPr>
        <w:t>“Europe” includes the UK, Germany, France, Italy, the Netherlands, Spain, Belgium, Poland, Sweden, Switzerland, Austria, Norway, Portugal, Finland, and Denmark. Excluding Europe and the U.S., “Rest of World” includes all other countries where LivaNova operates.</w:t>
      </w:r>
    </w:p>
    <w:p>
      <w:pPr>
        <w:spacing w:after="0" w:line="1" w:lineRule="exact"/>
        <w:rPr>
          <w:rFonts w:ascii="Arial" w:cs="Arial" w:eastAsia="Arial" w:hAnsi="Arial"/>
          <w:sz w:val="21"/>
          <w:szCs w:val="21"/>
          <w:color w:val="060606"/>
          <w:vertAlign w:val="superscript"/>
        </w:rPr>
      </w:pPr>
    </w:p>
    <w:p>
      <w:pPr>
        <w:ind w:left="340" w:hanging="332"/>
        <w:spacing w:after="0" w:line="220" w:lineRule="auto"/>
        <w:tabs>
          <w:tab w:leader="none" w:pos="333" w:val="left"/>
        </w:tabs>
        <w:numPr>
          <w:ilvl w:val="0"/>
          <w:numId w:val="10"/>
        </w:numPr>
        <w:rPr>
          <w:rFonts w:ascii="Arial" w:cs="Arial" w:eastAsia="Arial" w:hAnsi="Arial"/>
          <w:sz w:val="21"/>
          <w:szCs w:val="21"/>
          <w:color w:val="060606"/>
          <w:vertAlign w:val="superscript"/>
        </w:rPr>
      </w:pPr>
      <w:r>
        <w:rPr>
          <w:rFonts w:ascii="Arial" w:cs="Arial" w:eastAsia="Arial" w:hAnsi="Arial"/>
          <w:sz w:val="16"/>
          <w:szCs w:val="16"/>
          <w:color w:val="060606"/>
        </w:rPr>
        <w:t>“Other Revenue” includes rental and site services income not allocated to segments. In addition, for 2024, “Other Revenue” includes revenue from the Company’s former ACS reportable segment.</w:t>
      </w:r>
    </w:p>
    <w:p>
      <w:pPr>
        <w:spacing w:after="0" w:line="3"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9</w:t>
      </w:r>
    </w:p>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060606"/>
        </w:rPr>
        <w:t>LIVANOVA PLC AND SUBSIDIARIES</w:t>
      </w:r>
    </w:p>
    <w:p>
      <w:pPr>
        <w:spacing w:after="0" w:line="32" w:lineRule="exact"/>
        <w:rPr>
          <w:sz w:val="20"/>
          <w:szCs w:val="20"/>
          <w:color w:val="auto"/>
        </w:rPr>
      </w:pPr>
    </w:p>
    <w:p>
      <w:pPr>
        <w:ind w:left="20" w:right="5100"/>
        <w:spacing w:after="0" w:line="292" w:lineRule="auto"/>
        <w:rPr>
          <w:sz w:val="20"/>
          <w:szCs w:val="20"/>
          <w:color w:val="auto"/>
        </w:rPr>
      </w:pPr>
      <w:r>
        <w:rPr>
          <w:rFonts w:ascii="Arial" w:cs="Arial" w:eastAsia="Arial" w:hAnsi="Arial"/>
          <w:sz w:val="18"/>
          <w:szCs w:val="18"/>
          <w:color w:val="060606"/>
        </w:rPr>
        <w:t>CONDENSED CONSOLIDATED STATEMENTS OF INCOME - UNAUDITED (U.S. dollars in millions, except per share amounts)</w:t>
      </w:r>
    </w:p>
    <w:p>
      <w:pPr>
        <w:spacing w:after="0" w:line="162" w:lineRule="exact"/>
        <w:rPr>
          <w:sz w:val="20"/>
          <w:szCs w:val="20"/>
          <w:color w:val="auto"/>
        </w:rPr>
      </w:pPr>
    </w:p>
    <w:p>
      <w:pPr>
        <w:ind w:left="7860"/>
        <w:spacing w:after="0"/>
        <w:rPr>
          <w:sz w:val="20"/>
          <w:szCs w:val="20"/>
          <w:color w:val="auto"/>
        </w:rPr>
      </w:pPr>
      <w:r>
        <w:rPr>
          <w:rFonts w:ascii="Arial" w:cs="Arial" w:eastAsia="Arial" w:hAnsi="Arial"/>
          <w:sz w:val="18"/>
          <w:szCs w:val="18"/>
          <w:color w:val="060606"/>
        </w:rPr>
        <w:t>Three Months Ended September 30,</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36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60606"/>
              </w:rPr>
              <w:t>2025</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060606"/>
              </w:rPr>
              <w:t>2024</w:t>
            </w:r>
          </w:p>
        </w:tc>
      </w:tr>
      <w:tr>
        <w:trPr>
          <w:trHeight w:val="218"/>
        </w:trPr>
        <w:tc>
          <w:tcPr>
            <w:tcW w:w="7360" w:type="dxa"/>
            <w:vAlign w:val="bottom"/>
          </w:tcPr>
          <w:p>
            <w:pPr>
              <w:spacing w:after="0"/>
              <w:rPr>
                <w:sz w:val="20"/>
                <w:szCs w:val="20"/>
                <w:color w:val="auto"/>
              </w:rPr>
            </w:pPr>
            <w:r>
              <w:rPr>
                <w:rFonts w:ascii="Arial" w:cs="Arial" w:eastAsia="Arial" w:hAnsi="Arial"/>
                <w:sz w:val="18"/>
                <w:szCs w:val="18"/>
                <w:color w:val="060606"/>
              </w:rPr>
              <w:t>Net revenue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060606"/>
              </w:rPr>
              <w:t>$357.8</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$318.1</w:t>
            </w:r>
          </w:p>
        </w:tc>
      </w:tr>
      <w:tr>
        <w:trPr>
          <w:trHeight w:val="235"/>
        </w:trPr>
        <w:tc>
          <w:tcPr>
            <w:tcW w:w="8560" w:type="dxa"/>
            <w:vAlign w:val="bottom"/>
            <w:gridSpan w:val="2"/>
          </w:tcPr>
          <w:p>
            <w:pPr>
              <w:spacing w:after="0"/>
              <w:rPr>
                <w:sz w:val="20"/>
                <w:szCs w:val="20"/>
                <w:color w:val="auto"/>
              </w:rPr>
            </w:pPr>
            <w:r>
              <w:rPr>
                <w:rFonts w:ascii="Arial" w:cs="Arial" w:eastAsia="Arial" w:hAnsi="Arial"/>
                <w:sz w:val="18"/>
                <w:szCs w:val="18"/>
                <w:color w:val="060606"/>
              </w:rPr>
              <w:t>Cost of sales</w:t>
            </w:r>
          </w:p>
        </w:tc>
        <w:tc>
          <w:tcPr>
            <w:tcW w:w="680" w:type="dxa"/>
            <w:vAlign w:val="bottom"/>
          </w:tcPr>
          <w:p>
            <w:pPr>
              <w:jc w:val="right"/>
              <w:spacing w:after="0"/>
              <w:rPr>
                <w:sz w:val="20"/>
                <w:szCs w:val="20"/>
                <w:color w:val="auto"/>
              </w:rPr>
            </w:pPr>
            <w:r>
              <w:rPr>
                <w:rFonts w:ascii="Arial" w:cs="Arial" w:eastAsia="Arial" w:hAnsi="Arial"/>
                <w:sz w:val="18"/>
                <w:szCs w:val="18"/>
                <w:color w:val="060606"/>
              </w:rPr>
              <w:t>112.9</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97.1</w:t>
            </w:r>
          </w:p>
        </w:tc>
      </w:tr>
      <w:tr>
        <w:trPr>
          <w:trHeight w:val="223"/>
        </w:trPr>
        <w:tc>
          <w:tcPr>
            <w:tcW w:w="7360" w:type="dxa"/>
            <w:vAlign w:val="bottom"/>
          </w:tcPr>
          <w:p>
            <w:pPr>
              <w:ind w:left="120"/>
              <w:spacing w:after="0"/>
              <w:rPr>
                <w:sz w:val="20"/>
                <w:szCs w:val="20"/>
                <w:color w:val="auto"/>
              </w:rPr>
            </w:pPr>
            <w:r>
              <w:rPr>
                <w:rFonts w:ascii="Arial" w:cs="Arial" w:eastAsia="Arial" w:hAnsi="Arial"/>
                <w:sz w:val="18"/>
                <w:szCs w:val="18"/>
                <w:color w:val="060606"/>
              </w:rPr>
              <w:t>Gross profit</w:t>
            </w: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60606"/>
              </w:rPr>
              <w:t>244.9</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60606"/>
              </w:rPr>
              <w:t>221.0</w:t>
            </w:r>
          </w:p>
        </w:tc>
      </w:tr>
      <w:tr>
        <w:trPr>
          <w:trHeight w:val="204"/>
        </w:trPr>
        <w:tc>
          <w:tcPr>
            <w:tcW w:w="7360" w:type="dxa"/>
            <w:vAlign w:val="bottom"/>
          </w:tcPr>
          <w:p>
            <w:pPr>
              <w:spacing w:after="0" w:line="204" w:lineRule="exact"/>
              <w:rPr>
                <w:sz w:val="20"/>
                <w:szCs w:val="20"/>
                <w:color w:val="auto"/>
              </w:rPr>
            </w:pPr>
            <w:r>
              <w:rPr>
                <w:rFonts w:ascii="Arial" w:cs="Arial" w:eastAsia="Arial" w:hAnsi="Arial"/>
                <w:sz w:val="18"/>
                <w:szCs w:val="18"/>
                <w:color w:val="060606"/>
              </w:rPr>
              <w:t>Operating expenses:</w:t>
            </w: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9"/>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Selling, general, and administrative</w:t>
            </w:r>
          </w:p>
        </w:tc>
        <w:tc>
          <w:tcPr>
            <w:tcW w:w="680" w:type="dxa"/>
            <w:vAlign w:val="bottom"/>
          </w:tcPr>
          <w:p>
            <w:pPr>
              <w:jc w:val="right"/>
              <w:spacing w:after="0"/>
              <w:rPr>
                <w:sz w:val="20"/>
                <w:szCs w:val="20"/>
                <w:color w:val="auto"/>
              </w:rPr>
            </w:pPr>
            <w:r>
              <w:rPr>
                <w:rFonts w:ascii="Arial" w:cs="Arial" w:eastAsia="Arial" w:hAnsi="Arial"/>
                <w:sz w:val="18"/>
                <w:szCs w:val="18"/>
                <w:color w:val="060606"/>
              </w:rPr>
              <w:t>138.5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127.4</w:t>
            </w:r>
          </w:p>
        </w:tc>
      </w:tr>
      <w:tr>
        <w:trPr>
          <w:trHeight w:val="230"/>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Research and development</w:t>
            </w:r>
          </w:p>
        </w:tc>
        <w:tc>
          <w:tcPr>
            <w:tcW w:w="680" w:type="dxa"/>
            <w:vAlign w:val="bottom"/>
          </w:tcPr>
          <w:p>
            <w:pPr>
              <w:jc w:val="right"/>
              <w:spacing w:after="0"/>
              <w:rPr>
                <w:sz w:val="20"/>
                <w:szCs w:val="20"/>
                <w:color w:val="auto"/>
              </w:rPr>
            </w:pPr>
            <w:r>
              <w:rPr>
                <w:rFonts w:ascii="Arial" w:cs="Arial" w:eastAsia="Arial" w:hAnsi="Arial"/>
                <w:sz w:val="18"/>
                <w:szCs w:val="18"/>
                <w:color w:val="060606"/>
              </w:rPr>
              <w:t>48.6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48.8</w:t>
            </w:r>
          </w:p>
        </w:tc>
      </w:tr>
      <w:tr>
        <w:trPr>
          <w:trHeight w:val="235"/>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Other operating expense</w:t>
            </w:r>
          </w:p>
        </w:tc>
        <w:tc>
          <w:tcPr>
            <w:tcW w:w="680" w:type="dxa"/>
            <w:vAlign w:val="bottom"/>
          </w:tcPr>
          <w:p>
            <w:pPr>
              <w:jc w:val="right"/>
              <w:spacing w:after="0"/>
              <w:rPr>
                <w:sz w:val="20"/>
                <w:szCs w:val="20"/>
                <w:color w:val="auto"/>
              </w:rPr>
            </w:pPr>
            <w:r>
              <w:rPr>
                <w:rFonts w:ascii="Arial" w:cs="Arial" w:eastAsia="Arial" w:hAnsi="Arial"/>
                <w:sz w:val="18"/>
                <w:szCs w:val="18"/>
                <w:color w:val="060606"/>
              </w:rPr>
              <w:t>3.7</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9.2</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060606"/>
              </w:rPr>
              <w:t>Operating income</w:t>
            </w: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60606"/>
              </w:rPr>
              <w:t>54.0</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60606"/>
              </w:rPr>
              <w:t>35.6</w:t>
            </w:r>
          </w:p>
        </w:tc>
      </w:tr>
      <w:tr>
        <w:trPr>
          <w:trHeight w:val="218"/>
        </w:trPr>
        <w:tc>
          <w:tcPr>
            <w:tcW w:w="7360" w:type="dxa"/>
            <w:vAlign w:val="bottom"/>
          </w:tcPr>
          <w:p>
            <w:pPr>
              <w:ind w:left="120"/>
              <w:spacing w:after="0"/>
              <w:rPr>
                <w:sz w:val="20"/>
                <w:szCs w:val="20"/>
                <w:color w:val="auto"/>
              </w:rPr>
            </w:pPr>
            <w:r>
              <w:rPr>
                <w:rFonts w:ascii="Arial" w:cs="Arial" w:eastAsia="Arial" w:hAnsi="Arial"/>
                <w:sz w:val="18"/>
                <w:szCs w:val="18"/>
                <w:color w:val="060606"/>
              </w:rPr>
              <w:t>SNIA environmental liability expense</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060606"/>
              </w:rPr>
              <w:t>(1.7)</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w:t>
            </w:r>
          </w:p>
        </w:tc>
      </w:tr>
      <w:tr>
        <w:trPr>
          <w:trHeight w:val="230"/>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Interest expense</w:t>
            </w:r>
          </w:p>
        </w:tc>
        <w:tc>
          <w:tcPr>
            <w:tcW w:w="680" w:type="dxa"/>
            <w:vAlign w:val="bottom"/>
          </w:tcPr>
          <w:p>
            <w:pPr>
              <w:jc w:val="right"/>
              <w:spacing w:after="0"/>
              <w:rPr>
                <w:sz w:val="20"/>
                <w:szCs w:val="20"/>
                <w:color w:val="auto"/>
              </w:rPr>
            </w:pPr>
            <w:r>
              <w:rPr>
                <w:rFonts w:ascii="Arial" w:cs="Arial" w:eastAsia="Arial" w:hAnsi="Arial"/>
                <w:sz w:val="18"/>
                <w:szCs w:val="18"/>
                <w:color w:val="060606"/>
              </w:rPr>
              <w:t>(10.9)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(15.9)</w:t>
            </w:r>
          </w:p>
        </w:tc>
      </w:tr>
      <w:tr>
        <w:trPr>
          <w:trHeight w:val="235"/>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Foreign exchange and other income/(expense)</w:t>
            </w:r>
          </w:p>
        </w:tc>
        <w:tc>
          <w:tcPr>
            <w:tcW w:w="680" w:type="dxa"/>
            <w:vAlign w:val="bottom"/>
          </w:tcPr>
          <w:p>
            <w:pPr>
              <w:jc w:val="right"/>
              <w:spacing w:after="0"/>
              <w:rPr>
                <w:sz w:val="20"/>
                <w:szCs w:val="20"/>
                <w:color w:val="auto"/>
              </w:rPr>
            </w:pPr>
            <w:r>
              <w:rPr>
                <w:rFonts w:ascii="Arial" w:cs="Arial" w:eastAsia="Arial" w:hAnsi="Arial"/>
                <w:sz w:val="18"/>
                <w:szCs w:val="18"/>
                <w:color w:val="060606"/>
              </w:rPr>
              <w:t>(7.5)</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24.7</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060606"/>
              </w:rPr>
              <w:t>Income before tax</w:t>
            </w:r>
          </w:p>
        </w:tc>
        <w:tc>
          <w:tcPr>
            <w:tcW w:w="12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60606"/>
              </w:rPr>
              <w:t>33.9</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060606"/>
              </w:rPr>
              <w:t>44.4</w:t>
            </w:r>
          </w:p>
        </w:tc>
      </w:tr>
      <w:tr>
        <w:trPr>
          <w:trHeight w:val="223"/>
        </w:trPr>
        <w:tc>
          <w:tcPr>
            <w:tcW w:w="7360" w:type="dxa"/>
            <w:vAlign w:val="bottom"/>
          </w:tcPr>
          <w:p>
            <w:pPr>
              <w:ind w:left="120"/>
              <w:spacing w:after="0"/>
              <w:rPr>
                <w:sz w:val="20"/>
                <w:szCs w:val="20"/>
                <w:color w:val="auto"/>
              </w:rPr>
            </w:pPr>
            <w:r>
              <w:rPr>
                <w:rFonts w:ascii="Arial" w:cs="Arial" w:eastAsia="Arial" w:hAnsi="Arial"/>
                <w:sz w:val="18"/>
                <w:szCs w:val="18"/>
                <w:color w:val="060606"/>
              </w:rPr>
              <w:t>Income tax expense</w:t>
            </w:r>
          </w:p>
        </w:tc>
        <w:tc>
          <w:tcPr>
            <w:tcW w:w="1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7.1</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11.5</w:t>
            </w:r>
          </w:p>
        </w:tc>
      </w:tr>
      <w:tr>
        <w:trPr>
          <w:trHeight w:val="223"/>
        </w:trPr>
        <w:tc>
          <w:tcPr>
            <w:tcW w:w="8560" w:type="dxa"/>
            <w:vAlign w:val="bottom"/>
            <w:gridSpan w:val="2"/>
          </w:tcPr>
          <w:p>
            <w:pPr>
              <w:spacing w:after="0"/>
              <w:rPr>
                <w:sz w:val="20"/>
                <w:szCs w:val="20"/>
                <w:color w:val="auto"/>
              </w:rPr>
            </w:pPr>
            <w:r>
              <w:rPr>
                <w:rFonts w:ascii="Arial" w:cs="Arial" w:eastAsia="Arial" w:hAnsi="Arial"/>
                <w:sz w:val="18"/>
                <w:szCs w:val="18"/>
                <w:color w:val="060606"/>
              </w:rPr>
              <w:t>Net income</w:t>
            </w:r>
          </w:p>
        </w:tc>
        <w:tc>
          <w:tcPr>
            <w:tcW w:w="680" w:type="dxa"/>
            <w:vAlign w:val="bottom"/>
          </w:tcPr>
          <w:p>
            <w:pPr>
              <w:jc w:val="right"/>
              <w:spacing w:after="0"/>
              <w:rPr>
                <w:sz w:val="20"/>
                <w:szCs w:val="20"/>
                <w:color w:val="auto"/>
              </w:rPr>
            </w:pPr>
            <w:r>
              <w:rPr>
                <w:rFonts w:ascii="Arial" w:cs="Arial" w:eastAsia="Arial" w:hAnsi="Arial"/>
                <w:sz w:val="18"/>
                <w:szCs w:val="18"/>
                <w:color w:val="060606"/>
              </w:rPr>
              <w:t>$26.8</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$33.0</w:t>
            </w:r>
          </w:p>
        </w:tc>
      </w:tr>
      <w:tr>
        <w:trPr>
          <w:trHeight w:val="20"/>
        </w:trPr>
        <w:tc>
          <w:tcPr>
            <w:tcW w:w="73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r>
        <w:trPr>
          <w:trHeight w:val="461"/>
        </w:trPr>
        <w:tc>
          <w:tcPr>
            <w:tcW w:w="8560" w:type="dxa"/>
            <w:vAlign w:val="bottom"/>
            <w:gridSpan w:val="2"/>
          </w:tcPr>
          <w:p>
            <w:pPr>
              <w:spacing w:after="0"/>
              <w:rPr>
                <w:sz w:val="20"/>
                <w:szCs w:val="20"/>
                <w:color w:val="auto"/>
              </w:rPr>
            </w:pPr>
            <w:r>
              <w:rPr>
                <w:rFonts w:ascii="Arial" w:cs="Arial" w:eastAsia="Arial" w:hAnsi="Arial"/>
                <w:sz w:val="18"/>
                <w:szCs w:val="18"/>
                <w:color w:val="060606"/>
              </w:rPr>
              <w:t>Basic income per share</w:t>
            </w:r>
          </w:p>
        </w:tc>
        <w:tc>
          <w:tcPr>
            <w:tcW w:w="680" w:type="dxa"/>
            <w:vAlign w:val="bottom"/>
          </w:tcPr>
          <w:p>
            <w:pPr>
              <w:jc w:val="right"/>
              <w:spacing w:after="0"/>
              <w:rPr>
                <w:sz w:val="20"/>
                <w:szCs w:val="20"/>
                <w:color w:val="auto"/>
              </w:rPr>
            </w:pPr>
            <w:r>
              <w:rPr>
                <w:rFonts w:ascii="Arial" w:cs="Arial" w:eastAsia="Arial" w:hAnsi="Arial"/>
                <w:sz w:val="18"/>
                <w:szCs w:val="18"/>
                <w:color w:val="060606"/>
              </w:rPr>
              <w:t>$0.49</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$0.61</w:t>
            </w:r>
          </w:p>
        </w:tc>
      </w:tr>
      <w:tr>
        <w:trPr>
          <w:trHeight w:val="239"/>
        </w:trPr>
        <w:tc>
          <w:tcPr>
            <w:tcW w:w="8560" w:type="dxa"/>
            <w:vAlign w:val="bottom"/>
            <w:gridSpan w:val="2"/>
          </w:tcPr>
          <w:p>
            <w:pPr>
              <w:spacing w:after="0"/>
              <w:rPr>
                <w:sz w:val="20"/>
                <w:szCs w:val="20"/>
                <w:color w:val="auto"/>
              </w:rPr>
            </w:pPr>
            <w:r>
              <w:rPr>
                <w:rFonts w:ascii="Arial" w:cs="Arial" w:eastAsia="Arial" w:hAnsi="Arial"/>
                <w:sz w:val="18"/>
                <w:szCs w:val="18"/>
                <w:color w:val="060606"/>
              </w:rPr>
              <w:t>Diluted income per share</w:t>
            </w:r>
          </w:p>
        </w:tc>
        <w:tc>
          <w:tcPr>
            <w:tcW w:w="680" w:type="dxa"/>
            <w:vAlign w:val="bottom"/>
          </w:tcPr>
          <w:p>
            <w:pPr>
              <w:jc w:val="right"/>
              <w:spacing w:after="0"/>
              <w:rPr>
                <w:sz w:val="20"/>
                <w:szCs w:val="20"/>
                <w:color w:val="auto"/>
              </w:rPr>
            </w:pPr>
            <w:r>
              <w:rPr>
                <w:rFonts w:ascii="Arial" w:cs="Arial" w:eastAsia="Arial" w:hAnsi="Arial"/>
                <w:sz w:val="18"/>
                <w:szCs w:val="18"/>
                <w:color w:val="060606"/>
              </w:rPr>
              <w:t>$0.49</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$0.60</w:t>
            </w:r>
          </w:p>
        </w:tc>
      </w:tr>
      <w:tr>
        <w:trPr>
          <w:trHeight w:val="436"/>
        </w:trPr>
        <w:tc>
          <w:tcPr>
            <w:tcW w:w="8560" w:type="dxa"/>
            <w:vAlign w:val="bottom"/>
            <w:gridSpan w:val="2"/>
          </w:tcPr>
          <w:p>
            <w:pPr>
              <w:spacing w:after="0"/>
              <w:rPr>
                <w:sz w:val="20"/>
                <w:szCs w:val="20"/>
                <w:color w:val="auto"/>
              </w:rPr>
            </w:pPr>
            <w:r>
              <w:rPr>
                <w:rFonts w:ascii="Arial" w:cs="Arial" w:eastAsia="Arial" w:hAnsi="Arial"/>
                <w:sz w:val="18"/>
                <w:szCs w:val="18"/>
                <w:color w:val="060606"/>
              </w:rPr>
              <w:t>Weighted average common shares outstanding:</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0"/>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Basic</w:t>
            </w:r>
          </w:p>
        </w:tc>
        <w:tc>
          <w:tcPr>
            <w:tcW w:w="680" w:type="dxa"/>
            <w:vAlign w:val="bottom"/>
          </w:tcPr>
          <w:p>
            <w:pPr>
              <w:jc w:val="right"/>
              <w:spacing w:after="0"/>
              <w:rPr>
                <w:sz w:val="20"/>
                <w:szCs w:val="20"/>
                <w:color w:val="auto"/>
              </w:rPr>
            </w:pPr>
            <w:r>
              <w:rPr>
                <w:rFonts w:ascii="Arial" w:cs="Arial" w:eastAsia="Arial" w:hAnsi="Arial"/>
                <w:sz w:val="18"/>
                <w:szCs w:val="18"/>
                <w:color w:val="060606"/>
              </w:rPr>
              <w:t>54.6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54.4</w:t>
            </w:r>
          </w:p>
        </w:tc>
      </w:tr>
      <w:tr>
        <w:trPr>
          <w:trHeight w:val="239"/>
        </w:trPr>
        <w:tc>
          <w:tcPr>
            <w:tcW w:w="8560" w:type="dxa"/>
            <w:vAlign w:val="bottom"/>
            <w:gridSpan w:val="2"/>
          </w:tcPr>
          <w:p>
            <w:pPr>
              <w:ind w:left="120"/>
              <w:spacing w:after="0"/>
              <w:rPr>
                <w:sz w:val="20"/>
                <w:szCs w:val="20"/>
                <w:color w:val="auto"/>
              </w:rPr>
            </w:pPr>
            <w:r>
              <w:rPr>
                <w:rFonts w:ascii="Arial" w:cs="Arial" w:eastAsia="Arial" w:hAnsi="Arial"/>
                <w:sz w:val="18"/>
                <w:szCs w:val="18"/>
                <w:color w:val="060606"/>
              </w:rPr>
              <w:t>Diluted</w:t>
            </w:r>
          </w:p>
        </w:tc>
        <w:tc>
          <w:tcPr>
            <w:tcW w:w="680" w:type="dxa"/>
            <w:vAlign w:val="bottom"/>
          </w:tcPr>
          <w:p>
            <w:pPr>
              <w:jc w:val="right"/>
              <w:spacing w:after="0"/>
              <w:rPr>
                <w:sz w:val="20"/>
                <w:szCs w:val="20"/>
                <w:color w:val="auto"/>
              </w:rPr>
            </w:pPr>
            <w:r>
              <w:rPr>
                <w:rFonts w:ascii="Arial" w:cs="Arial" w:eastAsia="Arial" w:hAnsi="Arial"/>
                <w:sz w:val="18"/>
                <w:szCs w:val="18"/>
                <w:color w:val="060606"/>
              </w:rPr>
              <w:t>55.2</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54.6</w:t>
            </w:r>
          </w:p>
        </w:tc>
      </w:tr>
    </w:tbl>
    <w:p>
      <w:pPr>
        <w:spacing w:after="0" w:line="76"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10</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80" w:type="dxa"/>
            <w:vAlign w:val="bottom"/>
            <w:gridSpan w:val="7"/>
          </w:tcPr>
          <w:p>
            <w:pPr>
              <w:spacing w:after="0"/>
              <w:rPr>
                <w:sz w:val="20"/>
                <w:szCs w:val="20"/>
                <w:color w:val="auto"/>
              </w:rPr>
            </w:pPr>
            <w:r>
              <w:rPr>
                <w:rFonts w:ascii="Arial" w:cs="Arial" w:eastAsia="Arial" w:hAnsi="Arial"/>
                <w:sz w:val="18"/>
                <w:szCs w:val="18"/>
                <w:color w:val="060606"/>
              </w:rPr>
              <w:t>Adjusted Financial Measures (U.S. dollars in millions, except per share amounts) - Unaudited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68"/>
        </w:trPr>
        <w:tc>
          <w:tcPr>
            <w:tcW w:w="4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370"/>
              <w:spacing w:after="0"/>
              <w:rPr>
                <w:sz w:val="20"/>
                <w:szCs w:val="20"/>
                <w:color w:val="auto"/>
              </w:rPr>
            </w:pPr>
            <w:r>
              <w:rPr>
                <w:rFonts w:ascii="Arial" w:cs="Arial" w:eastAsia="Arial" w:hAnsi="Arial"/>
                <w:sz w:val="18"/>
                <w:szCs w:val="18"/>
                <w:color w:val="060606"/>
              </w:rPr>
              <w:t>Three Months Ended September 30,</w:t>
            </w:r>
          </w:p>
        </w:tc>
      </w:tr>
      <w:tr>
        <w:trPr>
          <w:trHeight w:val="223"/>
        </w:trPr>
        <w:tc>
          <w:tcPr>
            <w:tcW w:w="40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2025</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w w:val="99"/>
              </w:rPr>
              <w:t>2024</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060606"/>
              </w:rPr>
              <w:t>Adjusted SG&amp;A</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60606"/>
              </w:rPr>
              <w:t>$122.8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60606"/>
              </w:rPr>
              <w:t>$111.9</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060606"/>
              </w:rPr>
              <w:t>Adjusted R&amp;D</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60606"/>
              </w:rPr>
              <w:t>45.0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60606"/>
              </w:rPr>
              <w:t>46.8</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060606"/>
              </w:rPr>
              <w:t>Adjusted operating income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60606"/>
              </w:rPr>
              <w:t>80.4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60606"/>
              </w:rPr>
              <w:t>63.6</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060606"/>
              </w:rPr>
              <w:t>Adjusted net income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60606"/>
              </w:rPr>
              <w:t>61.4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60606"/>
              </w:rPr>
              <w:t>49.3</w:t>
            </w:r>
          </w:p>
        </w:tc>
      </w:tr>
      <w:tr>
        <w:trPr>
          <w:trHeight w:val="239"/>
        </w:trPr>
        <w:tc>
          <w:tcPr>
            <w:tcW w:w="4000" w:type="dxa"/>
            <w:vAlign w:val="bottom"/>
          </w:tcPr>
          <w:p>
            <w:pPr>
              <w:ind w:left="20"/>
              <w:spacing w:after="0"/>
              <w:rPr>
                <w:sz w:val="20"/>
                <w:szCs w:val="20"/>
                <w:color w:val="auto"/>
              </w:rPr>
            </w:pPr>
            <w:r>
              <w:rPr>
                <w:rFonts w:ascii="Arial" w:cs="Arial" w:eastAsia="Arial" w:hAnsi="Arial"/>
                <w:sz w:val="18"/>
                <w:szCs w:val="18"/>
                <w:color w:val="060606"/>
              </w:rPr>
              <w:t>Adjusted diluted earnings per share</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60606"/>
              </w:rPr>
              <w:t>$1.11</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7"/>
              </w:rPr>
              <w:t>$0.90</w:t>
            </w:r>
          </w:p>
        </w:tc>
      </w:tr>
      <w:tr>
        <w:trPr>
          <w:trHeight w:val="581"/>
        </w:trPr>
        <w:tc>
          <w:tcPr>
            <w:tcW w:w="6440" w:type="dxa"/>
            <w:vAlign w:val="bottom"/>
            <w:gridSpan w:val="4"/>
          </w:tcPr>
          <w:p>
            <w:pPr>
              <w:spacing w:after="0"/>
              <w:rPr>
                <w:sz w:val="20"/>
                <w:szCs w:val="20"/>
                <w:color w:val="auto"/>
              </w:rPr>
            </w:pPr>
            <w:r>
              <w:rPr>
                <w:rFonts w:ascii="Arial" w:cs="Arial" w:eastAsia="Arial" w:hAnsi="Arial"/>
                <w:sz w:val="18"/>
                <w:szCs w:val="18"/>
                <w:color w:val="060606"/>
              </w:rPr>
              <w:t>Statistics (as a % of net revenue, except for income tax rate) - Unaudited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63"/>
        </w:trPr>
        <w:tc>
          <w:tcPr>
            <w:tcW w:w="4000" w:type="dxa"/>
            <w:vAlign w:val="bottom"/>
          </w:tcPr>
          <w:p>
            <w:pPr>
              <w:spacing w:after="0"/>
              <w:rPr>
                <w:sz w:val="24"/>
                <w:szCs w:val="24"/>
                <w:color w:val="auto"/>
              </w:rPr>
            </w:pPr>
          </w:p>
        </w:tc>
        <w:tc>
          <w:tcPr>
            <w:tcW w:w="3680" w:type="dxa"/>
            <w:vAlign w:val="bottom"/>
            <w:gridSpan w:val="6"/>
          </w:tcPr>
          <w:p>
            <w:pPr>
              <w:ind w:left="680"/>
              <w:spacing w:after="0"/>
              <w:rPr>
                <w:sz w:val="20"/>
                <w:szCs w:val="20"/>
                <w:color w:val="auto"/>
              </w:rPr>
            </w:pPr>
            <w:r>
              <w:rPr>
                <w:rFonts w:ascii="Arial" w:cs="Arial" w:eastAsia="Arial" w:hAnsi="Arial"/>
                <w:sz w:val="18"/>
                <w:szCs w:val="18"/>
                <w:color w:val="060606"/>
              </w:rPr>
              <w:t>GAAP Three Months Ended</w:t>
            </w:r>
          </w:p>
        </w:tc>
        <w:tc>
          <w:tcPr>
            <w:tcW w:w="3560" w:type="dxa"/>
            <w:vAlign w:val="bottom"/>
            <w:gridSpan w:val="6"/>
          </w:tcPr>
          <w:p>
            <w:pPr>
              <w:jc w:val="center"/>
              <w:spacing w:after="0"/>
              <w:rPr>
                <w:sz w:val="20"/>
                <w:szCs w:val="20"/>
                <w:color w:val="auto"/>
              </w:rPr>
            </w:pPr>
            <w:r>
              <w:rPr>
                <w:rFonts w:ascii="Arial" w:cs="Arial" w:eastAsia="Arial" w:hAnsi="Arial"/>
                <w:sz w:val="18"/>
                <w:szCs w:val="18"/>
                <w:color w:val="060606"/>
              </w:rPr>
              <w:t>Adjusted Three Months Ended</w:t>
            </w:r>
          </w:p>
        </w:tc>
      </w:tr>
      <w:tr>
        <w:trPr>
          <w:trHeight w:val="235"/>
        </w:trPr>
        <w:tc>
          <w:tcPr>
            <w:tcW w:w="4000" w:type="dxa"/>
            <w:vAlign w:val="bottom"/>
          </w:tcPr>
          <w:p>
            <w:pPr>
              <w:spacing w:after="0"/>
              <w:rPr>
                <w:sz w:val="20"/>
                <w:szCs w:val="20"/>
                <w:color w:val="auto"/>
              </w:rPr>
            </w:pPr>
          </w:p>
        </w:tc>
        <w:tc>
          <w:tcPr>
            <w:tcW w:w="2440" w:type="dxa"/>
            <w:vAlign w:val="bottom"/>
            <w:tcBorders>
              <w:bottom w:val="single" w:sz="8" w:color="auto"/>
            </w:tcBorders>
            <w:gridSpan w:val="3"/>
          </w:tcPr>
          <w:p>
            <w:pPr>
              <w:ind w:left="1200"/>
              <w:spacing w:after="0"/>
              <w:rPr>
                <w:sz w:val="20"/>
                <w:szCs w:val="20"/>
                <w:color w:val="auto"/>
              </w:rPr>
            </w:pPr>
            <w:r>
              <w:rPr>
                <w:rFonts w:ascii="Arial" w:cs="Arial" w:eastAsia="Arial" w:hAnsi="Arial"/>
                <w:sz w:val="18"/>
                <w:szCs w:val="18"/>
                <w:color w:val="060606"/>
              </w:rPr>
              <w:t>September 30,</w:t>
            </w: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Borders>
              <w:bottom w:val="single" w:sz="8" w:color="auto"/>
            </w:tcBorders>
            <w:gridSpan w:val="5"/>
          </w:tcPr>
          <w:p>
            <w:pPr>
              <w:jc w:val="center"/>
              <w:ind w:left="1050"/>
              <w:spacing w:after="0"/>
              <w:rPr>
                <w:sz w:val="20"/>
                <w:szCs w:val="20"/>
                <w:color w:val="auto"/>
              </w:rPr>
            </w:pPr>
            <w:r>
              <w:rPr>
                <w:rFonts w:ascii="Arial" w:cs="Arial" w:eastAsia="Arial" w:hAnsi="Arial"/>
                <w:sz w:val="18"/>
                <w:szCs w:val="18"/>
                <w:color w:val="060606"/>
                <w:w w:val="99"/>
              </w:rPr>
              <w:t>September 30,</w:t>
            </w:r>
          </w:p>
        </w:tc>
        <w:tc>
          <w:tcPr>
            <w:tcW w:w="1160" w:type="dxa"/>
            <w:vAlign w:val="bottom"/>
            <w:tcBorders>
              <w:bottom w:val="single" w:sz="8" w:color="auto"/>
            </w:tcBorders>
          </w:tcPr>
          <w:p>
            <w:pPr>
              <w:spacing w:after="0"/>
              <w:rPr>
                <w:sz w:val="20"/>
                <w:szCs w:val="20"/>
                <w:color w:val="auto"/>
              </w:rPr>
            </w:pPr>
          </w:p>
        </w:tc>
      </w:tr>
      <w:tr>
        <w:trPr>
          <w:trHeight w:val="223"/>
        </w:trPr>
        <w:tc>
          <w:tcPr>
            <w:tcW w:w="4000" w:type="dxa"/>
            <w:vAlign w:val="bottom"/>
          </w:tcPr>
          <w:p>
            <w:pPr>
              <w:spacing w:after="0"/>
              <w:rPr>
                <w:sz w:val="19"/>
                <w:szCs w:val="19"/>
                <w:color w:val="auto"/>
              </w:rPr>
            </w:pPr>
          </w:p>
        </w:tc>
        <w:tc>
          <w:tcPr>
            <w:tcW w:w="17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060606"/>
              </w:rPr>
              <w:t>2025</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060606"/>
              </w:rPr>
              <w:t>2024</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060606"/>
              </w:rPr>
              <w:t>2025</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060606"/>
              </w:rPr>
              <w:t>2024</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060606"/>
              </w:rPr>
              <w:t>Gross profit</w:t>
            </w:r>
          </w:p>
        </w:tc>
        <w:tc>
          <w:tcPr>
            <w:tcW w:w="1740" w:type="dxa"/>
            <w:vAlign w:val="bottom"/>
          </w:tcPr>
          <w:p>
            <w:pPr>
              <w:jc w:val="right"/>
              <w:spacing w:after="0"/>
              <w:rPr>
                <w:sz w:val="20"/>
                <w:szCs w:val="20"/>
                <w:color w:val="auto"/>
              </w:rPr>
            </w:pPr>
            <w:r>
              <w:rPr>
                <w:rFonts w:ascii="Arial" w:cs="Arial" w:eastAsia="Arial" w:hAnsi="Arial"/>
                <w:sz w:val="18"/>
                <w:szCs w:val="18"/>
                <w:color w:val="060606"/>
              </w:rPr>
              <w:t>68.4 %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69.5 %</w:t>
            </w:r>
          </w:p>
        </w:tc>
        <w:tc>
          <w:tcPr>
            <w:tcW w:w="12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69.4 %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69.9 %</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060606"/>
              </w:rPr>
              <w:t>SG&amp;A</w:t>
            </w:r>
          </w:p>
        </w:tc>
        <w:tc>
          <w:tcPr>
            <w:tcW w:w="1740" w:type="dxa"/>
            <w:vAlign w:val="bottom"/>
          </w:tcPr>
          <w:p>
            <w:pPr>
              <w:jc w:val="right"/>
              <w:spacing w:after="0"/>
              <w:rPr>
                <w:sz w:val="20"/>
                <w:szCs w:val="20"/>
                <w:color w:val="auto"/>
              </w:rPr>
            </w:pPr>
            <w:r>
              <w:rPr>
                <w:rFonts w:ascii="Arial" w:cs="Arial" w:eastAsia="Arial" w:hAnsi="Arial"/>
                <w:sz w:val="18"/>
                <w:szCs w:val="18"/>
                <w:color w:val="060606"/>
              </w:rPr>
              <w:t>38.7 %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40.1 %</w:t>
            </w:r>
          </w:p>
        </w:tc>
        <w:tc>
          <w:tcPr>
            <w:tcW w:w="12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34.3 %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35.2 %</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060606"/>
              </w:rPr>
              <w:t>R&amp;D</w:t>
            </w:r>
          </w:p>
        </w:tc>
        <w:tc>
          <w:tcPr>
            <w:tcW w:w="1740" w:type="dxa"/>
            <w:vAlign w:val="bottom"/>
          </w:tcPr>
          <w:p>
            <w:pPr>
              <w:jc w:val="right"/>
              <w:spacing w:after="0"/>
              <w:rPr>
                <w:sz w:val="20"/>
                <w:szCs w:val="20"/>
                <w:color w:val="auto"/>
              </w:rPr>
            </w:pPr>
            <w:r>
              <w:rPr>
                <w:rFonts w:ascii="Arial" w:cs="Arial" w:eastAsia="Arial" w:hAnsi="Arial"/>
                <w:sz w:val="18"/>
                <w:szCs w:val="18"/>
                <w:color w:val="060606"/>
              </w:rPr>
              <w:t>13.6 %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15.3 %</w:t>
            </w:r>
          </w:p>
        </w:tc>
        <w:tc>
          <w:tcPr>
            <w:tcW w:w="12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12.6 %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14.7 %</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060606"/>
              </w:rPr>
              <w:t>Operating income</w:t>
            </w:r>
          </w:p>
        </w:tc>
        <w:tc>
          <w:tcPr>
            <w:tcW w:w="1740" w:type="dxa"/>
            <w:vAlign w:val="bottom"/>
          </w:tcPr>
          <w:p>
            <w:pPr>
              <w:jc w:val="right"/>
              <w:spacing w:after="0"/>
              <w:rPr>
                <w:sz w:val="20"/>
                <w:szCs w:val="20"/>
                <w:color w:val="auto"/>
              </w:rPr>
            </w:pPr>
            <w:r>
              <w:rPr>
                <w:rFonts w:ascii="Arial" w:cs="Arial" w:eastAsia="Arial" w:hAnsi="Arial"/>
                <w:sz w:val="18"/>
                <w:szCs w:val="18"/>
                <w:color w:val="060606"/>
              </w:rPr>
              <w:t>15.1 %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11.2 %</w:t>
            </w:r>
          </w:p>
        </w:tc>
        <w:tc>
          <w:tcPr>
            <w:tcW w:w="12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22.5 %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20.0 %</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060606"/>
              </w:rPr>
              <w:t>Net income</w:t>
            </w:r>
          </w:p>
        </w:tc>
        <w:tc>
          <w:tcPr>
            <w:tcW w:w="1740" w:type="dxa"/>
            <w:vAlign w:val="bottom"/>
          </w:tcPr>
          <w:p>
            <w:pPr>
              <w:jc w:val="right"/>
              <w:spacing w:after="0"/>
              <w:rPr>
                <w:sz w:val="20"/>
                <w:szCs w:val="20"/>
                <w:color w:val="auto"/>
              </w:rPr>
            </w:pPr>
            <w:r>
              <w:rPr>
                <w:rFonts w:ascii="Arial" w:cs="Arial" w:eastAsia="Arial" w:hAnsi="Arial"/>
                <w:sz w:val="18"/>
                <w:szCs w:val="18"/>
                <w:color w:val="060606"/>
              </w:rPr>
              <w:t>7.5 %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10.4 %</w:t>
            </w:r>
          </w:p>
        </w:tc>
        <w:tc>
          <w:tcPr>
            <w:tcW w:w="12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17.2 %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15.5 %</w:t>
            </w:r>
          </w:p>
        </w:tc>
      </w:tr>
      <w:tr>
        <w:trPr>
          <w:trHeight w:val="239"/>
        </w:trPr>
        <w:tc>
          <w:tcPr>
            <w:tcW w:w="4000" w:type="dxa"/>
            <w:vAlign w:val="bottom"/>
          </w:tcPr>
          <w:p>
            <w:pPr>
              <w:ind w:left="20"/>
              <w:spacing w:after="0"/>
              <w:rPr>
                <w:sz w:val="20"/>
                <w:szCs w:val="20"/>
                <w:color w:val="auto"/>
              </w:rPr>
            </w:pPr>
            <w:r>
              <w:rPr>
                <w:rFonts w:ascii="Arial" w:cs="Arial" w:eastAsia="Arial" w:hAnsi="Arial"/>
                <w:sz w:val="18"/>
                <w:szCs w:val="18"/>
                <w:color w:val="060606"/>
              </w:rPr>
              <w:t>Income tax rate</w:t>
            </w:r>
          </w:p>
        </w:tc>
        <w:tc>
          <w:tcPr>
            <w:tcW w:w="1740" w:type="dxa"/>
            <w:vAlign w:val="bottom"/>
          </w:tcPr>
          <w:p>
            <w:pPr>
              <w:jc w:val="right"/>
              <w:spacing w:after="0"/>
              <w:rPr>
                <w:sz w:val="20"/>
                <w:szCs w:val="20"/>
                <w:color w:val="auto"/>
              </w:rPr>
            </w:pPr>
            <w:r>
              <w:rPr>
                <w:rFonts w:ascii="Arial" w:cs="Arial" w:eastAsia="Arial" w:hAnsi="Arial"/>
                <w:sz w:val="18"/>
                <w:szCs w:val="18"/>
                <w:color w:val="060606"/>
              </w:rPr>
              <w:t>21.0 %</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25.9 %</w:t>
            </w:r>
          </w:p>
        </w:tc>
        <w:tc>
          <w:tcPr>
            <w:tcW w:w="12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22.1 %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22.5 %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11</w:t>
      </w:r>
    </w:p>
    <w:p>
      <w:pPr>
        <w:sectPr>
          <w:pgSz w:w="11900" w:h="16838" w:orient="portrait"/>
          <w:cols w:equalWidth="0" w:num="1">
            <w:col w:w="11240"/>
          </w:cols>
          <w:pgMar w:left="320" w:top="1440" w:right="339" w:bottom="1440" w:gutter="0" w:footer="0" w:header="0"/>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060606"/>
        </w:rPr>
        <w:t>LIVANOVA PLC AND SUBSIDIARIES</w:t>
      </w:r>
    </w:p>
    <w:p>
      <w:pPr>
        <w:spacing w:after="0" w:line="32" w:lineRule="exact"/>
        <w:rPr>
          <w:sz w:val="20"/>
          <w:szCs w:val="20"/>
          <w:color w:val="auto"/>
        </w:rPr>
      </w:pPr>
    </w:p>
    <w:p>
      <w:pPr>
        <w:ind w:left="20" w:right="4440"/>
        <w:spacing w:after="0" w:line="292" w:lineRule="auto"/>
        <w:rPr>
          <w:sz w:val="20"/>
          <w:szCs w:val="20"/>
          <w:color w:val="auto"/>
        </w:rPr>
      </w:pPr>
      <w:r>
        <w:rPr>
          <w:rFonts w:ascii="Arial" w:cs="Arial" w:eastAsia="Arial" w:hAnsi="Arial"/>
          <w:sz w:val="18"/>
          <w:szCs w:val="18"/>
          <w:color w:val="060606"/>
        </w:rPr>
        <w:t>CONDENSED CONSOLIDATED STATEMENTS OF INCOME (LOSS) - UNAUDITED (U.S. dollars in millions, except per share amounts)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7360" w:type="dxa"/>
            <w:vAlign w:val="bottom"/>
          </w:tcPr>
          <w:p>
            <w:pPr>
              <w:spacing w:after="0"/>
              <w:rPr>
                <w:sz w:val="20"/>
                <w:szCs w:val="20"/>
                <w:color w:val="auto"/>
              </w:rPr>
            </w:pPr>
          </w:p>
        </w:tc>
        <w:tc>
          <w:tcPr>
            <w:tcW w:w="386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060606"/>
              </w:rPr>
              <w:t>Nine Months Ended September 30,</w:t>
            </w:r>
          </w:p>
        </w:tc>
      </w:tr>
      <w:tr>
        <w:trPr>
          <w:trHeight w:val="223"/>
        </w:trPr>
        <w:tc>
          <w:tcPr>
            <w:tcW w:w="7360" w:type="dxa"/>
            <w:vAlign w:val="bottom"/>
          </w:tcPr>
          <w:p>
            <w:pPr>
              <w:spacing w:after="0"/>
              <w:rPr>
                <w:sz w:val="19"/>
                <w:szCs w:val="19"/>
                <w:color w:val="auto"/>
              </w:rPr>
            </w:pPr>
          </w:p>
        </w:tc>
        <w:tc>
          <w:tcPr>
            <w:tcW w:w="18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2025</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2024</w:t>
            </w:r>
          </w:p>
        </w:tc>
      </w:tr>
      <w:tr>
        <w:trPr>
          <w:trHeight w:val="218"/>
        </w:trPr>
        <w:tc>
          <w:tcPr>
            <w:tcW w:w="7360" w:type="dxa"/>
            <w:vAlign w:val="bottom"/>
          </w:tcPr>
          <w:p>
            <w:pPr>
              <w:spacing w:after="0"/>
              <w:rPr>
                <w:sz w:val="20"/>
                <w:szCs w:val="20"/>
                <w:color w:val="auto"/>
              </w:rPr>
            </w:pPr>
            <w:r>
              <w:rPr>
                <w:rFonts w:ascii="Arial" w:cs="Arial" w:eastAsia="Arial" w:hAnsi="Arial"/>
                <w:sz w:val="18"/>
                <w:szCs w:val="18"/>
                <w:color w:val="060606"/>
              </w:rPr>
              <w:t>Net revenue</w:t>
            </w:r>
          </w:p>
        </w:tc>
        <w:tc>
          <w:tcPr>
            <w:tcW w:w="1880" w:type="dxa"/>
            <w:vAlign w:val="bottom"/>
          </w:tcPr>
          <w:p>
            <w:pPr>
              <w:jc w:val="right"/>
              <w:spacing w:after="0"/>
              <w:rPr>
                <w:sz w:val="20"/>
                <w:szCs w:val="20"/>
                <w:color w:val="auto"/>
              </w:rPr>
            </w:pPr>
            <w:r>
              <w:rPr>
                <w:rFonts w:ascii="Arial" w:cs="Arial" w:eastAsia="Arial" w:hAnsi="Arial"/>
                <w:sz w:val="18"/>
                <w:szCs w:val="18"/>
                <w:color w:val="060606"/>
              </w:rPr>
              <w:t>$1,027.1</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$931.6</w:t>
            </w:r>
          </w:p>
        </w:tc>
      </w:tr>
      <w:tr>
        <w:trPr>
          <w:trHeight w:val="235"/>
        </w:trPr>
        <w:tc>
          <w:tcPr>
            <w:tcW w:w="7360" w:type="dxa"/>
            <w:vAlign w:val="bottom"/>
          </w:tcPr>
          <w:p>
            <w:pPr>
              <w:spacing w:after="0"/>
              <w:rPr>
                <w:sz w:val="20"/>
                <w:szCs w:val="20"/>
                <w:color w:val="auto"/>
              </w:rPr>
            </w:pPr>
            <w:r>
              <w:rPr>
                <w:rFonts w:ascii="Arial" w:cs="Arial" w:eastAsia="Arial" w:hAnsi="Arial"/>
                <w:sz w:val="18"/>
                <w:szCs w:val="18"/>
                <w:color w:val="060606"/>
              </w:rPr>
              <w:t>Cost of sales</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327.0</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292.5</w:t>
            </w:r>
          </w:p>
        </w:tc>
      </w:tr>
      <w:tr>
        <w:trPr>
          <w:trHeight w:val="223"/>
        </w:trPr>
        <w:tc>
          <w:tcPr>
            <w:tcW w:w="7360" w:type="dxa"/>
            <w:vAlign w:val="bottom"/>
          </w:tcPr>
          <w:p>
            <w:pPr>
              <w:ind w:left="120"/>
              <w:spacing w:after="0"/>
              <w:rPr>
                <w:sz w:val="20"/>
                <w:szCs w:val="20"/>
                <w:color w:val="auto"/>
              </w:rPr>
            </w:pPr>
            <w:r>
              <w:rPr>
                <w:rFonts w:ascii="Arial" w:cs="Arial" w:eastAsia="Arial" w:hAnsi="Arial"/>
                <w:sz w:val="18"/>
                <w:szCs w:val="18"/>
                <w:color w:val="060606"/>
              </w:rPr>
              <w:t>Gross profit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700.1</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639.1</w:t>
            </w:r>
          </w:p>
        </w:tc>
      </w:tr>
      <w:tr>
        <w:trPr>
          <w:trHeight w:val="204"/>
        </w:trPr>
        <w:tc>
          <w:tcPr>
            <w:tcW w:w="7360" w:type="dxa"/>
            <w:vAlign w:val="bottom"/>
          </w:tcPr>
          <w:p>
            <w:pPr>
              <w:spacing w:after="0" w:line="204" w:lineRule="exact"/>
              <w:rPr>
                <w:sz w:val="20"/>
                <w:szCs w:val="20"/>
                <w:color w:val="auto"/>
              </w:rPr>
            </w:pPr>
            <w:r>
              <w:rPr>
                <w:rFonts w:ascii="Arial" w:cs="Arial" w:eastAsia="Arial" w:hAnsi="Arial"/>
                <w:sz w:val="18"/>
                <w:szCs w:val="18"/>
                <w:color w:val="060606"/>
              </w:rPr>
              <w:t>Operating expenses: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9"/>
        </w:trPr>
        <w:tc>
          <w:tcPr>
            <w:tcW w:w="7360" w:type="dxa"/>
            <w:vAlign w:val="bottom"/>
          </w:tcPr>
          <w:p>
            <w:pPr>
              <w:ind w:left="120"/>
              <w:spacing w:after="0"/>
              <w:rPr>
                <w:sz w:val="20"/>
                <w:szCs w:val="20"/>
                <w:color w:val="auto"/>
              </w:rPr>
            </w:pPr>
            <w:r>
              <w:rPr>
                <w:rFonts w:ascii="Arial" w:cs="Arial" w:eastAsia="Arial" w:hAnsi="Arial"/>
                <w:sz w:val="18"/>
                <w:szCs w:val="18"/>
                <w:color w:val="060606"/>
              </w:rPr>
              <w:t>Selling, general, and administrative</w:t>
            </w:r>
          </w:p>
        </w:tc>
        <w:tc>
          <w:tcPr>
            <w:tcW w:w="1880" w:type="dxa"/>
            <w:vAlign w:val="bottom"/>
          </w:tcPr>
          <w:p>
            <w:pPr>
              <w:jc w:val="right"/>
              <w:spacing w:after="0"/>
              <w:rPr>
                <w:sz w:val="20"/>
                <w:szCs w:val="20"/>
                <w:color w:val="auto"/>
              </w:rPr>
            </w:pPr>
            <w:r>
              <w:rPr>
                <w:rFonts w:ascii="Arial" w:cs="Arial" w:eastAsia="Arial" w:hAnsi="Arial"/>
                <w:sz w:val="18"/>
                <w:szCs w:val="18"/>
                <w:color w:val="060606"/>
              </w:rPr>
              <w:t>405.4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378.2</w:t>
            </w:r>
          </w:p>
        </w:tc>
      </w:tr>
      <w:tr>
        <w:trPr>
          <w:trHeight w:val="230"/>
        </w:trPr>
        <w:tc>
          <w:tcPr>
            <w:tcW w:w="7360" w:type="dxa"/>
            <w:vAlign w:val="bottom"/>
          </w:tcPr>
          <w:p>
            <w:pPr>
              <w:ind w:left="120"/>
              <w:spacing w:after="0"/>
              <w:rPr>
                <w:sz w:val="20"/>
                <w:szCs w:val="20"/>
                <w:color w:val="auto"/>
              </w:rPr>
            </w:pPr>
            <w:r>
              <w:rPr>
                <w:rFonts w:ascii="Arial" w:cs="Arial" w:eastAsia="Arial" w:hAnsi="Arial"/>
                <w:sz w:val="18"/>
                <w:szCs w:val="18"/>
                <w:color w:val="060606"/>
              </w:rPr>
              <w:t>Research and development</w:t>
            </w:r>
          </w:p>
        </w:tc>
        <w:tc>
          <w:tcPr>
            <w:tcW w:w="1880" w:type="dxa"/>
            <w:vAlign w:val="bottom"/>
          </w:tcPr>
          <w:p>
            <w:pPr>
              <w:jc w:val="right"/>
              <w:spacing w:after="0"/>
              <w:rPr>
                <w:sz w:val="20"/>
                <w:szCs w:val="20"/>
                <w:color w:val="auto"/>
              </w:rPr>
            </w:pPr>
            <w:r>
              <w:rPr>
                <w:rFonts w:ascii="Arial" w:cs="Arial" w:eastAsia="Arial" w:hAnsi="Arial"/>
                <w:sz w:val="18"/>
                <w:szCs w:val="18"/>
                <w:color w:val="060606"/>
              </w:rPr>
              <w:t>133.6</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139.2</w:t>
            </w:r>
          </w:p>
        </w:tc>
      </w:tr>
      <w:tr>
        <w:trPr>
          <w:trHeight w:val="235"/>
        </w:trPr>
        <w:tc>
          <w:tcPr>
            <w:tcW w:w="7360" w:type="dxa"/>
            <w:vAlign w:val="bottom"/>
          </w:tcPr>
          <w:p>
            <w:pPr>
              <w:ind w:left="120"/>
              <w:spacing w:after="0"/>
              <w:rPr>
                <w:sz w:val="20"/>
                <w:szCs w:val="20"/>
                <w:color w:val="auto"/>
              </w:rPr>
            </w:pPr>
            <w:r>
              <w:rPr>
                <w:rFonts w:ascii="Arial" w:cs="Arial" w:eastAsia="Arial" w:hAnsi="Arial"/>
                <w:sz w:val="18"/>
                <w:szCs w:val="18"/>
                <w:color w:val="060606"/>
              </w:rPr>
              <w:t>Other operating expense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4.2</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29.6</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060606"/>
              </w:rPr>
              <w:t>Operating income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156.8</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92.0</w:t>
            </w:r>
          </w:p>
        </w:tc>
      </w:tr>
      <w:tr>
        <w:trPr>
          <w:trHeight w:val="218"/>
        </w:trPr>
        <w:tc>
          <w:tcPr>
            <w:tcW w:w="7360" w:type="dxa"/>
            <w:vAlign w:val="bottom"/>
          </w:tcPr>
          <w:p>
            <w:pPr>
              <w:ind w:left="120"/>
              <w:spacing w:after="0"/>
              <w:rPr>
                <w:sz w:val="20"/>
                <w:szCs w:val="20"/>
                <w:color w:val="auto"/>
              </w:rPr>
            </w:pPr>
            <w:r>
              <w:rPr>
                <w:rFonts w:ascii="Arial" w:cs="Arial" w:eastAsia="Arial" w:hAnsi="Arial"/>
                <w:sz w:val="18"/>
                <w:szCs w:val="18"/>
                <w:color w:val="060606"/>
              </w:rPr>
              <w:t>SNIA environmental liability expense</w:t>
            </w:r>
          </w:p>
        </w:tc>
        <w:tc>
          <w:tcPr>
            <w:tcW w:w="1880" w:type="dxa"/>
            <w:vAlign w:val="bottom"/>
          </w:tcPr>
          <w:p>
            <w:pPr>
              <w:jc w:val="right"/>
              <w:spacing w:after="0"/>
              <w:rPr>
                <w:sz w:val="20"/>
                <w:szCs w:val="20"/>
                <w:color w:val="auto"/>
              </w:rPr>
            </w:pPr>
            <w:r>
              <w:rPr>
                <w:rFonts w:ascii="Arial" w:cs="Arial" w:eastAsia="Arial" w:hAnsi="Arial"/>
                <w:sz w:val="18"/>
                <w:szCs w:val="18"/>
                <w:color w:val="060606"/>
              </w:rPr>
              <w:t>(363.8)</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w:t>
            </w:r>
          </w:p>
        </w:tc>
      </w:tr>
      <w:tr>
        <w:trPr>
          <w:trHeight w:val="230"/>
        </w:trPr>
        <w:tc>
          <w:tcPr>
            <w:tcW w:w="7360" w:type="dxa"/>
            <w:vAlign w:val="bottom"/>
          </w:tcPr>
          <w:p>
            <w:pPr>
              <w:ind w:left="120"/>
              <w:spacing w:after="0"/>
              <w:rPr>
                <w:sz w:val="20"/>
                <w:szCs w:val="20"/>
                <w:color w:val="auto"/>
              </w:rPr>
            </w:pPr>
            <w:r>
              <w:rPr>
                <w:rFonts w:ascii="Arial" w:cs="Arial" w:eastAsia="Arial" w:hAnsi="Arial"/>
                <w:sz w:val="18"/>
                <w:szCs w:val="18"/>
                <w:color w:val="060606"/>
              </w:rPr>
              <w:t>Interest expense</w:t>
            </w:r>
          </w:p>
        </w:tc>
        <w:tc>
          <w:tcPr>
            <w:tcW w:w="1880" w:type="dxa"/>
            <w:vAlign w:val="bottom"/>
          </w:tcPr>
          <w:p>
            <w:pPr>
              <w:jc w:val="right"/>
              <w:spacing w:after="0"/>
              <w:rPr>
                <w:sz w:val="20"/>
                <w:szCs w:val="20"/>
                <w:color w:val="auto"/>
              </w:rPr>
            </w:pPr>
            <w:r>
              <w:rPr>
                <w:rFonts w:ascii="Arial" w:cs="Arial" w:eastAsia="Arial" w:hAnsi="Arial"/>
                <w:sz w:val="18"/>
                <w:szCs w:val="18"/>
                <w:color w:val="060606"/>
              </w:rPr>
              <w:t>(38.4)</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(47.3)</w:t>
            </w:r>
          </w:p>
        </w:tc>
      </w:tr>
      <w:tr>
        <w:trPr>
          <w:trHeight w:val="229"/>
        </w:trPr>
        <w:tc>
          <w:tcPr>
            <w:tcW w:w="7360" w:type="dxa"/>
            <w:vAlign w:val="bottom"/>
          </w:tcPr>
          <w:p>
            <w:pPr>
              <w:ind w:left="120"/>
              <w:spacing w:after="0"/>
              <w:rPr>
                <w:sz w:val="20"/>
                <w:szCs w:val="20"/>
                <w:color w:val="auto"/>
              </w:rPr>
            </w:pPr>
            <w:r>
              <w:rPr>
                <w:rFonts w:ascii="Arial" w:cs="Arial" w:eastAsia="Arial" w:hAnsi="Arial"/>
                <w:sz w:val="18"/>
                <w:szCs w:val="18"/>
                <w:color w:val="060606"/>
              </w:rPr>
              <w:t>Loss on debt extinguishment</w:t>
            </w:r>
          </w:p>
        </w:tc>
        <w:tc>
          <w:tcPr>
            <w:tcW w:w="1880" w:type="dxa"/>
            <w:vAlign w:val="bottom"/>
          </w:tcPr>
          <w:p>
            <w:pPr>
              <w:jc w:val="right"/>
              <w:spacing w:after="0"/>
              <w:rPr>
                <w:sz w:val="20"/>
                <w:szCs w:val="20"/>
                <w:color w:val="auto"/>
              </w:rPr>
            </w:pPr>
            <w:r>
              <w:rPr>
                <w:rFonts w:ascii="Arial" w:cs="Arial" w:eastAsia="Arial" w:hAnsi="Arial"/>
                <w:sz w:val="18"/>
                <w:szCs w:val="18"/>
                <w:color w:val="060606"/>
              </w:rPr>
              <w:t>(2.7)</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(25.5)</w:t>
            </w:r>
          </w:p>
        </w:tc>
      </w:tr>
      <w:tr>
        <w:trPr>
          <w:trHeight w:val="235"/>
        </w:trPr>
        <w:tc>
          <w:tcPr>
            <w:tcW w:w="7360" w:type="dxa"/>
            <w:vAlign w:val="bottom"/>
          </w:tcPr>
          <w:p>
            <w:pPr>
              <w:ind w:left="120"/>
              <w:spacing w:after="0"/>
              <w:rPr>
                <w:sz w:val="20"/>
                <w:szCs w:val="20"/>
                <w:color w:val="auto"/>
              </w:rPr>
            </w:pPr>
            <w:r>
              <w:rPr>
                <w:rFonts w:ascii="Arial" w:cs="Arial" w:eastAsia="Arial" w:hAnsi="Arial"/>
                <w:sz w:val="18"/>
                <w:szCs w:val="18"/>
                <w:color w:val="060606"/>
              </w:rPr>
              <w:t>Foreign exchange and other income/(expense)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(0.3)</w:t>
            </w:r>
          </w:p>
        </w:tc>
        <w:tc>
          <w:tcPr>
            <w:tcW w:w="100" w:type="dxa"/>
            <w:vAlign w:val="bottom"/>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12.6</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060606"/>
              </w:rPr>
              <w:t>(Loss) income before tax</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(248.4)</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31.8</w:t>
            </w:r>
          </w:p>
        </w:tc>
      </w:tr>
      <w:tr>
        <w:trPr>
          <w:trHeight w:val="223"/>
        </w:trPr>
        <w:tc>
          <w:tcPr>
            <w:tcW w:w="7360" w:type="dxa"/>
            <w:vAlign w:val="bottom"/>
          </w:tcPr>
          <w:p>
            <w:pPr>
              <w:ind w:left="120"/>
              <w:spacing w:after="0"/>
              <w:rPr>
                <w:sz w:val="20"/>
                <w:szCs w:val="20"/>
                <w:color w:val="auto"/>
              </w:rPr>
            </w:pPr>
            <w:r>
              <w:rPr>
                <w:rFonts w:ascii="Arial" w:cs="Arial" w:eastAsia="Arial" w:hAnsi="Arial"/>
                <w:sz w:val="18"/>
                <w:szCs w:val="18"/>
                <w:color w:val="060606"/>
              </w:rPr>
              <w:t>Income tax expense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24.9</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24.5</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060606"/>
              </w:rPr>
              <w:t>Net (loss) income</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($273.4)</w:t>
            </w:r>
          </w:p>
        </w:tc>
        <w:tc>
          <w:tcPr>
            <w:tcW w:w="10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$7.3</w:t>
            </w:r>
          </w:p>
        </w:tc>
      </w:tr>
      <w:tr>
        <w:trPr>
          <w:trHeight w:val="20"/>
        </w:trPr>
        <w:tc>
          <w:tcPr>
            <w:tcW w:w="73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461"/>
        </w:trPr>
        <w:tc>
          <w:tcPr>
            <w:tcW w:w="7360" w:type="dxa"/>
            <w:vAlign w:val="bottom"/>
          </w:tcPr>
          <w:p>
            <w:pPr>
              <w:spacing w:after="0"/>
              <w:rPr>
                <w:sz w:val="20"/>
                <w:szCs w:val="20"/>
                <w:color w:val="auto"/>
              </w:rPr>
            </w:pPr>
            <w:r>
              <w:rPr>
                <w:rFonts w:ascii="Arial" w:cs="Arial" w:eastAsia="Arial" w:hAnsi="Arial"/>
                <w:sz w:val="18"/>
                <w:szCs w:val="18"/>
                <w:color w:val="060606"/>
              </w:rPr>
              <w:t>Basic (loss) income per share</w:t>
            </w:r>
          </w:p>
        </w:tc>
        <w:tc>
          <w:tcPr>
            <w:tcW w:w="1880" w:type="dxa"/>
            <w:vAlign w:val="bottom"/>
          </w:tcPr>
          <w:p>
            <w:pPr>
              <w:jc w:val="right"/>
              <w:spacing w:after="0"/>
              <w:rPr>
                <w:sz w:val="20"/>
                <w:szCs w:val="20"/>
                <w:color w:val="auto"/>
              </w:rPr>
            </w:pPr>
            <w:r>
              <w:rPr>
                <w:rFonts w:ascii="Arial" w:cs="Arial" w:eastAsia="Arial" w:hAnsi="Arial"/>
                <w:sz w:val="18"/>
                <w:szCs w:val="18"/>
                <w:color w:val="060606"/>
              </w:rPr>
              <w:t>($5.01)</w:t>
            </w:r>
          </w:p>
        </w:tc>
        <w:tc>
          <w:tcPr>
            <w:tcW w:w="1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$0.14</w:t>
            </w:r>
          </w:p>
        </w:tc>
      </w:tr>
      <w:tr>
        <w:trPr>
          <w:trHeight w:val="239"/>
        </w:trPr>
        <w:tc>
          <w:tcPr>
            <w:tcW w:w="7360" w:type="dxa"/>
            <w:vAlign w:val="bottom"/>
          </w:tcPr>
          <w:p>
            <w:pPr>
              <w:spacing w:after="0"/>
              <w:rPr>
                <w:sz w:val="20"/>
                <w:szCs w:val="20"/>
                <w:color w:val="auto"/>
              </w:rPr>
            </w:pPr>
            <w:r>
              <w:rPr>
                <w:rFonts w:ascii="Arial" w:cs="Arial" w:eastAsia="Arial" w:hAnsi="Arial"/>
                <w:sz w:val="18"/>
                <w:szCs w:val="18"/>
                <w:color w:val="060606"/>
              </w:rPr>
              <w:t>Diluted (loss) income per share</w:t>
            </w:r>
          </w:p>
        </w:tc>
        <w:tc>
          <w:tcPr>
            <w:tcW w:w="1880" w:type="dxa"/>
            <w:vAlign w:val="bottom"/>
          </w:tcPr>
          <w:p>
            <w:pPr>
              <w:jc w:val="right"/>
              <w:spacing w:after="0"/>
              <w:rPr>
                <w:sz w:val="20"/>
                <w:szCs w:val="20"/>
                <w:color w:val="auto"/>
              </w:rPr>
            </w:pPr>
            <w:r>
              <w:rPr>
                <w:rFonts w:ascii="Arial" w:cs="Arial" w:eastAsia="Arial" w:hAnsi="Arial"/>
                <w:sz w:val="18"/>
                <w:szCs w:val="18"/>
                <w:color w:val="060606"/>
              </w:rPr>
              <w:t>($5.01)</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$0.13</w:t>
            </w:r>
          </w:p>
        </w:tc>
      </w:tr>
      <w:tr>
        <w:trPr>
          <w:trHeight w:val="490"/>
        </w:trPr>
        <w:tc>
          <w:tcPr>
            <w:tcW w:w="7360" w:type="dxa"/>
            <w:vAlign w:val="bottom"/>
          </w:tcPr>
          <w:p>
            <w:pPr>
              <w:spacing w:after="0"/>
              <w:rPr>
                <w:sz w:val="20"/>
                <w:szCs w:val="20"/>
                <w:color w:val="auto"/>
              </w:rPr>
            </w:pPr>
            <w:r>
              <w:rPr>
                <w:rFonts w:ascii="Arial" w:cs="Arial" w:eastAsia="Arial" w:hAnsi="Arial"/>
                <w:sz w:val="18"/>
                <w:szCs w:val="18"/>
                <w:color w:val="060606"/>
              </w:rPr>
              <w:t>Weighted average common shares outstanding:</w:t>
            </w: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0"/>
        </w:trPr>
        <w:tc>
          <w:tcPr>
            <w:tcW w:w="7360" w:type="dxa"/>
            <w:vAlign w:val="bottom"/>
          </w:tcPr>
          <w:p>
            <w:pPr>
              <w:ind w:left="120"/>
              <w:spacing w:after="0"/>
              <w:rPr>
                <w:sz w:val="20"/>
                <w:szCs w:val="20"/>
                <w:color w:val="auto"/>
              </w:rPr>
            </w:pPr>
            <w:r>
              <w:rPr>
                <w:rFonts w:ascii="Arial" w:cs="Arial" w:eastAsia="Arial" w:hAnsi="Arial"/>
                <w:sz w:val="18"/>
                <w:szCs w:val="18"/>
                <w:color w:val="060606"/>
              </w:rPr>
              <w:t>Basic</w:t>
            </w:r>
          </w:p>
        </w:tc>
        <w:tc>
          <w:tcPr>
            <w:tcW w:w="1880" w:type="dxa"/>
            <w:vAlign w:val="bottom"/>
          </w:tcPr>
          <w:p>
            <w:pPr>
              <w:jc w:val="right"/>
              <w:spacing w:after="0"/>
              <w:rPr>
                <w:sz w:val="20"/>
                <w:szCs w:val="20"/>
                <w:color w:val="auto"/>
              </w:rPr>
            </w:pPr>
            <w:r>
              <w:rPr>
                <w:rFonts w:ascii="Arial" w:cs="Arial" w:eastAsia="Arial" w:hAnsi="Arial"/>
                <w:sz w:val="18"/>
                <w:szCs w:val="18"/>
                <w:color w:val="060606"/>
              </w:rPr>
              <w:t>54.5</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54.2</w:t>
            </w:r>
          </w:p>
        </w:tc>
      </w:tr>
      <w:tr>
        <w:trPr>
          <w:trHeight w:val="239"/>
        </w:trPr>
        <w:tc>
          <w:tcPr>
            <w:tcW w:w="7360" w:type="dxa"/>
            <w:vAlign w:val="bottom"/>
          </w:tcPr>
          <w:p>
            <w:pPr>
              <w:ind w:left="120"/>
              <w:spacing w:after="0"/>
              <w:rPr>
                <w:sz w:val="20"/>
                <w:szCs w:val="20"/>
                <w:color w:val="auto"/>
              </w:rPr>
            </w:pPr>
            <w:r>
              <w:rPr>
                <w:rFonts w:ascii="Arial" w:cs="Arial" w:eastAsia="Arial" w:hAnsi="Arial"/>
                <w:sz w:val="18"/>
                <w:szCs w:val="18"/>
                <w:color w:val="060606"/>
              </w:rPr>
              <w:t>Diluted</w:t>
            </w:r>
          </w:p>
        </w:tc>
        <w:tc>
          <w:tcPr>
            <w:tcW w:w="1880" w:type="dxa"/>
            <w:vAlign w:val="bottom"/>
          </w:tcPr>
          <w:p>
            <w:pPr>
              <w:jc w:val="right"/>
              <w:spacing w:after="0"/>
              <w:rPr>
                <w:sz w:val="20"/>
                <w:szCs w:val="20"/>
                <w:color w:val="auto"/>
              </w:rPr>
            </w:pPr>
            <w:r>
              <w:rPr>
                <w:rFonts w:ascii="Arial" w:cs="Arial" w:eastAsia="Arial" w:hAnsi="Arial"/>
                <w:sz w:val="18"/>
                <w:szCs w:val="18"/>
                <w:color w:val="060606"/>
              </w:rPr>
              <w:t>54.5</w:t>
            </w:r>
          </w:p>
        </w:tc>
        <w:tc>
          <w:tcPr>
            <w:tcW w:w="10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060606"/>
              </w:rPr>
              <w:t>54.5</w:t>
            </w:r>
          </w:p>
        </w:tc>
      </w:tr>
    </w:tbl>
    <w:p>
      <w:pPr>
        <w:spacing w:after="0" w:line="76"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680" w:type="dxa"/>
            <w:vAlign w:val="bottom"/>
            <w:gridSpan w:val="7"/>
          </w:tcPr>
          <w:p>
            <w:pPr>
              <w:spacing w:after="0"/>
              <w:rPr>
                <w:sz w:val="20"/>
                <w:szCs w:val="20"/>
                <w:color w:val="auto"/>
              </w:rPr>
            </w:pPr>
            <w:r>
              <w:rPr>
                <w:rFonts w:ascii="Arial" w:cs="Arial" w:eastAsia="Arial" w:hAnsi="Arial"/>
                <w:sz w:val="18"/>
                <w:szCs w:val="18"/>
                <w:color w:val="060606"/>
              </w:rPr>
              <w:t>Adjusted Financial Measures (U.S. dollars in millions, except per share amounts) - Unaudited</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0"/>
        </w:trPr>
        <w:tc>
          <w:tcPr>
            <w:tcW w:w="40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right"/>
              <w:ind w:right="430"/>
              <w:spacing w:after="0"/>
              <w:rPr>
                <w:sz w:val="20"/>
                <w:szCs w:val="20"/>
                <w:color w:val="auto"/>
              </w:rPr>
            </w:pPr>
            <w:r>
              <w:rPr>
                <w:rFonts w:ascii="Arial" w:cs="Arial" w:eastAsia="Arial" w:hAnsi="Arial"/>
                <w:sz w:val="18"/>
                <w:szCs w:val="18"/>
                <w:color w:val="060606"/>
              </w:rPr>
              <w:t>Nine Months Ended September 30,</w:t>
            </w:r>
          </w:p>
        </w:tc>
      </w:tr>
      <w:tr>
        <w:trPr>
          <w:trHeight w:val="223"/>
        </w:trPr>
        <w:tc>
          <w:tcPr>
            <w:tcW w:w="40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rPr>
              <w:t>2025</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060606"/>
                <w:w w:val="99"/>
              </w:rPr>
              <w:t>2024</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060606"/>
              </w:rPr>
              <w:t>Adjusted SG&amp;A</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60606"/>
              </w:rPr>
              <w:t>$359.9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060606"/>
              </w:rPr>
              <w:t>$329.7</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060606"/>
              </w:rPr>
              <w:t>Adjusted R&amp;D</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60606"/>
              </w:rPr>
              <w:t>127.2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7"/>
              </w:rPr>
              <w:t>130.9</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060606"/>
              </w:rPr>
              <w:t>Adjusted operating income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60606"/>
              </w:rPr>
              <w:t>222.3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7"/>
              </w:rPr>
              <w:t>183.6</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060606"/>
              </w:rPr>
              <w:t>Adjusted net income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60606"/>
              </w:rPr>
              <w:t>166.9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7"/>
              </w:rPr>
              <w:t>140.1</w:t>
            </w:r>
          </w:p>
        </w:tc>
      </w:tr>
      <w:tr>
        <w:trPr>
          <w:trHeight w:val="239"/>
        </w:trPr>
        <w:tc>
          <w:tcPr>
            <w:tcW w:w="4000" w:type="dxa"/>
            <w:vAlign w:val="bottom"/>
          </w:tcPr>
          <w:p>
            <w:pPr>
              <w:ind w:left="20"/>
              <w:spacing w:after="0"/>
              <w:rPr>
                <w:sz w:val="20"/>
                <w:szCs w:val="20"/>
                <w:color w:val="auto"/>
              </w:rPr>
            </w:pPr>
            <w:r>
              <w:rPr>
                <w:rFonts w:ascii="Arial" w:cs="Arial" w:eastAsia="Arial" w:hAnsi="Arial"/>
                <w:sz w:val="18"/>
                <w:szCs w:val="18"/>
                <w:color w:val="060606"/>
              </w:rPr>
              <w:t>Adjusted diluted earnings per share</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060606"/>
              </w:rPr>
              <w:t>$3.04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7"/>
              </w:rPr>
              <w:t>$2.57</w:t>
            </w:r>
          </w:p>
        </w:tc>
      </w:tr>
      <w:tr>
        <w:trPr>
          <w:trHeight w:val="527"/>
        </w:trPr>
        <w:tc>
          <w:tcPr>
            <w:tcW w:w="6440" w:type="dxa"/>
            <w:vAlign w:val="bottom"/>
            <w:gridSpan w:val="4"/>
          </w:tcPr>
          <w:p>
            <w:pPr>
              <w:spacing w:after="0"/>
              <w:rPr>
                <w:sz w:val="20"/>
                <w:szCs w:val="20"/>
                <w:color w:val="auto"/>
              </w:rPr>
            </w:pPr>
            <w:r>
              <w:rPr>
                <w:rFonts w:ascii="Arial" w:cs="Arial" w:eastAsia="Arial" w:hAnsi="Arial"/>
                <w:sz w:val="18"/>
                <w:szCs w:val="18"/>
                <w:color w:val="060606"/>
              </w:rPr>
              <w:t>Statistics (as a % of net revenue, except for income tax rate) - Unaudited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06"/>
        </w:trPr>
        <w:tc>
          <w:tcPr>
            <w:tcW w:w="4000" w:type="dxa"/>
            <w:vAlign w:val="bottom"/>
          </w:tcPr>
          <w:p>
            <w:pPr>
              <w:spacing w:after="0"/>
              <w:rPr>
                <w:sz w:val="24"/>
                <w:szCs w:val="24"/>
                <w:color w:val="auto"/>
              </w:rPr>
            </w:pPr>
          </w:p>
        </w:tc>
        <w:tc>
          <w:tcPr>
            <w:tcW w:w="3680" w:type="dxa"/>
            <w:vAlign w:val="bottom"/>
            <w:gridSpan w:val="6"/>
          </w:tcPr>
          <w:p>
            <w:pPr>
              <w:jc w:val="center"/>
              <w:ind w:right="100"/>
              <w:spacing w:after="0"/>
              <w:rPr>
                <w:sz w:val="20"/>
                <w:szCs w:val="20"/>
                <w:color w:val="auto"/>
              </w:rPr>
            </w:pPr>
            <w:r>
              <w:rPr>
                <w:rFonts w:ascii="Arial" w:cs="Arial" w:eastAsia="Arial" w:hAnsi="Arial"/>
                <w:sz w:val="18"/>
                <w:szCs w:val="18"/>
                <w:color w:val="060606"/>
              </w:rPr>
              <w:t>GAAP Nine Months Ended</w:t>
            </w:r>
          </w:p>
        </w:tc>
        <w:tc>
          <w:tcPr>
            <w:tcW w:w="3560" w:type="dxa"/>
            <w:vAlign w:val="bottom"/>
            <w:gridSpan w:val="6"/>
          </w:tcPr>
          <w:p>
            <w:pPr>
              <w:jc w:val="center"/>
              <w:spacing w:after="0"/>
              <w:rPr>
                <w:sz w:val="20"/>
                <w:szCs w:val="20"/>
                <w:color w:val="auto"/>
              </w:rPr>
            </w:pPr>
            <w:r>
              <w:rPr>
                <w:rFonts w:ascii="Arial" w:cs="Arial" w:eastAsia="Arial" w:hAnsi="Arial"/>
                <w:sz w:val="18"/>
                <w:szCs w:val="18"/>
                <w:color w:val="060606"/>
                <w:w w:val="99"/>
              </w:rPr>
              <w:t>Adjusted Nine Months Ended</w:t>
            </w:r>
          </w:p>
        </w:tc>
      </w:tr>
      <w:tr>
        <w:trPr>
          <w:trHeight w:val="241"/>
        </w:trPr>
        <w:tc>
          <w:tcPr>
            <w:tcW w:w="4000" w:type="dxa"/>
            <w:vAlign w:val="bottom"/>
          </w:tcPr>
          <w:p>
            <w:pPr>
              <w:spacing w:after="0"/>
              <w:rPr>
                <w:sz w:val="20"/>
                <w:szCs w:val="20"/>
                <w:color w:val="auto"/>
              </w:rPr>
            </w:pPr>
          </w:p>
        </w:tc>
        <w:tc>
          <w:tcPr>
            <w:tcW w:w="244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color w:val="060606"/>
                <w:w w:val="99"/>
              </w:rPr>
              <w:t>September 30,</w:t>
            </w: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tcBorders>
              <w:bottom w:val="single" w:sz="8" w:color="auto"/>
            </w:tcBorders>
            <w:gridSpan w:val="5"/>
          </w:tcPr>
          <w:p>
            <w:pPr>
              <w:jc w:val="center"/>
              <w:ind w:left="1050"/>
              <w:spacing w:after="0"/>
              <w:rPr>
                <w:sz w:val="20"/>
                <w:szCs w:val="20"/>
                <w:color w:val="auto"/>
              </w:rPr>
            </w:pPr>
            <w:r>
              <w:rPr>
                <w:rFonts w:ascii="Arial" w:cs="Arial" w:eastAsia="Arial" w:hAnsi="Arial"/>
                <w:sz w:val="18"/>
                <w:szCs w:val="18"/>
                <w:color w:val="060606"/>
                <w:w w:val="99"/>
              </w:rPr>
              <w:t>September 30,</w:t>
            </w:r>
          </w:p>
        </w:tc>
        <w:tc>
          <w:tcPr>
            <w:tcW w:w="1160" w:type="dxa"/>
            <w:vAlign w:val="bottom"/>
            <w:tcBorders>
              <w:bottom w:val="single" w:sz="8" w:color="auto"/>
            </w:tcBorders>
          </w:tcPr>
          <w:p>
            <w:pPr>
              <w:spacing w:after="0"/>
              <w:rPr>
                <w:sz w:val="20"/>
                <w:szCs w:val="20"/>
                <w:color w:val="auto"/>
              </w:rPr>
            </w:pPr>
          </w:p>
        </w:tc>
      </w:tr>
      <w:tr>
        <w:trPr>
          <w:trHeight w:val="225"/>
        </w:trPr>
        <w:tc>
          <w:tcPr>
            <w:tcW w:w="4000" w:type="dxa"/>
            <w:vAlign w:val="bottom"/>
          </w:tcPr>
          <w:p>
            <w:pPr>
              <w:spacing w:after="0"/>
              <w:rPr>
                <w:sz w:val="19"/>
                <w:szCs w:val="19"/>
                <w:color w:val="auto"/>
              </w:rPr>
            </w:pPr>
          </w:p>
        </w:tc>
        <w:tc>
          <w:tcPr>
            <w:tcW w:w="17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060606"/>
              </w:rPr>
              <w:t>2025</w:t>
            </w:r>
          </w:p>
        </w:tc>
        <w:tc>
          <w:tcPr>
            <w:tcW w:w="1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060606"/>
              </w:rPr>
              <w:t>2024</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060606"/>
              </w:rPr>
              <w:t>2025</w:t>
            </w: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060606"/>
              </w:rPr>
              <w:t>2024</w:t>
            </w:r>
          </w:p>
        </w:tc>
      </w:tr>
      <w:tr>
        <w:trPr>
          <w:trHeight w:val="218"/>
        </w:trPr>
        <w:tc>
          <w:tcPr>
            <w:tcW w:w="4000" w:type="dxa"/>
            <w:vAlign w:val="bottom"/>
          </w:tcPr>
          <w:p>
            <w:pPr>
              <w:ind w:left="20"/>
              <w:spacing w:after="0"/>
              <w:rPr>
                <w:sz w:val="20"/>
                <w:szCs w:val="20"/>
                <w:color w:val="auto"/>
              </w:rPr>
            </w:pPr>
            <w:r>
              <w:rPr>
                <w:rFonts w:ascii="Arial" w:cs="Arial" w:eastAsia="Arial" w:hAnsi="Arial"/>
                <w:sz w:val="18"/>
                <w:szCs w:val="18"/>
                <w:color w:val="060606"/>
              </w:rPr>
              <w:t>Gross profit</w:t>
            </w:r>
          </w:p>
        </w:tc>
        <w:tc>
          <w:tcPr>
            <w:tcW w:w="1740" w:type="dxa"/>
            <w:vAlign w:val="bottom"/>
          </w:tcPr>
          <w:p>
            <w:pPr>
              <w:jc w:val="right"/>
              <w:spacing w:after="0"/>
              <w:rPr>
                <w:sz w:val="20"/>
                <w:szCs w:val="20"/>
                <w:color w:val="auto"/>
              </w:rPr>
            </w:pPr>
            <w:r>
              <w:rPr>
                <w:rFonts w:ascii="Arial" w:cs="Arial" w:eastAsia="Arial" w:hAnsi="Arial"/>
                <w:sz w:val="18"/>
                <w:szCs w:val="18"/>
                <w:color w:val="060606"/>
              </w:rPr>
              <w:t>68.2 %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68.6 %</w:t>
            </w:r>
          </w:p>
        </w:tc>
        <w:tc>
          <w:tcPr>
            <w:tcW w:w="12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69.1 %</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69.1 %</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060606"/>
              </w:rPr>
              <w:t>SG&amp;A</w:t>
            </w:r>
          </w:p>
        </w:tc>
        <w:tc>
          <w:tcPr>
            <w:tcW w:w="1740" w:type="dxa"/>
            <w:vAlign w:val="bottom"/>
          </w:tcPr>
          <w:p>
            <w:pPr>
              <w:jc w:val="right"/>
              <w:spacing w:after="0"/>
              <w:rPr>
                <w:sz w:val="20"/>
                <w:szCs w:val="20"/>
                <w:color w:val="auto"/>
              </w:rPr>
            </w:pPr>
            <w:r>
              <w:rPr>
                <w:rFonts w:ascii="Arial" w:cs="Arial" w:eastAsia="Arial" w:hAnsi="Arial"/>
                <w:sz w:val="18"/>
                <w:szCs w:val="18"/>
                <w:color w:val="060606"/>
              </w:rPr>
              <w:t>39.5 %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40.6 %</w:t>
            </w:r>
          </w:p>
        </w:tc>
        <w:tc>
          <w:tcPr>
            <w:tcW w:w="12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35.0 %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35.4 %</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060606"/>
              </w:rPr>
              <w:t>R&amp;D</w:t>
            </w:r>
          </w:p>
        </w:tc>
        <w:tc>
          <w:tcPr>
            <w:tcW w:w="1740" w:type="dxa"/>
            <w:vAlign w:val="bottom"/>
          </w:tcPr>
          <w:p>
            <w:pPr>
              <w:jc w:val="right"/>
              <w:spacing w:after="0"/>
              <w:rPr>
                <w:sz w:val="20"/>
                <w:szCs w:val="20"/>
                <w:color w:val="auto"/>
              </w:rPr>
            </w:pPr>
            <w:r>
              <w:rPr>
                <w:rFonts w:ascii="Arial" w:cs="Arial" w:eastAsia="Arial" w:hAnsi="Arial"/>
                <w:sz w:val="18"/>
                <w:szCs w:val="18"/>
                <w:color w:val="060606"/>
              </w:rPr>
              <w:t>13.0 %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14.9 %</w:t>
            </w:r>
          </w:p>
        </w:tc>
        <w:tc>
          <w:tcPr>
            <w:tcW w:w="12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12.4 %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14.0 %</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060606"/>
              </w:rPr>
              <w:t>Operating income</w:t>
            </w:r>
          </w:p>
        </w:tc>
        <w:tc>
          <w:tcPr>
            <w:tcW w:w="1740" w:type="dxa"/>
            <w:vAlign w:val="bottom"/>
          </w:tcPr>
          <w:p>
            <w:pPr>
              <w:jc w:val="right"/>
              <w:spacing w:after="0"/>
              <w:rPr>
                <w:sz w:val="20"/>
                <w:szCs w:val="20"/>
                <w:color w:val="auto"/>
              </w:rPr>
            </w:pPr>
            <w:r>
              <w:rPr>
                <w:rFonts w:ascii="Arial" w:cs="Arial" w:eastAsia="Arial" w:hAnsi="Arial"/>
                <w:sz w:val="18"/>
                <w:szCs w:val="18"/>
                <w:color w:val="060606"/>
              </w:rPr>
              <w:t>15.3 %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9.9 %</w:t>
            </w:r>
          </w:p>
        </w:tc>
        <w:tc>
          <w:tcPr>
            <w:tcW w:w="12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21.6 %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19.7 %</w:t>
            </w: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060606"/>
              </w:rPr>
              <w:t>Net (loss) income</w:t>
            </w:r>
          </w:p>
        </w:tc>
        <w:tc>
          <w:tcPr>
            <w:tcW w:w="1740" w:type="dxa"/>
            <w:vAlign w:val="bottom"/>
          </w:tcPr>
          <w:p>
            <w:pPr>
              <w:jc w:val="right"/>
              <w:spacing w:after="0"/>
              <w:rPr>
                <w:sz w:val="20"/>
                <w:szCs w:val="20"/>
                <w:color w:val="auto"/>
              </w:rPr>
            </w:pPr>
            <w:r>
              <w:rPr>
                <w:rFonts w:ascii="Arial" w:cs="Arial" w:eastAsia="Arial" w:hAnsi="Arial"/>
                <w:sz w:val="18"/>
                <w:szCs w:val="18"/>
                <w:color w:val="060606"/>
              </w:rPr>
              <w:t>(26.6)%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0.8 %</w:t>
            </w:r>
          </w:p>
        </w:tc>
        <w:tc>
          <w:tcPr>
            <w:tcW w:w="120" w:type="dxa"/>
            <w:vAlign w:val="bottom"/>
          </w:tcPr>
          <w:p>
            <w:pPr>
              <w:spacing w:after="0"/>
              <w:rPr>
                <w:sz w:val="19"/>
                <w:szCs w:val="19"/>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16.3 %</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15.0 %</w:t>
            </w:r>
          </w:p>
        </w:tc>
      </w:tr>
      <w:tr>
        <w:trPr>
          <w:trHeight w:val="239"/>
        </w:trPr>
        <w:tc>
          <w:tcPr>
            <w:tcW w:w="4000" w:type="dxa"/>
            <w:vAlign w:val="bottom"/>
          </w:tcPr>
          <w:p>
            <w:pPr>
              <w:ind w:left="20"/>
              <w:spacing w:after="0"/>
              <w:rPr>
                <w:sz w:val="20"/>
                <w:szCs w:val="20"/>
                <w:color w:val="auto"/>
              </w:rPr>
            </w:pPr>
            <w:r>
              <w:rPr>
                <w:rFonts w:ascii="Arial" w:cs="Arial" w:eastAsia="Arial" w:hAnsi="Arial"/>
                <w:sz w:val="18"/>
                <w:szCs w:val="18"/>
                <w:color w:val="060606"/>
              </w:rPr>
              <w:t>Income tax rate</w:t>
            </w:r>
          </w:p>
        </w:tc>
        <w:tc>
          <w:tcPr>
            <w:tcW w:w="1740" w:type="dxa"/>
            <w:vAlign w:val="bottom"/>
          </w:tcPr>
          <w:p>
            <w:pPr>
              <w:jc w:val="right"/>
              <w:spacing w:after="0"/>
              <w:rPr>
                <w:sz w:val="20"/>
                <w:szCs w:val="20"/>
                <w:color w:val="auto"/>
              </w:rPr>
            </w:pPr>
            <w:r>
              <w:rPr>
                <w:rFonts w:ascii="Arial" w:cs="Arial" w:eastAsia="Arial" w:hAnsi="Arial"/>
                <w:sz w:val="18"/>
                <w:szCs w:val="18"/>
                <w:color w:val="060606"/>
              </w:rPr>
              <w:t>(10.0)%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060606"/>
              </w:rPr>
              <w:t>76.9 %</w:t>
            </w:r>
          </w:p>
        </w:tc>
        <w:tc>
          <w:tcPr>
            <w:tcW w:w="120" w:type="dxa"/>
            <w:vAlign w:val="bottom"/>
          </w:tcPr>
          <w:p>
            <w:pPr>
              <w:spacing w:after="0"/>
              <w:rPr>
                <w:sz w:val="20"/>
                <w:szCs w:val="20"/>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060606"/>
              </w:rPr>
              <w:t>22.7 %</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jc w:val="center"/>
              <w:ind w:left="470"/>
              <w:spacing w:after="0"/>
              <w:rPr>
                <w:sz w:val="20"/>
                <w:szCs w:val="20"/>
                <w:color w:val="auto"/>
              </w:rPr>
            </w:pPr>
            <w:r>
              <w:rPr>
                <w:rFonts w:ascii="Arial" w:cs="Arial" w:eastAsia="Arial" w:hAnsi="Arial"/>
                <w:sz w:val="18"/>
                <w:szCs w:val="18"/>
                <w:color w:val="060606"/>
                <w:w w:val="99"/>
              </w:rPr>
              <w:t>21.4 %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13</w:t>
      </w:r>
    </w:p>
    <w:p>
      <w:pPr>
        <w:sectPr>
          <w:pgSz w:w="11900" w:h="16838" w:orient="portrait"/>
          <w:cols w:equalWidth="0" w:num="1">
            <w:col w:w="11240"/>
          </w:cols>
          <w:pgMar w:left="320" w:top="1440" w:right="339" w:bottom="1440" w:gutter="0" w:footer="0" w:header="0"/>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ind w:left="6120"/>
        <w:spacing w:after="0"/>
        <w:rPr>
          <w:sz w:val="20"/>
          <w:szCs w:val="20"/>
          <w:color w:val="auto"/>
        </w:rPr>
      </w:pPr>
      <w:r>
        <w:rPr>
          <w:rFonts w:ascii="Arial" w:cs="Arial" w:eastAsia="Arial" w:hAnsi="Arial"/>
          <w:sz w:val="14"/>
          <w:szCs w:val="14"/>
          <w:color w:val="060606"/>
        </w:rPr>
        <w:t>Specified Items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0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60606"/>
                <w:w w:val="99"/>
              </w:rPr>
              <w:t>GAAP</w:t>
            </w:r>
          </w:p>
        </w:tc>
        <w:tc>
          <w:tcPr>
            <w:tcW w:w="98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color w:val="060606"/>
                <w:w w:val="98"/>
              </w:rPr>
              <w:t>Depreciation</w:t>
            </w:r>
          </w:p>
        </w:tc>
        <w:tc>
          <w:tcPr>
            <w:tcW w:w="8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060606"/>
                <w:w w:val="95"/>
              </w:rPr>
              <w:t>Certain Legal &amp;</w:t>
            </w:r>
          </w:p>
        </w:tc>
        <w:tc>
          <w:tcPr>
            <w:tcW w:w="9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060606"/>
                <w:w w:val="96"/>
              </w:rPr>
              <w:t>Stock-based</w:t>
            </w:r>
          </w:p>
        </w:tc>
        <w:tc>
          <w:tcPr>
            <w:tcW w:w="9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3"/>
                <w:szCs w:val="13"/>
                <w:color w:val="060606"/>
                <w:w w:val="94"/>
              </w:rPr>
              <w:t>Adjusted</w:t>
            </w:r>
          </w:p>
        </w:tc>
        <w:tc>
          <w:tcPr>
            <w:tcW w:w="0" w:type="dxa"/>
            <w:vAlign w:val="bottom"/>
          </w:tcPr>
          <w:p>
            <w:pPr>
              <w:spacing w:after="0"/>
              <w:rPr>
                <w:sz w:val="1"/>
                <w:szCs w:val="1"/>
                <w:color w:val="auto"/>
              </w:rPr>
            </w:pPr>
          </w:p>
        </w:tc>
      </w:tr>
      <w:tr>
        <w:trPr>
          <w:trHeight w:val="122"/>
        </w:trPr>
        <w:tc>
          <w:tcPr>
            <w:tcW w:w="2000" w:type="dxa"/>
            <w:vAlign w:val="bottom"/>
            <w:vMerge w:val="restart"/>
          </w:tcPr>
          <w:p>
            <w:pPr>
              <w:ind w:left="20"/>
              <w:spacing w:after="0"/>
              <w:rPr>
                <w:sz w:val="20"/>
                <w:szCs w:val="20"/>
                <w:color w:val="auto"/>
              </w:rPr>
            </w:pPr>
            <w:r>
              <w:rPr>
                <w:rFonts w:ascii="Arial" w:cs="Arial" w:eastAsia="Arial" w:hAnsi="Arial"/>
                <w:sz w:val="14"/>
                <w:szCs w:val="14"/>
                <w:color w:val="060606"/>
              </w:rPr>
              <w:t>Three Months Ended</w:t>
            </w:r>
          </w:p>
        </w:tc>
        <w:tc>
          <w:tcPr>
            <w:tcW w:w="800" w:type="dxa"/>
            <w:vAlign w:val="bottom"/>
            <w:vMerge w:val="continue"/>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3"/>
                <w:szCs w:val="13"/>
                <w:color w:val="060606"/>
                <w:w w:val="92"/>
              </w:rPr>
              <w:t>and</w:t>
            </w:r>
          </w:p>
        </w:tc>
        <w:tc>
          <w:tcPr>
            <w:tcW w:w="860" w:type="dxa"/>
            <w:vAlign w:val="bottom"/>
          </w:tcPr>
          <w:p>
            <w:pPr>
              <w:spacing w:after="0"/>
              <w:rPr>
                <w:sz w:val="10"/>
                <w:szCs w:val="10"/>
                <w:color w:val="auto"/>
              </w:rPr>
            </w:pPr>
          </w:p>
        </w:tc>
        <w:tc>
          <w:tcPr>
            <w:tcW w:w="960" w:type="dxa"/>
            <w:vAlign w:val="bottom"/>
            <w:vMerge w:val="restart"/>
          </w:tcPr>
          <w:p>
            <w:pPr>
              <w:jc w:val="right"/>
              <w:ind w:right="149"/>
              <w:spacing w:after="0"/>
              <w:rPr>
                <w:sz w:val="20"/>
                <w:szCs w:val="20"/>
                <w:color w:val="auto"/>
              </w:rPr>
            </w:pPr>
            <w:r>
              <w:rPr>
                <w:rFonts w:ascii="Arial" w:cs="Arial" w:eastAsia="Arial" w:hAnsi="Arial"/>
                <w:sz w:val="13"/>
                <w:szCs w:val="13"/>
                <w:color w:val="060606"/>
              </w:rPr>
              <w:t>Financing</w:t>
            </w:r>
          </w:p>
        </w:tc>
        <w:tc>
          <w:tcPr>
            <w:tcW w:w="1020" w:type="dxa"/>
            <w:vAlign w:val="bottom"/>
            <w:vMerge w:val="restart"/>
          </w:tcPr>
          <w:p>
            <w:pPr>
              <w:jc w:val="right"/>
              <w:ind w:right="149"/>
              <w:spacing w:after="0"/>
              <w:rPr>
                <w:sz w:val="20"/>
                <w:szCs w:val="20"/>
                <w:color w:val="auto"/>
              </w:rPr>
            </w:pPr>
            <w:r>
              <w:rPr>
                <w:rFonts w:ascii="Arial" w:cs="Arial" w:eastAsia="Arial" w:hAnsi="Arial"/>
                <w:sz w:val="13"/>
                <w:szCs w:val="13"/>
                <w:color w:val="060606"/>
              </w:rPr>
              <w:t>Contingent</w:t>
            </w:r>
          </w:p>
        </w:tc>
        <w:tc>
          <w:tcPr>
            <w:tcW w:w="9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940" w:type="dxa"/>
            <w:vAlign w:val="bottom"/>
            <w:vMerge w:val="restart"/>
          </w:tcPr>
          <w:p>
            <w:pPr>
              <w:ind w:left="120"/>
              <w:spacing w:after="0"/>
              <w:rPr>
                <w:sz w:val="20"/>
                <w:szCs w:val="20"/>
                <w:color w:val="auto"/>
              </w:rPr>
            </w:pPr>
            <w:r>
              <w:rPr>
                <w:rFonts w:ascii="Arial" w:cs="Arial" w:eastAsia="Arial" w:hAnsi="Arial"/>
                <w:sz w:val="13"/>
                <w:szCs w:val="13"/>
                <w:color w:val="060606"/>
              </w:rPr>
              <w:t>Certain Tax</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060606"/>
                <w:w w:val="96"/>
              </w:rPr>
              <w:t>Certain Interest</w:t>
            </w:r>
          </w:p>
        </w:tc>
        <w:tc>
          <w:tcPr>
            <w:tcW w:w="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00" w:type="dxa"/>
            <w:vAlign w:val="bottom"/>
            <w:vMerge w:val="continue"/>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color w:val="060606"/>
                <w:w w:val="96"/>
              </w:rPr>
              <w:t>Financial</w:t>
            </w:r>
          </w:p>
        </w:tc>
        <w:tc>
          <w:tcPr>
            <w:tcW w:w="980" w:type="dxa"/>
            <w:vAlign w:val="bottom"/>
          </w:tcPr>
          <w:p>
            <w:pPr>
              <w:jc w:val="center"/>
              <w:spacing w:after="0" w:line="126" w:lineRule="exact"/>
              <w:rPr>
                <w:sz w:val="20"/>
                <w:szCs w:val="20"/>
                <w:color w:val="auto"/>
              </w:rPr>
            </w:pPr>
            <w:r>
              <w:rPr>
                <w:rFonts w:ascii="Arial" w:cs="Arial" w:eastAsia="Arial" w:hAnsi="Arial"/>
                <w:sz w:val="13"/>
                <w:szCs w:val="13"/>
                <w:color w:val="060606"/>
                <w:w w:val="96"/>
              </w:rPr>
              <w:t>Amortization</w:t>
            </w:r>
          </w:p>
        </w:tc>
        <w:tc>
          <w:tcPr>
            <w:tcW w:w="8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tcPr>
          <w:p>
            <w:pPr>
              <w:jc w:val="center"/>
              <w:spacing w:after="0" w:line="126" w:lineRule="exact"/>
              <w:rPr>
                <w:sz w:val="20"/>
                <w:szCs w:val="20"/>
                <w:color w:val="auto"/>
              </w:rPr>
            </w:pPr>
            <w:r>
              <w:rPr>
                <w:rFonts w:ascii="Arial" w:cs="Arial" w:eastAsia="Arial" w:hAnsi="Arial"/>
                <w:sz w:val="13"/>
                <w:szCs w:val="13"/>
                <w:color w:val="060606"/>
                <w:w w:val="98"/>
              </w:rPr>
              <w:t>Regulatory</w:t>
            </w:r>
          </w:p>
        </w:tc>
        <w:tc>
          <w:tcPr>
            <w:tcW w:w="980" w:type="dxa"/>
            <w:vAlign w:val="bottom"/>
          </w:tcPr>
          <w:p>
            <w:pPr>
              <w:jc w:val="center"/>
              <w:spacing w:after="0" w:line="126" w:lineRule="exact"/>
              <w:rPr>
                <w:sz w:val="20"/>
                <w:szCs w:val="20"/>
                <w:color w:val="auto"/>
              </w:rPr>
            </w:pPr>
            <w:r>
              <w:rPr>
                <w:rFonts w:ascii="Arial" w:cs="Arial" w:eastAsia="Arial" w:hAnsi="Arial"/>
                <w:sz w:val="13"/>
                <w:szCs w:val="13"/>
                <w:color w:val="060606"/>
                <w:w w:val="95"/>
              </w:rPr>
              <w:t>Compensation</w:t>
            </w:r>
          </w:p>
        </w:tc>
        <w:tc>
          <w:tcPr>
            <w:tcW w:w="9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Arial" w:cs="Arial" w:eastAsia="Arial" w:hAnsi="Arial"/>
                <w:sz w:val="13"/>
                <w:szCs w:val="13"/>
                <w:color w:val="060606"/>
                <w:w w:val="99"/>
              </w:rPr>
              <w:t>Financial</w:t>
            </w:r>
          </w:p>
        </w:tc>
        <w:tc>
          <w:tcPr>
            <w:tcW w:w="0" w:type="dxa"/>
            <w:vAlign w:val="bottom"/>
          </w:tcPr>
          <w:p>
            <w:pPr>
              <w:spacing w:after="0"/>
              <w:rPr>
                <w:sz w:val="1"/>
                <w:szCs w:val="1"/>
                <w:color w:val="auto"/>
              </w:rPr>
            </w:pPr>
          </w:p>
        </w:tc>
      </w:tr>
      <w:tr>
        <w:trPr>
          <w:trHeight w:val="175"/>
        </w:trPr>
        <w:tc>
          <w:tcPr>
            <w:tcW w:w="2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60606"/>
              </w:rPr>
              <w:t>September 30, 2025</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60606"/>
                <w:w w:val="98"/>
              </w:rPr>
              <w:t>Measures</w:t>
            </w:r>
          </w:p>
        </w:tc>
        <w:tc>
          <w:tcPr>
            <w:tcW w:w="9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92"/>
              </w:rPr>
              <w:t xml:space="preserve">Expenses </w:t>
            </w:r>
            <w:r>
              <w:rPr>
                <w:rFonts w:ascii="Arial" w:cs="Arial" w:eastAsia="Arial" w:hAnsi="Arial"/>
                <w:sz w:val="16"/>
                <w:szCs w:val="16"/>
                <w:color w:val="060606"/>
                <w:w w:val="92"/>
                <w:vertAlign w:val="superscript"/>
              </w:rPr>
              <w:t>(1)</w:t>
            </w:r>
          </w:p>
        </w:tc>
        <w:tc>
          <w:tcPr>
            <w:tcW w:w="860" w:type="dxa"/>
            <w:vAlign w:val="bottom"/>
            <w:tcBorders>
              <w:bottom w:val="single" w:sz="8" w:color="auto"/>
            </w:tcBorders>
          </w:tcPr>
          <w:p>
            <w:pPr>
              <w:jc w:val="right"/>
              <w:ind w:right="9"/>
              <w:spacing w:after="0" w:line="175" w:lineRule="exact"/>
              <w:rPr>
                <w:sz w:val="20"/>
                <w:szCs w:val="20"/>
                <w:color w:val="auto"/>
              </w:rPr>
            </w:pPr>
            <w:r>
              <w:rPr>
                <w:rFonts w:ascii="Arial" w:cs="Arial" w:eastAsia="Arial" w:hAnsi="Arial"/>
                <w:sz w:val="13"/>
                <w:szCs w:val="13"/>
                <w:color w:val="060606"/>
                <w:w w:val="93"/>
              </w:rPr>
              <w:t xml:space="preserve">Impairment </w:t>
            </w:r>
            <w:r>
              <w:rPr>
                <w:rFonts w:ascii="Arial" w:cs="Arial" w:eastAsia="Arial" w:hAnsi="Arial"/>
                <w:sz w:val="16"/>
                <w:szCs w:val="16"/>
                <w:color w:val="060606"/>
                <w:w w:val="93"/>
                <w:vertAlign w:val="superscript"/>
              </w:rPr>
              <w:t>(2)</w:t>
            </w:r>
          </w:p>
        </w:tc>
        <w:tc>
          <w:tcPr>
            <w:tcW w:w="960" w:type="dxa"/>
            <w:vAlign w:val="bottom"/>
            <w:tcBorders>
              <w:bottom w:val="single" w:sz="8" w:color="auto"/>
            </w:tcBorders>
          </w:tcPr>
          <w:p>
            <w:pPr>
              <w:jc w:val="right"/>
              <w:ind w:right="9"/>
              <w:spacing w:after="0" w:line="175" w:lineRule="exact"/>
              <w:rPr>
                <w:sz w:val="20"/>
                <w:szCs w:val="20"/>
                <w:color w:val="auto"/>
              </w:rPr>
            </w:pPr>
            <w:r>
              <w:rPr>
                <w:rFonts w:ascii="Arial" w:cs="Arial" w:eastAsia="Arial" w:hAnsi="Arial"/>
                <w:sz w:val="13"/>
                <w:szCs w:val="13"/>
                <w:color w:val="060606"/>
                <w:w w:val="94"/>
              </w:rPr>
              <w:t xml:space="preserve">Transactions </w:t>
            </w:r>
            <w:r>
              <w:rPr>
                <w:rFonts w:ascii="Arial" w:cs="Arial" w:eastAsia="Arial" w:hAnsi="Arial"/>
                <w:sz w:val="16"/>
                <w:szCs w:val="16"/>
                <w:color w:val="060606"/>
                <w:w w:val="94"/>
                <w:vertAlign w:val="superscript"/>
              </w:rPr>
              <w:t>(3)</w:t>
            </w:r>
          </w:p>
        </w:tc>
        <w:tc>
          <w:tcPr>
            <w:tcW w:w="10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color w:val="060606"/>
                <w:w w:val="97"/>
              </w:rPr>
              <w:t xml:space="preserve">Consideration </w:t>
            </w:r>
            <w:r>
              <w:rPr>
                <w:rFonts w:ascii="Arial" w:cs="Arial" w:eastAsia="Arial" w:hAnsi="Arial"/>
                <w:sz w:val="16"/>
                <w:szCs w:val="16"/>
                <w:color w:val="060606"/>
                <w:w w:val="97"/>
                <w:vertAlign w:val="superscript"/>
              </w:rPr>
              <w:t>(4)</w:t>
            </w:r>
          </w:p>
        </w:tc>
        <w:tc>
          <w:tcPr>
            <w:tcW w:w="9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92"/>
              </w:rPr>
              <w:t xml:space="preserve">Costs </w:t>
            </w:r>
            <w:r>
              <w:rPr>
                <w:rFonts w:ascii="Arial" w:cs="Arial" w:eastAsia="Arial" w:hAnsi="Arial"/>
                <w:sz w:val="16"/>
                <w:szCs w:val="16"/>
                <w:color w:val="060606"/>
                <w:w w:val="92"/>
                <w:vertAlign w:val="superscript"/>
              </w:rPr>
              <w:t>(5)</w:t>
            </w:r>
          </w:p>
        </w:tc>
        <w:tc>
          <w:tcPr>
            <w:tcW w:w="9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88"/>
              </w:rPr>
              <w:t xml:space="preserve">Costs </w:t>
            </w:r>
            <w:r>
              <w:rPr>
                <w:rFonts w:ascii="Arial" w:cs="Arial" w:eastAsia="Arial" w:hAnsi="Arial"/>
                <w:sz w:val="16"/>
                <w:szCs w:val="16"/>
                <w:color w:val="060606"/>
                <w:w w:val="88"/>
                <w:vertAlign w:val="superscript"/>
              </w:rPr>
              <w:t>(6)</w:t>
            </w:r>
          </w:p>
        </w:tc>
        <w:tc>
          <w:tcPr>
            <w:tcW w:w="940" w:type="dxa"/>
            <w:vAlign w:val="bottom"/>
            <w:tcBorders>
              <w:bottom w:val="single" w:sz="8" w:color="auto"/>
            </w:tcBorders>
          </w:tcPr>
          <w:p>
            <w:pPr>
              <w:ind w:left="40"/>
              <w:spacing w:after="0" w:line="175" w:lineRule="exact"/>
              <w:rPr>
                <w:sz w:val="20"/>
                <w:szCs w:val="20"/>
                <w:color w:val="auto"/>
              </w:rPr>
            </w:pPr>
            <w:r>
              <w:rPr>
                <w:rFonts w:ascii="Arial" w:cs="Arial" w:eastAsia="Arial" w:hAnsi="Arial"/>
                <w:sz w:val="13"/>
                <w:szCs w:val="13"/>
                <w:color w:val="060606"/>
                <w:w w:val="99"/>
              </w:rPr>
              <w:t xml:space="preserve">Adjustments </w:t>
            </w:r>
            <w:r>
              <w:rPr>
                <w:rFonts w:ascii="Arial" w:cs="Arial" w:eastAsia="Arial" w:hAnsi="Arial"/>
                <w:sz w:val="16"/>
                <w:szCs w:val="16"/>
                <w:color w:val="060606"/>
                <w:w w:val="99"/>
                <w:vertAlign w:val="superscript"/>
              </w:rPr>
              <w:t>(7)</w:t>
            </w: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color w:val="060606"/>
                <w:w w:val="95"/>
              </w:rPr>
              <w:t xml:space="preserve">Adjustments </w:t>
            </w:r>
            <w:r>
              <w:rPr>
                <w:rFonts w:ascii="Arial" w:cs="Arial" w:eastAsia="Arial" w:hAnsi="Arial"/>
                <w:sz w:val="16"/>
                <w:szCs w:val="16"/>
                <w:color w:val="060606"/>
                <w:w w:val="95"/>
                <w:vertAlign w:val="superscript"/>
              </w:rPr>
              <w:t>(8)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60606"/>
                <w:w w:val="98"/>
              </w:rPr>
              <w:t>Measures</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Arial" w:cs="Arial" w:eastAsia="Arial" w:hAnsi="Arial"/>
                <w:sz w:val="14"/>
                <w:szCs w:val="14"/>
                <w:color w:val="060606"/>
              </w:rPr>
              <w:t>Cost of sales</w:t>
            </w:r>
          </w:p>
        </w:tc>
        <w:tc>
          <w:tcPr>
            <w:tcW w:w="800" w:type="dxa"/>
            <w:vAlign w:val="bottom"/>
          </w:tcPr>
          <w:p>
            <w:pPr>
              <w:jc w:val="right"/>
              <w:ind w:right="110"/>
              <w:spacing w:after="0"/>
              <w:rPr>
                <w:sz w:val="20"/>
                <w:szCs w:val="20"/>
                <w:color w:val="auto"/>
              </w:rPr>
            </w:pPr>
            <w:r>
              <w:rPr>
                <w:rFonts w:ascii="Arial" w:cs="Arial" w:eastAsia="Arial" w:hAnsi="Arial"/>
                <w:sz w:val="14"/>
                <w:szCs w:val="14"/>
                <w:color w:val="060606"/>
              </w:rPr>
              <w:t>$112.9</w:t>
            </w:r>
          </w:p>
        </w:tc>
        <w:tc>
          <w:tcPr>
            <w:tcW w:w="980" w:type="dxa"/>
            <w:vAlign w:val="bottom"/>
          </w:tcPr>
          <w:p>
            <w:pPr>
              <w:jc w:val="right"/>
              <w:ind w:right="90"/>
              <w:spacing w:after="0"/>
              <w:rPr>
                <w:sz w:val="20"/>
                <w:szCs w:val="20"/>
                <w:color w:val="auto"/>
              </w:rPr>
            </w:pPr>
            <w:r>
              <w:rPr>
                <w:rFonts w:ascii="Arial" w:cs="Arial" w:eastAsia="Arial" w:hAnsi="Arial"/>
                <w:sz w:val="14"/>
                <w:szCs w:val="14"/>
                <w:color w:val="060606"/>
              </w:rPr>
              <w:t>($1.9)</w:t>
            </w:r>
          </w:p>
        </w:tc>
        <w:tc>
          <w:tcPr>
            <w:tcW w:w="86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060606"/>
              </w:rPr>
              <w:t>($1.0)</w:t>
            </w:r>
          </w:p>
        </w:tc>
        <w:tc>
          <w:tcPr>
            <w:tcW w:w="940" w:type="dxa"/>
            <w:vAlign w:val="bottom"/>
          </w:tcPr>
          <w:p>
            <w:pPr>
              <w:jc w:val="right"/>
              <w:ind w:right="150"/>
              <w:spacing w:after="0"/>
              <w:rPr>
                <w:sz w:val="20"/>
                <w:szCs w:val="20"/>
                <w:color w:val="auto"/>
              </w:rPr>
            </w:pPr>
            <w:r>
              <w:rPr>
                <w:rFonts w:ascii="Arial" w:cs="Arial" w:eastAsia="Arial" w:hAnsi="Arial"/>
                <w:sz w:val="14"/>
                <w:szCs w:val="14"/>
                <w:color w:val="060606"/>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060606"/>
              </w:rPr>
              <w:t>($0.5)</w:t>
            </w:r>
          </w:p>
        </w:tc>
        <w:tc>
          <w:tcPr>
            <w:tcW w:w="940" w:type="dxa"/>
            <w:vAlign w:val="bottom"/>
          </w:tcPr>
          <w:p>
            <w:pPr>
              <w:ind w:left="50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060606"/>
              </w:rPr>
              <w:t>$109.5</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4"/>
                <w:szCs w:val="14"/>
                <w:color w:val="060606"/>
              </w:rPr>
              <w:t>Gross profit percent</w:t>
            </w:r>
          </w:p>
        </w:tc>
        <w:tc>
          <w:tcPr>
            <w:tcW w:w="800" w:type="dxa"/>
            <w:vAlign w:val="bottom"/>
          </w:tcPr>
          <w:p>
            <w:pPr>
              <w:jc w:val="right"/>
              <w:spacing w:after="0"/>
              <w:rPr>
                <w:sz w:val="20"/>
                <w:szCs w:val="20"/>
                <w:color w:val="auto"/>
              </w:rPr>
            </w:pPr>
            <w:r>
              <w:rPr>
                <w:rFonts w:ascii="Arial" w:cs="Arial" w:eastAsia="Arial" w:hAnsi="Arial"/>
                <w:sz w:val="14"/>
                <w:szCs w:val="14"/>
                <w:color w:val="060606"/>
              </w:rPr>
              <w:t>68.4 %</w:t>
            </w:r>
          </w:p>
        </w:tc>
        <w:tc>
          <w:tcPr>
            <w:tcW w:w="980" w:type="dxa"/>
            <w:vAlign w:val="bottom"/>
          </w:tcPr>
          <w:p>
            <w:pPr>
              <w:jc w:val="right"/>
              <w:spacing w:after="0"/>
              <w:rPr>
                <w:sz w:val="20"/>
                <w:szCs w:val="20"/>
                <w:color w:val="auto"/>
              </w:rPr>
            </w:pPr>
            <w:r>
              <w:rPr>
                <w:rFonts w:ascii="Arial" w:cs="Arial" w:eastAsia="Arial" w:hAnsi="Arial"/>
                <w:sz w:val="14"/>
                <w:szCs w:val="14"/>
                <w:color w:val="060606"/>
              </w:rPr>
              <w:t>0.5 %</w:t>
            </w:r>
          </w:p>
        </w:tc>
        <w:tc>
          <w:tcPr>
            <w:tcW w:w="860" w:type="dxa"/>
            <w:vAlign w:val="bottom"/>
          </w:tcPr>
          <w:p>
            <w:pPr>
              <w:jc w:val="right"/>
              <w:spacing w:after="0"/>
              <w:rPr>
                <w:sz w:val="20"/>
                <w:szCs w:val="20"/>
                <w:color w:val="auto"/>
              </w:rPr>
            </w:pPr>
            <w:r>
              <w:rPr>
                <w:rFonts w:ascii="Arial" w:cs="Arial" w:eastAsia="Arial" w:hAnsi="Arial"/>
                <w:sz w:val="14"/>
                <w:szCs w:val="14"/>
                <w:color w:val="060606"/>
              </w:rPr>
              <w:t>— %</w:t>
            </w:r>
          </w:p>
        </w:tc>
        <w:tc>
          <w:tcPr>
            <w:tcW w:w="960" w:type="dxa"/>
            <w:vAlign w:val="bottom"/>
          </w:tcPr>
          <w:p>
            <w:pPr>
              <w:jc w:val="right"/>
              <w:spacing w:after="0"/>
              <w:rPr>
                <w:sz w:val="20"/>
                <w:szCs w:val="20"/>
                <w:color w:val="auto"/>
              </w:rPr>
            </w:pPr>
            <w:r>
              <w:rPr>
                <w:rFonts w:ascii="Arial" w:cs="Arial" w:eastAsia="Arial" w:hAnsi="Arial"/>
                <w:sz w:val="14"/>
                <w:szCs w:val="14"/>
                <w:color w:val="060606"/>
              </w:rPr>
              <w:t>— %</w:t>
            </w:r>
          </w:p>
        </w:tc>
        <w:tc>
          <w:tcPr>
            <w:tcW w:w="1020" w:type="dxa"/>
            <w:vAlign w:val="bottom"/>
          </w:tcPr>
          <w:p>
            <w:pPr>
              <w:jc w:val="right"/>
              <w:spacing w:after="0"/>
              <w:rPr>
                <w:sz w:val="20"/>
                <w:szCs w:val="20"/>
                <w:color w:val="auto"/>
              </w:rPr>
            </w:pPr>
            <w:r>
              <w:rPr>
                <w:rFonts w:ascii="Arial" w:cs="Arial" w:eastAsia="Arial" w:hAnsi="Arial"/>
                <w:sz w:val="14"/>
                <w:szCs w:val="14"/>
                <w:color w:val="060606"/>
              </w:rPr>
              <w:t>0.3 %</w:t>
            </w:r>
          </w:p>
        </w:tc>
        <w:tc>
          <w:tcPr>
            <w:tcW w:w="940" w:type="dxa"/>
            <w:vAlign w:val="bottom"/>
          </w:tcPr>
          <w:p>
            <w:pPr>
              <w:jc w:val="right"/>
              <w:spacing w:after="0"/>
              <w:rPr>
                <w:sz w:val="20"/>
                <w:szCs w:val="20"/>
                <w:color w:val="auto"/>
              </w:rPr>
            </w:pPr>
            <w:r>
              <w:rPr>
                <w:rFonts w:ascii="Arial" w:cs="Arial" w:eastAsia="Arial" w:hAnsi="Arial"/>
                <w:sz w:val="14"/>
                <w:szCs w:val="14"/>
                <w:color w:val="060606"/>
              </w:rPr>
              <w:t>— %</w:t>
            </w:r>
          </w:p>
        </w:tc>
        <w:tc>
          <w:tcPr>
            <w:tcW w:w="980" w:type="dxa"/>
            <w:vAlign w:val="bottom"/>
          </w:tcPr>
          <w:p>
            <w:pPr>
              <w:jc w:val="right"/>
              <w:spacing w:after="0"/>
              <w:rPr>
                <w:sz w:val="20"/>
                <w:szCs w:val="20"/>
                <w:color w:val="auto"/>
              </w:rPr>
            </w:pPr>
            <w:r>
              <w:rPr>
                <w:rFonts w:ascii="Arial" w:cs="Arial" w:eastAsia="Arial" w:hAnsi="Arial"/>
                <w:sz w:val="14"/>
                <w:szCs w:val="14"/>
                <w:color w:val="060606"/>
              </w:rPr>
              <w:t>0.1 %</w:t>
            </w:r>
          </w:p>
        </w:tc>
        <w:tc>
          <w:tcPr>
            <w:tcW w:w="940" w:type="dxa"/>
            <w:vAlign w:val="bottom"/>
          </w:tcPr>
          <w:p>
            <w:pPr>
              <w:ind w:left="580"/>
              <w:spacing w:after="0"/>
              <w:rPr>
                <w:sz w:val="20"/>
                <w:szCs w:val="20"/>
                <w:color w:val="auto"/>
              </w:rPr>
            </w:pPr>
            <w:r>
              <w:rPr>
                <w:rFonts w:ascii="Arial" w:cs="Arial" w:eastAsia="Arial" w:hAnsi="Arial"/>
                <w:sz w:val="14"/>
                <w:szCs w:val="14"/>
                <w:color w:val="060606"/>
              </w:rPr>
              <w:t>— %</w:t>
            </w:r>
          </w:p>
        </w:tc>
        <w:tc>
          <w:tcPr>
            <w:tcW w:w="920" w:type="dxa"/>
            <w:vAlign w:val="bottom"/>
          </w:tcPr>
          <w:p>
            <w:pPr>
              <w:jc w:val="right"/>
              <w:spacing w:after="0"/>
              <w:rPr>
                <w:sz w:val="20"/>
                <w:szCs w:val="20"/>
                <w:color w:val="auto"/>
              </w:rPr>
            </w:pPr>
            <w:r>
              <w:rPr>
                <w:rFonts w:ascii="Arial" w:cs="Arial" w:eastAsia="Arial" w:hAnsi="Arial"/>
                <w:sz w:val="14"/>
                <w:szCs w:val="14"/>
                <w:color w:val="060606"/>
              </w:rPr>
              <w:t>— %</w:t>
            </w:r>
          </w:p>
        </w:tc>
        <w:tc>
          <w:tcPr>
            <w:tcW w:w="840" w:type="dxa"/>
            <w:vAlign w:val="bottom"/>
          </w:tcPr>
          <w:p>
            <w:pPr>
              <w:jc w:val="right"/>
              <w:spacing w:after="0"/>
              <w:rPr>
                <w:sz w:val="20"/>
                <w:szCs w:val="20"/>
                <w:color w:val="auto"/>
              </w:rPr>
            </w:pPr>
            <w:r>
              <w:rPr>
                <w:rFonts w:ascii="Arial" w:cs="Arial" w:eastAsia="Arial" w:hAnsi="Arial"/>
                <w:sz w:val="14"/>
                <w:szCs w:val="14"/>
                <w:color w:val="060606"/>
              </w:rPr>
              <w:t>69.4 %</w:t>
            </w:r>
          </w:p>
        </w:tc>
        <w:tc>
          <w:tcPr>
            <w:tcW w:w="0" w:type="dxa"/>
            <w:vAlign w:val="bottom"/>
          </w:tcPr>
          <w:p>
            <w:pPr>
              <w:spacing w:after="0"/>
              <w:rPr>
                <w:sz w:val="1"/>
                <w:szCs w:val="1"/>
                <w:color w:val="auto"/>
              </w:rPr>
            </w:pPr>
          </w:p>
        </w:tc>
      </w:tr>
      <w:tr>
        <w:trPr>
          <w:trHeight w:val="161"/>
        </w:trPr>
        <w:tc>
          <w:tcPr>
            <w:tcW w:w="2000" w:type="dxa"/>
            <w:vAlign w:val="bottom"/>
          </w:tcPr>
          <w:p>
            <w:pPr>
              <w:ind w:left="20"/>
              <w:spacing w:after="0"/>
              <w:rPr>
                <w:sz w:val="20"/>
                <w:szCs w:val="20"/>
                <w:color w:val="auto"/>
              </w:rPr>
            </w:pPr>
            <w:r>
              <w:rPr>
                <w:rFonts w:ascii="Arial" w:cs="Arial" w:eastAsia="Arial" w:hAnsi="Arial"/>
                <w:sz w:val="14"/>
                <w:szCs w:val="14"/>
                <w:color w:val="060606"/>
              </w:rPr>
              <w:t>Selling, general, and</w:t>
            </w:r>
          </w:p>
        </w:tc>
        <w:tc>
          <w:tcPr>
            <w:tcW w:w="800" w:type="dxa"/>
            <w:vAlign w:val="bottom"/>
            <w:vMerge w:val="restart"/>
          </w:tcPr>
          <w:p>
            <w:pPr>
              <w:jc w:val="right"/>
              <w:ind w:right="110"/>
              <w:spacing w:after="0"/>
              <w:rPr>
                <w:sz w:val="20"/>
                <w:szCs w:val="20"/>
                <w:color w:val="auto"/>
              </w:rPr>
            </w:pPr>
            <w:r>
              <w:rPr>
                <w:rFonts w:ascii="Arial" w:cs="Arial" w:eastAsia="Arial" w:hAnsi="Arial"/>
                <w:sz w:val="14"/>
                <w:szCs w:val="14"/>
                <w:color w:val="060606"/>
              </w:rPr>
              <w:t>138.5</w:t>
            </w:r>
          </w:p>
        </w:tc>
        <w:tc>
          <w:tcPr>
            <w:tcW w:w="980" w:type="dxa"/>
            <w:vAlign w:val="bottom"/>
            <w:vMerge w:val="restart"/>
          </w:tcPr>
          <w:p>
            <w:pPr>
              <w:jc w:val="right"/>
              <w:ind w:right="90"/>
              <w:spacing w:after="0"/>
              <w:rPr>
                <w:sz w:val="20"/>
                <w:szCs w:val="20"/>
                <w:color w:val="auto"/>
              </w:rPr>
            </w:pPr>
            <w:r>
              <w:rPr>
                <w:rFonts w:ascii="Arial" w:cs="Arial" w:eastAsia="Arial" w:hAnsi="Arial"/>
                <w:sz w:val="14"/>
                <w:szCs w:val="14"/>
                <w:color w:val="060606"/>
              </w:rPr>
              <w:t>(2.6)</w:t>
            </w:r>
          </w:p>
        </w:tc>
        <w:tc>
          <w:tcPr>
            <w:tcW w:w="860" w:type="dxa"/>
            <w:vAlign w:val="bottom"/>
            <w:vMerge w:val="restart"/>
          </w:tcPr>
          <w:p>
            <w:pPr>
              <w:jc w:val="right"/>
              <w:ind w:right="149"/>
              <w:spacing w:after="0"/>
              <w:rPr>
                <w:sz w:val="20"/>
                <w:szCs w:val="20"/>
                <w:color w:val="auto"/>
              </w:rPr>
            </w:pPr>
            <w:r>
              <w:rPr>
                <w:rFonts w:ascii="Arial" w:cs="Arial" w:eastAsia="Arial" w:hAnsi="Arial"/>
                <w:sz w:val="14"/>
                <w:szCs w:val="14"/>
                <w:color w:val="060606"/>
              </w:rPr>
              <w:t>—</w:t>
            </w:r>
          </w:p>
        </w:tc>
        <w:tc>
          <w:tcPr>
            <w:tcW w:w="96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102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940" w:type="dxa"/>
            <w:vAlign w:val="bottom"/>
            <w:vMerge w:val="restart"/>
          </w:tcPr>
          <w:p>
            <w:pPr>
              <w:jc w:val="right"/>
              <w:ind w:right="110"/>
              <w:spacing w:after="0"/>
              <w:rPr>
                <w:sz w:val="20"/>
                <w:szCs w:val="20"/>
                <w:color w:val="auto"/>
              </w:rPr>
            </w:pPr>
            <w:r>
              <w:rPr>
                <w:rFonts w:ascii="Arial" w:cs="Arial" w:eastAsia="Arial" w:hAnsi="Arial"/>
                <w:sz w:val="14"/>
                <w:szCs w:val="14"/>
                <w:color w:val="060606"/>
              </w:rPr>
              <w:t>(6.2)</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060606"/>
              </w:rPr>
              <w:t>(6.8)</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jc w:val="right"/>
              <w:ind w:right="109"/>
              <w:spacing w:after="0"/>
              <w:rPr>
                <w:sz w:val="20"/>
                <w:szCs w:val="20"/>
                <w:color w:val="auto"/>
              </w:rPr>
            </w:pPr>
            <w:r>
              <w:rPr>
                <w:rFonts w:ascii="Arial" w:cs="Arial" w:eastAsia="Arial" w:hAnsi="Arial"/>
                <w:sz w:val="14"/>
                <w:szCs w:val="14"/>
                <w:color w:val="060606"/>
              </w:rPr>
              <w:t>—</w:t>
            </w:r>
          </w:p>
        </w:tc>
        <w:tc>
          <w:tcPr>
            <w:tcW w:w="840" w:type="dxa"/>
            <w:vAlign w:val="bottom"/>
            <w:vMerge w:val="restart"/>
          </w:tcPr>
          <w:p>
            <w:pPr>
              <w:jc w:val="right"/>
              <w:ind w:right="110"/>
              <w:spacing w:after="0"/>
              <w:rPr>
                <w:sz w:val="20"/>
                <w:szCs w:val="20"/>
                <w:color w:val="auto"/>
              </w:rPr>
            </w:pPr>
            <w:r>
              <w:rPr>
                <w:rFonts w:ascii="Arial" w:cs="Arial" w:eastAsia="Arial" w:hAnsi="Arial"/>
                <w:sz w:val="14"/>
                <w:szCs w:val="14"/>
                <w:color w:val="060606"/>
              </w:rPr>
              <w:t>122.8</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060606"/>
              </w:rPr>
              <w:t>administrative</w:t>
            </w:r>
          </w:p>
        </w:tc>
        <w:tc>
          <w:tcPr>
            <w:tcW w:w="8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9" w:lineRule="exact"/>
              <w:rPr>
                <w:sz w:val="20"/>
                <w:szCs w:val="20"/>
                <w:color w:val="auto"/>
              </w:rPr>
            </w:pPr>
            <w:r>
              <w:rPr>
                <w:rFonts w:ascii="Arial" w:cs="Arial" w:eastAsia="Arial" w:hAnsi="Arial"/>
                <w:sz w:val="14"/>
                <w:szCs w:val="14"/>
                <w:color w:val="060606"/>
              </w:rPr>
              <w:t>Selling, general, and</w:t>
            </w: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ind w:left="20"/>
              <w:spacing w:after="0" w:line="149" w:lineRule="exact"/>
              <w:rPr>
                <w:sz w:val="20"/>
                <w:szCs w:val="20"/>
                <w:color w:val="auto"/>
              </w:rPr>
            </w:pPr>
            <w:r>
              <w:rPr>
                <w:rFonts w:ascii="Arial" w:cs="Arial" w:eastAsia="Arial" w:hAnsi="Arial"/>
                <w:sz w:val="14"/>
                <w:szCs w:val="14"/>
                <w:color w:val="060606"/>
              </w:rPr>
              <w:t>administrative as a percent of</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060606"/>
              </w:rPr>
              <w:t>38.7 %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(0.7)%</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(1.7)%</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(1.9)%</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34.3 %</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060606"/>
              </w:rPr>
              <w:t>net revenue</w:t>
            </w:r>
          </w:p>
        </w:tc>
        <w:tc>
          <w:tcPr>
            <w:tcW w:w="8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Arial" w:cs="Arial" w:eastAsia="Arial" w:hAnsi="Arial"/>
                <w:sz w:val="14"/>
                <w:szCs w:val="14"/>
                <w:color w:val="060606"/>
              </w:rPr>
              <w:t>Research and development</w:t>
            </w:r>
          </w:p>
        </w:tc>
        <w:tc>
          <w:tcPr>
            <w:tcW w:w="800" w:type="dxa"/>
            <w:vAlign w:val="bottom"/>
          </w:tcPr>
          <w:p>
            <w:pPr>
              <w:jc w:val="right"/>
              <w:ind w:right="110"/>
              <w:spacing w:after="0"/>
              <w:rPr>
                <w:sz w:val="20"/>
                <w:szCs w:val="20"/>
                <w:color w:val="auto"/>
              </w:rPr>
            </w:pPr>
            <w:r>
              <w:rPr>
                <w:rFonts w:ascii="Arial" w:cs="Arial" w:eastAsia="Arial" w:hAnsi="Arial"/>
                <w:sz w:val="14"/>
                <w:szCs w:val="14"/>
                <w:color w:val="060606"/>
              </w:rPr>
              <w:t>48.6</w:t>
            </w:r>
          </w:p>
        </w:tc>
        <w:tc>
          <w:tcPr>
            <w:tcW w:w="980" w:type="dxa"/>
            <w:vAlign w:val="bottom"/>
          </w:tcPr>
          <w:p>
            <w:pPr>
              <w:jc w:val="right"/>
              <w:ind w:right="130"/>
              <w:spacing w:after="0"/>
              <w:rPr>
                <w:sz w:val="20"/>
                <w:szCs w:val="20"/>
                <w:color w:val="auto"/>
              </w:rPr>
            </w:pPr>
            <w:r>
              <w:rPr>
                <w:rFonts w:ascii="Arial" w:cs="Arial" w:eastAsia="Arial" w:hAnsi="Arial"/>
                <w:sz w:val="14"/>
                <w:szCs w:val="14"/>
                <w:color w:val="060606"/>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1020" w:type="dxa"/>
            <w:vAlign w:val="bottom"/>
          </w:tcPr>
          <w:p>
            <w:pPr>
              <w:jc w:val="right"/>
              <w:ind w:right="89"/>
              <w:spacing w:after="0"/>
              <w:rPr>
                <w:sz w:val="20"/>
                <w:szCs w:val="20"/>
                <w:color w:val="auto"/>
              </w:rPr>
            </w:pPr>
            <w:r>
              <w:rPr>
                <w:rFonts w:ascii="Arial" w:cs="Arial" w:eastAsia="Arial" w:hAnsi="Arial"/>
                <w:sz w:val="14"/>
                <w:szCs w:val="14"/>
                <w:color w:val="060606"/>
              </w:rPr>
              <w:t>(0.8)</w:t>
            </w:r>
          </w:p>
        </w:tc>
        <w:tc>
          <w:tcPr>
            <w:tcW w:w="940" w:type="dxa"/>
            <w:vAlign w:val="bottom"/>
          </w:tcPr>
          <w:p>
            <w:pPr>
              <w:jc w:val="right"/>
              <w:ind w:right="110"/>
              <w:spacing w:after="0"/>
              <w:rPr>
                <w:sz w:val="20"/>
                <w:szCs w:val="20"/>
                <w:color w:val="auto"/>
              </w:rPr>
            </w:pPr>
            <w:r>
              <w:rPr>
                <w:rFonts w:ascii="Arial" w:cs="Arial" w:eastAsia="Arial" w:hAnsi="Arial"/>
                <w:sz w:val="14"/>
                <w:szCs w:val="14"/>
                <w:color w:val="060606"/>
              </w:rPr>
              <w:t>(0.2)</w:t>
            </w:r>
          </w:p>
        </w:tc>
        <w:tc>
          <w:tcPr>
            <w:tcW w:w="980" w:type="dxa"/>
            <w:vAlign w:val="bottom"/>
          </w:tcPr>
          <w:p>
            <w:pPr>
              <w:jc w:val="right"/>
              <w:ind w:right="110"/>
              <w:spacing w:after="0"/>
              <w:rPr>
                <w:sz w:val="20"/>
                <w:szCs w:val="20"/>
                <w:color w:val="auto"/>
              </w:rPr>
            </w:pPr>
            <w:r>
              <w:rPr>
                <w:rFonts w:ascii="Arial" w:cs="Arial" w:eastAsia="Arial" w:hAnsi="Arial"/>
                <w:sz w:val="14"/>
                <w:szCs w:val="14"/>
                <w:color w:val="060606"/>
              </w:rPr>
              <w:t>(2.6)</w:t>
            </w:r>
          </w:p>
        </w:tc>
        <w:tc>
          <w:tcPr>
            <w:tcW w:w="940" w:type="dxa"/>
            <w:vAlign w:val="bottom"/>
          </w:tcPr>
          <w:p>
            <w:pPr>
              <w:ind w:left="58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060606"/>
              </w:rPr>
              <w:t>45.0</w:t>
            </w:r>
          </w:p>
        </w:tc>
        <w:tc>
          <w:tcPr>
            <w:tcW w:w="0" w:type="dxa"/>
            <w:vAlign w:val="bottom"/>
          </w:tcPr>
          <w:p>
            <w:pPr>
              <w:spacing w:after="0"/>
              <w:rPr>
                <w:sz w:val="1"/>
                <w:szCs w:val="1"/>
                <w:color w:val="auto"/>
              </w:rPr>
            </w:pPr>
          </w:p>
        </w:tc>
      </w:tr>
      <w:tr>
        <w:trPr>
          <w:trHeight w:val="161"/>
        </w:trPr>
        <w:tc>
          <w:tcPr>
            <w:tcW w:w="2000" w:type="dxa"/>
            <w:vAlign w:val="bottom"/>
          </w:tcPr>
          <w:p>
            <w:pPr>
              <w:ind w:left="20"/>
              <w:spacing w:after="0"/>
              <w:rPr>
                <w:sz w:val="20"/>
                <w:szCs w:val="20"/>
                <w:color w:val="auto"/>
              </w:rPr>
            </w:pPr>
            <w:r>
              <w:rPr>
                <w:rFonts w:ascii="Arial" w:cs="Arial" w:eastAsia="Arial" w:hAnsi="Arial"/>
                <w:sz w:val="14"/>
                <w:szCs w:val="14"/>
                <w:color w:val="060606"/>
              </w:rPr>
              <w:t>Research and development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060606"/>
              </w:rPr>
              <w:t>13.6 %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(0.2)%</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(0.1)%</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(0.7)%</w:t>
            </w:r>
          </w:p>
        </w:tc>
        <w:tc>
          <w:tcPr>
            <w:tcW w:w="94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12.6 %</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060606"/>
              </w:rPr>
              <w:t>as a percent of net revenue</w:t>
            </w:r>
          </w:p>
        </w:tc>
        <w:tc>
          <w:tcPr>
            <w:tcW w:w="8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Arial" w:cs="Arial" w:eastAsia="Arial" w:hAnsi="Arial"/>
                <w:sz w:val="14"/>
                <w:szCs w:val="14"/>
                <w:color w:val="060606"/>
              </w:rPr>
              <w:t>Other operating expense</w:t>
            </w:r>
          </w:p>
        </w:tc>
        <w:tc>
          <w:tcPr>
            <w:tcW w:w="800" w:type="dxa"/>
            <w:vAlign w:val="bottom"/>
          </w:tcPr>
          <w:p>
            <w:pPr>
              <w:jc w:val="right"/>
              <w:ind w:right="110"/>
              <w:spacing w:after="0"/>
              <w:rPr>
                <w:sz w:val="20"/>
                <w:szCs w:val="20"/>
                <w:color w:val="auto"/>
              </w:rPr>
            </w:pPr>
            <w:r>
              <w:rPr>
                <w:rFonts w:ascii="Arial" w:cs="Arial" w:eastAsia="Arial" w:hAnsi="Arial"/>
                <w:sz w:val="14"/>
                <w:szCs w:val="14"/>
                <w:color w:val="060606"/>
              </w:rPr>
              <w:t>3.7</w:t>
            </w:r>
          </w:p>
        </w:tc>
        <w:tc>
          <w:tcPr>
            <w:tcW w:w="980" w:type="dxa"/>
            <w:vAlign w:val="bottom"/>
          </w:tcPr>
          <w:p>
            <w:pPr>
              <w:jc w:val="right"/>
              <w:ind w:right="130"/>
              <w:spacing w:after="0"/>
              <w:rPr>
                <w:sz w:val="20"/>
                <w:szCs w:val="20"/>
                <w:color w:val="auto"/>
              </w:rPr>
            </w:pPr>
            <w:r>
              <w:rPr>
                <w:rFonts w:ascii="Arial" w:cs="Arial" w:eastAsia="Arial" w:hAnsi="Arial"/>
                <w:sz w:val="14"/>
                <w:szCs w:val="14"/>
                <w:color w:val="060606"/>
              </w:rPr>
              <w:t>—</w:t>
            </w:r>
          </w:p>
        </w:tc>
        <w:tc>
          <w:tcPr>
            <w:tcW w:w="86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102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940" w:type="dxa"/>
            <w:vAlign w:val="bottom"/>
          </w:tcPr>
          <w:p>
            <w:pPr>
              <w:jc w:val="right"/>
              <w:ind w:right="110"/>
              <w:spacing w:after="0"/>
              <w:rPr>
                <w:sz w:val="20"/>
                <w:szCs w:val="20"/>
                <w:color w:val="auto"/>
              </w:rPr>
            </w:pPr>
            <w:r>
              <w:rPr>
                <w:rFonts w:ascii="Arial" w:cs="Arial" w:eastAsia="Arial" w:hAnsi="Arial"/>
                <w:sz w:val="14"/>
                <w:szCs w:val="14"/>
                <w:color w:val="060606"/>
              </w:rPr>
              <w:t>(3.7)</w:t>
            </w:r>
          </w:p>
        </w:tc>
        <w:tc>
          <w:tcPr>
            <w:tcW w:w="980" w:type="dxa"/>
            <w:vAlign w:val="bottom"/>
          </w:tcPr>
          <w:p>
            <w:pPr>
              <w:jc w:val="right"/>
              <w:ind w:right="150"/>
              <w:spacing w:after="0"/>
              <w:rPr>
                <w:sz w:val="20"/>
                <w:szCs w:val="20"/>
                <w:color w:val="auto"/>
              </w:rPr>
            </w:pPr>
            <w:r>
              <w:rPr>
                <w:rFonts w:ascii="Arial" w:cs="Arial" w:eastAsia="Arial" w:hAnsi="Arial"/>
                <w:sz w:val="14"/>
                <w:szCs w:val="14"/>
                <w:color w:val="060606"/>
              </w:rPr>
              <w:t>—</w:t>
            </w:r>
          </w:p>
        </w:tc>
        <w:tc>
          <w:tcPr>
            <w:tcW w:w="940" w:type="dxa"/>
            <w:vAlign w:val="bottom"/>
          </w:tcPr>
          <w:p>
            <w:pPr>
              <w:ind w:left="58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060606"/>
              </w:rPr>
              <w:t>—</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4"/>
                <w:szCs w:val="14"/>
                <w:color w:val="060606"/>
              </w:rPr>
              <w:t>Operating income</w:t>
            </w:r>
          </w:p>
        </w:tc>
        <w:tc>
          <w:tcPr>
            <w:tcW w:w="800" w:type="dxa"/>
            <w:vAlign w:val="bottom"/>
          </w:tcPr>
          <w:p>
            <w:pPr>
              <w:jc w:val="right"/>
              <w:ind w:right="110"/>
              <w:spacing w:after="0"/>
              <w:rPr>
                <w:sz w:val="20"/>
                <w:szCs w:val="20"/>
                <w:color w:val="auto"/>
              </w:rPr>
            </w:pPr>
            <w:r>
              <w:rPr>
                <w:rFonts w:ascii="Arial" w:cs="Arial" w:eastAsia="Arial" w:hAnsi="Arial"/>
                <w:sz w:val="14"/>
                <w:szCs w:val="14"/>
                <w:color w:val="060606"/>
              </w:rPr>
              <w:t>54.0</w:t>
            </w:r>
          </w:p>
        </w:tc>
        <w:tc>
          <w:tcPr>
            <w:tcW w:w="980" w:type="dxa"/>
            <w:vAlign w:val="bottom"/>
          </w:tcPr>
          <w:p>
            <w:pPr>
              <w:jc w:val="right"/>
              <w:ind w:right="130"/>
              <w:spacing w:after="0"/>
              <w:rPr>
                <w:sz w:val="20"/>
                <w:szCs w:val="20"/>
                <w:color w:val="auto"/>
              </w:rPr>
            </w:pPr>
            <w:r>
              <w:rPr>
                <w:rFonts w:ascii="Arial" w:cs="Arial" w:eastAsia="Arial" w:hAnsi="Arial"/>
                <w:sz w:val="14"/>
                <w:szCs w:val="14"/>
                <w:color w:val="060606"/>
              </w:rPr>
              <w:t>4.5</w:t>
            </w:r>
          </w:p>
        </w:tc>
        <w:tc>
          <w:tcPr>
            <w:tcW w:w="86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96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1020" w:type="dxa"/>
            <w:vAlign w:val="bottom"/>
          </w:tcPr>
          <w:p>
            <w:pPr>
              <w:jc w:val="right"/>
              <w:ind w:right="129"/>
              <w:spacing w:after="0"/>
              <w:rPr>
                <w:sz w:val="20"/>
                <w:szCs w:val="20"/>
                <w:color w:val="auto"/>
              </w:rPr>
            </w:pPr>
            <w:r>
              <w:rPr>
                <w:rFonts w:ascii="Arial" w:cs="Arial" w:eastAsia="Arial" w:hAnsi="Arial"/>
                <w:sz w:val="14"/>
                <w:szCs w:val="14"/>
                <w:color w:val="060606"/>
              </w:rPr>
              <w:t>1.8</w:t>
            </w:r>
          </w:p>
        </w:tc>
        <w:tc>
          <w:tcPr>
            <w:tcW w:w="940" w:type="dxa"/>
            <w:vAlign w:val="bottom"/>
          </w:tcPr>
          <w:p>
            <w:pPr>
              <w:jc w:val="right"/>
              <w:ind w:right="150"/>
              <w:spacing w:after="0"/>
              <w:rPr>
                <w:sz w:val="20"/>
                <w:szCs w:val="20"/>
                <w:color w:val="auto"/>
              </w:rPr>
            </w:pPr>
            <w:r>
              <w:rPr>
                <w:rFonts w:ascii="Arial" w:cs="Arial" w:eastAsia="Arial" w:hAnsi="Arial"/>
                <w:sz w:val="14"/>
                <w:szCs w:val="14"/>
                <w:color w:val="060606"/>
              </w:rPr>
              <w:t>10.2</w:t>
            </w:r>
          </w:p>
        </w:tc>
        <w:tc>
          <w:tcPr>
            <w:tcW w:w="980" w:type="dxa"/>
            <w:vAlign w:val="bottom"/>
          </w:tcPr>
          <w:p>
            <w:pPr>
              <w:jc w:val="right"/>
              <w:ind w:right="150"/>
              <w:spacing w:after="0"/>
              <w:rPr>
                <w:sz w:val="20"/>
                <w:szCs w:val="20"/>
                <w:color w:val="auto"/>
              </w:rPr>
            </w:pPr>
            <w:r>
              <w:rPr>
                <w:rFonts w:ascii="Arial" w:cs="Arial" w:eastAsia="Arial" w:hAnsi="Arial"/>
                <w:sz w:val="14"/>
                <w:szCs w:val="14"/>
                <w:color w:val="060606"/>
              </w:rPr>
              <w:t>9.9</w:t>
            </w:r>
          </w:p>
        </w:tc>
        <w:tc>
          <w:tcPr>
            <w:tcW w:w="940" w:type="dxa"/>
            <w:vAlign w:val="bottom"/>
          </w:tcPr>
          <w:p>
            <w:pPr>
              <w:ind w:left="58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840" w:type="dxa"/>
            <w:vAlign w:val="bottom"/>
          </w:tcPr>
          <w:p>
            <w:pPr>
              <w:jc w:val="right"/>
              <w:ind w:right="110"/>
              <w:spacing w:after="0"/>
              <w:rPr>
                <w:sz w:val="20"/>
                <w:szCs w:val="20"/>
                <w:color w:val="auto"/>
              </w:rPr>
            </w:pPr>
            <w:r>
              <w:rPr>
                <w:rFonts w:ascii="Arial" w:cs="Arial" w:eastAsia="Arial" w:hAnsi="Arial"/>
                <w:sz w:val="14"/>
                <w:szCs w:val="14"/>
                <w:color w:val="060606"/>
              </w:rPr>
              <w:t>80.4</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4"/>
                <w:szCs w:val="14"/>
                <w:color w:val="060606"/>
              </w:rPr>
              <w:t>Operating margin percent</w:t>
            </w:r>
          </w:p>
        </w:tc>
        <w:tc>
          <w:tcPr>
            <w:tcW w:w="800" w:type="dxa"/>
            <w:vAlign w:val="bottom"/>
          </w:tcPr>
          <w:p>
            <w:pPr>
              <w:jc w:val="right"/>
              <w:spacing w:after="0"/>
              <w:rPr>
                <w:sz w:val="20"/>
                <w:szCs w:val="20"/>
                <w:color w:val="auto"/>
              </w:rPr>
            </w:pPr>
            <w:r>
              <w:rPr>
                <w:rFonts w:ascii="Arial" w:cs="Arial" w:eastAsia="Arial" w:hAnsi="Arial"/>
                <w:sz w:val="14"/>
                <w:szCs w:val="14"/>
                <w:color w:val="060606"/>
              </w:rPr>
              <w:t>15.1 %</w:t>
            </w:r>
          </w:p>
        </w:tc>
        <w:tc>
          <w:tcPr>
            <w:tcW w:w="980" w:type="dxa"/>
            <w:vAlign w:val="bottom"/>
          </w:tcPr>
          <w:p>
            <w:pPr>
              <w:jc w:val="right"/>
              <w:spacing w:after="0"/>
              <w:rPr>
                <w:sz w:val="20"/>
                <w:szCs w:val="20"/>
                <w:color w:val="auto"/>
              </w:rPr>
            </w:pPr>
            <w:r>
              <w:rPr>
                <w:rFonts w:ascii="Arial" w:cs="Arial" w:eastAsia="Arial" w:hAnsi="Arial"/>
                <w:sz w:val="14"/>
                <w:szCs w:val="14"/>
                <w:color w:val="060606"/>
              </w:rPr>
              <w:t>1.2 %</w:t>
            </w:r>
          </w:p>
        </w:tc>
        <w:tc>
          <w:tcPr>
            <w:tcW w:w="860" w:type="dxa"/>
            <w:vAlign w:val="bottom"/>
          </w:tcPr>
          <w:p>
            <w:pPr>
              <w:jc w:val="right"/>
              <w:spacing w:after="0"/>
              <w:rPr>
                <w:sz w:val="20"/>
                <w:szCs w:val="20"/>
                <w:color w:val="auto"/>
              </w:rPr>
            </w:pPr>
            <w:r>
              <w:rPr>
                <w:rFonts w:ascii="Arial" w:cs="Arial" w:eastAsia="Arial" w:hAnsi="Arial"/>
                <w:sz w:val="14"/>
                <w:szCs w:val="14"/>
                <w:color w:val="060606"/>
              </w:rPr>
              <w:t>— %</w:t>
            </w:r>
          </w:p>
        </w:tc>
        <w:tc>
          <w:tcPr>
            <w:tcW w:w="960" w:type="dxa"/>
            <w:vAlign w:val="bottom"/>
          </w:tcPr>
          <w:p>
            <w:pPr>
              <w:jc w:val="right"/>
              <w:spacing w:after="0"/>
              <w:rPr>
                <w:sz w:val="20"/>
                <w:szCs w:val="20"/>
                <w:color w:val="auto"/>
              </w:rPr>
            </w:pPr>
            <w:r>
              <w:rPr>
                <w:rFonts w:ascii="Arial" w:cs="Arial" w:eastAsia="Arial" w:hAnsi="Arial"/>
                <w:sz w:val="14"/>
                <w:szCs w:val="14"/>
                <w:color w:val="060606"/>
              </w:rPr>
              <w:t>— %</w:t>
            </w:r>
          </w:p>
        </w:tc>
        <w:tc>
          <w:tcPr>
            <w:tcW w:w="1020" w:type="dxa"/>
            <w:vAlign w:val="bottom"/>
          </w:tcPr>
          <w:p>
            <w:pPr>
              <w:jc w:val="right"/>
              <w:spacing w:after="0"/>
              <w:rPr>
                <w:sz w:val="20"/>
                <w:szCs w:val="20"/>
                <w:color w:val="auto"/>
              </w:rPr>
            </w:pPr>
            <w:r>
              <w:rPr>
                <w:rFonts w:ascii="Arial" w:cs="Arial" w:eastAsia="Arial" w:hAnsi="Arial"/>
                <w:sz w:val="14"/>
                <w:szCs w:val="14"/>
                <w:color w:val="060606"/>
              </w:rPr>
              <w:t>0.5 %</w:t>
            </w:r>
          </w:p>
        </w:tc>
        <w:tc>
          <w:tcPr>
            <w:tcW w:w="940" w:type="dxa"/>
            <w:vAlign w:val="bottom"/>
          </w:tcPr>
          <w:p>
            <w:pPr>
              <w:jc w:val="right"/>
              <w:spacing w:after="0"/>
              <w:rPr>
                <w:sz w:val="20"/>
                <w:szCs w:val="20"/>
                <w:color w:val="auto"/>
              </w:rPr>
            </w:pPr>
            <w:r>
              <w:rPr>
                <w:rFonts w:ascii="Arial" w:cs="Arial" w:eastAsia="Arial" w:hAnsi="Arial"/>
                <w:sz w:val="14"/>
                <w:szCs w:val="14"/>
                <w:color w:val="060606"/>
              </w:rPr>
              <w:t>2.9 %</w:t>
            </w:r>
          </w:p>
        </w:tc>
        <w:tc>
          <w:tcPr>
            <w:tcW w:w="980" w:type="dxa"/>
            <w:vAlign w:val="bottom"/>
          </w:tcPr>
          <w:p>
            <w:pPr>
              <w:jc w:val="right"/>
              <w:spacing w:after="0"/>
              <w:rPr>
                <w:sz w:val="20"/>
                <w:szCs w:val="20"/>
                <w:color w:val="auto"/>
              </w:rPr>
            </w:pPr>
            <w:r>
              <w:rPr>
                <w:rFonts w:ascii="Arial" w:cs="Arial" w:eastAsia="Arial" w:hAnsi="Arial"/>
                <w:sz w:val="14"/>
                <w:szCs w:val="14"/>
                <w:color w:val="060606"/>
              </w:rPr>
              <w:t>2.8 %</w:t>
            </w:r>
          </w:p>
        </w:tc>
        <w:tc>
          <w:tcPr>
            <w:tcW w:w="940" w:type="dxa"/>
            <w:vAlign w:val="bottom"/>
          </w:tcPr>
          <w:p>
            <w:pPr>
              <w:ind w:left="580"/>
              <w:spacing w:after="0"/>
              <w:rPr>
                <w:sz w:val="20"/>
                <w:szCs w:val="20"/>
                <w:color w:val="auto"/>
              </w:rPr>
            </w:pPr>
            <w:r>
              <w:rPr>
                <w:rFonts w:ascii="Arial" w:cs="Arial" w:eastAsia="Arial" w:hAnsi="Arial"/>
                <w:sz w:val="14"/>
                <w:szCs w:val="14"/>
                <w:color w:val="060606"/>
              </w:rPr>
              <w:t>— %</w:t>
            </w:r>
          </w:p>
        </w:tc>
        <w:tc>
          <w:tcPr>
            <w:tcW w:w="920" w:type="dxa"/>
            <w:vAlign w:val="bottom"/>
          </w:tcPr>
          <w:p>
            <w:pPr>
              <w:jc w:val="right"/>
              <w:spacing w:after="0"/>
              <w:rPr>
                <w:sz w:val="20"/>
                <w:szCs w:val="20"/>
                <w:color w:val="auto"/>
              </w:rPr>
            </w:pPr>
            <w:r>
              <w:rPr>
                <w:rFonts w:ascii="Arial" w:cs="Arial" w:eastAsia="Arial" w:hAnsi="Arial"/>
                <w:sz w:val="14"/>
                <w:szCs w:val="14"/>
                <w:color w:val="060606"/>
              </w:rPr>
              <w:t>— %</w:t>
            </w:r>
          </w:p>
        </w:tc>
        <w:tc>
          <w:tcPr>
            <w:tcW w:w="840" w:type="dxa"/>
            <w:vAlign w:val="bottom"/>
          </w:tcPr>
          <w:p>
            <w:pPr>
              <w:jc w:val="right"/>
              <w:spacing w:after="0"/>
              <w:rPr>
                <w:sz w:val="20"/>
                <w:szCs w:val="20"/>
                <w:color w:val="auto"/>
              </w:rPr>
            </w:pPr>
            <w:r>
              <w:rPr>
                <w:rFonts w:ascii="Arial" w:cs="Arial" w:eastAsia="Arial" w:hAnsi="Arial"/>
                <w:sz w:val="14"/>
                <w:szCs w:val="14"/>
                <w:color w:val="060606"/>
              </w:rPr>
              <w:t>22.5 %</w:t>
            </w:r>
          </w:p>
        </w:tc>
        <w:tc>
          <w:tcPr>
            <w:tcW w:w="0" w:type="dxa"/>
            <w:vAlign w:val="bottom"/>
          </w:tcPr>
          <w:p>
            <w:pPr>
              <w:spacing w:after="0"/>
              <w:rPr>
                <w:sz w:val="1"/>
                <w:szCs w:val="1"/>
                <w:color w:val="auto"/>
              </w:rPr>
            </w:pPr>
          </w:p>
        </w:tc>
      </w:tr>
      <w:tr>
        <w:trPr>
          <w:trHeight w:val="203"/>
        </w:trPr>
        <w:tc>
          <w:tcPr>
            <w:tcW w:w="2000" w:type="dxa"/>
            <w:vAlign w:val="bottom"/>
          </w:tcPr>
          <w:p>
            <w:pPr>
              <w:ind w:left="20"/>
              <w:spacing w:after="0"/>
              <w:rPr>
                <w:sz w:val="20"/>
                <w:szCs w:val="20"/>
                <w:color w:val="auto"/>
              </w:rPr>
            </w:pPr>
            <w:r>
              <w:rPr>
                <w:rFonts w:ascii="Arial" w:cs="Arial" w:eastAsia="Arial" w:hAnsi="Arial"/>
                <w:sz w:val="14"/>
                <w:szCs w:val="14"/>
                <w:color w:val="060606"/>
              </w:rPr>
              <w:t>Net income</w:t>
            </w:r>
          </w:p>
        </w:tc>
        <w:tc>
          <w:tcPr>
            <w:tcW w:w="800" w:type="dxa"/>
            <w:vAlign w:val="bottom"/>
          </w:tcPr>
          <w:p>
            <w:pPr>
              <w:jc w:val="right"/>
              <w:ind w:right="110"/>
              <w:spacing w:after="0"/>
              <w:rPr>
                <w:sz w:val="20"/>
                <w:szCs w:val="20"/>
                <w:color w:val="auto"/>
              </w:rPr>
            </w:pPr>
            <w:r>
              <w:rPr>
                <w:rFonts w:ascii="Arial" w:cs="Arial" w:eastAsia="Arial" w:hAnsi="Arial"/>
                <w:sz w:val="14"/>
                <w:szCs w:val="14"/>
                <w:color w:val="060606"/>
              </w:rPr>
              <w:t>26.8</w:t>
            </w:r>
          </w:p>
        </w:tc>
        <w:tc>
          <w:tcPr>
            <w:tcW w:w="980" w:type="dxa"/>
            <w:vAlign w:val="bottom"/>
          </w:tcPr>
          <w:p>
            <w:pPr>
              <w:jc w:val="right"/>
              <w:ind w:right="130"/>
              <w:spacing w:after="0"/>
              <w:rPr>
                <w:sz w:val="20"/>
                <w:szCs w:val="20"/>
                <w:color w:val="auto"/>
              </w:rPr>
            </w:pPr>
            <w:r>
              <w:rPr>
                <w:rFonts w:ascii="Arial" w:cs="Arial" w:eastAsia="Arial" w:hAnsi="Arial"/>
                <w:sz w:val="14"/>
                <w:szCs w:val="14"/>
                <w:color w:val="060606"/>
              </w:rPr>
              <w:t>4.5</w:t>
            </w:r>
          </w:p>
        </w:tc>
        <w:tc>
          <w:tcPr>
            <w:tcW w:w="860" w:type="dxa"/>
            <w:vAlign w:val="bottom"/>
          </w:tcPr>
          <w:p>
            <w:pPr>
              <w:jc w:val="right"/>
              <w:ind w:right="149"/>
              <w:spacing w:after="0"/>
              <w:rPr>
                <w:sz w:val="20"/>
                <w:szCs w:val="20"/>
                <w:color w:val="auto"/>
              </w:rPr>
            </w:pPr>
            <w:r>
              <w:rPr>
                <w:rFonts w:ascii="Arial" w:cs="Arial" w:eastAsia="Arial" w:hAnsi="Arial"/>
                <w:sz w:val="14"/>
                <w:szCs w:val="14"/>
                <w:color w:val="060606"/>
              </w:rPr>
              <w:t>1.1</w:t>
            </w:r>
          </w:p>
        </w:tc>
        <w:tc>
          <w:tcPr>
            <w:tcW w:w="960" w:type="dxa"/>
            <w:vAlign w:val="bottom"/>
          </w:tcPr>
          <w:p>
            <w:pPr>
              <w:jc w:val="right"/>
              <w:ind w:right="129"/>
              <w:spacing w:after="0"/>
              <w:rPr>
                <w:sz w:val="20"/>
                <w:szCs w:val="20"/>
                <w:color w:val="auto"/>
              </w:rPr>
            </w:pPr>
            <w:r>
              <w:rPr>
                <w:rFonts w:ascii="Arial" w:cs="Arial" w:eastAsia="Arial" w:hAnsi="Arial"/>
                <w:sz w:val="14"/>
                <w:szCs w:val="14"/>
                <w:color w:val="060606"/>
              </w:rPr>
              <w:t>9.9</w:t>
            </w:r>
          </w:p>
        </w:tc>
        <w:tc>
          <w:tcPr>
            <w:tcW w:w="1020" w:type="dxa"/>
            <w:vAlign w:val="bottom"/>
          </w:tcPr>
          <w:p>
            <w:pPr>
              <w:jc w:val="right"/>
              <w:ind w:right="129"/>
              <w:spacing w:after="0"/>
              <w:rPr>
                <w:sz w:val="20"/>
                <w:szCs w:val="20"/>
                <w:color w:val="auto"/>
              </w:rPr>
            </w:pPr>
            <w:r>
              <w:rPr>
                <w:rFonts w:ascii="Arial" w:cs="Arial" w:eastAsia="Arial" w:hAnsi="Arial"/>
                <w:sz w:val="14"/>
                <w:szCs w:val="14"/>
                <w:color w:val="060606"/>
              </w:rPr>
              <w:t>1.8</w:t>
            </w:r>
          </w:p>
        </w:tc>
        <w:tc>
          <w:tcPr>
            <w:tcW w:w="940" w:type="dxa"/>
            <w:vAlign w:val="bottom"/>
          </w:tcPr>
          <w:p>
            <w:pPr>
              <w:jc w:val="right"/>
              <w:ind w:right="150"/>
              <w:spacing w:after="0"/>
              <w:rPr>
                <w:sz w:val="20"/>
                <w:szCs w:val="20"/>
                <w:color w:val="auto"/>
              </w:rPr>
            </w:pPr>
            <w:r>
              <w:rPr>
                <w:rFonts w:ascii="Arial" w:cs="Arial" w:eastAsia="Arial" w:hAnsi="Arial"/>
                <w:sz w:val="14"/>
                <w:szCs w:val="14"/>
                <w:color w:val="060606"/>
              </w:rPr>
              <w:t>12.0</w:t>
            </w:r>
          </w:p>
        </w:tc>
        <w:tc>
          <w:tcPr>
            <w:tcW w:w="980" w:type="dxa"/>
            <w:vAlign w:val="bottom"/>
          </w:tcPr>
          <w:p>
            <w:pPr>
              <w:jc w:val="right"/>
              <w:ind w:right="150"/>
              <w:spacing w:after="0"/>
              <w:rPr>
                <w:sz w:val="20"/>
                <w:szCs w:val="20"/>
                <w:color w:val="auto"/>
              </w:rPr>
            </w:pPr>
            <w:r>
              <w:rPr>
                <w:rFonts w:ascii="Arial" w:cs="Arial" w:eastAsia="Arial" w:hAnsi="Arial"/>
                <w:sz w:val="14"/>
                <w:szCs w:val="14"/>
                <w:color w:val="060606"/>
              </w:rPr>
              <w:t>9.9</w:t>
            </w:r>
          </w:p>
        </w:tc>
        <w:tc>
          <w:tcPr>
            <w:tcW w:w="940" w:type="dxa"/>
            <w:vAlign w:val="bottom"/>
          </w:tcPr>
          <w:p>
            <w:pPr>
              <w:jc w:val="right"/>
              <w:ind w:right="109"/>
              <w:spacing w:after="0"/>
              <w:rPr>
                <w:sz w:val="20"/>
                <w:szCs w:val="20"/>
                <w:color w:val="auto"/>
              </w:rPr>
            </w:pPr>
            <w:r>
              <w:rPr>
                <w:rFonts w:ascii="Arial" w:cs="Arial" w:eastAsia="Arial" w:hAnsi="Arial"/>
                <w:sz w:val="14"/>
                <w:szCs w:val="14"/>
                <w:color w:val="060606"/>
              </w:rPr>
              <w:t>(10.4)</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5.9</w:t>
            </w:r>
          </w:p>
        </w:tc>
        <w:tc>
          <w:tcPr>
            <w:tcW w:w="840" w:type="dxa"/>
            <w:vAlign w:val="bottom"/>
          </w:tcPr>
          <w:p>
            <w:pPr>
              <w:jc w:val="right"/>
              <w:ind w:right="110"/>
              <w:spacing w:after="0"/>
              <w:rPr>
                <w:sz w:val="20"/>
                <w:szCs w:val="20"/>
                <w:color w:val="auto"/>
              </w:rPr>
            </w:pPr>
            <w:r>
              <w:rPr>
                <w:rFonts w:ascii="Arial" w:cs="Arial" w:eastAsia="Arial" w:hAnsi="Arial"/>
                <w:sz w:val="14"/>
                <w:szCs w:val="14"/>
                <w:color w:val="060606"/>
              </w:rPr>
              <w:t>61.4</w:t>
            </w:r>
          </w:p>
        </w:tc>
        <w:tc>
          <w:tcPr>
            <w:tcW w:w="0" w:type="dxa"/>
            <w:vAlign w:val="bottom"/>
          </w:tcPr>
          <w:p>
            <w:pPr>
              <w:spacing w:after="0"/>
              <w:rPr>
                <w:sz w:val="1"/>
                <w:szCs w:val="1"/>
                <w:color w:val="auto"/>
              </w:rPr>
            </w:pPr>
          </w:p>
        </w:tc>
      </w:tr>
      <w:tr>
        <w:trPr>
          <w:trHeight w:val="161"/>
        </w:trPr>
        <w:tc>
          <w:tcPr>
            <w:tcW w:w="2000" w:type="dxa"/>
            <w:vAlign w:val="bottom"/>
          </w:tcPr>
          <w:p>
            <w:pPr>
              <w:ind w:left="20"/>
              <w:spacing w:after="0"/>
              <w:rPr>
                <w:sz w:val="20"/>
                <w:szCs w:val="20"/>
                <w:color w:val="auto"/>
              </w:rPr>
            </w:pPr>
            <w:r>
              <w:rPr>
                <w:rFonts w:ascii="Arial" w:cs="Arial" w:eastAsia="Arial" w:hAnsi="Arial"/>
                <w:sz w:val="14"/>
                <w:szCs w:val="14"/>
                <w:color w:val="060606"/>
              </w:rPr>
              <w:t>Net income as a percent of</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060606"/>
              </w:rPr>
              <w:t>7.5 %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1.2 %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0.3 %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2.8 %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0.5 %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3.3 %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2.8 %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(2.9)%</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1.6 %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17.2 %</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Arial" w:cs="Arial" w:eastAsia="Arial" w:hAnsi="Arial"/>
                <w:sz w:val="14"/>
                <w:szCs w:val="14"/>
                <w:color w:val="060606"/>
              </w:rPr>
              <w:t>net revenue</w:t>
            </w:r>
          </w:p>
        </w:tc>
        <w:tc>
          <w:tcPr>
            <w:tcW w:w="8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Arial" w:cs="Arial" w:eastAsia="Arial" w:hAnsi="Arial"/>
                <w:sz w:val="14"/>
                <w:szCs w:val="14"/>
                <w:color w:val="060606"/>
              </w:rPr>
              <w:t>Diluted EPS</w:t>
            </w:r>
          </w:p>
        </w:tc>
        <w:tc>
          <w:tcPr>
            <w:tcW w:w="800" w:type="dxa"/>
            <w:vAlign w:val="bottom"/>
          </w:tcPr>
          <w:p>
            <w:pPr>
              <w:jc w:val="right"/>
              <w:ind w:right="110"/>
              <w:spacing w:after="0"/>
              <w:rPr>
                <w:sz w:val="20"/>
                <w:szCs w:val="20"/>
                <w:color w:val="auto"/>
              </w:rPr>
            </w:pPr>
            <w:r>
              <w:rPr>
                <w:rFonts w:ascii="Arial" w:cs="Arial" w:eastAsia="Arial" w:hAnsi="Arial"/>
                <w:sz w:val="14"/>
                <w:szCs w:val="14"/>
                <w:color w:val="060606"/>
              </w:rPr>
              <w:t>$0.49</w:t>
            </w:r>
          </w:p>
        </w:tc>
        <w:tc>
          <w:tcPr>
            <w:tcW w:w="980" w:type="dxa"/>
            <w:vAlign w:val="bottom"/>
          </w:tcPr>
          <w:p>
            <w:pPr>
              <w:jc w:val="right"/>
              <w:ind w:right="130"/>
              <w:spacing w:after="0"/>
              <w:rPr>
                <w:sz w:val="20"/>
                <w:szCs w:val="20"/>
                <w:color w:val="auto"/>
              </w:rPr>
            </w:pPr>
            <w:r>
              <w:rPr>
                <w:rFonts w:ascii="Arial" w:cs="Arial" w:eastAsia="Arial" w:hAnsi="Arial"/>
                <w:sz w:val="14"/>
                <w:szCs w:val="14"/>
                <w:color w:val="060606"/>
              </w:rPr>
              <w:t>$0.08</w:t>
            </w:r>
          </w:p>
        </w:tc>
        <w:tc>
          <w:tcPr>
            <w:tcW w:w="860" w:type="dxa"/>
            <w:vAlign w:val="bottom"/>
          </w:tcPr>
          <w:p>
            <w:pPr>
              <w:jc w:val="right"/>
              <w:ind w:right="149"/>
              <w:spacing w:after="0"/>
              <w:rPr>
                <w:sz w:val="20"/>
                <w:szCs w:val="20"/>
                <w:color w:val="auto"/>
              </w:rPr>
            </w:pPr>
            <w:r>
              <w:rPr>
                <w:rFonts w:ascii="Arial" w:cs="Arial" w:eastAsia="Arial" w:hAnsi="Arial"/>
                <w:sz w:val="14"/>
                <w:szCs w:val="14"/>
                <w:color w:val="060606"/>
              </w:rPr>
              <w:t>$0.02</w:t>
            </w:r>
          </w:p>
        </w:tc>
        <w:tc>
          <w:tcPr>
            <w:tcW w:w="960" w:type="dxa"/>
            <w:vAlign w:val="bottom"/>
          </w:tcPr>
          <w:p>
            <w:pPr>
              <w:jc w:val="right"/>
              <w:ind w:right="129"/>
              <w:spacing w:after="0"/>
              <w:rPr>
                <w:sz w:val="20"/>
                <w:szCs w:val="20"/>
                <w:color w:val="auto"/>
              </w:rPr>
            </w:pPr>
            <w:r>
              <w:rPr>
                <w:rFonts w:ascii="Arial" w:cs="Arial" w:eastAsia="Arial" w:hAnsi="Arial"/>
                <w:sz w:val="14"/>
                <w:szCs w:val="14"/>
                <w:color w:val="060606"/>
              </w:rPr>
              <w:t>$0.18</w:t>
            </w:r>
          </w:p>
        </w:tc>
        <w:tc>
          <w:tcPr>
            <w:tcW w:w="1020" w:type="dxa"/>
            <w:vAlign w:val="bottom"/>
          </w:tcPr>
          <w:p>
            <w:pPr>
              <w:jc w:val="right"/>
              <w:ind w:right="129"/>
              <w:spacing w:after="0"/>
              <w:rPr>
                <w:sz w:val="20"/>
                <w:szCs w:val="20"/>
                <w:color w:val="auto"/>
              </w:rPr>
            </w:pPr>
            <w:r>
              <w:rPr>
                <w:rFonts w:ascii="Arial" w:cs="Arial" w:eastAsia="Arial" w:hAnsi="Arial"/>
                <w:sz w:val="14"/>
                <w:szCs w:val="14"/>
                <w:color w:val="060606"/>
              </w:rPr>
              <w:t>$0.03</w:t>
            </w:r>
          </w:p>
        </w:tc>
        <w:tc>
          <w:tcPr>
            <w:tcW w:w="940" w:type="dxa"/>
            <w:vAlign w:val="bottom"/>
          </w:tcPr>
          <w:p>
            <w:pPr>
              <w:jc w:val="right"/>
              <w:ind w:right="150"/>
              <w:spacing w:after="0"/>
              <w:rPr>
                <w:sz w:val="20"/>
                <w:szCs w:val="20"/>
                <w:color w:val="auto"/>
              </w:rPr>
            </w:pPr>
            <w:r>
              <w:rPr>
                <w:rFonts w:ascii="Arial" w:cs="Arial" w:eastAsia="Arial" w:hAnsi="Arial"/>
                <w:sz w:val="14"/>
                <w:szCs w:val="14"/>
                <w:color w:val="060606"/>
              </w:rPr>
              <w:t>$0.22</w:t>
            </w:r>
          </w:p>
        </w:tc>
        <w:tc>
          <w:tcPr>
            <w:tcW w:w="980" w:type="dxa"/>
            <w:vAlign w:val="bottom"/>
          </w:tcPr>
          <w:p>
            <w:pPr>
              <w:jc w:val="right"/>
              <w:ind w:right="150"/>
              <w:spacing w:after="0"/>
              <w:rPr>
                <w:sz w:val="20"/>
                <w:szCs w:val="20"/>
                <w:color w:val="auto"/>
              </w:rPr>
            </w:pPr>
            <w:r>
              <w:rPr>
                <w:rFonts w:ascii="Arial" w:cs="Arial" w:eastAsia="Arial" w:hAnsi="Arial"/>
                <w:sz w:val="14"/>
                <w:szCs w:val="14"/>
                <w:color w:val="060606"/>
              </w:rPr>
              <w:t>$0.18</w:t>
            </w:r>
          </w:p>
        </w:tc>
        <w:tc>
          <w:tcPr>
            <w:tcW w:w="940" w:type="dxa"/>
            <w:vAlign w:val="bottom"/>
          </w:tcPr>
          <w:p>
            <w:pPr>
              <w:jc w:val="right"/>
              <w:ind w:right="109"/>
              <w:spacing w:after="0"/>
              <w:rPr>
                <w:sz w:val="20"/>
                <w:szCs w:val="20"/>
                <w:color w:val="auto"/>
              </w:rPr>
            </w:pPr>
            <w:r>
              <w:rPr>
                <w:rFonts w:ascii="Arial" w:cs="Arial" w:eastAsia="Arial" w:hAnsi="Arial"/>
                <w:sz w:val="14"/>
                <w:szCs w:val="14"/>
                <w:color w:val="060606"/>
              </w:rPr>
              <w:t>($0.19)</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$0.11</w:t>
            </w:r>
          </w:p>
        </w:tc>
        <w:tc>
          <w:tcPr>
            <w:tcW w:w="840" w:type="dxa"/>
            <w:vAlign w:val="bottom"/>
          </w:tcPr>
          <w:p>
            <w:pPr>
              <w:jc w:val="right"/>
              <w:ind w:right="110"/>
              <w:spacing w:after="0"/>
              <w:rPr>
                <w:sz w:val="20"/>
                <w:szCs w:val="20"/>
                <w:color w:val="auto"/>
              </w:rPr>
            </w:pPr>
            <w:r>
              <w:rPr>
                <w:rFonts w:ascii="Arial" w:cs="Arial" w:eastAsia="Arial" w:hAnsi="Arial"/>
                <w:sz w:val="14"/>
                <w:szCs w:val="14"/>
                <w:color w:val="060606"/>
              </w:rPr>
              <w:t>$1.11</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060606"/>
        </w:rPr>
        <w:t>GAAP results for the three months ended September 30, 2025 include:</w:t>
      </w:r>
    </w:p>
    <w:p>
      <w:pPr>
        <w:ind w:left="180" w:hanging="172"/>
        <w:spacing w:after="0" w:line="218" w:lineRule="auto"/>
        <w:tabs>
          <w:tab w:leader="none" w:pos="18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Depreciation and amortization associated with purchase price accounting</w:t>
      </w:r>
    </w:p>
    <w:p>
      <w:pPr>
        <w:spacing w:after="0" w:line="4" w:lineRule="exact"/>
        <w:rPr>
          <w:rFonts w:ascii="Arial" w:cs="Arial" w:eastAsia="Arial" w:hAnsi="Arial"/>
          <w:sz w:val="21"/>
          <w:szCs w:val="21"/>
          <w:color w:val="060606"/>
          <w:vertAlign w:val="superscript"/>
        </w:rPr>
      </w:pPr>
    </w:p>
    <w:p>
      <w:pPr>
        <w:ind w:left="180" w:hanging="172"/>
        <w:spacing w:after="0" w:line="187" w:lineRule="auto"/>
        <w:tabs>
          <w:tab w:leader="none" w:pos="18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Impairment of investment in Highlife S.A.S.</w:t>
      </w:r>
    </w:p>
    <w:p>
      <w:pPr>
        <w:ind w:left="180" w:hanging="172"/>
        <w:spacing w:after="0" w:line="197" w:lineRule="auto"/>
        <w:tabs>
          <w:tab w:leader="none" w:pos="18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Mark-to-market adjustments for the 2025 and 2029 Notes embedded and capped call derivatives</w:t>
      </w:r>
    </w:p>
    <w:p>
      <w:pPr>
        <w:spacing w:after="0" w:line="4" w:lineRule="exact"/>
        <w:rPr>
          <w:rFonts w:ascii="Arial" w:cs="Arial" w:eastAsia="Arial" w:hAnsi="Arial"/>
          <w:sz w:val="21"/>
          <w:szCs w:val="21"/>
          <w:color w:val="060606"/>
          <w:vertAlign w:val="superscript"/>
        </w:rPr>
      </w:pPr>
    </w:p>
    <w:p>
      <w:pPr>
        <w:ind w:left="180" w:hanging="172"/>
        <w:spacing w:after="0" w:line="187" w:lineRule="auto"/>
        <w:tabs>
          <w:tab w:leader="none" w:pos="18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Remeasurement of contingent consideration related to the ImThera acquisition</w:t>
      </w:r>
    </w:p>
    <w:p>
      <w:pPr>
        <w:ind w:left="180" w:hanging="172"/>
        <w:spacing w:after="0" w:line="187" w:lineRule="auto"/>
        <w:tabs>
          <w:tab w:leader="none" w:pos="18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Legal expenses primarily related to 3T Heater-Cooler defense, 3T Heater-Cooler litigation provision, and SNIA environmental liability</w:t>
      </w:r>
    </w:p>
    <w:p>
      <w:pPr>
        <w:ind w:left="180" w:hanging="172"/>
        <w:spacing w:after="0" w:line="197" w:lineRule="auto"/>
        <w:tabs>
          <w:tab w:leader="none" w:pos="18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Non-cash expenses associated with stock-based compensation costs</w:t>
      </w:r>
    </w:p>
    <w:p>
      <w:pPr>
        <w:spacing w:after="0" w:line="4" w:lineRule="exact"/>
        <w:rPr>
          <w:rFonts w:ascii="Arial" w:cs="Arial" w:eastAsia="Arial" w:hAnsi="Arial"/>
          <w:sz w:val="21"/>
          <w:szCs w:val="21"/>
          <w:color w:val="060606"/>
          <w:vertAlign w:val="superscript"/>
        </w:rPr>
      </w:pPr>
    </w:p>
    <w:p>
      <w:pPr>
        <w:ind w:left="180" w:hanging="172"/>
        <w:spacing w:after="0" w:line="187" w:lineRule="auto"/>
        <w:tabs>
          <w:tab w:leader="none" w:pos="18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The impact of valuation allowances, discrete tax items, the tax impact of intercompany transactions, and the tax impact on non-GAAP adjustments</w:t>
      </w:r>
    </w:p>
    <w:p>
      <w:pPr>
        <w:ind w:left="180" w:hanging="172"/>
        <w:spacing w:after="0" w:line="197" w:lineRule="auto"/>
        <w:tabs>
          <w:tab w:leader="none" w:pos="180" w:val="left"/>
        </w:tabs>
        <w:numPr>
          <w:ilvl w:val="0"/>
          <w:numId w:val="14"/>
        </w:numPr>
        <w:rPr>
          <w:rFonts w:ascii="Arial" w:cs="Arial" w:eastAsia="Arial" w:hAnsi="Arial"/>
          <w:sz w:val="21"/>
          <w:szCs w:val="21"/>
          <w:color w:val="060606"/>
          <w:vertAlign w:val="superscript"/>
        </w:rPr>
      </w:pPr>
      <w:r>
        <w:rPr>
          <w:rFonts w:ascii="Arial" w:cs="Arial" w:eastAsia="Arial" w:hAnsi="Arial"/>
          <w:sz w:val="16"/>
          <w:szCs w:val="16"/>
          <w:color w:val="060606"/>
        </w:rPr>
        <w:t>Non-cash interest expense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60606"/>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14</w:t>
      </w:r>
    </w:p>
    <w:p>
      <w:pPr>
        <w:sectPr>
          <w:pgSz w:w="11900" w:h="16838" w:orient="portrait"/>
          <w:cols w:equalWidth="0" w:num="1">
            <w:col w:w="11240"/>
          </w:cols>
          <w:pgMar w:left="320" w:top="1440" w:right="339" w:bottom="144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ind w:left="6140"/>
        <w:spacing w:after="0"/>
        <w:rPr>
          <w:sz w:val="20"/>
          <w:szCs w:val="20"/>
          <w:color w:val="auto"/>
        </w:rPr>
      </w:pPr>
      <w:r>
        <w:rPr>
          <w:rFonts w:ascii="Arial" w:cs="Arial" w:eastAsia="Arial" w:hAnsi="Arial"/>
          <w:sz w:val="14"/>
          <w:szCs w:val="14"/>
          <w:color w:val="060606"/>
        </w:rPr>
        <w:t>Specified Items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8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60606"/>
                <w:w w:val="99"/>
              </w:rPr>
              <w:t>GAAP</w:t>
            </w:r>
          </w:p>
        </w:tc>
        <w:tc>
          <w:tcPr>
            <w:tcW w:w="10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color w:val="060606"/>
                <w:w w:val="95"/>
              </w:rPr>
              <w:t>Depreciation</w:t>
            </w:r>
          </w:p>
        </w:tc>
        <w:tc>
          <w:tcPr>
            <w:tcW w:w="9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060606"/>
                <w:w w:val="95"/>
              </w:rPr>
              <w:t>Certain Legal</w:t>
            </w: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060606"/>
                <w:w w:val="96"/>
              </w:rPr>
              <w:t>Stock-based</w:t>
            </w:r>
          </w:p>
        </w:tc>
        <w:tc>
          <w:tcPr>
            <w:tcW w:w="9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color w:val="060606"/>
                <w:w w:val="98"/>
              </w:rPr>
              <w:t>Adjusted</w:t>
            </w:r>
          </w:p>
        </w:tc>
        <w:tc>
          <w:tcPr>
            <w:tcW w:w="0" w:type="dxa"/>
            <w:vAlign w:val="bottom"/>
          </w:tcPr>
          <w:p>
            <w:pPr>
              <w:spacing w:after="0"/>
              <w:rPr>
                <w:sz w:val="1"/>
                <w:szCs w:val="1"/>
                <w:color w:val="auto"/>
              </w:rPr>
            </w:pPr>
          </w:p>
        </w:tc>
      </w:tr>
      <w:tr>
        <w:trPr>
          <w:trHeight w:val="122"/>
        </w:trPr>
        <w:tc>
          <w:tcPr>
            <w:tcW w:w="2080" w:type="dxa"/>
            <w:vAlign w:val="bottom"/>
            <w:vMerge w:val="restart"/>
          </w:tcPr>
          <w:p>
            <w:pPr>
              <w:ind w:left="20"/>
              <w:spacing w:after="0"/>
              <w:rPr>
                <w:sz w:val="20"/>
                <w:szCs w:val="20"/>
                <w:color w:val="auto"/>
              </w:rPr>
            </w:pPr>
            <w:r>
              <w:rPr>
                <w:rFonts w:ascii="Arial" w:cs="Arial" w:eastAsia="Arial" w:hAnsi="Arial"/>
                <w:sz w:val="14"/>
                <w:szCs w:val="14"/>
                <w:color w:val="060606"/>
              </w:rPr>
              <w:t>Three Months Ended</w:t>
            </w:r>
          </w:p>
        </w:tc>
        <w:tc>
          <w:tcPr>
            <w:tcW w:w="780" w:type="dxa"/>
            <w:vAlign w:val="bottom"/>
            <w:vMerge w:val="continue"/>
          </w:tcPr>
          <w:p>
            <w:pPr>
              <w:spacing w:after="0"/>
              <w:rPr>
                <w:sz w:val="10"/>
                <w:szCs w:val="10"/>
                <w:color w:val="auto"/>
              </w:rPr>
            </w:pPr>
          </w:p>
        </w:tc>
        <w:tc>
          <w:tcPr>
            <w:tcW w:w="1000" w:type="dxa"/>
            <w:vAlign w:val="bottom"/>
            <w:vMerge w:val="restart"/>
          </w:tcPr>
          <w:p>
            <w:pPr>
              <w:jc w:val="right"/>
              <w:ind w:right="69"/>
              <w:spacing w:after="0"/>
              <w:rPr>
                <w:sz w:val="20"/>
                <w:szCs w:val="20"/>
                <w:color w:val="auto"/>
              </w:rPr>
            </w:pPr>
            <w:r>
              <w:rPr>
                <w:rFonts w:ascii="Arial" w:cs="Arial" w:eastAsia="Arial" w:hAnsi="Arial"/>
                <w:sz w:val="13"/>
                <w:szCs w:val="13"/>
                <w:color w:val="060606"/>
              </w:rPr>
              <w:t>Restructuring</w:t>
            </w:r>
          </w:p>
        </w:tc>
        <w:tc>
          <w:tcPr>
            <w:tcW w:w="860" w:type="dxa"/>
            <w:vAlign w:val="bottom"/>
          </w:tcPr>
          <w:p>
            <w:pPr>
              <w:jc w:val="center"/>
              <w:spacing w:after="0" w:line="122" w:lineRule="exact"/>
              <w:rPr>
                <w:sz w:val="20"/>
                <w:szCs w:val="20"/>
                <w:color w:val="auto"/>
              </w:rPr>
            </w:pPr>
            <w:r>
              <w:rPr>
                <w:rFonts w:ascii="Arial" w:cs="Arial" w:eastAsia="Arial" w:hAnsi="Arial"/>
                <w:sz w:val="13"/>
                <w:szCs w:val="13"/>
                <w:color w:val="060606"/>
              </w:rPr>
              <w:t>and</w:t>
            </w:r>
          </w:p>
        </w:tc>
        <w:tc>
          <w:tcPr>
            <w:tcW w:w="960" w:type="dxa"/>
            <w:vAlign w:val="bottom"/>
            <w:vMerge w:val="restart"/>
          </w:tcPr>
          <w:p>
            <w:pPr>
              <w:ind w:left="200"/>
              <w:spacing w:after="0"/>
              <w:rPr>
                <w:sz w:val="20"/>
                <w:szCs w:val="20"/>
                <w:color w:val="auto"/>
              </w:rPr>
            </w:pPr>
            <w:r>
              <w:rPr>
                <w:rFonts w:ascii="Arial" w:cs="Arial" w:eastAsia="Arial" w:hAnsi="Arial"/>
                <w:sz w:val="13"/>
                <w:szCs w:val="13"/>
                <w:color w:val="060606"/>
              </w:rPr>
              <w:t>Financing</w:t>
            </w:r>
          </w:p>
        </w:tc>
        <w:tc>
          <w:tcPr>
            <w:tcW w:w="1020" w:type="dxa"/>
            <w:vAlign w:val="bottom"/>
            <w:vMerge w:val="restart"/>
          </w:tcPr>
          <w:p>
            <w:pPr>
              <w:jc w:val="right"/>
              <w:ind w:right="149"/>
              <w:spacing w:after="0"/>
              <w:rPr>
                <w:sz w:val="20"/>
                <w:szCs w:val="20"/>
                <w:color w:val="auto"/>
              </w:rPr>
            </w:pPr>
            <w:r>
              <w:rPr>
                <w:rFonts w:ascii="Arial" w:cs="Arial" w:eastAsia="Arial" w:hAnsi="Arial"/>
                <w:sz w:val="13"/>
                <w:szCs w:val="13"/>
                <w:color w:val="060606"/>
              </w:rPr>
              <w:t>Contingent</w:t>
            </w:r>
          </w:p>
        </w:tc>
        <w:tc>
          <w:tcPr>
            <w:tcW w:w="88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920" w:type="dxa"/>
            <w:vAlign w:val="bottom"/>
            <w:vMerge w:val="restart"/>
          </w:tcPr>
          <w:p>
            <w:pPr>
              <w:ind w:left="140"/>
              <w:spacing w:after="0"/>
              <w:rPr>
                <w:sz w:val="20"/>
                <w:szCs w:val="20"/>
                <w:color w:val="auto"/>
              </w:rPr>
            </w:pPr>
            <w:r>
              <w:rPr>
                <w:rFonts w:ascii="Arial" w:cs="Arial" w:eastAsia="Arial" w:hAnsi="Arial"/>
                <w:sz w:val="13"/>
                <w:szCs w:val="13"/>
                <w:color w:val="060606"/>
              </w:rPr>
              <w:t>Certain Tax</w:t>
            </w:r>
          </w:p>
        </w:tc>
        <w:tc>
          <w:tcPr>
            <w:tcW w:w="920" w:type="dxa"/>
            <w:vAlign w:val="bottom"/>
            <w:vMerge w:val="restart"/>
          </w:tcPr>
          <w:p>
            <w:pPr>
              <w:jc w:val="right"/>
              <w:spacing w:after="0"/>
              <w:rPr>
                <w:sz w:val="20"/>
                <w:szCs w:val="20"/>
                <w:color w:val="auto"/>
              </w:rPr>
            </w:pPr>
            <w:r>
              <w:rPr>
                <w:rFonts w:ascii="Arial" w:cs="Arial" w:eastAsia="Arial" w:hAnsi="Arial"/>
                <w:sz w:val="13"/>
                <w:szCs w:val="13"/>
                <w:color w:val="060606"/>
                <w:w w:val="98"/>
              </w:rPr>
              <w:t>Certain Interest</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80" w:type="dxa"/>
            <w:vAlign w:val="bottom"/>
            <w:vMerge w:val="continue"/>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3"/>
                <w:szCs w:val="13"/>
                <w:color w:val="060606"/>
                <w:w w:val="99"/>
              </w:rPr>
              <w:t>Financial</w:t>
            </w:r>
          </w:p>
        </w:tc>
        <w:tc>
          <w:tcPr>
            <w:tcW w:w="1000" w:type="dxa"/>
            <w:vAlign w:val="bottom"/>
            <w:vMerge w:val="continue"/>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3"/>
                <w:szCs w:val="13"/>
                <w:color w:val="060606"/>
                <w:w w:val="96"/>
              </w:rPr>
              <w:t>Amortization</w:t>
            </w:r>
          </w:p>
        </w:tc>
        <w:tc>
          <w:tcPr>
            <w:tcW w:w="9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880" w:type="dxa"/>
            <w:vAlign w:val="bottom"/>
          </w:tcPr>
          <w:p>
            <w:pPr>
              <w:jc w:val="center"/>
              <w:spacing w:after="0" w:line="126" w:lineRule="exact"/>
              <w:rPr>
                <w:sz w:val="20"/>
                <w:szCs w:val="20"/>
                <w:color w:val="auto"/>
              </w:rPr>
            </w:pPr>
            <w:r>
              <w:rPr>
                <w:rFonts w:ascii="Arial" w:cs="Arial" w:eastAsia="Arial" w:hAnsi="Arial"/>
                <w:sz w:val="13"/>
                <w:szCs w:val="13"/>
                <w:color w:val="060606"/>
                <w:w w:val="98"/>
              </w:rPr>
              <w:t>&amp; Regulatory</w:t>
            </w:r>
          </w:p>
        </w:tc>
        <w:tc>
          <w:tcPr>
            <w:tcW w:w="960" w:type="dxa"/>
            <w:vAlign w:val="bottom"/>
          </w:tcPr>
          <w:p>
            <w:pPr>
              <w:jc w:val="center"/>
              <w:spacing w:after="0" w:line="126" w:lineRule="exact"/>
              <w:rPr>
                <w:sz w:val="20"/>
                <w:szCs w:val="20"/>
                <w:color w:val="auto"/>
              </w:rPr>
            </w:pPr>
            <w:r>
              <w:rPr>
                <w:rFonts w:ascii="Arial" w:cs="Arial" w:eastAsia="Arial" w:hAnsi="Arial"/>
                <w:sz w:val="13"/>
                <w:szCs w:val="13"/>
                <w:color w:val="060606"/>
                <w:w w:val="97"/>
              </w:rPr>
              <w:t>Compensation</w:t>
            </w:r>
          </w:p>
        </w:tc>
        <w:tc>
          <w:tcPr>
            <w:tcW w:w="9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3"/>
                <w:szCs w:val="13"/>
                <w:color w:val="060606"/>
                <w:w w:val="96"/>
              </w:rPr>
              <w:t>Financial</w:t>
            </w:r>
          </w:p>
        </w:tc>
        <w:tc>
          <w:tcPr>
            <w:tcW w:w="0" w:type="dxa"/>
            <w:vAlign w:val="bottom"/>
          </w:tcPr>
          <w:p>
            <w:pPr>
              <w:spacing w:after="0"/>
              <w:rPr>
                <w:sz w:val="1"/>
                <w:szCs w:val="1"/>
                <w:color w:val="auto"/>
              </w:rPr>
            </w:pPr>
          </w:p>
        </w:tc>
      </w:tr>
      <w:tr>
        <w:trPr>
          <w:trHeight w:val="175"/>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60606"/>
              </w:rPr>
              <w:t>September 30, 2024</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60606"/>
                <w:w w:val="98"/>
              </w:rPr>
              <w:t>Measures</w:t>
            </w:r>
          </w:p>
        </w:tc>
        <w:tc>
          <w:tcPr>
            <w:tcW w:w="1000" w:type="dxa"/>
            <w:vAlign w:val="bottom"/>
            <w:tcBorders>
              <w:bottom w:val="single" w:sz="8" w:color="auto"/>
            </w:tcBorders>
          </w:tcPr>
          <w:p>
            <w:pPr>
              <w:jc w:val="right"/>
              <w:ind w:right="89"/>
              <w:spacing w:after="0" w:line="175" w:lineRule="exact"/>
              <w:rPr>
                <w:sz w:val="20"/>
                <w:szCs w:val="20"/>
                <w:color w:val="auto"/>
              </w:rPr>
            </w:pPr>
            <w:r>
              <w:rPr>
                <w:rFonts w:ascii="Arial" w:cs="Arial" w:eastAsia="Arial" w:hAnsi="Arial"/>
                <w:sz w:val="13"/>
                <w:szCs w:val="13"/>
                <w:color w:val="060606"/>
              </w:rPr>
              <w:t xml:space="preserve">Expenses </w:t>
            </w:r>
            <w:r>
              <w:rPr>
                <w:rFonts w:ascii="Arial" w:cs="Arial" w:eastAsia="Arial" w:hAnsi="Arial"/>
                <w:sz w:val="16"/>
                <w:szCs w:val="16"/>
                <w:color w:val="060606"/>
                <w:vertAlign w:val="superscript"/>
              </w:rPr>
              <w:t>(1)</w:t>
            </w:r>
          </w:p>
        </w:tc>
        <w:tc>
          <w:tcPr>
            <w:tcW w:w="8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94"/>
              </w:rPr>
              <w:t xml:space="preserve">Expenses </w:t>
            </w:r>
            <w:r>
              <w:rPr>
                <w:rFonts w:ascii="Arial" w:cs="Arial" w:eastAsia="Arial" w:hAnsi="Arial"/>
                <w:sz w:val="16"/>
                <w:szCs w:val="16"/>
                <w:color w:val="060606"/>
                <w:w w:val="94"/>
                <w:vertAlign w:val="superscript"/>
              </w:rPr>
              <w:t>(2)</w:t>
            </w:r>
          </w:p>
        </w:tc>
        <w:tc>
          <w:tcPr>
            <w:tcW w:w="960" w:type="dxa"/>
            <w:vAlign w:val="bottom"/>
            <w:tcBorders>
              <w:bottom w:val="single" w:sz="8" w:color="auto"/>
            </w:tcBorders>
          </w:tcPr>
          <w:p>
            <w:pPr>
              <w:ind w:left="40"/>
              <w:spacing w:after="0" w:line="175" w:lineRule="exact"/>
              <w:rPr>
                <w:sz w:val="20"/>
                <w:szCs w:val="20"/>
                <w:color w:val="auto"/>
              </w:rPr>
            </w:pPr>
            <w:r>
              <w:rPr>
                <w:rFonts w:ascii="Arial" w:cs="Arial" w:eastAsia="Arial" w:hAnsi="Arial"/>
                <w:sz w:val="13"/>
                <w:szCs w:val="13"/>
                <w:color w:val="060606"/>
                <w:w w:val="98"/>
              </w:rPr>
              <w:t xml:space="preserve">Transactions </w:t>
            </w:r>
            <w:r>
              <w:rPr>
                <w:rFonts w:ascii="Arial" w:cs="Arial" w:eastAsia="Arial" w:hAnsi="Arial"/>
                <w:sz w:val="16"/>
                <w:szCs w:val="16"/>
                <w:color w:val="060606"/>
                <w:w w:val="98"/>
                <w:vertAlign w:val="superscript"/>
              </w:rPr>
              <w:t>(3)</w:t>
            </w:r>
          </w:p>
        </w:tc>
        <w:tc>
          <w:tcPr>
            <w:tcW w:w="1020" w:type="dxa"/>
            <w:vAlign w:val="bottom"/>
            <w:tcBorders>
              <w:bottom w:val="single" w:sz="8" w:color="auto"/>
            </w:tcBorders>
          </w:tcPr>
          <w:p>
            <w:pPr>
              <w:jc w:val="right"/>
              <w:ind w:right="9"/>
              <w:spacing w:after="0" w:line="175" w:lineRule="exact"/>
              <w:rPr>
                <w:sz w:val="20"/>
                <w:szCs w:val="20"/>
                <w:color w:val="auto"/>
              </w:rPr>
            </w:pPr>
            <w:r>
              <w:rPr>
                <w:rFonts w:ascii="Arial" w:cs="Arial" w:eastAsia="Arial" w:hAnsi="Arial"/>
                <w:sz w:val="13"/>
                <w:szCs w:val="13"/>
                <w:color w:val="060606"/>
                <w:w w:val="94"/>
              </w:rPr>
              <w:t xml:space="preserve">Consideration </w:t>
            </w:r>
            <w:r>
              <w:rPr>
                <w:rFonts w:ascii="Arial" w:cs="Arial" w:eastAsia="Arial" w:hAnsi="Arial"/>
                <w:sz w:val="16"/>
                <w:szCs w:val="16"/>
                <w:color w:val="060606"/>
                <w:w w:val="94"/>
                <w:vertAlign w:val="superscript"/>
              </w:rPr>
              <w:t>(4)</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92"/>
              </w:rPr>
              <w:t xml:space="preserve">Costs </w:t>
            </w:r>
            <w:r>
              <w:rPr>
                <w:rFonts w:ascii="Arial" w:cs="Arial" w:eastAsia="Arial" w:hAnsi="Arial"/>
                <w:sz w:val="16"/>
                <w:szCs w:val="16"/>
                <w:color w:val="060606"/>
                <w:w w:val="92"/>
                <w:vertAlign w:val="superscript"/>
              </w:rPr>
              <w:t>(5)</w:t>
            </w:r>
          </w:p>
        </w:tc>
        <w:tc>
          <w:tcPr>
            <w:tcW w:w="9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92"/>
              </w:rPr>
              <w:t xml:space="preserve">Costs </w:t>
            </w:r>
            <w:r>
              <w:rPr>
                <w:rFonts w:ascii="Arial" w:cs="Arial" w:eastAsia="Arial" w:hAnsi="Arial"/>
                <w:sz w:val="16"/>
                <w:szCs w:val="16"/>
                <w:color w:val="060606"/>
                <w:w w:val="92"/>
                <w:vertAlign w:val="superscript"/>
              </w:rPr>
              <w:t>(6)</w:t>
            </w:r>
          </w:p>
        </w:tc>
        <w:tc>
          <w:tcPr>
            <w:tcW w:w="920" w:type="dxa"/>
            <w:vAlign w:val="bottom"/>
            <w:tcBorders>
              <w:bottom w:val="single" w:sz="8" w:color="auto"/>
            </w:tcBorders>
          </w:tcPr>
          <w:p>
            <w:pPr>
              <w:ind w:left="40"/>
              <w:spacing w:after="0" w:line="175" w:lineRule="exact"/>
              <w:rPr>
                <w:sz w:val="20"/>
                <w:szCs w:val="20"/>
                <w:color w:val="auto"/>
              </w:rPr>
            </w:pPr>
            <w:r>
              <w:rPr>
                <w:rFonts w:ascii="Arial" w:cs="Arial" w:eastAsia="Arial" w:hAnsi="Arial"/>
                <w:sz w:val="13"/>
                <w:szCs w:val="13"/>
                <w:color w:val="060606"/>
                <w:w w:val="97"/>
              </w:rPr>
              <w:t xml:space="preserve">Adjustments </w:t>
            </w:r>
            <w:r>
              <w:rPr>
                <w:rFonts w:ascii="Arial" w:cs="Arial" w:eastAsia="Arial" w:hAnsi="Arial"/>
                <w:sz w:val="16"/>
                <w:szCs w:val="16"/>
                <w:color w:val="060606"/>
                <w:w w:val="97"/>
                <w:vertAlign w:val="superscript"/>
              </w:rPr>
              <w:t>(7)</w:t>
            </w: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color w:val="060606"/>
                <w:w w:val="97"/>
              </w:rPr>
              <w:t xml:space="preserve">Adjustments </w:t>
            </w:r>
            <w:r>
              <w:rPr>
                <w:rFonts w:ascii="Arial" w:cs="Arial" w:eastAsia="Arial" w:hAnsi="Arial"/>
                <w:sz w:val="16"/>
                <w:szCs w:val="16"/>
                <w:color w:val="060606"/>
                <w:w w:val="97"/>
                <w:vertAlign w:val="superscript"/>
              </w:rPr>
              <w:t>(8)</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60606"/>
                <w:w w:val="98"/>
              </w:rPr>
              <w:t>Measures</w:t>
            </w:r>
          </w:p>
        </w:tc>
        <w:tc>
          <w:tcPr>
            <w:tcW w:w="0" w:type="dxa"/>
            <w:vAlign w:val="bottom"/>
          </w:tcPr>
          <w:p>
            <w:pPr>
              <w:spacing w:after="0"/>
              <w:rPr>
                <w:sz w:val="1"/>
                <w:szCs w:val="1"/>
                <w:color w:val="auto"/>
              </w:rPr>
            </w:pPr>
          </w:p>
        </w:tc>
      </w:tr>
      <w:tr>
        <w:trPr>
          <w:trHeight w:val="188"/>
        </w:trPr>
        <w:tc>
          <w:tcPr>
            <w:tcW w:w="2080" w:type="dxa"/>
            <w:vAlign w:val="bottom"/>
          </w:tcPr>
          <w:p>
            <w:pPr>
              <w:ind w:left="20"/>
              <w:spacing w:after="0"/>
              <w:rPr>
                <w:sz w:val="20"/>
                <w:szCs w:val="20"/>
                <w:color w:val="auto"/>
              </w:rPr>
            </w:pPr>
            <w:r>
              <w:rPr>
                <w:rFonts w:ascii="Arial" w:cs="Arial" w:eastAsia="Arial" w:hAnsi="Arial"/>
                <w:sz w:val="14"/>
                <w:szCs w:val="14"/>
                <w:color w:val="060606"/>
              </w:rPr>
              <w:t>Cost of sales</w:t>
            </w:r>
          </w:p>
        </w:tc>
        <w:tc>
          <w:tcPr>
            <w:tcW w:w="780" w:type="dxa"/>
            <w:vAlign w:val="bottom"/>
          </w:tcPr>
          <w:p>
            <w:pPr>
              <w:jc w:val="right"/>
              <w:ind w:right="110"/>
              <w:spacing w:after="0"/>
              <w:rPr>
                <w:sz w:val="20"/>
                <w:szCs w:val="20"/>
                <w:color w:val="auto"/>
              </w:rPr>
            </w:pPr>
            <w:r>
              <w:rPr>
                <w:rFonts w:ascii="Arial" w:cs="Arial" w:eastAsia="Arial" w:hAnsi="Arial"/>
                <w:sz w:val="14"/>
                <w:szCs w:val="14"/>
                <w:color w:val="060606"/>
              </w:rPr>
              <w:t>$97.1</w:t>
            </w:r>
          </w:p>
        </w:tc>
        <w:tc>
          <w:tcPr>
            <w:tcW w:w="100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060606"/>
              </w:rPr>
              <w:t>($1.8)</w:t>
            </w:r>
          </w:p>
        </w:tc>
        <w:tc>
          <w:tcPr>
            <w:tcW w:w="960" w:type="dxa"/>
            <w:vAlign w:val="bottom"/>
          </w:tcPr>
          <w:p>
            <w:pPr>
              <w:ind w:left="540"/>
              <w:spacing w:after="0"/>
              <w:rPr>
                <w:sz w:val="20"/>
                <w:szCs w:val="20"/>
                <w:color w:val="auto"/>
              </w:rPr>
            </w:pPr>
            <w:r>
              <w:rPr>
                <w:rFonts w:ascii="Arial" w:cs="Arial" w:eastAsia="Arial" w:hAnsi="Arial"/>
                <w:sz w:val="14"/>
                <w:szCs w:val="14"/>
                <w:color w:val="060606"/>
              </w:rPr>
              <w:t>$—</w:t>
            </w:r>
          </w:p>
        </w:tc>
        <w:tc>
          <w:tcPr>
            <w:tcW w:w="1020" w:type="dxa"/>
            <w:vAlign w:val="bottom"/>
          </w:tcPr>
          <w:p>
            <w:pPr>
              <w:jc w:val="right"/>
              <w:ind w:right="149"/>
              <w:spacing w:after="0"/>
              <w:rPr>
                <w:sz w:val="20"/>
                <w:szCs w:val="20"/>
                <w:color w:val="auto"/>
              </w:rPr>
            </w:pPr>
            <w:r>
              <w:rPr>
                <w:rFonts w:ascii="Arial" w:cs="Arial" w:eastAsia="Arial" w:hAnsi="Arial"/>
                <w:sz w:val="14"/>
                <w:szCs w:val="14"/>
                <w:color w:val="060606"/>
              </w:rPr>
              <w:t>$0.2</w:t>
            </w:r>
          </w:p>
        </w:tc>
        <w:tc>
          <w:tcPr>
            <w:tcW w:w="880" w:type="dxa"/>
            <w:vAlign w:val="bottom"/>
          </w:tcPr>
          <w:p>
            <w:pPr>
              <w:jc w:val="right"/>
              <w:ind w:right="150"/>
              <w:spacing w:after="0"/>
              <w:rPr>
                <w:sz w:val="20"/>
                <w:szCs w:val="20"/>
                <w:color w:val="auto"/>
              </w:rPr>
            </w:pPr>
            <w:r>
              <w:rPr>
                <w:rFonts w:ascii="Arial" w:cs="Arial" w:eastAsia="Arial" w:hAnsi="Arial"/>
                <w:sz w:val="14"/>
                <w:szCs w:val="14"/>
                <w:color w:val="060606"/>
              </w:rPr>
              <w:t>$0.7</w:t>
            </w:r>
          </w:p>
        </w:tc>
        <w:tc>
          <w:tcPr>
            <w:tcW w:w="960" w:type="dxa"/>
            <w:vAlign w:val="bottom"/>
          </w:tcPr>
          <w:p>
            <w:pPr>
              <w:jc w:val="right"/>
              <w:ind w:right="90"/>
              <w:spacing w:after="0"/>
              <w:rPr>
                <w:sz w:val="20"/>
                <w:szCs w:val="20"/>
                <w:color w:val="auto"/>
              </w:rPr>
            </w:pPr>
            <w:r>
              <w:rPr>
                <w:rFonts w:ascii="Arial" w:cs="Arial" w:eastAsia="Arial" w:hAnsi="Arial"/>
                <w:sz w:val="14"/>
                <w:szCs w:val="14"/>
                <w:color w:val="060606"/>
              </w:rPr>
              <w:t>($0.4)</w:t>
            </w:r>
          </w:p>
        </w:tc>
        <w:tc>
          <w:tcPr>
            <w:tcW w:w="920" w:type="dxa"/>
            <w:vAlign w:val="bottom"/>
          </w:tcPr>
          <w:p>
            <w:pPr>
              <w:ind w:left="50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060606"/>
              </w:rPr>
              <w:t>$95.9</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060606"/>
              </w:rPr>
              <w:t>Gross profit percent</w:t>
            </w:r>
          </w:p>
        </w:tc>
        <w:tc>
          <w:tcPr>
            <w:tcW w:w="780" w:type="dxa"/>
            <w:vAlign w:val="bottom"/>
          </w:tcPr>
          <w:p>
            <w:pPr>
              <w:jc w:val="right"/>
              <w:spacing w:after="0"/>
              <w:rPr>
                <w:sz w:val="20"/>
                <w:szCs w:val="20"/>
                <w:color w:val="auto"/>
              </w:rPr>
            </w:pPr>
            <w:r>
              <w:rPr>
                <w:rFonts w:ascii="Arial" w:cs="Arial" w:eastAsia="Arial" w:hAnsi="Arial"/>
                <w:sz w:val="14"/>
                <w:szCs w:val="14"/>
                <w:color w:val="060606"/>
              </w:rPr>
              <w:t>69.5 %</w:t>
            </w:r>
          </w:p>
        </w:tc>
        <w:tc>
          <w:tcPr>
            <w:tcW w:w="1000" w:type="dxa"/>
            <w:vAlign w:val="bottom"/>
          </w:tcPr>
          <w:p>
            <w:pPr>
              <w:jc w:val="right"/>
              <w:spacing w:after="0"/>
              <w:rPr>
                <w:sz w:val="20"/>
                <w:szCs w:val="20"/>
                <w:color w:val="auto"/>
              </w:rPr>
            </w:pPr>
            <w:r>
              <w:rPr>
                <w:rFonts w:ascii="Arial" w:cs="Arial" w:eastAsia="Arial" w:hAnsi="Arial"/>
                <w:sz w:val="14"/>
                <w:szCs w:val="14"/>
                <w:color w:val="060606"/>
              </w:rPr>
              <w:t>— %</w:t>
            </w:r>
          </w:p>
        </w:tc>
        <w:tc>
          <w:tcPr>
            <w:tcW w:w="860" w:type="dxa"/>
            <w:vAlign w:val="bottom"/>
          </w:tcPr>
          <w:p>
            <w:pPr>
              <w:jc w:val="right"/>
              <w:spacing w:after="0"/>
              <w:rPr>
                <w:sz w:val="20"/>
                <w:szCs w:val="20"/>
                <w:color w:val="auto"/>
              </w:rPr>
            </w:pPr>
            <w:r>
              <w:rPr>
                <w:rFonts w:ascii="Arial" w:cs="Arial" w:eastAsia="Arial" w:hAnsi="Arial"/>
                <w:sz w:val="14"/>
                <w:szCs w:val="14"/>
                <w:color w:val="060606"/>
              </w:rPr>
              <w:t>0.6 %</w:t>
            </w:r>
          </w:p>
        </w:tc>
        <w:tc>
          <w:tcPr>
            <w:tcW w:w="960" w:type="dxa"/>
            <w:vAlign w:val="bottom"/>
          </w:tcPr>
          <w:p>
            <w:pPr>
              <w:ind w:left="620"/>
              <w:spacing w:after="0"/>
              <w:rPr>
                <w:sz w:val="20"/>
                <w:szCs w:val="20"/>
                <w:color w:val="auto"/>
              </w:rPr>
            </w:pPr>
            <w:r>
              <w:rPr>
                <w:rFonts w:ascii="Arial" w:cs="Arial" w:eastAsia="Arial" w:hAnsi="Arial"/>
                <w:sz w:val="14"/>
                <w:szCs w:val="14"/>
                <w:color w:val="060606"/>
              </w:rPr>
              <w:t>— %</w:t>
            </w:r>
          </w:p>
        </w:tc>
        <w:tc>
          <w:tcPr>
            <w:tcW w:w="1020" w:type="dxa"/>
            <w:vAlign w:val="bottom"/>
          </w:tcPr>
          <w:p>
            <w:pPr>
              <w:jc w:val="right"/>
              <w:spacing w:after="0"/>
              <w:rPr>
                <w:sz w:val="20"/>
                <w:szCs w:val="20"/>
                <w:color w:val="auto"/>
              </w:rPr>
            </w:pPr>
            <w:r>
              <w:rPr>
                <w:rFonts w:ascii="Arial" w:cs="Arial" w:eastAsia="Arial" w:hAnsi="Arial"/>
                <w:sz w:val="14"/>
                <w:szCs w:val="14"/>
                <w:color w:val="060606"/>
              </w:rPr>
              <w:t>(0.1)%</w:t>
            </w:r>
          </w:p>
        </w:tc>
        <w:tc>
          <w:tcPr>
            <w:tcW w:w="880" w:type="dxa"/>
            <w:vAlign w:val="bottom"/>
          </w:tcPr>
          <w:p>
            <w:pPr>
              <w:ind w:left="400"/>
              <w:spacing w:after="0"/>
              <w:rPr>
                <w:sz w:val="20"/>
                <w:szCs w:val="20"/>
                <w:color w:val="auto"/>
              </w:rPr>
            </w:pPr>
            <w:r>
              <w:rPr>
                <w:rFonts w:ascii="Arial" w:cs="Arial" w:eastAsia="Arial" w:hAnsi="Arial"/>
                <w:sz w:val="14"/>
                <w:szCs w:val="14"/>
                <w:color w:val="060606"/>
              </w:rPr>
              <w:t>(0.2)%</w:t>
            </w:r>
          </w:p>
        </w:tc>
        <w:tc>
          <w:tcPr>
            <w:tcW w:w="960" w:type="dxa"/>
            <w:vAlign w:val="bottom"/>
          </w:tcPr>
          <w:p>
            <w:pPr>
              <w:jc w:val="right"/>
              <w:spacing w:after="0"/>
              <w:rPr>
                <w:sz w:val="20"/>
                <w:szCs w:val="20"/>
                <w:color w:val="auto"/>
              </w:rPr>
            </w:pPr>
            <w:r>
              <w:rPr>
                <w:rFonts w:ascii="Arial" w:cs="Arial" w:eastAsia="Arial" w:hAnsi="Arial"/>
                <w:sz w:val="14"/>
                <w:szCs w:val="14"/>
                <w:color w:val="060606"/>
              </w:rPr>
              <w:t>0.1 %</w:t>
            </w:r>
          </w:p>
        </w:tc>
        <w:tc>
          <w:tcPr>
            <w:tcW w:w="920" w:type="dxa"/>
            <w:vAlign w:val="bottom"/>
          </w:tcPr>
          <w:p>
            <w:pPr>
              <w:ind w:left="580"/>
              <w:spacing w:after="0"/>
              <w:rPr>
                <w:sz w:val="20"/>
                <w:szCs w:val="20"/>
                <w:color w:val="auto"/>
              </w:rPr>
            </w:pPr>
            <w:r>
              <w:rPr>
                <w:rFonts w:ascii="Arial" w:cs="Arial" w:eastAsia="Arial" w:hAnsi="Arial"/>
                <w:sz w:val="14"/>
                <w:szCs w:val="14"/>
                <w:color w:val="060606"/>
              </w:rPr>
              <w:t>— %</w:t>
            </w:r>
          </w:p>
        </w:tc>
        <w:tc>
          <w:tcPr>
            <w:tcW w:w="920" w:type="dxa"/>
            <w:vAlign w:val="bottom"/>
          </w:tcPr>
          <w:p>
            <w:pPr>
              <w:jc w:val="right"/>
              <w:spacing w:after="0"/>
              <w:rPr>
                <w:sz w:val="20"/>
                <w:szCs w:val="20"/>
                <w:color w:val="auto"/>
              </w:rPr>
            </w:pPr>
            <w:r>
              <w:rPr>
                <w:rFonts w:ascii="Arial" w:cs="Arial" w:eastAsia="Arial" w:hAnsi="Arial"/>
                <w:sz w:val="14"/>
                <w:szCs w:val="14"/>
                <w:color w:val="060606"/>
              </w:rPr>
              <w:t>— %</w:t>
            </w:r>
          </w:p>
        </w:tc>
        <w:tc>
          <w:tcPr>
            <w:tcW w:w="860" w:type="dxa"/>
            <w:vAlign w:val="bottom"/>
          </w:tcPr>
          <w:p>
            <w:pPr>
              <w:jc w:val="right"/>
              <w:spacing w:after="0"/>
              <w:rPr>
                <w:sz w:val="20"/>
                <w:szCs w:val="20"/>
                <w:color w:val="auto"/>
              </w:rPr>
            </w:pPr>
            <w:r>
              <w:rPr>
                <w:rFonts w:ascii="Arial" w:cs="Arial" w:eastAsia="Arial" w:hAnsi="Arial"/>
                <w:sz w:val="14"/>
                <w:szCs w:val="14"/>
                <w:color w:val="060606"/>
              </w:rPr>
              <w:t>69.9 %</w:t>
            </w:r>
          </w:p>
        </w:tc>
        <w:tc>
          <w:tcPr>
            <w:tcW w:w="0" w:type="dxa"/>
            <w:vAlign w:val="bottom"/>
          </w:tcPr>
          <w:p>
            <w:pPr>
              <w:spacing w:after="0"/>
              <w:rPr>
                <w:sz w:val="1"/>
                <w:szCs w:val="1"/>
                <w:color w:val="auto"/>
              </w:rPr>
            </w:pPr>
          </w:p>
        </w:tc>
      </w:tr>
      <w:tr>
        <w:trPr>
          <w:trHeight w:val="161"/>
        </w:trPr>
        <w:tc>
          <w:tcPr>
            <w:tcW w:w="2080" w:type="dxa"/>
            <w:vAlign w:val="bottom"/>
          </w:tcPr>
          <w:p>
            <w:pPr>
              <w:ind w:left="20"/>
              <w:spacing w:after="0"/>
              <w:rPr>
                <w:sz w:val="20"/>
                <w:szCs w:val="20"/>
                <w:color w:val="auto"/>
              </w:rPr>
            </w:pPr>
            <w:r>
              <w:rPr>
                <w:rFonts w:ascii="Arial" w:cs="Arial" w:eastAsia="Arial" w:hAnsi="Arial"/>
                <w:sz w:val="14"/>
                <w:szCs w:val="14"/>
                <w:color w:val="060606"/>
              </w:rPr>
              <w:t>Selling, general, and</w:t>
            </w:r>
          </w:p>
        </w:tc>
        <w:tc>
          <w:tcPr>
            <w:tcW w:w="780" w:type="dxa"/>
            <w:vAlign w:val="bottom"/>
            <w:vMerge w:val="restart"/>
          </w:tcPr>
          <w:p>
            <w:pPr>
              <w:jc w:val="right"/>
              <w:ind w:right="110"/>
              <w:spacing w:after="0"/>
              <w:rPr>
                <w:sz w:val="20"/>
                <w:szCs w:val="20"/>
                <w:color w:val="auto"/>
              </w:rPr>
            </w:pPr>
            <w:r>
              <w:rPr>
                <w:rFonts w:ascii="Arial" w:cs="Arial" w:eastAsia="Arial" w:hAnsi="Arial"/>
                <w:sz w:val="14"/>
                <w:szCs w:val="14"/>
                <w:color w:val="060606"/>
              </w:rPr>
              <w:t>127.4</w:t>
            </w:r>
          </w:p>
        </w:tc>
        <w:tc>
          <w:tcPr>
            <w:tcW w:w="1000" w:type="dxa"/>
            <w:vAlign w:val="bottom"/>
            <w:vMerge w:val="restart"/>
          </w:tcPr>
          <w:p>
            <w:pPr>
              <w:jc w:val="right"/>
              <w:ind w:right="149"/>
              <w:spacing w:after="0"/>
              <w:rPr>
                <w:sz w:val="20"/>
                <w:szCs w:val="20"/>
                <w:color w:val="auto"/>
              </w:rPr>
            </w:pPr>
            <w:r>
              <w:rPr>
                <w:rFonts w:ascii="Arial" w:cs="Arial" w:eastAsia="Arial" w:hAnsi="Arial"/>
                <w:sz w:val="14"/>
                <w:szCs w:val="14"/>
                <w:color w:val="060606"/>
              </w:rPr>
              <w:t>—</w:t>
            </w:r>
          </w:p>
        </w:tc>
        <w:tc>
          <w:tcPr>
            <w:tcW w:w="860" w:type="dxa"/>
            <w:vAlign w:val="bottom"/>
            <w:vMerge w:val="restart"/>
          </w:tcPr>
          <w:p>
            <w:pPr>
              <w:jc w:val="right"/>
              <w:ind w:right="90"/>
              <w:spacing w:after="0"/>
              <w:rPr>
                <w:sz w:val="20"/>
                <w:szCs w:val="20"/>
                <w:color w:val="auto"/>
              </w:rPr>
            </w:pPr>
            <w:r>
              <w:rPr>
                <w:rFonts w:ascii="Arial" w:cs="Arial" w:eastAsia="Arial" w:hAnsi="Arial"/>
                <w:sz w:val="14"/>
                <w:szCs w:val="14"/>
                <w:color w:val="060606"/>
              </w:rPr>
              <w:t>(2.6)</w:t>
            </w:r>
          </w:p>
        </w:tc>
        <w:tc>
          <w:tcPr>
            <w:tcW w:w="960" w:type="dxa"/>
            <w:vAlign w:val="bottom"/>
            <w:vMerge w:val="restart"/>
          </w:tcPr>
          <w:p>
            <w:pPr>
              <w:ind w:left="620"/>
              <w:spacing w:after="0"/>
              <w:rPr>
                <w:sz w:val="20"/>
                <w:szCs w:val="20"/>
                <w:color w:val="auto"/>
              </w:rPr>
            </w:pPr>
            <w:r>
              <w:rPr>
                <w:rFonts w:ascii="Arial" w:cs="Arial" w:eastAsia="Arial" w:hAnsi="Arial"/>
                <w:sz w:val="14"/>
                <w:szCs w:val="14"/>
                <w:color w:val="060606"/>
              </w:rPr>
              <w:t>—</w:t>
            </w:r>
          </w:p>
        </w:tc>
        <w:tc>
          <w:tcPr>
            <w:tcW w:w="1020" w:type="dxa"/>
            <w:vAlign w:val="bottom"/>
            <w:vMerge w:val="restart"/>
          </w:tcPr>
          <w:p>
            <w:pPr>
              <w:jc w:val="right"/>
              <w:ind w:right="149"/>
              <w:spacing w:after="0"/>
              <w:rPr>
                <w:sz w:val="20"/>
                <w:szCs w:val="20"/>
                <w:color w:val="auto"/>
              </w:rPr>
            </w:pPr>
            <w:r>
              <w:rPr>
                <w:rFonts w:ascii="Arial" w:cs="Arial" w:eastAsia="Arial" w:hAnsi="Arial"/>
                <w:sz w:val="14"/>
                <w:szCs w:val="14"/>
                <w:color w:val="060606"/>
              </w:rPr>
              <w:t>—</w:t>
            </w:r>
          </w:p>
        </w:tc>
        <w:tc>
          <w:tcPr>
            <w:tcW w:w="880" w:type="dxa"/>
            <w:vAlign w:val="bottom"/>
            <w:vMerge w:val="restart"/>
          </w:tcPr>
          <w:p>
            <w:pPr>
              <w:ind w:left="400"/>
              <w:spacing w:after="0"/>
              <w:rPr>
                <w:sz w:val="20"/>
                <w:szCs w:val="20"/>
                <w:color w:val="auto"/>
              </w:rPr>
            </w:pPr>
            <w:r>
              <w:rPr>
                <w:rFonts w:ascii="Arial" w:cs="Arial" w:eastAsia="Arial" w:hAnsi="Arial"/>
                <w:sz w:val="14"/>
                <w:szCs w:val="14"/>
                <w:color w:val="060606"/>
              </w:rPr>
              <w:t>(6.3)</w:t>
            </w:r>
          </w:p>
        </w:tc>
        <w:tc>
          <w:tcPr>
            <w:tcW w:w="960" w:type="dxa"/>
            <w:vAlign w:val="bottom"/>
            <w:vMerge w:val="restart"/>
          </w:tcPr>
          <w:p>
            <w:pPr>
              <w:jc w:val="right"/>
              <w:ind w:right="90"/>
              <w:spacing w:after="0"/>
              <w:rPr>
                <w:sz w:val="20"/>
                <w:szCs w:val="20"/>
                <w:color w:val="auto"/>
              </w:rPr>
            </w:pPr>
            <w:r>
              <w:rPr>
                <w:rFonts w:ascii="Arial" w:cs="Arial" w:eastAsia="Arial" w:hAnsi="Arial"/>
                <w:sz w:val="14"/>
                <w:szCs w:val="14"/>
                <w:color w:val="060606"/>
              </w:rPr>
              <w:t>(6.6)</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jc w:val="right"/>
              <w:ind w:right="109"/>
              <w:spacing w:after="0"/>
              <w:rPr>
                <w:sz w:val="20"/>
                <w:szCs w:val="20"/>
                <w:color w:val="auto"/>
              </w:rPr>
            </w:pPr>
            <w:r>
              <w:rPr>
                <w:rFonts w:ascii="Arial" w:cs="Arial" w:eastAsia="Arial" w:hAnsi="Arial"/>
                <w:sz w:val="14"/>
                <w:szCs w:val="14"/>
                <w:color w:val="060606"/>
              </w:rPr>
              <w:t>—</w:t>
            </w:r>
          </w:p>
        </w:tc>
        <w:tc>
          <w:tcPr>
            <w:tcW w:w="860" w:type="dxa"/>
            <w:vAlign w:val="bottom"/>
            <w:vMerge w:val="restart"/>
          </w:tcPr>
          <w:p>
            <w:pPr>
              <w:jc w:val="right"/>
              <w:ind w:right="110"/>
              <w:spacing w:after="0"/>
              <w:rPr>
                <w:sz w:val="20"/>
                <w:szCs w:val="20"/>
                <w:color w:val="auto"/>
              </w:rPr>
            </w:pPr>
            <w:r>
              <w:rPr>
                <w:rFonts w:ascii="Arial" w:cs="Arial" w:eastAsia="Arial" w:hAnsi="Arial"/>
                <w:sz w:val="14"/>
                <w:szCs w:val="14"/>
                <w:color w:val="060606"/>
              </w:rPr>
              <w:t>111.9</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060606"/>
              </w:rPr>
              <w:t>administrative</w:t>
            </w:r>
          </w:p>
        </w:tc>
        <w:tc>
          <w:tcPr>
            <w:tcW w:w="7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80" w:type="dxa"/>
            <w:vAlign w:val="bottom"/>
          </w:tcPr>
          <w:p>
            <w:pPr>
              <w:ind w:left="20"/>
              <w:spacing w:after="0" w:line="149" w:lineRule="exact"/>
              <w:rPr>
                <w:sz w:val="20"/>
                <w:szCs w:val="20"/>
                <w:color w:val="auto"/>
              </w:rPr>
            </w:pPr>
            <w:r>
              <w:rPr>
                <w:rFonts w:ascii="Arial" w:cs="Arial" w:eastAsia="Arial" w:hAnsi="Arial"/>
                <w:sz w:val="14"/>
                <w:szCs w:val="14"/>
                <w:color w:val="060606"/>
              </w:rPr>
              <w:t>Selling, general, and</w:t>
            </w: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0"/>
              <w:spacing w:after="0" w:line="149" w:lineRule="exact"/>
              <w:rPr>
                <w:sz w:val="20"/>
                <w:szCs w:val="20"/>
                <w:color w:val="auto"/>
              </w:rPr>
            </w:pPr>
            <w:r>
              <w:rPr>
                <w:rFonts w:ascii="Arial" w:cs="Arial" w:eastAsia="Arial" w:hAnsi="Arial"/>
                <w:sz w:val="14"/>
                <w:szCs w:val="14"/>
                <w:color w:val="060606"/>
              </w:rPr>
              <w:t>administrative as a percent of</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40.1 %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(0.8)%</w:t>
            </w:r>
          </w:p>
        </w:tc>
        <w:tc>
          <w:tcPr>
            <w:tcW w:w="960" w:type="dxa"/>
            <w:vAlign w:val="bottom"/>
            <w:vMerge w:val="restart"/>
          </w:tcPr>
          <w:p>
            <w:pPr>
              <w:ind w:left="620"/>
              <w:spacing w:after="0"/>
              <w:rPr>
                <w:sz w:val="20"/>
                <w:szCs w:val="20"/>
                <w:color w:val="auto"/>
              </w:rPr>
            </w:pPr>
            <w:r>
              <w:rPr>
                <w:rFonts w:ascii="Arial" w:cs="Arial" w:eastAsia="Arial" w:hAnsi="Arial"/>
                <w:sz w:val="14"/>
                <w:szCs w:val="14"/>
                <w:color w:val="060606"/>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ind w:left="400"/>
              <w:spacing w:after="0"/>
              <w:rPr>
                <w:sz w:val="20"/>
                <w:szCs w:val="20"/>
                <w:color w:val="auto"/>
              </w:rPr>
            </w:pPr>
            <w:r>
              <w:rPr>
                <w:rFonts w:ascii="Arial" w:cs="Arial" w:eastAsia="Arial" w:hAnsi="Arial"/>
                <w:sz w:val="14"/>
                <w:szCs w:val="14"/>
                <w:color w:val="060606"/>
              </w:rPr>
              <w:t>(2.0)%</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(2.1)%</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35.2 %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060606"/>
              </w:rPr>
              <w:t>net revenue</w:t>
            </w:r>
          </w:p>
        </w:tc>
        <w:tc>
          <w:tcPr>
            <w:tcW w:w="7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0"/>
              <w:spacing w:after="0"/>
              <w:rPr>
                <w:sz w:val="20"/>
                <w:szCs w:val="20"/>
                <w:color w:val="auto"/>
              </w:rPr>
            </w:pPr>
            <w:r>
              <w:rPr>
                <w:rFonts w:ascii="Arial" w:cs="Arial" w:eastAsia="Arial" w:hAnsi="Arial"/>
                <w:sz w:val="14"/>
                <w:szCs w:val="14"/>
                <w:color w:val="060606"/>
              </w:rPr>
              <w:t>Research and development</w:t>
            </w:r>
          </w:p>
        </w:tc>
        <w:tc>
          <w:tcPr>
            <w:tcW w:w="780" w:type="dxa"/>
            <w:vAlign w:val="bottom"/>
          </w:tcPr>
          <w:p>
            <w:pPr>
              <w:jc w:val="right"/>
              <w:ind w:right="110"/>
              <w:spacing w:after="0"/>
              <w:rPr>
                <w:sz w:val="20"/>
                <w:szCs w:val="20"/>
                <w:color w:val="auto"/>
              </w:rPr>
            </w:pPr>
            <w:r>
              <w:rPr>
                <w:rFonts w:ascii="Arial" w:cs="Arial" w:eastAsia="Arial" w:hAnsi="Arial"/>
                <w:sz w:val="14"/>
                <w:szCs w:val="14"/>
                <w:color w:val="060606"/>
              </w:rPr>
              <w:t>48.8</w:t>
            </w:r>
          </w:p>
        </w:tc>
        <w:tc>
          <w:tcPr>
            <w:tcW w:w="100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860" w:type="dxa"/>
            <w:vAlign w:val="bottom"/>
          </w:tcPr>
          <w:p>
            <w:pPr>
              <w:jc w:val="right"/>
              <w:ind w:right="130"/>
              <w:spacing w:after="0"/>
              <w:rPr>
                <w:sz w:val="20"/>
                <w:szCs w:val="20"/>
                <w:color w:val="auto"/>
              </w:rPr>
            </w:pPr>
            <w:r>
              <w:rPr>
                <w:rFonts w:ascii="Arial" w:cs="Arial" w:eastAsia="Arial" w:hAnsi="Arial"/>
                <w:sz w:val="14"/>
                <w:szCs w:val="14"/>
                <w:color w:val="060606"/>
              </w:rPr>
              <w:t>—</w:t>
            </w:r>
          </w:p>
        </w:tc>
        <w:tc>
          <w:tcPr>
            <w:tcW w:w="960" w:type="dxa"/>
            <w:vAlign w:val="bottom"/>
          </w:tcPr>
          <w:p>
            <w:pPr>
              <w:ind w:left="620"/>
              <w:spacing w:after="0"/>
              <w:rPr>
                <w:sz w:val="20"/>
                <w:szCs w:val="20"/>
                <w:color w:val="auto"/>
              </w:rPr>
            </w:pPr>
            <w:r>
              <w:rPr>
                <w:rFonts w:ascii="Arial" w:cs="Arial" w:eastAsia="Arial" w:hAnsi="Arial"/>
                <w:sz w:val="14"/>
                <w:szCs w:val="14"/>
                <w:color w:val="060606"/>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060606"/>
              </w:rPr>
              <w:t>(0.3)</w:t>
            </w:r>
          </w:p>
        </w:tc>
        <w:tc>
          <w:tcPr>
            <w:tcW w:w="880" w:type="dxa"/>
            <w:vAlign w:val="bottom"/>
          </w:tcPr>
          <w:p>
            <w:pPr>
              <w:ind w:left="400"/>
              <w:spacing w:after="0"/>
              <w:rPr>
                <w:sz w:val="20"/>
                <w:szCs w:val="20"/>
                <w:color w:val="auto"/>
              </w:rPr>
            </w:pPr>
            <w:r>
              <w:rPr>
                <w:rFonts w:ascii="Arial" w:cs="Arial" w:eastAsia="Arial" w:hAnsi="Arial"/>
                <w:sz w:val="14"/>
                <w:szCs w:val="14"/>
                <w:color w:val="060606"/>
              </w:rPr>
              <w:t>(0.3)</w:t>
            </w:r>
          </w:p>
        </w:tc>
        <w:tc>
          <w:tcPr>
            <w:tcW w:w="960" w:type="dxa"/>
            <w:vAlign w:val="bottom"/>
          </w:tcPr>
          <w:p>
            <w:pPr>
              <w:jc w:val="right"/>
              <w:ind w:right="90"/>
              <w:spacing w:after="0"/>
              <w:rPr>
                <w:sz w:val="20"/>
                <w:szCs w:val="20"/>
                <w:color w:val="auto"/>
              </w:rPr>
            </w:pPr>
            <w:r>
              <w:rPr>
                <w:rFonts w:ascii="Arial" w:cs="Arial" w:eastAsia="Arial" w:hAnsi="Arial"/>
                <w:sz w:val="14"/>
                <w:szCs w:val="14"/>
                <w:color w:val="060606"/>
              </w:rPr>
              <w:t>(1.5)</w:t>
            </w:r>
          </w:p>
        </w:tc>
        <w:tc>
          <w:tcPr>
            <w:tcW w:w="920" w:type="dxa"/>
            <w:vAlign w:val="bottom"/>
          </w:tcPr>
          <w:p>
            <w:pPr>
              <w:ind w:left="58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060606"/>
              </w:rPr>
              <w:t>46.8</w:t>
            </w:r>
          </w:p>
        </w:tc>
        <w:tc>
          <w:tcPr>
            <w:tcW w:w="0" w:type="dxa"/>
            <w:vAlign w:val="bottom"/>
          </w:tcPr>
          <w:p>
            <w:pPr>
              <w:spacing w:after="0"/>
              <w:rPr>
                <w:sz w:val="1"/>
                <w:szCs w:val="1"/>
                <w:color w:val="auto"/>
              </w:rPr>
            </w:pPr>
          </w:p>
        </w:tc>
      </w:tr>
      <w:tr>
        <w:trPr>
          <w:trHeight w:val="161"/>
        </w:trPr>
        <w:tc>
          <w:tcPr>
            <w:tcW w:w="2080" w:type="dxa"/>
            <w:vAlign w:val="bottom"/>
          </w:tcPr>
          <w:p>
            <w:pPr>
              <w:ind w:left="20"/>
              <w:spacing w:after="0"/>
              <w:rPr>
                <w:sz w:val="20"/>
                <w:szCs w:val="20"/>
                <w:color w:val="auto"/>
              </w:rPr>
            </w:pPr>
            <w:r>
              <w:rPr>
                <w:rFonts w:ascii="Arial" w:cs="Arial" w:eastAsia="Arial" w:hAnsi="Arial"/>
                <w:sz w:val="14"/>
                <w:szCs w:val="14"/>
                <w:color w:val="060606"/>
              </w:rPr>
              <w:t>Research and development as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15.3 %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60" w:type="dxa"/>
            <w:vAlign w:val="bottom"/>
            <w:vMerge w:val="restart"/>
          </w:tcPr>
          <w:p>
            <w:pPr>
              <w:ind w:left="620"/>
              <w:spacing w:after="0"/>
              <w:rPr>
                <w:sz w:val="20"/>
                <w:szCs w:val="20"/>
                <w:color w:val="auto"/>
              </w:rPr>
            </w:pPr>
            <w:r>
              <w:rPr>
                <w:rFonts w:ascii="Arial" w:cs="Arial" w:eastAsia="Arial" w:hAnsi="Arial"/>
                <w:sz w:val="14"/>
                <w:szCs w:val="14"/>
                <w:color w:val="060606"/>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(0.1)%</w:t>
            </w:r>
          </w:p>
        </w:tc>
        <w:tc>
          <w:tcPr>
            <w:tcW w:w="880" w:type="dxa"/>
            <w:vAlign w:val="bottom"/>
            <w:vMerge w:val="restart"/>
          </w:tcPr>
          <w:p>
            <w:pPr>
              <w:ind w:left="400"/>
              <w:spacing w:after="0"/>
              <w:rPr>
                <w:sz w:val="20"/>
                <w:szCs w:val="20"/>
                <w:color w:val="auto"/>
              </w:rPr>
            </w:pPr>
            <w:r>
              <w:rPr>
                <w:rFonts w:ascii="Arial" w:cs="Arial" w:eastAsia="Arial" w:hAnsi="Arial"/>
                <w:sz w:val="14"/>
                <w:szCs w:val="14"/>
                <w:color w:val="060606"/>
              </w:rPr>
              <w:t>(0.1)%</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(0.5)%</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14.7 %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060606"/>
              </w:rPr>
              <w:t>a percent of net revenue</w:t>
            </w:r>
          </w:p>
        </w:tc>
        <w:tc>
          <w:tcPr>
            <w:tcW w:w="7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0"/>
              <w:spacing w:after="0"/>
              <w:rPr>
                <w:sz w:val="20"/>
                <w:szCs w:val="20"/>
                <w:color w:val="auto"/>
              </w:rPr>
            </w:pPr>
            <w:r>
              <w:rPr>
                <w:rFonts w:ascii="Arial" w:cs="Arial" w:eastAsia="Arial" w:hAnsi="Arial"/>
                <w:sz w:val="14"/>
                <w:szCs w:val="14"/>
                <w:color w:val="060606"/>
              </w:rPr>
              <w:t>Other operating expense</w:t>
            </w:r>
          </w:p>
        </w:tc>
        <w:tc>
          <w:tcPr>
            <w:tcW w:w="780" w:type="dxa"/>
            <w:vAlign w:val="bottom"/>
          </w:tcPr>
          <w:p>
            <w:pPr>
              <w:jc w:val="right"/>
              <w:ind w:right="110"/>
              <w:spacing w:after="0"/>
              <w:rPr>
                <w:sz w:val="20"/>
                <w:szCs w:val="20"/>
                <w:color w:val="auto"/>
              </w:rPr>
            </w:pPr>
            <w:r>
              <w:rPr>
                <w:rFonts w:ascii="Arial" w:cs="Arial" w:eastAsia="Arial" w:hAnsi="Arial"/>
                <w:sz w:val="14"/>
                <w:szCs w:val="14"/>
                <w:color w:val="060606"/>
              </w:rPr>
              <w:t>9.2</w:t>
            </w:r>
          </w:p>
        </w:tc>
        <w:tc>
          <w:tcPr>
            <w:tcW w:w="1000" w:type="dxa"/>
            <w:vAlign w:val="bottom"/>
          </w:tcPr>
          <w:p>
            <w:pPr>
              <w:jc w:val="right"/>
              <w:ind w:right="109"/>
              <w:spacing w:after="0"/>
              <w:rPr>
                <w:sz w:val="20"/>
                <w:szCs w:val="20"/>
                <w:color w:val="auto"/>
              </w:rPr>
            </w:pPr>
            <w:r>
              <w:rPr>
                <w:rFonts w:ascii="Arial" w:cs="Arial" w:eastAsia="Arial" w:hAnsi="Arial"/>
                <w:sz w:val="14"/>
                <w:szCs w:val="14"/>
                <w:color w:val="060606"/>
              </w:rPr>
              <w:t>(1.5)</w:t>
            </w:r>
          </w:p>
        </w:tc>
        <w:tc>
          <w:tcPr>
            <w:tcW w:w="860" w:type="dxa"/>
            <w:vAlign w:val="bottom"/>
          </w:tcPr>
          <w:p>
            <w:pPr>
              <w:jc w:val="right"/>
              <w:ind w:right="130"/>
              <w:spacing w:after="0"/>
              <w:rPr>
                <w:sz w:val="20"/>
                <w:szCs w:val="20"/>
                <w:color w:val="auto"/>
              </w:rPr>
            </w:pPr>
            <w:r>
              <w:rPr>
                <w:rFonts w:ascii="Arial" w:cs="Arial" w:eastAsia="Arial" w:hAnsi="Arial"/>
                <w:sz w:val="14"/>
                <w:szCs w:val="14"/>
                <w:color w:val="060606"/>
              </w:rPr>
              <w:t>—</w:t>
            </w:r>
          </w:p>
        </w:tc>
        <w:tc>
          <w:tcPr>
            <w:tcW w:w="960" w:type="dxa"/>
            <w:vAlign w:val="bottom"/>
          </w:tcPr>
          <w:p>
            <w:pPr>
              <w:ind w:left="620"/>
              <w:spacing w:after="0"/>
              <w:rPr>
                <w:sz w:val="20"/>
                <w:szCs w:val="20"/>
                <w:color w:val="auto"/>
              </w:rPr>
            </w:pPr>
            <w:r>
              <w:rPr>
                <w:rFonts w:ascii="Arial" w:cs="Arial" w:eastAsia="Arial" w:hAnsi="Arial"/>
                <w:sz w:val="14"/>
                <w:szCs w:val="14"/>
                <w:color w:val="060606"/>
              </w:rPr>
              <w:t>—</w:t>
            </w:r>
          </w:p>
        </w:tc>
        <w:tc>
          <w:tcPr>
            <w:tcW w:w="102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880" w:type="dxa"/>
            <w:vAlign w:val="bottom"/>
          </w:tcPr>
          <w:p>
            <w:pPr>
              <w:ind w:left="400"/>
              <w:spacing w:after="0"/>
              <w:rPr>
                <w:sz w:val="20"/>
                <w:szCs w:val="20"/>
                <w:color w:val="auto"/>
              </w:rPr>
            </w:pPr>
            <w:r>
              <w:rPr>
                <w:rFonts w:ascii="Arial" w:cs="Arial" w:eastAsia="Arial" w:hAnsi="Arial"/>
                <w:sz w:val="14"/>
                <w:szCs w:val="14"/>
                <w:color w:val="060606"/>
              </w:rPr>
              <w:t>(7.7)</w:t>
            </w:r>
          </w:p>
        </w:tc>
        <w:tc>
          <w:tcPr>
            <w:tcW w:w="960" w:type="dxa"/>
            <w:vAlign w:val="bottom"/>
          </w:tcPr>
          <w:p>
            <w:pPr>
              <w:jc w:val="right"/>
              <w:ind w:right="130"/>
              <w:spacing w:after="0"/>
              <w:rPr>
                <w:sz w:val="20"/>
                <w:szCs w:val="20"/>
                <w:color w:val="auto"/>
              </w:rPr>
            </w:pPr>
            <w:r>
              <w:rPr>
                <w:rFonts w:ascii="Arial" w:cs="Arial" w:eastAsia="Arial" w:hAnsi="Arial"/>
                <w:sz w:val="14"/>
                <w:szCs w:val="14"/>
                <w:color w:val="060606"/>
              </w:rPr>
              <w:t>—</w:t>
            </w:r>
          </w:p>
        </w:tc>
        <w:tc>
          <w:tcPr>
            <w:tcW w:w="920" w:type="dxa"/>
            <w:vAlign w:val="bottom"/>
          </w:tcPr>
          <w:p>
            <w:pPr>
              <w:ind w:left="58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060606"/>
              </w:rPr>
              <w:t>—</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060606"/>
              </w:rPr>
              <w:t>Operating income</w:t>
            </w:r>
          </w:p>
        </w:tc>
        <w:tc>
          <w:tcPr>
            <w:tcW w:w="780" w:type="dxa"/>
            <w:vAlign w:val="bottom"/>
          </w:tcPr>
          <w:p>
            <w:pPr>
              <w:jc w:val="right"/>
              <w:ind w:right="110"/>
              <w:spacing w:after="0"/>
              <w:rPr>
                <w:sz w:val="20"/>
                <w:szCs w:val="20"/>
                <w:color w:val="auto"/>
              </w:rPr>
            </w:pPr>
            <w:r>
              <w:rPr>
                <w:rFonts w:ascii="Arial" w:cs="Arial" w:eastAsia="Arial" w:hAnsi="Arial"/>
                <w:sz w:val="14"/>
                <w:szCs w:val="14"/>
                <w:color w:val="060606"/>
              </w:rPr>
              <w:t>35.6</w:t>
            </w:r>
          </w:p>
        </w:tc>
        <w:tc>
          <w:tcPr>
            <w:tcW w:w="1000" w:type="dxa"/>
            <w:vAlign w:val="bottom"/>
          </w:tcPr>
          <w:p>
            <w:pPr>
              <w:jc w:val="right"/>
              <w:ind w:right="149"/>
              <w:spacing w:after="0"/>
              <w:rPr>
                <w:sz w:val="20"/>
                <w:szCs w:val="20"/>
                <w:color w:val="auto"/>
              </w:rPr>
            </w:pPr>
            <w:r>
              <w:rPr>
                <w:rFonts w:ascii="Arial" w:cs="Arial" w:eastAsia="Arial" w:hAnsi="Arial"/>
                <w:sz w:val="14"/>
                <w:szCs w:val="14"/>
                <w:color w:val="060606"/>
              </w:rPr>
              <w:t>1.5</w:t>
            </w:r>
          </w:p>
        </w:tc>
        <w:tc>
          <w:tcPr>
            <w:tcW w:w="860" w:type="dxa"/>
            <w:vAlign w:val="bottom"/>
          </w:tcPr>
          <w:p>
            <w:pPr>
              <w:jc w:val="right"/>
              <w:ind w:right="130"/>
              <w:spacing w:after="0"/>
              <w:rPr>
                <w:sz w:val="20"/>
                <w:szCs w:val="20"/>
                <w:color w:val="auto"/>
              </w:rPr>
            </w:pPr>
            <w:r>
              <w:rPr>
                <w:rFonts w:ascii="Arial" w:cs="Arial" w:eastAsia="Arial" w:hAnsi="Arial"/>
                <w:sz w:val="14"/>
                <w:szCs w:val="14"/>
                <w:color w:val="060606"/>
              </w:rPr>
              <w:t>4.4</w:t>
            </w:r>
          </w:p>
        </w:tc>
        <w:tc>
          <w:tcPr>
            <w:tcW w:w="960" w:type="dxa"/>
            <w:vAlign w:val="bottom"/>
          </w:tcPr>
          <w:p>
            <w:pPr>
              <w:ind w:left="620"/>
              <w:spacing w:after="0"/>
              <w:rPr>
                <w:sz w:val="20"/>
                <w:szCs w:val="20"/>
                <w:color w:val="auto"/>
              </w:rPr>
            </w:pPr>
            <w:r>
              <w:rPr>
                <w:rFonts w:ascii="Arial" w:cs="Arial" w:eastAsia="Arial" w:hAnsi="Arial"/>
                <w:sz w:val="14"/>
                <w:szCs w:val="14"/>
                <w:color w:val="060606"/>
              </w:rPr>
              <w:t>—</w:t>
            </w:r>
          </w:p>
        </w:tc>
        <w:tc>
          <w:tcPr>
            <w:tcW w:w="1020" w:type="dxa"/>
            <w:vAlign w:val="bottom"/>
          </w:tcPr>
          <w:p>
            <w:pPr>
              <w:jc w:val="right"/>
              <w:ind w:right="149"/>
              <w:spacing w:after="0"/>
              <w:rPr>
                <w:sz w:val="20"/>
                <w:szCs w:val="20"/>
                <w:color w:val="auto"/>
              </w:rPr>
            </w:pPr>
            <w:r>
              <w:rPr>
                <w:rFonts w:ascii="Arial" w:cs="Arial" w:eastAsia="Arial" w:hAnsi="Arial"/>
                <w:sz w:val="14"/>
                <w:szCs w:val="14"/>
                <w:color w:val="060606"/>
              </w:rPr>
              <w:t>0.1</w:t>
            </w:r>
          </w:p>
        </w:tc>
        <w:tc>
          <w:tcPr>
            <w:tcW w:w="880" w:type="dxa"/>
            <w:vAlign w:val="bottom"/>
          </w:tcPr>
          <w:p>
            <w:pPr>
              <w:jc w:val="right"/>
              <w:ind w:right="150"/>
              <w:spacing w:after="0"/>
              <w:rPr>
                <w:sz w:val="20"/>
                <w:szCs w:val="20"/>
                <w:color w:val="auto"/>
              </w:rPr>
            </w:pPr>
            <w:r>
              <w:rPr>
                <w:rFonts w:ascii="Arial" w:cs="Arial" w:eastAsia="Arial" w:hAnsi="Arial"/>
                <w:sz w:val="14"/>
                <w:szCs w:val="14"/>
                <w:color w:val="060606"/>
              </w:rPr>
              <w:t>13.5</w:t>
            </w:r>
          </w:p>
        </w:tc>
        <w:tc>
          <w:tcPr>
            <w:tcW w:w="960" w:type="dxa"/>
            <w:vAlign w:val="bottom"/>
          </w:tcPr>
          <w:p>
            <w:pPr>
              <w:jc w:val="right"/>
              <w:ind w:right="130"/>
              <w:spacing w:after="0"/>
              <w:rPr>
                <w:sz w:val="20"/>
                <w:szCs w:val="20"/>
                <w:color w:val="auto"/>
              </w:rPr>
            </w:pPr>
            <w:r>
              <w:rPr>
                <w:rFonts w:ascii="Arial" w:cs="Arial" w:eastAsia="Arial" w:hAnsi="Arial"/>
                <w:sz w:val="14"/>
                <w:szCs w:val="14"/>
                <w:color w:val="060606"/>
              </w:rPr>
              <w:t>8.6</w:t>
            </w:r>
          </w:p>
        </w:tc>
        <w:tc>
          <w:tcPr>
            <w:tcW w:w="920" w:type="dxa"/>
            <w:vAlign w:val="bottom"/>
          </w:tcPr>
          <w:p>
            <w:pPr>
              <w:ind w:left="58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860" w:type="dxa"/>
            <w:vAlign w:val="bottom"/>
          </w:tcPr>
          <w:p>
            <w:pPr>
              <w:jc w:val="right"/>
              <w:ind w:right="110"/>
              <w:spacing w:after="0"/>
              <w:rPr>
                <w:sz w:val="20"/>
                <w:szCs w:val="20"/>
                <w:color w:val="auto"/>
              </w:rPr>
            </w:pPr>
            <w:r>
              <w:rPr>
                <w:rFonts w:ascii="Arial" w:cs="Arial" w:eastAsia="Arial" w:hAnsi="Arial"/>
                <w:sz w:val="14"/>
                <w:szCs w:val="14"/>
                <w:color w:val="060606"/>
              </w:rPr>
              <w:t>63.6</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060606"/>
              </w:rPr>
              <w:t>Operating margin percent</w:t>
            </w:r>
          </w:p>
        </w:tc>
        <w:tc>
          <w:tcPr>
            <w:tcW w:w="780" w:type="dxa"/>
            <w:vAlign w:val="bottom"/>
          </w:tcPr>
          <w:p>
            <w:pPr>
              <w:jc w:val="right"/>
              <w:spacing w:after="0"/>
              <w:rPr>
                <w:sz w:val="20"/>
                <w:szCs w:val="20"/>
                <w:color w:val="auto"/>
              </w:rPr>
            </w:pPr>
            <w:r>
              <w:rPr>
                <w:rFonts w:ascii="Arial" w:cs="Arial" w:eastAsia="Arial" w:hAnsi="Arial"/>
                <w:sz w:val="14"/>
                <w:szCs w:val="14"/>
                <w:color w:val="060606"/>
              </w:rPr>
              <w:t>11.2 %</w:t>
            </w:r>
          </w:p>
        </w:tc>
        <w:tc>
          <w:tcPr>
            <w:tcW w:w="1000" w:type="dxa"/>
            <w:vAlign w:val="bottom"/>
          </w:tcPr>
          <w:p>
            <w:pPr>
              <w:jc w:val="right"/>
              <w:spacing w:after="0"/>
              <w:rPr>
                <w:sz w:val="20"/>
                <w:szCs w:val="20"/>
                <w:color w:val="auto"/>
              </w:rPr>
            </w:pPr>
            <w:r>
              <w:rPr>
                <w:rFonts w:ascii="Arial" w:cs="Arial" w:eastAsia="Arial" w:hAnsi="Arial"/>
                <w:sz w:val="14"/>
                <w:szCs w:val="14"/>
                <w:color w:val="060606"/>
              </w:rPr>
              <w:t>0.5 %</w:t>
            </w:r>
          </w:p>
        </w:tc>
        <w:tc>
          <w:tcPr>
            <w:tcW w:w="860" w:type="dxa"/>
            <w:vAlign w:val="bottom"/>
          </w:tcPr>
          <w:p>
            <w:pPr>
              <w:jc w:val="right"/>
              <w:spacing w:after="0"/>
              <w:rPr>
                <w:sz w:val="20"/>
                <w:szCs w:val="20"/>
                <w:color w:val="auto"/>
              </w:rPr>
            </w:pPr>
            <w:r>
              <w:rPr>
                <w:rFonts w:ascii="Arial" w:cs="Arial" w:eastAsia="Arial" w:hAnsi="Arial"/>
                <w:sz w:val="14"/>
                <w:szCs w:val="14"/>
                <w:color w:val="060606"/>
              </w:rPr>
              <w:t>1.4 %</w:t>
            </w:r>
          </w:p>
        </w:tc>
        <w:tc>
          <w:tcPr>
            <w:tcW w:w="960" w:type="dxa"/>
            <w:vAlign w:val="bottom"/>
          </w:tcPr>
          <w:p>
            <w:pPr>
              <w:ind w:left="620"/>
              <w:spacing w:after="0"/>
              <w:rPr>
                <w:sz w:val="20"/>
                <w:szCs w:val="20"/>
                <w:color w:val="auto"/>
              </w:rPr>
            </w:pPr>
            <w:r>
              <w:rPr>
                <w:rFonts w:ascii="Arial" w:cs="Arial" w:eastAsia="Arial" w:hAnsi="Arial"/>
                <w:sz w:val="14"/>
                <w:szCs w:val="14"/>
                <w:color w:val="060606"/>
              </w:rPr>
              <w:t>— %</w:t>
            </w:r>
          </w:p>
        </w:tc>
        <w:tc>
          <w:tcPr>
            <w:tcW w:w="1020" w:type="dxa"/>
            <w:vAlign w:val="bottom"/>
          </w:tcPr>
          <w:p>
            <w:pPr>
              <w:jc w:val="right"/>
              <w:spacing w:after="0"/>
              <w:rPr>
                <w:sz w:val="20"/>
                <w:szCs w:val="20"/>
                <w:color w:val="auto"/>
              </w:rPr>
            </w:pPr>
            <w:r>
              <w:rPr>
                <w:rFonts w:ascii="Arial" w:cs="Arial" w:eastAsia="Arial" w:hAnsi="Arial"/>
                <w:sz w:val="14"/>
                <w:szCs w:val="14"/>
                <w:color w:val="060606"/>
              </w:rPr>
              <w:t>— %</w:t>
            </w:r>
          </w:p>
        </w:tc>
        <w:tc>
          <w:tcPr>
            <w:tcW w:w="880" w:type="dxa"/>
            <w:vAlign w:val="bottom"/>
          </w:tcPr>
          <w:p>
            <w:pPr>
              <w:jc w:val="right"/>
              <w:spacing w:after="0"/>
              <w:rPr>
                <w:sz w:val="20"/>
                <w:szCs w:val="20"/>
                <w:color w:val="auto"/>
              </w:rPr>
            </w:pPr>
            <w:r>
              <w:rPr>
                <w:rFonts w:ascii="Arial" w:cs="Arial" w:eastAsia="Arial" w:hAnsi="Arial"/>
                <w:sz w:val="14"/>
                <w:szCs w:val="14"/>
                <w:color w:val="060606"/>
              </w:rPr>
              <w:t>4.2 %</w:t>
            </w:r>
          </w:p>
        </w:tc>
        <w:tc>
          <w:tcPr>
            <w:tcW w:w="960" w:type="dxa"/>
            <w:vAlign w:val="bottom"/>
          </w:tcPr>
          <w:p>
            <w:pPr>
              <w:jc w:val="right"/>
              <w:spacing w:after="0"/>
              <w:rPr>
                <w:sz w:val="20"/>
                <w:szCs w:val="20"/>
                <w:color w:val="auto"/>
              </w:rPr>
            </w:pPr>
            <w:r>
              <w:rPr>
                <w:rFonts w:ascii="Arial" w:cs="Arial" w:eastAsia="Arial" w:hAnsi="Arial"/>
                <w:sz w:val="14"/>
                <w:szCs w:val="14"/>
                <w:color w:val="060606"/>
              </w:rPr>
              <w:t>2.7 %</w:t>
            </w:r>
          </w:p>
        </w:tc>
        <w:tc>
          <w:tcPr>
            <w:tcW w:w="920" w:type="dxa"/>
            <w:vAlign w:val="bottom"/>
          </w:tcPr>
          <w:p>
            <w:pPr>
              <w:ind w:left="580"/>
              <w:spacing w:after="0"/>
              <w:rPr>
                <w:sz w:val="20"/>
                <w:szCs w:val="20"/>
                <w:color w:val="auto"/>
              </w:rPr>
            </w:pPr>
            <w:r>
              <w:rPr>
                <w:rFonts w:ascii="Arial" w:cs="Arial" w:eastAsia="Arial" w:hAnsi="Arial"/>
                <w:sz w:val="14"/>
                <w:szCs w:val="14"/>
                <w:color w:val="060606"/>
              </w:rPr>
              <w:t>— %</w:t>
            </w:r>
          </w:p>
        </w:tc>
        <w:tc>
          <w:tcPr>
            <w:tcW w:w="920" w:type="dxa"/>
            <w:vAlign w:val="bottom"/>
          </w:tcPr>
          <w:p>
            <w:pPr>
              <w:jc w:val="right"/>
              <w:spacing w:after="0"/>
              <w:rPr>
                <w:sz w:val="20"/>
                <w:szCs w:val="20"/>
                <w:color w:val="auto"/>
              </w:rPr>
            </w:pPr>
            <w:r>
              <w:rPr>
                <w:rFonts w:ascii="Arial" w:cs="Arial" w:eastAsia="Arial" w:hAnsi="Arial"/>
                <w:sz w:val="14"/>
                <w:szCs w:val="14"/>
                <w:color w:val="060606"/>
              </w:rPr>
              <w:t>— %</w:t>
            </w:r>
          </w:p>
        </w:tc>
        <w:tc>
          <w:tcPr>
            <w:tcW w:w="860" w:type="dxa"/>
            <w:vAlign w:val="bottom"/>
          </w:tcPr>
          <w:p>
            <w:pPr>
              <w:jc w:val="right"/>
              <w:spacing w:after="0"/>
              <w:rPr>
                <w:sz w:val="20"/>
                <w:szCs w:val="20"/>
                <w:color w:val="auto"/>
              </w:rPr>
            </w:pPr>
            <w:r>
              <w:rPr>
                <w:rFonts w:ascii="Arial" w:cs="Arial" w:eastAsia="Arial" w:hAnsi="Arial"/>
                <w:sz w:val="14"/>
                <w:szCs w:val="14"/>
                <w:color w:val="060606"/>
              </w:rPr>
              <w:t>20.0 %</w:t>
            </w:r>
          </w:p>
        </w:tc>
        <w:tc>
          <w:tcPr>
            <w:tcW w:w="0" w:type="dxa"/>
            <w:vAlign w:val="bottom"/>
          </w:tcPr>
          <w:p>
            <w:pPr>
              <w:spacing w:after="0"/>
              <w:rPr>
                <w:sz w:val="1"/>
                <w:szCs w:val="1"/>
                <w:color w:val="auto"/>
              </w:rPr>
            </w:pPr>
          </w:p>
        </w:tc>
      </w:tr>
      <w:tr>
        <w:trPr>
          <w:trHeight w:val="203"/>
        </w:trPr>
        <w:tc>
          <w:tcPr>
            <w:tcW w:w="2080" w:type="dxa"/>
            <w:vAlign w:val="bottom"/>
          </w:tcPr>
          <w:p>
            <w:pPr>
              <w:ind w:left="20"/>
              <w:spacing w:after="0"/>
              <w:rPr>
                <w:sz w:val="20"/>
                <w:szCs w:val="20"/>
                <w:color w:val="auto"/>
              </w:rPr>
            </w:pPr>
            <w:r>
              <w:rPr>
                <w:rFonts w:ascii="Arial" w:cs="Arial" w:eastAsia="Arial" w:hAnsi="Arial"/>
                <w:sz w:val="14"/>
                <w:szCs w:val="14"/>
                <w:color w:val="060606"/>
              </w:rPr>
              <w:t>Net income</w:t>
            </w:r>
          </w:p>
        </w:tc>
        <w:tc>
          <w:tcPr>
            <w:tcW w:w="780" w:type="dxa"/>
            <w:vAlign w:val="bottom"/>
          </w:tcPr>
          <w:p>
            <w:pPr>
              <w:jc w:val="right"/>
              <w:ind w:right="110"/>
              <w:spacing w:after="0"/>
              <w:rPr>
                <w:sz w:val="20"/>
                <w:szCs w:val="20"/>
                <w:color w:val="auto"/>
              </w:rPr>
            </w:pPr>
            <w:r>
              <w:rPr>
                <w:rFonts w:ascii="Arial" w:cs="Arial" w:eastAsia="Arial" w:hAnsi="Arial"/>
                <w:sz w:val="14"/>
                <w:szCs w:val="14"/>
                <w:color w:val="060606"/>
              </w:rPr>
              <w:t>33.0</w:t>
            </w:r>
          </w:p>
        </w:tc>
        <w:tc>
          <w:tcPr>
            <w:tcW w:w="1000" w:type="dxa"/>
            <w:vAlign w:val="bottom"/>
          </w:tcPr>
          <w:p>
            <w:pPr>
              <w:jc w:val="right"/>
              <w:ind w:right="149"/>
              <w:spacing w:after="0"/>
              <w:rPr>
                <w:sz w:val="20"/>
                <w:szCs w:val="20"/>
                <w:color w:val="auto"/>
              </w:rPr>
            </w:pPr>
            <w:r>
              <w:rPr>
                <w:rFonts w:ascii="Arial" w:cs="Arial" w:eastAsia="Arial" w:hAnsi="Arial"/>
                <w:sz w:val="14"/>
                <w:szCs w:val="14"/>
                <w:color w:val="060606"/>
              </w:rPr>
              <w:t>1.5</w:t>
            </w:r>
          </w:p>
        </w:tc>
        <w:tc>
          <w:tcPr>
            <w:tcW w:w="860" w:type="dxa"/>
            <w:vAlign w:val="bottom"/>
          </w:tcPr>
          <w:p>
            <w:pPr>
              <w:jc w:val="right"/>
              <w:ind w:right="130"/>
              <w:spacing w:after="0"/>
              <w:rPr>
                <w:sz w:val="20"/>
                <w:szCs w:val="20"/>
                <w:color w:val="auto"/>
              </w:rPr>
            </w:pPr>
            <w:r>
              <w:rPr>
                <w:rFonts w:ascii="Arial" w:cs="Arial" w:eastAsia="Arial" w:hAnsi="Arial"/>
                <w:sz w:val="14"/>
                <w:szCs w:val="14"/>
                <w:color w:val="060606"/>
              </w:rPr>
              <w:t>4.4</w:t>
            </w:r>
          </w:p>
        </w:tc>
        <w:tc>
          <w:tcPr>
            <w:tcW w:w="960" w:type="dxa"/>
            <w:vAlign w:val="bottom"/>
          </w:tcPr>
          <w:p>
            <w:pPr>
              <w:jc w:val="right"/>
              <w:ind w:right="89"/>
              <w:spacing w:after="0"/>
              <w:rPr>
                <w:sz w:val="20"/>
                <w:szCs w:val="20"/>
                <w:color w:val="auto"/>
              </w:rPr>
            </w:pPr>
            <w:r>
              <w:rPr>
                <w:rFonts w:ascii="Arial" w:cs="Arial" w:eastAsia="Arial" w:hAnsi="Arial"/>
                <w:sz w:val="14"/>
                <w:szCs w:val="14"/>
                <w:color w:val="060606"/>
              </w:rPr>
              <w:t>(17.1)</w:t>
            </w:r>
          </w:p>
        </w:tc>
        <w:tc>
          <w:tcPr>
            <w:tcW w:w="1020" w:type="dxa"/>
            <w:vAlign w:val="bottom"/>
          </w:tcPr>
          <w:p>
            <w:pPr>
              <w:jc w:val="right"/>
              <w:ind w:right="149"/>
              <w:spacing w:after="0"/>
              <w:rPr>
                <w:sz w:val="20"/>
                <w:szCs w:val="20"/>
                <w:color w:val="auto"/>
              </w:rPr>
            </w:pPr>
            <w:r>
              <w:rPr>
                <w:rFonts w:ascii="Arial" w:cs="Arial" w:eastAsia="Arial" w:hAnsi="Arial"/>
                <w:sz w:val="14"/>
                <w:szCs w:val="14"/>
                <w:color w:val="060606"/>
              </w:rPr>
              <w:t>0.1</w:t>
            </w:r>
          </w:p>
        </w:tc>
        <w:tc>
          <w:tcPr>
            <w:tcW w:w="880" w:type="dxa"/>
            <w:vAlign w:val="bottom"/>
          </w:tcPr>
          <w:p>
            <w:pPr>
              <w:jc w:val="right"/>
              <w:ind w:right="150"/>
              <w:spacing w:after="0"/>
              <w:rPr>
                <w:sz w:val="20"/>
                <w:szCs w:val="20"/>
                <w:color w:val="auto"/>
              </w:rPr>
            </w:pPr>
            <w:r>
              <w:rPr>
                <w:rFonts w:ascii="Arial" w:cs="Arial" w:eastAsia="Arial" w:hAnsi="Arial"/>
                <w:sz w:val="14"/>
                <w:szCs w:val="14"/>
                <w:color w:val="060606"/>
              </w:rPr>
              <w:t>13.5</w:t>
            </w:r>
          </w:p>
        </w:tc>
        <w:tc>
          <w:tcPr>
            <w:tcW w:w="960" w:type="dxa"/>
            <w:vAlign w:val="bottom"/>
          </w:tcPr>
          <w:p>
            <w:pPr>
              <w:jc w:val="right"/>
              <w:ind w:right="130"/>
              <w:spacing w:after="0"/>
              <w:rPr>
                <w:sz w:val="20"/>
                <w:szCs w:val="20"/>
                <w:color w:val="auto"/>
              </w:rPr>
            </w:pPr>
            <w:r>
              <w:rPr>
                <w:rFonts w:ascii="Arial" w:cs="Arial" w:eastAsia="Arial" w:hAnsi="Arial"/>
                <w:sz w:val="14"/>
                <w:szCs w:val="14"/>
                <w:color w:val="060606"/>
              </w:rPr>
              <w:t>8.6</w:t>
            </w:r>
          </w:p>
        </w:tc>
        <w:tc>
          <w:tcPr>
            <w:tcW w:w="920" w:type="dxa"/>
            <w:vAlign w:val="bottom"/>
          </w:tcPr>
          <w:p>
            <w:pPr>
              <w:jc w:val="right"/>
              <w:ind w:right="89"/>
              <w:spacing w:after="0"/>
              <w:rPr>
                <w:sz w:val="20"/>
                <w:szCs w:val="20"/>
                <w:color w:val="auto"/>
              </w:rPr>
            </w:pPr>
            <w:r>
              <w:rPr>
                <w:rFonts w:ascii="Arial" w:cs="Arial" w:eastAsia="Arial" w:hAnsi="Arial"/>
                <w:sz w:val="14"/>
                <w:szCs w:val="14"/>
                <w:color w:val="060606"/>
              </w:rPr>
              <w:t>(2.7)</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8.3</w:t>
            </w:r>
          </w:p>
        </w:tc>
        <w:tc>
          <w:tcPr>
            <w:tcW w:w="860" w:type="dxa"/>
            <w:vAlign w:val="bottom"/>
          </w:tcPr>
          <w:p>
            <w:pPr>
              <w:jc w:val="right"/>
              <w:ind w:right="110"/>
              <w:spacing w:after="0"/>
              <w:rPr>
                <w:sz w:val="20"/>
                <w:szCs w:val="20"/>
                <w:color w:val="auto"/>
              </w:rPr>
            </w:pPr>
            <w:r>
              <w:rPr>
                <w:rFonts w:ascii="Arial" w:cs="Arial" w:eastAsia="Arial" w:hAnsi="Arial"/>
                <w:sz w:val="14"/>
                <w:szCs w:val="14"/>
                <w:color w:val="060606"/>
              </w:rPr>
              <w:t>49.3</w:t>
            </w:r>
          </w:p>
        </w:tc>
        <w:tc>
          <w:tcPr>
            <w:tcW w:w="0" w:type="dxa"/>
            <w:vAlign w:val="bottom"/>
          </w:tcPr>
          <w:p>
            <w:pPr>
              <w:spacing w:after="0"/>
              <w:rPr>
                <w:sz w:val="1"/>
                <w:szCs w:val="1"/>
                <w:color w:val="auto"/>
              </w:rPr>
            </w:pPr>
          </w:p>
        </w:tc>
      </w:tr>
      <w:tr>
        <w:trPr>
          <w:trHeight w:val="161"/>
        </w:trPr>
        <w:tc>
          <w:tcPr>
            <w:tcW w:w="2080" w:type="dxa"/>
            <w:vAlign w:val="bottom"/>
          </w:tcPr>
          <w:p>
            <w:pPr>
              <w:ind w:left="20"/>
              <w:spacing w:after="0"/>
              <w:rPr>
                <w:sz w:val="20"/>
                <w:szCs w:val="20"/>
                <w:color w:val="auto"/>
              </w:rPr>
            </w:pPr>
            <w:r>
              <w:rPr>
                <w:rFonts w:ascii="Arial" w:cs="Arial" w:eastAsia="Arial" w:hAnsi="Arial"/>
                <w:sz w:val="14"/>
                <w:szCs w:val="14"/>
                <w:color w:val="060606"/>
              </w:rPr>
              <w:t>Net income as a percent of net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10.4 %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060606"/>
              </w:rPr>
              <w:t>0.5 %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1.4 %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(5.4)%</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4.2 %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2.7 %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(0.9)%</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2.6 %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15.5 %</w:t>
            </w:r>
          </w:p>
        </w:tc>
        <w:tc>
          <w:tcPr>
            <w:tcW w:w="0" w:type="dxa"/>
            <w:vAlign w:val="bottom"/>
          </w:tcPr>
          <w:p>
            <w:pPr>
              <w:spacing w:after="0"/>
              <w:rPr>
                <w:sz w:val="1"/>
                <w:szCs w:val="1"/>
                <w:color w:val="auto"/>
              </w:rPr>
            </w:pPr>
          </w:p>
        </w:tc>
      </w:tr>
      <w:tr>
        <w:trPr>
          <w:trHeight w:val="189"/>
        </w:trPr>
        <w:tc>
          <w:tcPr>
            <w:tcW w:w="2080" w:type="dxa"/>
            <w:vAlign w:val="bottom"/>
          </w:tcPr>
          <w:p>
            <w:pPr>
              <w:ind w:left="20"/>
              <w:spacing w:after="0"/>
              <w:rPr>
                <w:sz w:val="20"/>
                <w:szCs w:val="20"/>
                <w:color w:val="auto"/>
              </w:rPr>
            </w:pPr>
            <w:r>
              <w:rPr>
                <w:rFonts w:ascii="Arial" w:cs="Arial" w:eastAsia="Arial" w:hAnsi="Arial"/>
                <w:sz w:val="14"/>
                <w:szCs w:val="14"/>
                <w:color w:val="060606"/>
              </w:rPr>
              <w:t>revenue</w:t>
            </w:r>
          </w:p>
        </w:tc>
        <w:tc>
          <w:tcPr>
            <w:tcW w:w="7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80" w:type="dxa"/>
            <w:vAlign w:val="bottom"/>
          </w:tcPr>
          <w:p>
            <w:pPr>
              <w:ind w:left="20"/>
              <w:spacing w:after="0"/>
              <w:rPr>
                <w:sz w:val="20"/>
                <w:szCs w:val="20"/>
                <w:color w:val="auto"/>
              </w:rPr>
            </w:pPr>
            <w:r>
              <w:rPr>
                <w:rFonts w:ascii="Arial" w:cs="Arial" w:eastAsia="Arial" w:hAnsi="Arial"/>
                <w:sz w:val="14"/>
                <w:szCs w:val="14"/>
                <w:color w:val="060606"/>
              </w:rPr>
              <w:t>Diluted EPS</w:t>
            </w:r>
          </w:p>
        </w:tc>
        <w:tc>
          <w:tcPr>
            <w:tcW w:w="780" w:type="dxa"/>
            <w:vAlign w:val="bottom"/>
          </w:tcPr>
          <w:p>
            <w:pPr>
              <w:jc w:val="right"/>
              <w:ind w:right="110"/>
              <w:spacing w:after="0"/>
              <w:rPr>
                <w:sz w:val="20"/>
                <w:szCs w:val="20"/>
                <w:color w:val="auto"/>
              </w:rPr>
            </w:pPr>
            <w:r>
              <w:rPr>
                <w:rFonts w:ascii="Arial" w:cs="Arial" w:eastAsia="Arial" w:hAnsi="Arial"/>
                <w:sz w:val="14"/>
                <w:szCs w:val="14"/>
                <w:color w:val="060606"/>
              </w:rPr>
              <w:t>$0.60</w:t>
            </w:r>
          </w:p>
        </w:tc>
        <w:tc>
          <w:tcPr>
            <w:tcW w:w="1000" w:type="dxa"/>
            <w:vAlign w:val="bottom"/>
          </w:tcPr>
          <w:p>
            <w:pPr>
              <w:jc w:val="right"/>
              <w:ind w:right="149"/>
              <w:spacing w:after="0"/>
              <w:rPr>
                <w:sz w:val="20"/>
                <w:szCs w:val="20"/>
                <w:color w:val="auto"/>
              </w:rPr>
            </w:pPr>
            <w:r>
              <w:rPr>
                <w:rFonts w:ascii="Arial" w:cs="Arial" w:eastAsia="Arial" w:hAnsi="Arial"/>
                <w:sz w:val="14"/>
                <w:szCs w:val="14"/>
                <w:color w:val="060606"/>
              </w:rPr>
              <w:t>$0.03</w:t>
            </w:r>
          </w:p>
        </w:tc>
        <w:tc>
          <w:tcPr>
            <w:tcW w:w="860" w:type="dxa"/>
            <w:vAlign w:val="bottom"/>
          </w:tcPr>
          <w:p>
            <w:pPr>
              <w:jc w:val="right"/>
              <w:ind w:right="130"/>
              <w:spacing w:after="0"/>
              <w:rPr>
                <w:sz w:val="20"/>
                <w:szCs w:val="20"/>
                <w:color w:val="auto"/>
              </w:rPr>
            </w:pPr>
            <w:r>
              <w:rPr>
                <w:rFonts w:ascii="Arial" w:cs="Arial" w:eastAsia="Arial" w:hAnsi="Arial"/>
                <w:sz w:val="14"/>
                <w:szCs w:val="14"/>
                <w:color w:val="060606"/>
              </w:rPr>
              <w:t>$0.08</w:t>
            </w:r>
          </w:p>
        </w:tc>
        <w:tc>
          <w:tcPr>
            <w:tcW w:w="960" w:type="dxa"/>
            <w:vAlign w:val="bottom"/>
          </w:tcPr>
          <w:p>
            <w:pPr>
              <w:jc w:val="right"/>
              <w:ind w:right="89"/>
              <w:spacing w:after="0"/>
              <w:rPr>
                <w:sz w:val="20"/>
                <w:szCs w:val="20"/>
                <w:color w:val="auto"/>
              </w:rPr>
            </w:pPr>
            <w:r>
              <w:rPr>
                <w:rFonts w:ascii="Arial" w:cs="Arial" w:eastAsia="Arial" w:hAnsi="Arial"/>
                <w:sz w:val="14"/>
                <w:szCs w:val="14"/>
                <w:color w:val="060606"/>
              </w:rPr>
              <w:t>($0.31)</w:t>
            </w:r>
          </w:p>
        </w:tc>
        <w:tc>
          <w:tcPr>
            <w:tcW w:w="102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880" w:type="dxa"/>
            <w:vAlign w:val="bottom"/>
          </w:tcPr>
          <w:p>
            <w:pPr>
              <w:jc w:val="right"/>
              <w:ind w:right="150"/>
              <w:spacing w:after="0"/>
              <w:rPr>
                <w:sz w:val="20"/>
                <w:szCs w:val="20"/>
                <w:color w:val="auto"/>
              </w:rPr>
            </w:pPr>
            <w:r>
              <w:rPr>
                <w:rFonts w:ascii="Arial" w:cs="Arial" w:eastAsia="Arial" w:hAnsi="Arial"/>
                <w:sz w:val="14"/>
                <w:szCs w:val="14"/>
                <w:color w:val="060606"/>
              </w:rPr>
              <w:t>$0.25</w:t>
            </w:r>
          </w:p>
        </w:tc>
        <w:tc>
          <w:tcPr>
            <w:tcW w:w="960" w:type="dxa"/>
            <w:vAlign w:val="bottom"/>
          </w:tcPr>
          <w:p>
            <w:pPr>
              <w:jc w:val="right"/>
              <w:ind w:right="130"/>
              <w:spacing w:after="0"/>
              <w:rPr>
                <w:sz w:val="20"/>
                <w:szCs w:val="20"/>
                <w:color w:val="auto"/>
              </w:rPr>
            </w:pPr>
            <w:r>
              <w:rPr>
                <w:rFonts w:ascii="Arial" w:cs="Arial" w:eastAsia="Arial" w:hAnsi="Arial"/>
                <w:sz w:val="14"/>
                <w:szCs w:val="14"/>
                <w:color w:val="060606"/>
              </w:rPr>
              <w:t>$0.16</w:t>
            </w:r>
          </w:p>
        </w:tc>
        <w:tc>
          <w:tcPr>
            <w:tcW w:w="920" w:type="dxa"/>
            <w:vAlign w:val="bottom"/>
          </w:tcPr>
          <w:p>
            <w:pPr>
              <w:jc w:val="right"/>
              <w:ind w:right="89"/>
              <w:spacing w:after="0"/>
              <w:rPr>
                <w:sz w:val="20"/>
                <w:szCs w:val="20"/>
                <w:color w:val="auto"/>
              </w:rPr>
            </w:pPr>
            <w:r>
              <w:rPr>
                <w:rFonts w:ascii="Arial" w:cs="Arial" w:eastAsia="Arial" w:hAnsi="Arial"/>
                <w:sz w:val="14"/>
                <w:szCs w:val="14"/>
                <w:color w:val="060606"/>
              </w:rPr>
              <w:t>($0.05)</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$0.15</w:t>
            </w:r>
          </w:p>
        </w:tc>
        <w:tc>
          <w:tcPr>
            <w:tcW w:w="860" w:type="dxa"/>
            <w:vAlign w:val="bottom"/>
          </w:tcPr>
          <w:p>
            <w:pPr>
              <w:jc w:val="right"/>
              <w:ind w:right="110"/>
              <w:spacing w:after="0"/>
              <w:rPr>
                <w:sz w:val="20"/>
                <w:szCs w:val="20"/>
                <w:color w:val="auto"/>
              </w:rPr>
            </w:pPr>
            <w:r>
              <w:rPr>
                <w:rFonts w:ascii="Arial" w:cs="Arial" w:eastAsia="Arial" w:hAnsi="Arial"/>
                <w:sz w:val="14"/>
                <w:szCs w:val="14"/>
                <w:color w:val="060606"/>
              </w:rPr>
              <w:t>$0.90</w:t>
            </w:r>
          </w:p>
        </w:tc>
        <w:tc>
          <w:tcPr>
            <w:tcW w:w="0" w:type="dxa"/>
            <w:vAlign w:val="bottom"/>
          </w:tcPr>
          <w:p>
            <w:pPr>
              <w:spacing w:after="0"/>
              <w:rPr>
                <w:sz w:val="1"/>
                <w:szCs w:val="1"/>
                <w:color w:val="auto"/>
              </w:rPr>
            </w:pPr>
          </w:p>
        </w:tc>
      </w:tr>
    </w:tbl>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060606"/>
        </w:rPr>
        <w:t>GAAP results for the three months ended September 30, 2024 include:</w:t>
      </w:r>
    </w:p>
    <w:p>
      <w:pPr>
        <w:ind w:left="180" w:hanging="172"/>
        <w:spacing w:after="0" w:line="180" w:lineRule="auto"/>
        <w:tabs>
          <w:tab w:leader="none" w:pos="180" w:val="left"/>
        </w:tabs>
        <w:numPr>
          <w:ilvl w:val="0"/>
          <w:numId w:val="15"/>
        </w:numPr>
        <w:rPr>
          <w:rFonts w:ascii="Arial" w:cs="Arial" w:eastAsia="Arial" w:hAnsi="Arial"/>
          <w:sz w:val="19"/>
          <w:szCs w:val="19"/>
          <w:color w:val="060606"/>
          <w:vertAlign w:val="superscript"/>
        </w:rPr>
      </w:pPr>
      <w:r>
        <w:rPr>
          <w:rFonts w:ascii="Arial" w:cs="Arial" w:eastAsia="Arial" w:hAnsi="Arial"/>
          <w:sz w:val="15"/>
          <w:szCs w:val="15"/>
          <w:color w:val="060606"/>
        </w:rPr>
        <w:t>Restructuring expenses related to organizational changes</w:t>
      </w:r>
    </w:p>
    <w:p>
      <w:pPr>
        <w:ind w:left="180" w:hanging="172"/>
        <w:spacing w:after="0" w:line="187" w:lineRule="auto"/>
        <w:tabs>
          <w:tab w:leader="none" w:pos="180" w:val="left"/>
        </w:tabs>
        <w:numPr>
          <w:ilvl w:val="0"/>
          <w:numId w:val="15"/>
        </w:numPr>
        <w:rPr>
          <w:rFonts w:ascii="Arial" w:cs="Arial" w:eastAsia="Arial" w:hAnsi="Arial"/>
          <w:sz w:val="18"/>
          <w:szCs w:val="18"/>
          <w:color w:val="060606"/>
          <w:vertAlign w:val="superscript"/>
        </w:rPr>
      </w:pPr>
      <w:r>
        <w:rPr>
          <w:rFonts w:ascii="Arial" w:cs="Arial" w:eastAsia="Arial" w:hAnsi="Arial"/>
          <w:sz w:val="14"/>
          <w:szCs w:val="14"/>
          <w:color w:val="060606"/>
        </w:rPr>
        <w:t>Depreciation and amortization associated with purchase price accounting</w:t>
      </w:r>
    </w:p>
    <w:p>
      <w:pPr>
        <w:ind w:left="180" w:hanging="172"/>
        <w:spacing w:after="0" w:line="187" w:lineRule="auto"/>
        <w:tabs>
          <w:tab w:leader="none" w:pos="180" w:val="left"/>
        </w:tabs>
        <w:numPr>
          <w:ilvl w:val="0"/>
          <w:numId w:val="15"/>
        </w:numPr>
        <w:rPr>
          <w:rFonts w:ascii="Arial" w:cs="Arial" w:eastAsia="Arial" w:hAnsi="Arial"/>
          <w:sz w:val="18"/>
          <w:szCs w:val="18"/>
          <w:color w:val="060606"/>
          <w:vertAlign w:val="superscript"/>
        </w:rPr>
      </w:pPr>
      <w:r>
        <w:rPr>
          <w:rFonts w:ascii="Arial" w:cs="Arial" w:eastAsia="Arial" w:hAnsi="Arial"/>
          <w:sz w:val="14"/>
          <w:szCs w:val="14"/>
          <w:color w:val="060606"/>
        </w:rPr>
        <w:t>Mark-to-market adjustments for the 2025 and 2029 Notes embedded and capped call derivatives</w:t>
      </w:r>
    </w:p>
    <w:p>
      <w:pPr>
        <w:ind w:left="180" w:hanging="172"/>
        <w:spacing w:after="0" w:line="187" w:lineRule="auto"/>
        <w:tabs>
          <w:tab w:leader="none" w:pos="180" w:val="left"/>
        </w:tabs>
        <w:numPr>
          <w:ilvl w:val="0"/>
          <w:numId w:val="15"/>
        </w:numPr>
        <w:rPr>
          <w:rFonts w:ascii="Arial" w:cs="Arial" w:eastAsia="Arial" w:hAnsi="Arial"/>
          <w:sz w:val="18"/>
          <w:szCs w:val="18"/>
          <w:color w:val="060606"/>
          <w:vertAlign w:val="superscript"/>
        </w:rPr>
      </w:pPr>
      <w:r>
        <w:rPr>
          <w:rFonts w:ascii="Arial" w:cs="Arial" w:eastAsia="Arial" w:hAnsi="Arial"/>
          <w:sz w:val="14"/>
          <w:szCs w:val="14"/>
          <w:color w:val="060606"/>
        </w:rPr>
        <w:t>Remeasurement of contingent consideration related to ImThera acquisition</w:t>
      </w:r>
    </w:p>
    <w:p>
      <w:pPr>
        <w:ind w:right="380" w:firstLine="8"/>
        <w:spacing w:after="0" w:line="193" w:lineRule="auto"/>
        <w:tabs>
          <w:tab w:leader="none" w:pos="173" w:val="left"/>
        </w:tabs>
        <w:numPr>
          <w:ilvl w:val="0"/>
          <w:numId w:val="15"/>
        </w:numPr>
        <w:rPr>
          <w:rFonts w:ascii="Arial" w:cs="Arial" w:eastAsia="Arial" w:hAnsi="Arial"/>
          <w:sz w:val="20"/>
          <w:szCs w:val="20"/>
          <w:color w:val="060606"/>
          <w:vertAlign w:val="superscript"/>
        </w:rPr>
      </w:pPr>
      <w:r>
        <w:rPr>
          <w:rFonts w:ascii="Arial" w:cs="Arial" w:eastAsia="Arial" w:hAnsi="Arial"/>
          <w:sz w:val="15"/>
          <w:szCs w:val="15"/>
          <w:color w:val="060606"/>
        </w:rPr>
        <w:t>Legal expenses primarily related to 3T Heater-Cooler defense, cybersecurity incident costs, 3T Heater-Cooler litigation provision, and Medical Device Regulation ("MDR") costs</w:t>
      </w:r>
    </w:p>
    <w:p>
      <w:pPr>
        <w:ind w:left="180" w:hanging="172"/>
        <w:spacing w:after="0" w:line="187" w:lineRule="auto"/>
        <w:tabs>
          <w:tab w:leader="none" w:pos="180" w:val="left"/>
        </w:tabs>
        <w:numPr>
          <w:ilvl w:val="0"/>
          <w:numId w:val="15"/>
        </w:numPr>
        <w:rPr>
          <w:rFonts w:ascii="Arial" w:cs="Arial" w:eastAsia="Arial" w:hAnsi="Arial"/>
          <w:sz w:val="18"/>
          <w:szCs w:val="18"/>
          <w:color w:val="060606"/>
          <w:vertAlign w:val="superscript"/>
        </w:rPr>
      </w:pPr>
      <w:r>
        <w:rPr>
          <w:rFonts w:ascii="Arial" w:cs="Arial" w:eastAsia="Arial" w:hAnsi="Arial"/>
          <w:sz w:val="14"/>
          <w:szCs w:val="14"/>
          <w:color w:val="060606"/>
        </w:rPr>
        <w:t>Non-cash expenses associated with stock-based compensation costs</w:t>
      </w:r>
    </w:p>
    <w:p>
      <w:pPr>
        <w:ind w:left="180" w:hanging="172"/>
        <w:spacing w:after="0" w:line="187" w:lineRule="auto"/>
        <w:tabs>
          <w:tab w:leader="none" w:pos="180" w:val="left"/>
        </w:tabs>
        <w:numPr>
          <w:ilvl w:val="0"/>
          <w:numId w:val="15"/>
        </w:numPr>
        <w:rPr>
          <w:rFonts w:ascii="Arial" w:cs="Arial" w:eastAsia="Arial" w:hAnsi="Arial"/>
          <w:sz w:val="18"/>
          <w:szCs w:val="18"/>
          <w:color w:val="060606"/>
          <w:vertAlign w:val="superscript"/>
        </w:rPr>
      </w:pPr>
      <w:r>
        <w:rPr>
          <w:rFonts w:ascii="Arial" w:cs="Arial" w:eastAsia="Arial" w:hAnsi="Arial"/>
          <w:sz w:val="14"/>
          <w:szCs w:val="14"/>
          <w:color w:val="060606"/>
        </w:rPr>
        <w:t>The impact of valuation allowances, discrete tax items, the tax impact of intercompany transactions, and the tax impact on non-GAAP adjustments</w:t>
      </w:r>
    </w:p>
    <w:p>
      <w:pPr>
        <w:ind w:right="280" w:firstLine="8"/>
        <w:spacing w:after="0" w:line="193" w:lineRule="auto"/>
        <w:tabs>
          <w:tab w:leader="none" w:pos="173" w:val="left"/>
        </w:tabs>
        <w:numPr>
          <w:ilvl w:val="0"/>
          <w:numId w:val="15"/>
        </w:numPr>
        <w:rPr>
          <w:rFonts w:ascii="Arial" w:cs="Arial" w:eastAsia="Arial" w:hAnsi="Arial"/>
          <w:sz w:val="20"/>
          <w:szCs w:val="20"/>
          <w:color w:val="060606"/>
          <w:vertAlign w:val="superscript"/>
        </w:rPr>
      </w:pPr>
      <w:r>
        <w:rPr>
          <w:rFonts w:ascii="Arial" w:cs="Arial" w:eastAsia="Arial" w:hAnsi="Arial"/>
          <w:sz w:val="15"/>
          <w:szCs w:val="15"/>
          <w:color w:val="060606"/>
        </w:rPr>
        <w:t>Interest expense on the Term Facilities, non-cash interest expense on the 2025 &amp; 2029 Notes and Revolving Credit Facility, and interest income on the collateral for the SNIA litigation guarantee and delayed draw on Term Facilities</w:t>
      </w:r>
    </w:p>
    <w:p>
      <w:pPr>
        <w:spacing w:after="0"/>
        <w:rPr>
          <w:rFonts w:ascii="Arial" w:cs="Arial" w:eastAsia="Arial" w:hAnsi="Arial"/>
          <w:sz w:val="20"/>
          <w:szCs w:val="20"/>
          <w:color w:val="060606"/>
          <w:vertAlign w:val="superscript"/>
        </w:rPr>
      </w:pPr>
      <w:r>
        <w:rPr>
          <w:rFonts w:ascii="Arial" w:cs="Arial" w:eastAsia="Arial" w:hAnsi="Arial"/>
          <w:sz w:val="16"/>
          <w:szCs w:val="16"/>
          <w:color w:val="060606"/>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15</w:t>
      </w:r>
    </w:p>
    <w:p>
      <w:pPr>
        <w:sectPr>
          <w:pgSz w:w="11900" w:h="16838" w:orient="portrait"/>
          <w:cols w:equalWidth="0" w:num="1">
            <w:col w:w="11240"/>
          </w:cols>
          <w:pgMar w:left="320" w:top="1440" w:right="3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ind w:left="5760"/>
        <w:spacing w:after="0"/>
        <w:rPr>
          <w:sz w:val="20"/>
          <w:szCs w:val="20"/>
          <w:color w:val="auto"/>
        </w:rPr>
      </w:pPr>
      <w:r>
        <w:rPr>
          <w:rFonts w:ascii="Arial" w:cs="Arial" w:eastAsia="Arial" w:hAnsi="Arial"/>
          <w:sz w:val="14"/>
          <w:szCs w:val="14"/>
          <w:color w:val="060606"/>
        </w:rPr>
        <w:t>Specified Items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1300" w:type="dxa"/>
            <w:vAlign w:val="bottom"/>
          </w:tcPr>
          <w:p>
            <w:pPr>
              <w:ind w:left="20"/>
              <w:spacing w:after="0" w:line="141" w:lineRule="exact"/>
              <w:rPr>
                <w:sz w:val="20"/>
                <w:szCs w:val="20"/>
                <w:color w:val="auto"/>
              </w:rPr>
            </w:pPr>
            <w:r>
              <w:rPr>
                <w:rFonts w:ascii="Arial" w:cs="Arial" w:eastAsia="Arial" w:hAnsi="Arial"/>
                <w:sz w:val="14"/>
                <w:szCs w:val="14"/>
                <w:color w:val="060606"/>
              </w:rPr>
              <w:t>Nine Months</w:t>
            </w:r>
          </w:p>
        </w:tc>
        <w:tc>
          <w:tcPr>
            <w:tcW w:w="7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060606"/>
                <w:w w:val="95"/>
              </w:rPr>
              <w:t>Depreciation</w:t>
            </w:r>
          </w:p>
        </w:tc>
        <w:tc>
          <w:tcPr>
            <w:tcW w:w="8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9"/>
        </w:trPr>
        <w:tc>
          <w:tcPr>
            <w:tcW w:w="1300" w:type="dxa"/>
            <w:vAlign w:val="bottom"/>
            <w:vMerge w:val="restart"/>
          </w:tcPr>
          <w:p>
            <w:pPr>
              <w:ind w:left="20"/>
              <w:spacing w:after="0"/>
              <w:rPr>
                <w:sz w:val="20"/>
                <w:szCs w:val="20"/>
                <w:color w:val="auto"/>
              </w:rPr>
            </w:pPr>
            <w:r>
              <w:rPr>
                <w:rFonts w:ascii="Arial" w:cs="Arial" w:eastAsia="Arial" w:hAnsi="Arial"/>
                <w:sz w:val="14"/>
                <w:szCs w:val="14"/>
                <w:color w:val="060606"/>
              </w:rPr>
              <w:t>Ended</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060606"/>
                <w:w w:val="99"/>
              </w:rPr>
              <w:t>GAAP</w:t>
            </w:r>
          </w:p>
        </w:tc>
        <w:tc>
          <w:tcPr>
            <w:tcW w:w="102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vMerge w:val="restart"/>
          </w:tcPr>
          <w:p>
            <w:pPr>
              <w:jc w:val="center"/>
              <w:spacing w:after="0"/>
              <w:rPr>
                <w:sz w:val="20"/>
                <w:szCs w:val="20"/>
                <w:color w:val="auto"/>
              </w:rPr>
            </w:pPr>
            <w:r>
              <w:rPr>
                <w:rFonts w:ascii="Arial" w:cs="Arial" w:eastAsia="Arial" w:hAnsi="Arial"/>
                <w:sz w:val="13"/>
                <w:szCs w:val="13"/>
                <w:color w:val="060606"/>
                <w:w w:val="95"/>
              </w:rPr>
              <w:t>Certain Legal</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60606"/>
                <w:w w:val="96"/>
              </w:rPr>
              <w:t>Stock-based</w:t>
            </w: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color w:val="060606"/>
                <w:w w:val="98"/>
              </w:rPr>
              <w:t>Adjusted</w:t>
            </w: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tcPr>
          <w:p>
            <w:pPr>
              <w:jc w:val="center"/>
              <w:spacing w:after="0" w:line="113" w:lineRule="exact"/>
              <w:rPr>
                <w:sz w:val="20"/>
                <w:szCs w:val="20"/>
                <w:color w:val="auto"/>
              </w:rPr>
            </w:pPr>
            <w:r>
              <w:rPr>
                <w:rFonts w:ascii="Arial" w:cs="Arial" w:eastAsia="Arial" w:hAnsi="Arial"/>
                <w:sz w:val="13"/>
                <w:szCs w:val="13"/>
                <w:color w:val="060606"/>
              </w:rPr>
              <w:t>and</w:t>
            </w:r>
          </w:p>
        </w:tc>
        <w:tc>
          <w:tcPr>
            <w:tcW w:w="8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00" w:type="dxa"/>
            <w:vAlign w:val="bottom"/>
          </w:tcPr>
          <w:p>
            <w:pPr>
              <w:ind w:left="20"/>
              <w:spacing w:after="0" w:line="135" w:lineRule="exact"/>
              <w:rPr>
                <w:sz w:val="20"/>
                <w:szCs w:val="20"/>
                <w:color w:val="auto"/>
              </w:rPr>
            </w:pPr>
            <w:r>
              <w:rPr>
                <w:rFonts w:ascii="Arial" w:cs="Arial" w:eastAsia="Arial" w:hAnsi="Arial"/>
                <w:sz w:val="14"/>
                <w:szCs w:val="14"/>
                <w:color w:val="060606"/>
              </w:rPr>
              <w:t>September 30,</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060606"/>
                <w:w w:val="99"/>
              </w:rPr>
              <w:t>Financial</w:t>
            </w:r>
          </w:p>
        </w:tc>
        <w:tc>
          <w:tcPr>
            <w:tcW w:w="1020" w:type="dxa"/>
            <w:vAlign w:val="bottom"/>
          </w:tcPr>
          <w:p>
            <w:pPr>
              <w:ind w:left="120"/>
              <w:spacing w:after="0" w:line="135" w:lineRule="exact"/>
              <w:rPr>
                <w:sz w:val="20"/>
                <w:szCs w:val="20"/>
                <w:color w:val="auto"/>
              </w:rPr>
            </w:pPr>
            <w:r>
              <w:rPr>
                <w:rFonts w:ascii="Arial" w:cs="Arial" w:eastAsia="Arial" w:hAnsi="Arial"/>
                <w:sz w:val="13"/>
                <w:szCs w:val="13"/>
                <w:color w:val="060606"/>
              </w:rPr>
              <w:t>Restructuring</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060606"/>
                <w:w w:val="96"/>
              </w:rPr>
              <w:t>Amortization</w:t>
            </w:r>
          </w:p>
        </w:tc>
        <w:tc>
          <w:tcPr>
            <w:tcW w:w="860" w:type="dxa"/>
            <w:vAlign w:val="bottom"/>
            <w:vMerge w:val="restart"/>
          </w:tcPr>
          <w:p>
            <w:pPr>
              <w:jc w:val="right"/>
              <w:spacing w:after="0"/>
              <w:rPr>
                <w:sz w:val="20"/>
                <w:szCs w:val="20"/>
                <w:color w:val="auto"/>
              </w:rPr>
            </w:pPr>
            <w:r>
              <w:rPr>
                <w:rFonts w:ascii="Arial" w:cs="Arial" w:eastAsia="Arial" w:hAnsi="Arial"/>
                <w:sz w:val="13"/>
                <w:szCs w:val="13"/>
                <w:color w:val="060606"/>
                <w:w w:val="95"/>
              </w:rPr>
              <w:t xml:space="preserve">Impairment </w:t>
            </w:r>
            <w:r>
              <w:rPr>
                <w:rFonts w:ascii="Arial" w:cs="Arial" w:eastAsia="Arial" w:hAnsi="Arial"/>
                <w:sz w:val="16"/>
                <w:szCs w:val="16"/>
                <w:color w:val="060606"/>
                <w:w w:val="95"/>
                <w:vertAlign w:val="superscript"/>
              </w:rPr>
              <w:t>(3)</w:t>
            </w:r>
          </w:p>
        </w:tc>
        <w:tc>
          <w:tcPr>
            <w:tcW w:w="940" w:type="dxa"/>
            <w:vAlign w:val="bottom"/>
          </w:tcPr>
          <w:p>
            <w:pPr>
              <w:jc w:val="right"/>
              <w:ind w:right="149"/>
              <w:spacing w:after="0" w:line="135" w:lineRule="exact"/>
              <w:rPr>
                <w:sz w:val="20"/>
                <w:szCs w:val="20"/>
                <w:color w:val="auto"/>
              </w:rPr>
            </w:pPr>
            <w:r>
              <w:rPr>
                <w:rFonts w:ascii="Arial" w:cs="Arial" w:eastAsia="Arial" w:hAnsi="Arial"/>
                <w:sz w:val="13"/>
                <w:szCs w:val="13"/>
                <w:color w:val="060606"/>
              </w:rPr>
              <w:t>Financing</w:t>
            </w:r>
          </w:p>
        </w:tc>
        <w:tc>
          <w:tcPr>
            <w:tcW w:w="1020" w:type="dxa"/>
            <w:vAlign w:val="bottom"/>
          </w:tcPr>
          <w:p>
            <w:pPr>
              <w:jc w:val="right"/>
              <w:ind w:right="149"/>
              <w:spacing w:after="0" w:line="135" w:lineRule="exact"/>
              <w:rPr>
                <w:sz w:val="20"/>
                <w:szCs w:val="20"/>
                <w:color w:val="auto"/>
              </w:rPr>
            </w:pPr>
            <w:r>
              <w:rPr>
                <w:rFonts w:ascii="Arial" w:cs="Arial" w:eastAsia="Arial" w:hAnsi="Arial"/>
                <w:sz w:val="13"/>
                <w:szCs w:val="13"/>
                <w:color w:val="060606"/>
              </w:rPr>
              <w:t>Contingent</w:t>
            </w:r>
          </w:p>
        </w:tc>
        <w:tc>
          <w:tcPr>
            <w:tcW w:w="880" w:type="dxa"/>
            <w:vAlign w:val="bottom"/>
          </w:tcPr>
          <w:p>
            <w:pPr>
              <w:jc w:val="center"/>
              <w:spacing w:after="0" w:line="135" w:lineRule="exact"/>
              <w:rPr>
                <w:sz w:val="20"/>
                <w:szCs w:val="20"/>
                <w:color w:val="auto"/>
              </w:rPr>
            </w:pPr>
            <w:r>
              <w:rPr>
                <w:rFonts w:ascii="Arial" w:cs="Arial" w:eastAsia="Arial" w:hAnsi="Arial"/>
                <w:sz w:val="13"/>
                <w:szCs w:val="13"/>
                <w:color w:val="060606"/>
                <w:w w:val="98"/>
              </w:rPr>
              <w:t>&amp; Regulatory</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060606"/>
                <w:w w:val="95"/>
              </w:rPr>
              <w:t>Compensation</w:t>
            </w:r>
          </w:p>
        </w:tc>
        <w:tc>
          <w:tcPr>
            <w:tcW w:w="920" w:type="dxa"/>
            <w:vAlign w:val="bottom"/>
          </w:tcPr>
          <w:p>
            <w:pPr>
              <w:ind w:left="120"/>
              <w:spacing w:after="0" w:line="135" w:lineRule="exact"/>
              <w:rPr>
                <w:sz w:val="20"/>
                <w:szCs w:val="20"/>
                <w:color w:val="auto"/>
              </w:rPr>
            </w:pPr>
            <w:r>
              <w:rPr>
                <w:rFonts w:ascii="Arial" w:cs="Arial" w:eastAsia="Arial" w:hAnsi="Arial"/>
                <w:sz w:val="13"/>
                <w:szCs w:val="13"/>
                <w:color w:val="060606"/>
              </w:rPr>
              <w:t>Certain Tax</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060606"/>
                <w:w w:val="96"/>
              </w:rPr>
              <w:t>Certain Interest</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060606"/>
                <w:w w:val="96"/>
              </w:rPr>
              <w:t>Financial</w:t>
            </w:r>
          </w:p>
        </w:tc>
        <w:tc>
          <w:tcPr>
            <w:tcW w:w="0" w:type="dxa"/>
            <w:vAlign w:val="bottom"/>
          </w:tcPr>
          <w:p>
            <w:pPr>
              <w:spacing w:after="0"/>
              <w:rPr>
                <w:sz w:val="1"/>
                <w:szCs w:val="1"/>
                <w:color w:val="auto"/>
              </w:rPr>
            </w:pPr>
          </w:p>
        </w:tc>
      </w:tr>
      <w:tr>
        <w:trPr>
          <w:trHeight w:val="175"/>
        </w:trPr>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60606"/>
              </w:rPr>
              <w:t>2025</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60606"/>
                <w:w w:val="98"/>
              </w:rPr>
              <w:t>Measures</w:t>
            </w:r>
          </w:p>
        </w:tc>
        <w:tc>
          <w:tcPr>
            <w:tcW w:w="1020" w:type="dxa"/>
            <w:vAlign w:val="bottom"/>
            <w:tcBorders>
              <w:bottom w:val="single" w:sz="8" w:color="auto"/>
            </w:tcBorders>
          </w:tcPr>
          <w:p>
            <w:pPr>
              <w:ind w:left="140"/>
              <w:spacing w:after="0" w:line="175" w:lineRule="exact"/>
              <w:rPr>
                <w:sz w:val="20"/>
                <w:szCs w:val="20"/>
                <w:color w:val="auto"/>
              </w:rPr>
            </w:pPr>
            <w:r>
              <w:rPr>
                <w:rFonts w:ascii="Arial" w:cs="Arial" w:eastAsia="Arial" w:hAnsi="Arial"/>
                <w:sz w:val="13"/>
                <w:szCs w:val="13"/>
                <w:color w:val="060606"/>
              </w:rPr>
              <w:t xml:space="preserve">Expenses </w:t>
            </w:r>
            <w:r>
              <w:rPr>
                <w:rFonts w:ascii="Arial" w:cs="Arial" w:eastAsia="Arial" w:hAnsi="Arial"/>
                <w:sz w:val="16"/>
                <w:szCs w:val="16"/>
                <w:color w:val="060606"/>
                <w:vertAlign w:val="superscript"/>
              </w:rPr>
              <w:t>(1)</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94"/>
              </w:rPr>
              <w:t xml:space="preserve">Expenses </w:t>
            </w:r>
            <w:r>
              <w:rPr>
                <w:rFonts w:ascii="Arial" w:cs="Arial" w:eastAsia="Arial" w:hAnsi="Arial"/>
                <w:sz w:val="16"/>
                <w:szCs w:val="16"/>
                <w:color w:val="060606"/>
                <w:w w:val="94"/>
                <w:vertAlign w:val="superscript"/>
              </w:rPr>
              <w:t>(2)</w:t>
            </w:r>
          </w:p>
        </w:tc>
        <w:tc>
          <w:tcPr>
            <w:tcW w:w="8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color w:val="060606"/>
                <w:w w:val="94"/>
              </w:rPr>
              <w:t xml:space="preserve">Transactions </w:t>
            </w:r>
            <w:r>
              <w:rPr>
                <w:rFonts w:ascii="Arial" w:cs="Arial" w:eastAsia="Arial" w:hAnsi="Arial"/>
                <w:sz w:val="16"/>
                <w:szCs w:val="16"/>
                <w:color w:val="060606"/>
                <w:w w:val="94"/>
                <w:vertAlign w:val="superscript"/>
              </w:rPr>
              <w:t>(4)</w:t>
            </w:r>
          </w:p>
        </w:tc>
        <w:tc>
          <w:tcPr>
            <w:tcW w:w="1020" w:type="dxa"/>
            <w:vAlign w:val="bottom"/>
            <w:tcBorders>
              <w:bottom w:val="single" w:sz="8" w:color="auto"/>
            </w:tcBorders>
          </w:tcPr>
          <w:p>
            <w:pPr>
              <w:jc w:val="right"/>
              <w:ind w:right="9"/>
              <w:spacing w:after="0" w:line="175" w:lineRule="exact"/>
              <w:rPr>
                <w:sz w:val="20"/>
                <w:szCs w:val="20"/>
                <w:color w:val="auto"/>
              </w:rPr>
            </w:pPr>
            <w:r>
              <w:rPr>
                <w:rFonts w:ascii="Arial" w:cs="Arial" w:eastAsia="Arial" w:hAnsi="Arial"/>
                <w:sz w:val="13"/>
                <w:szCs w:val="13"/>
                <w:color w:val="060606"/>
                <w:w w:val="94"/>
              </w:rPr>
              <w:t xml:space="preserve">Consideration </w:t>
            </w:r>
            <w:r>
              <w:rPr>
                <w:rFonts w:ascii="Arial" w:cs="Arial" w:eastAsia="Arial" w:hAnsi="Arial"/>
                <w:sz w:val="16"/>
                <w:szCs w:val="16"/>
                <w:color w:val="060606"/>
                <w:w w:val="94"/>
                <w:vertAlign w:val="superscript"/>
              </w:rPr>
              <w:t>(5)</w:t>
            </w:r>
          </w:p>
        </w:tc>
        <w:tc>
          <w:tcPr>
            <w:tcW w:w="8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92"/>
              </w:rPr>
              <w:t xml:space="preserve">Costs </w:t>
            </w:r>
            <w:r>
              <w:rPr>
                <w:rFonts w:ascii="Arial" w:cs="Arial" w:eastAsia="Arial" w:hAnsi="Arial"/>
                <w:sz w:val="16"/>
                <w:szCs w:val="16"/>
                <w:color w:val="060606"/>
                <w:w w:val="92"/>
                <w:vertAlign w:val="superscript"/>
              </w:rPr>
              <w:t>(6)</w:t>
            </w:r>
          </w:p>
        </w:tc>
        <w:tc>
          <w:tcPr>
            <w:tcW w:w="98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88"/>
              </w:rPr>
              <w:t xml:space="preserve">Costs </w:t>
            </w:r>
            <w:r>
              <w:rPr>
                <w:rFonts w:ascii="Arial" w:cs="Arial" w:eastAsia="Arial" w:hAnsi="Arial"/>
                <w:sz w:val="16"/>
                <w:szCs w:val="16"/>
                <w:color w:val="060606"/>
                <w:w w:val="88"/>
                <w:vertAlign w:val="superscript"/>
              </w:rPr>
              <w:t>(7)</w:t>
            </w:r>
          </w:p>
        </w:tc>
        <w:tc>
          <w:tcPr>
            <w:tcW w:w="920" w:type="dxa"/>
            <w:vAlign w:val="bottom"/>
            <w:tcBorders>
              <w:bottom w:val="single" w:sz="8" w:color="auto"/>
            </w:tcBorders>
          </w:tcPr>
          <w:p>
            <w:pPr>
              <w:ind w:left="20"/>
              <w:spacing w:after="0" w:line="175" w:lineRule="exact"/>
              <w:rPr>
                <w:sz w:val="20"/>
                <w:szCs w:val="20"/>
                <w:color w:val="auto"/>
              </w:rPr>
            </w:pPr>
            <w:r>
              <w:rPr>
                <w:rFonts w:ascii="Arial" w:cs="Arial" w:eastAsia="Arial" w:hAnsi="Arial"/>
                <w:sz w:val="13"/>
                <w:szCs w:val="13"/>
                <w:color w:val="060606"/>
                <w:w w:val="99"/>
              </w:rPr>
              <w:t xml:space="preserve">Adjustments </w:t>
            </w:r>
            <w:r>
              <w:rPr>
                <w:rFonts w:ascii="Arial" w:cs="Arial" w:eastAsia="Arial" w:hAnsi="Arial"/>
                <w:sz w:val="16"/>
                <w:szCs w:val="16"/>
                <w:color w:val="060606"/>
                <w:w w:val="99"/>
                <w:vertAlign w:val="superscript"/>
              </w:rPr>
              <w:t>(8)</w:t>
            </w: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color w:val="060606"/>
                <w:w w:val="95"/>
              </w:rPr>
              <w:t xml:space="preserve">Adjustments </w:t>
            </w:r>
            <w:r>
              <w:rPr>
                <w:rFonts w:ascii="Arial" w:cs="Arial" w:eastAsia="Arial" w:hAnsi="Arial"/>
                <w:sz w:val="16"/>
                <w:szCs w:val="16"/>
                <w:color w:val="060606"/>
                <w:w w:val="95"/>
                <w:vertAlign w:val="superscript"/>
              </w:rPr>
              <w:t>(9)</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60606"/>
                <w:w w:val="94"/>
              </w:rPr>
              <w:t>Measures</w:t>
            </w:r>
          </w:p>
        </w:tc>
        <w:tc>
          <w:tcPr>
            <w:tcW w:w="0" w:type="dxa"/>
            <w:vAlign w:val="bottom"/>
          </w:tcPr>
          <w:p>
            <w:pPr>
              <w:spacing w:after="0"/>
              <w:rPr>
                <w:sz w:val="1"/>
                <w:szCs w:val="1"/>
                <w:color w:val="auto"/>
              </w:rPr>
            </w:pPr>
          </w:p>
        </w:tc>
      </w:tr>
      <w:tr>
        <w:trPr>
          <w:trHeight w:val="188"/>
        </w:trPr>
        <w:tc>
          <w:tcPr>
            <w:tcW w:w="1300" w:type="dxa"/>
            <w:vAlign w:val="bottom"/>
          </w:tcPr>
          <w:p>
            <w:pPr>
              <w:ind w:left="20"/>
              <w:spacing w:after="0"/>
              <w:rPr>
                <w:sz w:val="20"/>
                <w:szCs w:val="20"/>
                <w:color w:val="auto"/>
              </w:rPr>
            </w:pPr>
            <w:r>
              <w:rPr>
                <w:rFonts w:ascii="Arial" w:cs="Arial" w:eastAsia="Arial" w:hAnsi="Arial"/>
                <w:sz w:val="14"/>
                <w:szCs w:val="14"/>
                <w:color w:val="060606"/>
              </w:rPr>
              <w:t>Cost of sales</w:t>
            </w:r>
          </w:p>
        </w:tc>
        <w:tc>
          <w:tcPr>
            <w:tcW w:w="740" w:type="dxa"/>
            <w:vAlign w:val="bottom"/>
          </w:tcPr>
          <w:p>
            <w:pPr>
              <w:jc w:val="right"/>
              <w:ind w:right="110"/>
              <w:spacing w:after="0"/>
              <w:rPr>
                <w:sz w:val="20"/>
                <w:szCs w:val="20"/>
                <w:color w:val="auto"/>
              </w:rPr>
            </w:pPr>
            <w:r>
              <w:rPr>
                <w:rFonts w:ascii="Arial" w:cs="Arial" w:eastAsia="Arial" w:hAnsi="Arial"/>
                <w:sz w:val="14"/>
                <w:szCs w:val="14"/>
                <w:color w:val="060606"/>
              </w:rPr>
              <w:t>$327.0</w:t>
            </w:r>
          </w:p>
        </w:tc>
        <w:tc>
          <w:tcPr>
            <w:tcW w:w="1020" w:type="dxa"/>
            <w:vAlign w:val="bottom"/>
          </w:tcPr>
          <w:p>
            <w:pPr>
              <w:jc w:val="right"/>
              <w:ind w:right="169"/>
              <w:spacing w:after="0"/>
              <w:rPr>
                <w:sz w:val="20"/>
                <w:szCs w:val="20"/>
                <w:color w:val="auto"/>
              </w:rPr>
            </w:pPr>
            <w:r>
              <w:rPr>
                <w:rFonts w:ascii="Arial" w:cs="Arial" w:eastAsia="Arial" w:hAnsi="Arial"/>
                <w:sz w:val="14"/>
                <w:szCs w:val="14"/>
                <w:color w:val="060606"/>
              </w:rPr>
              <w:t>$—</w:t>
            </w:r>
          </w:p>
        </w:tc>
        <w:tc>
          <w:tcPr>
            <w:tcW w:w="880" w:type="dxa"/>
            <w:vAlign w:val="bottom"/>
          </w:tcPr>
          <w:p>
            <w:pPr>
              <w:jc w:val="right"/>
              <w:ind w:right="90"/>
              <w:spacing w:after="0"/>
              <w:rPr>
                <w:sz w:val="20"/>
                <w:szCs w:val="20"/>
                <w:color w:val="auto"/>
              </w:rPr>
            </w:pPr>
            <w:r>
              <w:rPr>
                <w:rFonts w:ascii="Arial" w:cs="Arial" w:eastAsia="Arial" w:hAnsi="Arial"/>
                <w:sz w:val="14"/>
                <w:szCs w:val="14"/>
                <w:color w:val="060606"/>
              </w:rPr>
              <w:t>($5.3)</w:t>
            </w:r>
          </w:p>
        </w:tc>
        <w:tc>
          <w:tcPr>
            <w:tcW w:w="86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94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1020" w:type="dxa"/>
            <w:vAlign w:val="bottom"/>
          </w:tcPr>
          <w:p>
            <w:pPr>
              <w:jc w:val="right"/>
              <w:ind w:right="109"/>
              <w:spacing w:after="0"/>
              <w:rPr>
                <w:sz w:val="20"/>
                <w:szCs w:val="20"/>
                <w:color w:val="auto"/>
              </w:rPr>
            </w:pPr>
            <w:r>
              <w:rPr>
                <w:rFonts w:ascii="Arial" w:cs="Arial" w:eastAsia="Arial" w:hAnsi="Arial"/>
                <w:sz w:val="14"/>
                <w:szCs w:val="14"/>
                <w:color w:val="060606"/>
              </w:rPr>
              <w:t>($2.8)</w:t>
            </w:r>
          </w:p>
        </w:tc>
        <w:tc>
          <w:tcPr>
            <w:tcW w:w="880" w:type="dxa"/>
            <w:vAlign w:val="bottom"/>
          </w:tcPr>
          <w:p>
            <w:pPr>
              <w:jc w:val="right"/>
              <w:ind w:right="150"/>
              <w:spacing w:after="0"/>
              <w:rPr>
                <w:sz w:val="20"/>
                <w:szCs w:val="20"/>
                <w:color w:val="auto"/>
              </w:rPr>
            </w:pPr>
            <w:r>
              <w:rPr>
                <w:rFonts w:ascii="Arial" w:cs="Arial" w:eastAsia="Arial" w:hAnsi="Arial"/>
                <w:sz w:val="14"/>
                <w:szCs w:val="14"/>
                <w:color w:val="060606"/>
              </w:rPr>
              <w:t>$—</w:t>
            </w:r>
          </w:p>
        </w:tc>
        <w:tc>
          <w:tcPr>
            <w:tcW w:w="980" w:type="dxa"/>
            <w:vAlign w:val="bottom"/>
          </w:tcPr>
          <w:p>
            <w:pPr>
              <w:jc w:val="right"/>
              <w:ind w:right="110"/>
              <w:spacing w:after="0"/>
              <w:rPr>
                <w:sz w:val="20"/>
                <w:szCs w:val="20"/>
                <w:color w:val="auto"/>
              </w:rPr>
            </w:pPr>
            <w:r>
              <w:rPr>
                <w:rFonts w:ascii="Arial" w:cs="Arial" w:eastAsia="Arial" w:hAnsi="Arial"/>
                <w:sz w:val="14"/>
                <w:szCs w:val="14"/>
                <w:color w:val="060606"/>
              </w:rPr>
              <w:t>($1.2)</w:t>
            </w:r>
          </w:p>
        </w:tc>
        <w:tc>
          <w:tcPr>
            <w:tcW w:w="920" w:type="dxa"/>
            <w:vAlign w:val="bottom"/>
          </w:tcPr>
          <w:p>
            <w:pPr>
              <w:ind w:left="50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780" w:type="dxa"/>
            <w:vAlign w:val="bottom"/>
          </w:tcPr>
          <w:p>
            <w:pPr>
              <w:jc w:val="right"/>
              <w:ind w:right="110"/>
              <w:spacing w:after="0"/>
              <w:rPr>
                <w:sz w:val="20"/>
                <w:szCs w:val="20"/>
                <w:color w:val="auto"/>
              </w:rPr>
            </w:pPr>
            <w:r>
              <w:rPr>
                <w:rFonts w:ascii="Arial" w:cs="Arial" w:eastAsia="Arial" w:hAnsi="Arial"/>
                <w:sz w:val="14"/>
                <w:szCs w:val="14"/>
                <w:color w:val="060606"/>
              </w:rPr>
              <w:t>$317.7</w:t>
            </w:r>
          </w:p>
        </w:tc>
        <w:tc>
          <w:tcPr>
            <w:tcW w:w="0" w:type="dxa"/>
            <w:vAlign w:val="bottom"/>
          </w:tcPr>
          <w:p>
            <w:pPr>
              <w:spacing w:after="0"/>
              <w:rPr>
                <w:sz w:val="1"/>
                <w:szCs w:val="1"/>
                <w:color w:val="auto"/>
              </w:rPr>
            </w:pPr>
          </w:p>
        </w:tc>
      </w:tr>
      <w:tr>
        <w:trPr>
          <w:trHeight w:val="161"/>
        </w:trPr>
        <w:tc>
          <w:tcPr>
            <w:tcW w:w="1300" w:type="dxa"/>
            <w:vAlign w:val="bottom"/>
          </w:tcPr>
          <w:p>
            <w:pPr>
              <w:ind w:left="20"/>
              <w:spacing w:after="0"/>
              <w:rPr>
                <w:sz w:val="20"/>
                <w:szCs w:val="20"/>
                <w:color w:val="auto"/>
              </w:rPr>
            </w:pPr>
            <w:r>
              <w:rPr>
                <w:rFonts w:ascii="Arial" w:cs="Arial" w:eastAsia="Arial" w:hAnsi="Arial"/>
                <w:sz w:val="14"/>
                <w:szCs w:val="14"/>
                <w:color w:val="060606"/>
              </w:rPr>
              <w:t>Gross profit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060606"/>
              </w:rPr>
              <w:t>68.2 %</w:t>
            </w:r>
          </w:p>
        </w:tc>
        <w:tc>
          <w:tcPr>
            <w:tcW w:w="1020" w:type="dxa"/>
            <w:vAlign w:val="bottom"/>
            <w:vMerge w:val="restart"/>
          </w:tcPr>
          <w:p>
            <w:pPr>
              <w:ind w:left="640"/>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0.5 %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0.3 %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0.1 %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69.1 %</w:t>
            </w: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4"/>
                <w:szCs w:val="14"/>
                <w:color w:val="060606"/>
              </w:rPr>
              <w:t>percent</w:t>
            </w:r>
          </w:p>
        </w:tc>
        <w:tc>
          <w:tcPr>
            <w:tcW w:w="7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9" w:lineRule="exact"/>
              <w:rPr>
                <w:sz w:val="20"/>
                <w:szCs w:val="20"/>
                <w:color w:val="auto"/>
              </w:rPr>
            </w:pPr>
            <w:r>
              <w:rPr>
                <w:rFonts w:ascii="Arial" w:cs="Arial" w:eastAsia="Arial" w:hAnsi="Arial"/>
                <w:sz w:val="14"/>
                <w:szCs w:val="14"/>
                <w:color w:val="060606"/>
              </w:rPr>
              <w:t>Selling, general,</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060606"/>
              </w:rPr>
              <w:t>405.4</w:t>
            </w:r>
          </w:p>
        </w:tc>
        <w:tc>
          <w:tcPr>
            <w:tcW w:w="1020" w:type="dxa"/>
            <w:vAlign w:val="bottom"/>
            <w:vMerge w:val="restart"/>
          </w:tcPr>
          <w:p>
            <w:pPr>
              <w:ind w:left="640"/>
              <w:spacing w:after="0"/>
              <w:rPr>
                <w:sz w:val="20"/>
                <w:szCs w:val="20"/>
                <w:color w:val="auto"/>
              </w:rPr>
            </w:pPr>
            <w:r>
              <w:rPr>
                <w:rFonts w:ascii="Arial" w:cs="Arial" w:eastAsia="Arial" w:hAnsi="Arial"/>
                <w:sz w:val="14"/>
                <w:szCs w:val="14"/>
                <w:color w:val="060606"/>
              </w:rPr>
              <w:t>—</w:t>
            </w:r>
          </w:p>
        </w:tc>
        <w:tc>
          <w:tcPr>
            <w:tcW w:w="880" w:type="dxa"/>
            <w:vAlign w:val="bottom"/>
            <w:vMerge w:val="restart"/>
          </w:tcPr>
          <w:p>
            <w:pPr>
              <w:jc w:val="right"/>
              <w:ind w:right="90"/>
              <w:spacing w:after="0"/>
              <w:rPr>
                <w:sz w:val="20"/>
                <w:szCs w:val="20"/>
                <w:color w:val="auto"/>
              </w:rPr>
            </w:pPr>
            <w:r>
              <w:rPr>
                <w:rFonts w:ascii="Arial" w:cs="Arial" w:eastAsia="Arial" w:hAnsi="Arial"/>
                <w:sz w:val="14"/>
                <w:szCs w:val="14"/>
                <w:color w:val="060606"/>
              </w:rPr>
              <w:t>(7.6)</w:t>
            </w:r>
          </w:p>
        </w:tc>
        <w:tc>
          <w:tcPr>
            <w:tcW w:w="860" w:type="dxa"/>
            <w:vAlign w:val="bottom"/>
            <w:vMerge w:val="restart"/>
          </w:tcPr>
          <w:p>
            <w:pPr>
              <w:jc w:val="right"/>
              <w:ind w:right="149"/>
              <w:spacing w:after="0"/>
              <w:rPr>
                <w:sz w:val="20"/>
                <w:szCs w:val="20"/>
                <w:color w:val="auto"/>
              </w:rPr>
            </w:pPr>
            <w:r>
              <w:rPr>
                <w:rFonts w:ascii="Arial" w:cs="Arial" w:eastAsia="Arial" w:hAnsi="Arial"/>
                <w:sz w:val="14"/>
                <w:szCs w:val="14"/>
                <w:color w:val="060606"/>
              </w:rPr>
              <w:t>—</w:t>
            </w:r>
          </w:p>
        </w:tc>
        <w:tc>
          <w:tcPr>
            <w:tcW w:w="94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1020" w:type="dxa"/>
            <w:vAlign w:val="bottom"/>
            <w:vMerge w:val="restart"/>
          </w:tcPr>
          <w:p>
            <w:pPr>
              <w:jc w:val="right"/>
              <w:ind w:right="149"/>
              <w:spacing w:after="0"/>
              <w:rPr>
                <w:sz w:val="20"/>
                <w:szCs w:val="20"/>
                <w:color w:val="auto"/>
              </w:rPr>
            </w:pPr>
            <w:r>
              <w:rPr>
                <w:rFonts w:ascii="Arial" w:cs="Arial" w:eastAsia="Arial" w:hAnsi="Arial"/>
                <w:sz w:val="14"/>
                <w:szCs w:val="14"/>
                <w:color w:val="060606"/>
              </w:rPr>
              <w:t>—</w:t>
            </w:r>
          </w:p>
        </w:tc>
        <w:tc>
          <w:tcPr>
            <w:tcW w:w="880" w:type="dxa"/>
            <w:vAlign w:val="bottom"/>
            <w:vMerge w:val="restart"/>
          </w:tcPr>
          <w:p>
            <w:pPr>
              <w:jc w:val="right"/>
              <w:ind w:right="110"/>
              <w:spacing w:after="0"/>
              <w:rPr>
                <w:sz w:val="20"/>
                <w:szCs w:val="20"/>
                <w:color w:val="auto"/>
              </w:rPr>
            </w:pPr>
            <w:r>
              <w:rPr>
                <w:rFonts w:ascii="Arial" w:cs="Arial" w:eastAsia="Arial" w:hAnsi="Arial"/>
                <w:sz w:val="14"/>
                <w:szCs w:val="14"/>
                <w:color w:val="060606"/>
              </w:rPr>
              <w:t>(17.5)</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060606"/>
              </w:rPr>
              <w:t>(20.4)</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780" w:type="dxa"/>
            <w:vAlign w:val="bottom"/>
            <w:vMerge w:val="restart"/>
          </w:tcPr>
          <w:p>
            <w:pPr>
              <w:jc w:val="right"/>
              <w:ind w:right="110"/>
              <w:spacing w:after="0"/>
              <w:rPr>
                <w:sz w:val="20"/>
                <w:szCs w:val="20"/>
                <w:color w:val="auto"/>
              </w:rPr>
            </w:pPr>
            <w:r>
              <w:rPr>
                <w:rFonts w:ascii="Arial" w:cs="Arial" w:eastAsia="Arial" w:hAnsi="Arial"/>
                <w:sz w:val="14"/>
                <w:szCs w:val="14"/>
                <w:color w:val="060606"/>
              </w:rPr>
              <w:t>359.9</w:t>
            </w: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4"/>
                <w:szCs w:val="14"/>
                <w:color w:val="060606"/>
              </w:rPr>
              <w:t>and administrative</w:t>
            </w:r>
          </w:p>
        </w:tc>
        <w:tc>
          <w:tcPr>
            <w:tcW w:w="7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9" w:lineRule="exact"/>
              <w:rPr>
                <w:sz w:val="20"/>
                <w:szCs w:val="20"/>
                <w:color w:val="auto"/>
              </w:rPr>
            </w:pPr>
            <w:r>
              <w:rPr>
                <w:rFonts w:ascii="Arial" w:cs="Arial" w:eastAsia="Arial" w:hAnsi="Arial"/>
                <w:sz w:val="14"/>
                <w:szCs w:val="14"/>
                <w:color w:val="060606"/>
              </w:rPr>
              <w:t>Selling, general,</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ind w:left="20"/>
              <w:spacing w:after="0" w:line="149" w:lineRule="exact"/>
              <w:rPr>
                <w:sz w:val="20"/>
                <w:szCs w:val="20"/>
                <w:color w:val="auto"/>
              </w:rPr>
            </w:pPr>
            <w:r>
              <w:rPr>
                <w:rFonts w:ascii="Arial" w:cs="Arial" w:eastAsia="Arial" w:hAnsi="Arial"/>
                <w:sz w:val="14"/>
                <w:szCs w:val="14"/>
                <w:color w:val="060606"/>
              </w:rPr>
              <w:t>and administrative</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5" w:lineRule="exact"/>
              <w:rPr>
                <w:sz w:val="20"/>
                <w:szCs w:val="20"/>
                <w:color w:val="auto"/>
              </w:rPr>
            </w:pPr>
            <w:r>
              <w:rPr>
                <w:rFonts w:ascii="Arial" w:cs="Arial" w:eastAsia="Arial" w:hAnsi="Arial"/>
                <w:sz w:val="14"/>
                <w:szCs w:val="14"/>
                <w:color w:val="060606"/>
              </w:rPr>
              <w:t>as a percent of net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060606"/>
              </w:rPr>
              <w:t>39.5 %</w:t>
            </w:r>
          </w:p>
        </w:tc>
        <w:tc>
          <w:tcPr>
            <w:tcW w:w="1020" w:type="dxa"/>
            <w:vAlign w:val="bottom"/>
            <w:vMerge w:val="restart"/>
          </w:tcPr>
          <w:p>
            <w:pPr>
              <w:ind w:left="640"/>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(0.7)%</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(1.7)%</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(2.0)%</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35.0 %</w:t>
            </w:r>
          </w:p>
        </w:tc>
        <w:tc>
          <w:tcPr>
            <w:tcW w:w="0" w:type="dxa"/>
            <w:vAlign w:val="bottom"/>
          </w:tcPr>
          <w:p>
            <w:pPr>
              <w:spacing w:after="0"/>
              <w:rPr>
                <w:sz w:val="1"/>
                <w:szCs w:val="1"/>
                <w:color w:val="auto"/>
              </w:rPr>
            </w:pPr>
          </w:p>
        </w:tc>
      </w:tr>
      <w:tr>
        <w:trPr>
          <w:trHeight w:val="190"/>
        </w:trPr>
        <w:tc>
          <w:tcPr>
            <w:tcW w:w="1300" w:type="dxa"/>
            <w:vAlign w:val="bottom"/>
          </w:tcPr>
          <w:p>
            <w:pPr>
              <w:ind w:left="20"/>
              <w:spacing w:after="0"/>
              <w:rPr>
                <w:sz w:val="20"/>
                <w:szCs w:val="20"/>
                <w:color w:val="auto"/>
              </w:rPr>
            </w:pPr>
            <w:r>
              <w:rPr>
                <w:rFonts w:ascii="Arial" w:cs="Arial" w:eastAsia="Arial" w:hAnsi="Arial"/>
                <w:sz w:val="14"/>
                <w:szCs w:val="14"/>
                <w:color w:val="060606"/>
              </w:rPr>
              <w:t>revenue</w:t>
            </w:r>
          </w:p>
        </w:tc>
        <w:tc>
          <w:tcPr>
            <w:tcW w:w="7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00" w:type="dxa"/>
            <w:vAlign w:val="bottom"/>
          </w:tcPr>
          <w:p>
            <w:pPr>
              <w:ind w:left="20"/>
              <w:spacing w:after="0" w:line="151" w:lineRule="exact"/>
              <w:rPr>
                <w:sz w:val="20"/>
                <w:szCs w:val="20"/>
                <w:color w:val="auto"/>
              </w:rPr>
            </w:pPr>
            <w:r>
              <w:rPr>
                <w:rFonts w:ascii="Arial" w:cs="Arial" w:eastAsia="Arial" w:hAnsi="Arial"/>
                <w:sz w:val="14"/>
                <w:szCs w:val="14"/>
                <w:color w:val="060606"/>
              </w:rPr>
              <w:t>Research and</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060606"/>
              </w:rPr>
              <w:t>133.6</w:t>
            </w:r>
          </w:p>
        </w:tc>
        <w:tc>
          <w:tcPr>
            <w:tcW w:w="1020" w:type="dxa"/>
            <w:vAlign w:val="bottom"/>
            <w:vMerge w:val="restart"/>
          </w:tcPr>
          <w:p>
            <w:pPr>
              <w:ind w:left="640"/>
              <w:spacing w:after="0"/>
              <w:rPr>
                <w:sz w:val="20"/>
                <w:szCs w:val="20"/>
                <w:color w:val="auto"/>
              </w:rPr>
            </w:pPr>
            <w:r>
              <w:rPr>
                <w:rFonts w:ascii="Arial" w:cs="Arial" w:eastAsia="Arial" w:hAnsi="Arial"/>
                <w:sz w:val="14"/>
                <w:szCs w:val="14"/>
                <w:color w:val="060606"/>
              </w:rPr>
              <w:t>—</w:t>
            </w:r>
          </w:p>
        </w:tc>
        <w:tc>
          <w:tcPr>
            <w:tcW w:w="880" w:type="dxa"/>
            <w:vAlign w:val="bottom"/>
            <w:vMerge w:val="restart"/>
          </w:tcPr>
          <w:p>
            <w:pPr>
              <w:jc w:val="right"/>
              <w:ind w:right="130"/>
              <w:spacing w:after="0"/>
              <w:rPr>
                <w:sz w:val="20"/>
                <w:szCs w:val="20"/>
                <w:color w:val="auto"/>
              </w:rPr>
            </w:pPr>
            <w:r>
              <w:rPr>
                <w:rFonts w:ascii="Arial" w:cs="Arial" w:eastAsia="Arial" w:hAnsi="Arial"/>
                <w:sz w:val="14"/>
                <w:szCs w:val="14"/>
                <w:color w:val="060606"/>
              </w:rPr>
              <w:t>0.1</w:t>
            </w:r>
          </w:p>
        </w:tc>
        <w:tc>
          <w:tcPr>
            <w:tcW w:w="860" w:type="dxa"/>
            <w:vAlign w:val="bottom"/>
            <w:vMerge w:val="restart"/>
          </w:tcPr>
          <w:p>
            <w:pPr>
              <w:jc w:val="right"/>
              <w:ind w:right="149"/>
              <w:spacing w:after="0"/>
              <w:rPr>
                <w:sz w:val="20"/>
                <w:szCs w:val="20"/>
                <w:color w:val="auto"/>
              </w:rPr>
            </w:pPr>
            <w:r>
              <w:rPr>
                <w:rFonts w:ascii="Arial" w:cs="Arial" w:eastAsia="Arial" w:hAnsi="Arial"/>
                <w:sz w:val="14"/>
                <w:szCs w:val="14"/>
                <w:color w:val="060606"/>
              </w:rPr>
              <w:t>—</w:t>
            </w:r>
          </w:p>
        </w:tc>
        <w:tc>
          <w:tcPr>
            <w:tcW w:w="94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1020" w:type="dxa"/>
            <w:vAlign w:val="bottom"/>
            <w:vMerge w:val="restart"/>
          </w:tcPr>
          <w:p>
            <w:pPr>
              <w:jc w:val="right"/>
              <w:ind w:right="109"/>
              <w:spacing w:after="0"/>
              <w:rPr>
                <w:sz w:val="20"/>
                <w:szCs w:val="20"/>
                <w:color w:val="auto"/>
              </w:rPr>
            </w:pPr>
            <w:r>
              <w:rPr>
                <w:rFonts w:ascii="Arial" w:cs="Arial" w:eastAsia="Arial" w:hAnsi="Arial"/>
                <w:sz w:val="14"/>
                <w:szCs w:val="14"/>
                <w:color w:val="060606"/>
              </w:rPr>
              <w:t>(2.7)</w:t>
            </w:r>
          </w:p>
        </w:tc>
        <w:tc>
          <w:tcPr>
            <w:tcW w:w="880" w:type="dxa"/>
            <w:vAlign w:val="bottom"/>
            <w:vMerge w:val="restart"/>
          </w:tcPr>
          <w:p>
            <w:pPr>
              <w:jc w:val="right"/>
              <w:ind w:right="150"/>
              <w:spacing w:after="0"/>
              <w:rPr>
                <w:sz w:val="20"/>
                <w:szCs w:val="20"/>
                <w:color w:val="auto"/>
              </w:rPr>
            </w:pPr>
            <w:r>
              <w:rPr>
                <w:rFonts w:ascii="Arial" w:cs="Arial" w:eastAsia="Arial" w:hAnsi="Arial"/>
                <w:sz w:val="14"/>
                <w:szCs w:val="14"/>
                <w:color w:val="060606"/>
              </w:rPr>
              <w:t>1.4</w:t>
            </w:r>
          </w:p>
        </w:tc>
        <w:tc>
          <w:tcPr>
            <w:tcW w:w="980" w:type="dxa"/>
            <w:vAlign w:val="bottom"/>
            <w:vMerge w:val="restart"/>
          </w:tcPr>
          <w:p>
            <w:pPr>
              <w:jc w:val="right"/>
              <w:ind w:right="110"/>
              <w:spacing w:after="0"/>
              <w:rPr>
                <w:sz w:val="20"/>
                <w:szCs w:val="20"/>
                <w:color w:val="auto"/>
              </w:rPr>
            </w:pPr>
            <w:r>
              <w:rPr>
                <w:rFonts w:ascii="Arial" w:cs="Arial" w:eastAsia="Arial" w:hAnsi="Arial"/>
                <w:sz w:val="14"/>
                <w:szCs w:val="14"/>
                <w:color w:val="060606"/>
              </w:rPr>
              <w:t>(5.3)</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780" w:type="dxa"/>
            <w:vAlign w:val="bottom"/>
            <w:vMerge w:val="restart"/>
          </w:tcPr>
          <w:p>
            <w:pPr>
              <w:jc w:val="right"/>
              <w:ind w:right="110"/>
              <w:spacing w:after="0"/>
              <w:rPr>
                <w:sz w:val="20"/>
                <w:szCs w:val="20"/>
                <w:color w:val="auto"/>
              </w:rPr>
            </w:pPr>
            <w:r>
              <w:rPr>
                <w:rFonts w:ascii="Arial" w:cs="Arial" w:eastAsia="Arial" w:hAnsi="Arial"/>
                <w:sz w:val="14"/>
                <w:szCs w:val="14"/>
                <w:color w:val="060606"/>
              </w:rPr>
              <w:t>127.2</w:t>
            </w: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4"/>
                <w:szCs w:val="14"/>
                <w:color w:val="060606"/>
              </w:rPr>
              <w:t>development</w:t>
            </w:r>
          </w:p>
        </w:tc>
        <w:tc>
          <w:tcPr>
            <w:tcW w:w="7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9" w:lineRule="exact"/>
              <w:rPr>
                <w:sz w:val="20"/>
                <w:szCs w:val="20"/>
                <w:color w:val="auto"/>
              </w:rPr>
            </w:pPr>
            <w:r>
              <w:rPr>
                <w:rFonts w:ascii="Arial" w:cs="Arial" w:eastAsia="Arial" w:hAnsi="Arial"/>
                <w:sz w:val="14"/>
                <w:szCs w:val="14"/>
                <w:color w:val="060606"/>
              </w:rPr>
              <w:t>Research and</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9" w:lineRule="exact"/>
              <w:rPr>
                <w:sz w:val="20"/>
                <w:szCs w:val="20"/>
                <w:color w:val="auto"/>
              </w:rPr>
            </w:pPr>
            <w:r>
              <w:rPr>
                <w:rFonts w:ascii="Arial" w:cs="Arial" w:eastAsia="Arial" w:hAnsi="Arial"/>
                <w:sz w:val="14"/>
                <w:szCs w:val="14"/>
                <w:color w:val="060606"/>
              </w:rPr>
              <w:t>development as a</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300" w:type="dxa"/>
            <w:vAlign w:val="bottom"/>
          </w:tcPr>
          <w:p>
            <w:pPr>
              <w:ind w:left="20"/>
              <w:spacing w:after="0" w:line="145" w:lineRule="exact"/>
              <w:rPr>
                <w:sz w:val="20"/>
                <w:szCs w:val="20"/>
                <w:color w:val="auto"/>
              </w:rPr>
            </w:pPr>
            <w:r>
              <w:rPr>
                <w:rFonts w:ascii="Arial" w:cs="Arial" w:eastAsia="Arial" w:hAnsi="Arial"/>
                <w:sz w:val="14"/>
                <w:szCs w:val="14"/>
                <w:color w:val="060606"/>
              </w:rPr>
              <w:t>percent of net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060606"/>
              </w:rPr>
              <w:t>13.0 %</w:t>
            </w:r>
          </w:p>
        </w:tc>
        <w:tc>
          <w:tcPr>
            <w:tcW w:w="1020" w:type="dxa"/>
            <w:vAlign w:val="bottom"/>
            <w:vMerge w:val="restart"/>
          </w:tcPr>
          <w:p>
            <w:pPr>
              <w:ind w:left="640"/>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(0.3)%</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0.1 %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(0.5)%</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12.4 %</w:t>
            </w:r>
          </w:p>
        </w:tc>
        <w:tc>
          <w:tcPr>
            <w:tcW w:w="0" w:type="dxa"/>
            <w:vAlign w:val="bottom"/>
          </w:tcPr>
          <w:p>
            <w:pPr>
              <w:spacing w:after="0"/>
              <w:rPr>
                <w:sz w:val="1"/>
                <w:szCs w:val="1"/>
                <w:color w:val="auto"/>
              </w:rPr>
            </w:pPr>
          </w:p>
        </w:tc>
      </w:tr>
      <w:tr>
        <w:trPr>
          <w:trHeight w:val="190"/>
        </w:trPr>
        <w:tc>
          <w:tcPr>
            <w:tcW w:w="1300" w:type="dxa"/>
            <w:vAlign w:val="bottom"/>
          </w:tcPr>
          <w:p>
            <w:pPr>
              <w:ind w:left="20"/>
              <w:spacing w:after="0"/>
              <w:rPr>
                <w:sz w:val="20"/>
                <w:szCs w:val="20"/>
                <w:color w:val="auto"/>
              </w:rPr>
            </w:pPr>
            <w:r>
              <w:rPr>
                <w:rFonts w:ascii="Arial" w:cs="Arial" w:eastAsia="Arial" w:hAnsi="Arial"/>
                <w:sz w:val="14"/>
                <w:szCs w:val="14"/>
                <w:color w:val="060606"/>
              </w:rPr>
              <w:t>revenue</w:t>
            </w:r>
          </w:p>
        </w:tc>
        <w:tc>
          <w:tcPr>
            <w:tcW w:w="7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00" w:type="dxa"/>
            <w:vAlign w:val="bottom"/>
          </w:tcPr>
          <w:p>
            <w:pPr>
              <w:ind w:left="20"/>
              <w:spacing w:after="0" w:line="151" w:lineRule="exact"/>
              <w:rPr>
                <w:sz w:val="20"/>
                <w:szCs w:val="20"/>
                <w:color w:val="auto"/>
              </w:rPr>
            </w:pPr>
            <w:r>
              <w:rPr>
                <w:rFonts w:ascii="Arial" w:cs="Arial" w:eastAsia="Arial" w:hAnsi="Arial"/>
                <w:sz w:val="14"/>
                <w:szCs w:val="14"/>
                <w:color w:val="060606"/>
              </w:rPr>
              <w:t>Other operating</w:t>
            </w:r>
          </w:p>
        </w:tc>
        <w:tc>
          <w:tcPr>
            <w:tcW w:w="740" w:type="dxa"/>
            <w:vAlign w:val="bottom"/>
            <w:vMerge w:val="restart"/>
          </w:tcPr>
          <w:p>
            <w:pPr>
              <w:jc w:val="right"/>
              <w:ind w:right="110"/>
              <w:spacing w:after="0"/>
              <w:rPr>
                <w:sz w:val="20"/>
                <w:szCs w:val="20"/>
                <w:color w:val="auto"/>
              </w:rPr>
            </w:pPr>
            <w:r>
              <w:rPr>
                <w:rFonts w:ascii="Arial" w:cs="Arial" w:eastAsia="Arial" w:hAnsi="Arial"/>
                <w:sz w:val="14"/>
                <w:szCs w:val="14"/>
                <w:color w:val="060606"/>
              </w:rPr>
              <w:t>4.2</w:t>
            </w:r>
          </w:p>
        </w:tc>
        <w:tc>
          <w:tcPr>
            <w:tcW w:w="1020" w:type="dxa"/>
            <w:vAlign w:val="bottom"/>
            <w:vMerge w:val="restart"/>
          </w:tcPr>
          <w:p>
            <w:pPr>
              <w:jc w:val="right"/>
              <w:ind w:right="169"/>
              <w:spacing w:after="0"/>
              <w:rPr>
                <w:sz w:val="20"/>
                <w:szCs w:val="20"/>
                <w:color w:val="auto"/>
              </w:rPr>
            </w:pPr>
            <w:r>
              <w:rPr>
                <w:rFonts w:ascii="Arial" w:cs="Arial" w:eastAsia="Arial" w:hAnsi="Arial"/>
                <w:sz w:val="14"/>
                <w:szCs w:val="14"/>
                <w:color w:val="060606"/>
              </w:rPr>
              <w:t>0.2</w:t>
            </w:r>
          </w:p>
        </w:tc>
        <w:tc>
          <w:tcPr>
            <w:tcW w:w="880" w:type="dxa"/>
            <w:vAlign w:val="bottom"/>
            <w:vMerge w:val="restart"/>
          </w:tcPr>
          <w:p>
            <w:pPr>
              <w:jc w:val="right"/>
              <w:ind w:right="130"/>
              <w:spacing w:after="0"/>
              <w:rPr>
                <w:sz w:val="20"/>
                <w:szCs w:val="20"/>
                <w:color w:val="auto"/>
              </w:rPr>
            </w:pPr>
            <w:r>
              <w:rPr>
                <w:rFonts w:ascii="Arial" w:cs="Arial" w:eastAsia="Arial" w:hAnsi="Arial"/>
                <w:sz w:val="14"/>
                <w:szCs w:val="14"/>
                <w:color w:val="060606"/>
              </w:rPr>
              <w:t>—</w:t>
            </w:r>
          </w:p>
        </w:tc>
        <w:tc>
          <w:tcPr>
            <w:tcW w:w="860" w:type="dxa"/>
            <w:vAlign w:val="bottom"/>
            <w:vMerge w:val="restart"/>
          </w:tcPr>
          <w:p>
            <w:pPr>
              <w:jc w:val="right"/>
              <w:ind w:right="149"/>
              <w:spacing w:after="0"/>
              <w:rPr>
                <w:sz w:val="20"/>
                <w:szCs w:val="20"/>
                <w:color w:val="auto"/>
              </w:rPr>
            </w:pPr>
            <w:r>
              <w:rPr>
                <w:rFonts w:ascii="Arial" w:cs="Arial" w:eastAsia="Arial" w:hAnsi="Arial"/>
                <w:sz w:val="14"/>
                <w:szCs w:val="14"/>
                <w:color w:val="060606"/>
              </w:rPr>
              <w:t>—</w:t>
            </w:r>
          </w:p>
        </w:tc>
        <w:tc>
          <w:tcPr>
            <w:tcW w:w="94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1020" w:type="dxa"/>
            <w:vAlign w:val="bottom"/>
            <w:vMerge w:val="restart"/>
          </w:tcPr>
          <w:p>
            <w:pPr>
              <w:jc w:val="right"/>
              <w:ind w:right="149"/>
              <w:spacing w:after="0"/>
              <w:rPr>
                <w:sz w:val="20"/>
                <w:szCs w:val="20"/>
                <w:color w:val="auto"/>
              </w:rPr>
            </w:pPr>
            <w:r>
              <w:rPr>
                <w:rFonts w:ascii="Arial" w:cs="Arial" w:eastAsia="Arial" w:hAnsi="Arial"/>
                <w:sz w:val="14"/>
                <w:szCs w:val="14"/>
                <w:color w:val="060606"/>
              </w:rPr>
              <w:t>—</w:t>
            </w:r>
          </w:p>
        </w:tc>
        <w:tc>
          <w:tcPr>
            <w:tcW w:w="880" w:type="dxa"/>
            <w:vAlign w:val="bottom"/>
            <w:vMerge w:val="restart"/>
          </w:tcPr>
          <w:p>
            <w:pPr>
              <w:jc w:val="right"/>
              <w:ind w:right="110"/>
              <w:spacing w:after="0"/>
              <w:rPr>
                <w:sz w:val="20"/>
                <w:szCs w:val="20"/>
                <w:color w:val="auto"/>
              </w:rPr>
            </w:pPr>
            <w:r>
              <w:rPr>
                <w:rFonts w:ascii="Arial" w:cs="Arial" w:eastAsia="Arial" w:hAnsi="Arial"/>
                <w:sz w:val="14"/>
                <w:szCs w:val="14"/>
                <w:color w:val="060606"/>
              </w:rPr>
              <w:t>(4.4)</w:t>
            </w:r>
          </w:p>
        </w:tc>
        <w:tc>
          <w:tcPr>
            <w:tcW w:w="980" w:type="dxa"/>
            <w:vAlign w:val="bottom"/>
            <w:vMerge w:val="restart"/>
          </w:tcPr>
          <w:p>
            <w:pPr>
              <w:jc w:val="right"/>
              <w:ind w:right="150"/>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780" w:type="dxa"/>
            <w:vAlign w:val="bottom"/>
            <w:vMerge w:val="restart"/>
          </w:tcPr>
          <w:p>
            <w:pPr>
              <w:jc w:val="right"/>
              <w:ind w:right="110"/>
              <w:spacing w:after="0"/>
              <w:rPr>
                <w:sz w:val="20"/>
                <w:szCs w:val="20"/>
                <w:color w:val="auto"/>
              </w:rPr>
            </w:pPr>
            <w:r>
              <w:rPr>
                <w:rFonts w:ascii="Arial" w:cs="Arial" w:eastAsia="Arial" w:hAnsi="Arial"/>
                <w:sz w:val="14"/>
                <w:szCs w:val="14"/>
                <w:color w:val="060606"/>
              </w:rPr>
              <w:t>—</w:t>
            </w: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4"/>
                <w:szCs w:val="14"/>
                <w:color w:val="060606"/>
              </w:rPr>
              <w:t>expense</w:t>
            </w:r>
          </w:p>
        </w:tc>
        <w:tc>
          <w:tcPr>
            <w:tcW w:w="7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ind w:left="20"/>
              <w:spacing w:after="0"/>
              <w:rPr>
                <w:sz w:val="20"/>
                <w:szCs w:val="20"/>
                <w:color w:val="auto"/>
              </w:rPr>
            </w:pPr>
            <w:r>
              <w:rPr>
                <w:rFonts w:ascii="Arial" w:cs="Arial" w:eastAsia="Arial" w:hAnsi="Arial"/>
                <w:sz w:val="14"/>
                <w:szCs w:val="14"/>
                <w:color w:val="060606"/>
              </w:rPr>
              <w:t>Operating income</w:t>
            </w:r>
          </w:p>
        </w:tc>
        <w:tc>
          <w:tcPr>
            <w:tcW w:w="740" w:type="dxa"/>
            <w:vAlign w:val="bottom"/>
          </w:tcPr>
          <w:p>
            <w:pPr>
              <w:jc w:val="right"/>
              <w:ind w:right="110"/>
              <w:spacing w:after="0"/>
              <w:rPr>
                <w:sz w:val="20"/>
                <w:szCs w:val="20"/>
                <w:color w:val="auto"/>
              </w:rPr>
            </w:pPr>
            <w:r>
              <w:rPr>
                <w:rFonts w:ascii="Arial" w:cs="Arial" w:eastAsia="Arial" w:hAnsi="Arial"/>
                <w:sz w:val="14"/>
                <w:szCs w:val="14"/>
                <w:color w:val="060606"/>
              </w:rPr>
              <w:t>156.8</w:t>
            </w:r>
          </w:p>
        </w:tc>
        <w:tc>
          <w:tcPr>
            <w:tcW w:w="1020" w:type="dxa"/>
            <w:vAlign w:val="bottom"/>
          </w:tcPr>
          <w:p>
            <w:pPr>
              <w:ind w:left="520"/>
              <w:spacing w:after="0"/>
              <w:rPr>
                <w:sz w:val="20"/>
                <w:szCs w:val="20"/>
                <w:color w:val="auto"/>
              </w:rPr>
            </w:pPr>
            <w:r>
              <w:rPr>
                <w:rFonts w:ascii="Arial" w:cs="Arial" w:eastAsia="Arial" w:hAnsi="Arial"/>
                <w:sz w:val="14"/>
                <w:szCs w:val="14"/>
                <w:color w:val="060606"/>
              </w:rPr>
              <w:t>(0.2)</w:t>
            </w:r>
          </w:p>
        </w:tc>
        <w:tc>
          <w:tcPr>
            <w:tcW w:w="880" w:type="dxa"/>
            <w:vAlign w:val="bottom"/>
          </w:tcPr>
          <w:p>
            <w:pPr>
              <w:jc w:val="right"/>
              <w:ind w:right="130"/>
              <w:spacing w:after="0"/>
              <w:rPr>
                <w:sz w:val="20"/>
                <w:szCs w:val="20"/>
                <w:color w:val="auto"/>
              </w:rPr>
            </w:pPr>
            <w:r>
              <w:rPr>
                <w:rFonts w:ascii="Arial" w:cs="Arial" w:eastAsia="Arial" w:hAnsi="Arial"/>
                <w:sz w:val="14"/>
                <w:szCs w:val="14"/>
                <w:color w:val="060606"/>
              </w:rPr>
              <w:t>12.8</w:t>
            </w:r>
          </w:p>
        </w:tc>
        <w:tc>
          <w:tcPr>
            <w:tcW w:w="86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94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1020" w:type="dxa"/>
            <w:vAlign w:val="bottom"/>
          </w:tcPr>
          <w:p>
            <w:pPr>
              <w:jc w:val="right"/>
              <w:ind w:right="149"/>
              <w:spacing w:after="0"/>
              <w:rPr>
                <w:sz w:val="20"/>
                <w:szCs w:val="20"/>
                <w:color w:val="auto"/>
              </w:rPr>
            </w:pPr>
            <w:r>
              <w:rPr>
                <w:rFonts w:ascii="Arial" w:cs="Arial" w:eastAsia="Arial" w:hAnsi="Arial"/>
                <w:sz w:val="14"/>
                <w:szCs w:val="14"/>
                <w:color w:val="060606"/>
              </w:rPr>
              <w:t>5.5</w:t>
            </w:r>
          </w:p>
        </w:tc>
        <w:tc>
          <w:tcPr>
            <w:tcW w:w="880" w:type="dxa"/>
            <w:vAlign w:val="bottom"/>
          </w:tcPr>
          <w:p>
            <w:pPr>
              <w:jc w:val="right"/>
              <w:ind w:right="150"/>
              <w:spacing w:after="0"/>
              <w:rPr>
                <w:sz w:val="20"/>
                <w:szCs w:val="20"/>
                <w:color w:val="auto"/>
              </w:rPr>
            </w:pPr>
            <w:r>
              <w:rPr>
                <w:rFonts w:ascii="Arial" w:cs="Arial" w:eastAsia="Arial" w:hAnsi="Arial"/>
                <w:sz w:val="14"/>
                <w:szCs w:val="14"/>
                <w:color w:val="060606"/>
              </w:rPr>
              <w:t>20.5</w:t>
            </w:r>
          </w:p>
        </w:tc>
        <w:tc>
          <w:tcPr>
            <w:tcW w:w="980" w:type="dxa"/>
            <w:vAlign w:val="bottom"/>
          </w:tcPr>
          <w:p>
            <w:pPr>
              <w:jc w:val="right"/>
              <w:ind w:right="150"/>
              <w:spacing w:after="0"/>
              <w:rPr>
                <w:sz w:val="20"/>
                <w:szCs w:val="20"/>
                <w:color w:val="auto"/>
              </w:rPr>
            </w:pPr>
            <w:r>
              <w:rPr>
                <w:rFonts w:ascii="Arial" w:cs="Arial" w:eastAsia="Arial" w:hAnsi="Arial"/>
                <w:sz w:val="14"/>
                <w:szCs w:val="14"/>
                <w:color w:val="060606"/>
              </w:rPr>
              <w:t>26.9</w:t>
            </w:r>
          </w:p>
        </w:tc>
        <w:tc>
          <w:tcPr>
            <w:tcW w:w="920" w:type="dxa"/>
            <w:vAlign w:val="bottom"/>
          </w:tcPr>
          <w:p>
            <w:pPr>
              <w:ind w:left="580"/>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780" w:type="dxa"/>
            <w:vAlign w:val="bottom"/>
          </w:tcPr>
          <w:p>
            <w:pPr>
              <w:jc w:val="right"/>
              <w:ind w:right="110"/>
              <w:spacing w:after="0"/>
              <w:rPr>
                <w:sz w:val="20"/>
                <w:szCs w:val="20"/>
                <w:color w:val="auto"/>
              </w:rPr>
            </w:pPr>
            <w:r>
              <w:rPr>
                <w:rFonts w:ascii="Arial" w:cs="Arial" w:eastAsia="Arial" w:hAnsi="Arial"/>
                <w:sz w:val="14"/>
                <w:szCs w:val="14"/>
                <w:color w:val="060606"/>
              </w:rPr>
              <w:t>222.3</w:t>
            </w:r>
          </w:p>
        </w:tc>
        <w:tc>
          <w:tcPr>
            <w:tcW w:w="0" w:type="dxa"/>
            <w:vAlign w:val="bottom"/>
          </w:tcPr>
          <w:p>
            <w:pPr>
              <w:spacing w:after="0"/>
              <w:rPr>
                <w:sz w:val="1"/>
                <w:szCs w:val="1"/>
                <w:color w:val="auto"/>
              </w:rPr>
            </w:pPr>
          </w:p>
        </w:tc>
      </w:tr>
      <w:tr>
        <w:trPr>
          <w:trHeight w:val="161"/>
        </w:trPr>
        <w:tc>
          <w:tcPr>
            <w:tcW w:w="1300" w:type="dxa"/>
            <w:vAlign w:val="bottom"/>
          </w:tcPr>
          <w:p>
            <w:pPr>
              <w:ind w:left="20"/>
              <w:spacing w:after="0"/>
              <w:rPr>
                <w:sz w:val="20"/>
                <w:szCs w:val="20"/>
                <w:color w:val="auto"/>
              </w:rPr>
            </w:pPr>
            <w:r>
              <w:rPr>
                <w:rFonts w:ascii="Arial" w:cs="Arial" w:eastAsia="Arial" w:hAnsi="Arial"/>
                <w:sz w:val="14"/>
                <w:szCs w:val="14"/>
                <w:color w:val="060606"/>
              </w:rPr>
              <w:t>Operating margin</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060606"/>
              </w:rPr>
              <w:t>15.3 %</w:t>
            </w:r>
          </w:p>
        </w:tc>
        <w:tc>
          <w:tcPr>
            <w:tcW w:w="1020" w:type="dxa"/>
            <w:vAlign w:val="bottom"/>
            <w:vMerge w:val="restart"/>
          </w:tcPr>
          <w:p>
            <w:pPr>
              <w:ind w:left="640"/>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1.2 %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0.5 %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2.0 %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2.6 %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21.6 %</w:t>
            </w: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4"/>
                <w:szCs w:val="14"/>
                <w:color w:val="060606"/>
              </w:rPr>
              <w:t>percent</w:t>
            </w:r>
          </w:p>
        </w:tc>
        <w:tc>
          <w:tcPr>
            <w:tcW w:w="7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ind w:left="20"/>
              <w:spacing w:after="0"/>
              <w:rPr>
                <w:sz w:val="20"/>
                <w:szCs w:val="20"/>
                <w:color w:val="auto"/>
              </w:rPr>
            </w:pPr>
            <w:r>
              <w:rPr>
                <w:rFonts w:ascii="Arial" w:cs="Arial" w:eastAsia="Arial" w:hAnsi="Arial"/>
                <w:sz w:val="14"/>
                <w:szCs w:val="14"/>
                <w:color w:val="060606"/>
              </w:rPr>
              <w:t>Net (loss) income</w:t>
            </w:r>
          </w:p>
        </w:tc>
        <w:tc>
          <w:tcPr>
            <w:tcW w:w="740" w:type="dxa"/>
            <w:vAlign w:val="bottom"/>
          </w:tcPr>
          <w:p>
            <w:pPr>
              <w:jc w:val="right"/>
              <w:ind w:right="70"/>
              <w:spacing w:after="0"/>
              <w:rPr>
                <w:sz w:val="20"/>
                <w:szCs w:val="20"/>
                <w:color w:val="auto"/>
              </w:rPr>
            </w:pPr>
            <w:r>
              <w:rPr>
                <w:rFonts w:ascii="Arial" w:cs="Arial" w:eastAsia="Arial" w:hAnsi="Arial"/>
                <w:sz w:val="14"/>
                <w:szCs w:val="14"/>
                <w:color w:val="060606"/>
              </w:rPr>
              <w:t>(273.4)</w:t>
            </w:r>
          </w:p>
        </w:tc>
        <w:tc>
          <w:tcPr>
            <w:tcW w:w="1020" w:type="dxa"/>
            <w:vAlign w:val="bottom"/>
          </w:tcPr>
          <w:p>
            <w:pPr>
              <w:ind w:left="520"/>
              <w:spacing w:after="0"/>
              <w:rPr>
                <w:sz w:val="20"/>
                <w:szCs w:val="20"/>
                <w:color w:val="auto"/>
              </w:rPr>
            </w:pPr>
            <w:r>
              <w:rPr>
                <w:rFonts w:ascii="Arial" w:cs="Arial" w:eastAsia="Arial" w:hAnsi="Arial"/>
                <w:sz w:val="14"/>
                <w:szCs w:val="14"/>
                <w:color w:val="060606"/>
              </w:rPr>
              <w:t>(0.2)</w:t>
            </w:r>
          </w:p>
        </w:tc>
        <w:tc>
          <w:tcPr>
            <w:tcW w:w="880" w:type="dxa"/>
            <w:vAlign w:val="bottom"/>
          </w:tcPr>
          <w:p>
            <w:pPr>
              <w:jc w:val="right"/>
              <w:ind w:right="130"/>
              <w:spacing w:after="0"/>
              <w:rPr>
                <w:sz w:val="20"/>
                <w:szCs w:val="20"/>
                <w:color w:val="auto"/>
              </w:rPr>
            </w:pPr>
            <w:r>
              <w:rPr>
                <w:rFonts w:ascii="Arial" w:cs="Arial" w:eastAsia="Arial" w:hAnsi="Arial"/>
                <w:sz w:val="14"/>
                <w:szCs w:val="14"/>
                <w:color w:val="060606"/>
              </w:rPr>
              <w:t>12.8</w:t>
            </w:r>
          </w:p>
        </w:tc>
        <w:tc>
          <w:tcPr>
            <w:tcW w:w="860" w:type="dxa"/>
            <w:vAlign w:val="bottom"/>
          </w:tcPr>
          <w:p>
            <w:pPr>
              <w:jc w:val="right"/>
              <w:ind w:right="149"/>
              <w:spacing w:after="0"/>
              <w:rPr>
                <w:sz w:val="20"/>
                <w:szCs w:val="20"/>
                <w:color w:val="auto"/>
              </w:rPr>
            </w:pPr>
            <w:r>
              <w:rPr>
                <w:rFonts w:ascii="Arial" w:cs="Arial" w:eastAsia="Arial" w:hAnsi="Arial"/>
                <w:sz w:val="14"/>
                <w:szCs w:val="14"/>
                <w:color w:val="060606"/>
              </w:rPr>
              <w:t>1.1</w:t>
            </w:r>
          </w:p>
        </w:tc>
        <w:tc>
          <w:tcPr>
            <w:tcW w:w="940" w:type="dxa"/>
            <w:vAlign w:val="bottom"/>
          </w:tcPr>
          <w:p>
            <w:pPr>
              <w:jc w:val="right"/>
              <w:ind w:right="129"/>
              <w:spacing w:after="0"/>
              <w:rPr>
                <w:sz w:val="20"/>
                <w:szCs w:val="20"/>
                <w:color w:val="auto"/>
              </w:rPr>
            </w:pPr>
            <w:r>
              <w:rPr>
                <w:rFonts w:ascii="Arial" w:cs="Arial" w:eastAsia="Arial" w:hAnsi="Arial"/>
                <w:sz w:val="14"/>
                <w:szCs w:val="14"/>
                <w:color w:val="060606"/>
              </w:rPr>
              <w:t>13.9</w:t>
            </w:r>
          </w:p>
        </w:tc>
        <w:tc>
          <w:tcPr>
            <w:tcW w:w="1020" w:type="dxa"/>
            <w:vAlign w:val="bottom"/>
          </w:tcPr>
          <w:p>
            <w:pPr>
              <w:jc w:val="right"/>
              <w:ind w:right="149"/>
              <w:spacing w:after="0"/>
              <w:rPr>
                <w:sz w:val="20"/>
                <w:szCs w:val="20"/>
                <w:color w:val="auto"/>
              </w:rPr>
            </w:pPr>
            <w:r>
              <w:rPr>
                <w:rFonts w:ascii="Arial" w:cs="Arial" w:eastAsia="Arial" w:hAnsi="Arial"/>
                <w:sz w:val="14"/>
                <w:szCs w:val="14"/>
                <w:color w:val="060606"/>
              </w:rPr>
              <w:t>5.5</w:t>
            </w:r>
          </w:p>
        </w:tc>
        <w:tc>
          <w:tcPr>
            <w:tcW w:w="880" w:type="dxa"/>
            <w:vAlign w:val="bottom"/>
          </w:tcPr>
          <w:p>
            <w:pPr>
              <w:jc w:val="right"/>
              <w:ind w:right="150"/>
              <w:spacing w:after="0"/>
              <w:rPr>
                <w:sz w:val="20"/>
                <w:szCs w:val="20"/>
                <w:color w:val="auto"/>
              </w:rPr>
            </w:pPr>
            <w:r>
              <w:rPr>
                <w:rFonts w:ascii="Arial" w:cs="Arial" w:eastAsia="Arial" w:hAnsi="Arial"/>
                <w:sz w:val="14"/>
                <w:szCs w:val="14"/>
                <w:color w:val="060606"/>
              </w:rPr>
              <w:t>384.4</w:t>
            </w:r>
          </w:p>
        </w:tc>
        <w:tc>
          <w:tcPr>
            <w:tcW w:w="980" w:type="dxa"/>
            <w:vAlign w:val="bottom"/>
          </w:tcPr>
          <w:p>
            <w:pPr>
              <w:jc w:val="right"/>
              <w:ind w:right="150"/>
              <w:spacing w:after="0"/>
              <w:rPr>
                <w:sz w:val="20"/>
                <w:szCs w:val="20"/>
                <w:color w:val="auto"/>
              </w:rPr>
            </w:pPr>
            <w:r>
              <w:rPr>
                <w:rFonts w:ascii="Arial" w:cs="Arial" w:eastAsia="Arial" w:hAnsi="Arial"/>
                <w:sz w:val="14"/>
                <w:szCs w:val="14"/>
                <w:color w:val="060606"/>
              </w:rPr>
              <w:t>26.9</w:t>
            </w:r>
          </w:p>
        </w:tc>
        <w:tc>
          <w:tcPr>
            <w:tcW w:w="920" w:type="dxa"/>
            <w:vAlign w:val="bottom"/>
          </w:tcPr>
          <w:p>
            <w:pPr>
              <w:jc w:val="right"/>
              <w:ind w:right="89"/>
              <w:spacing w:after="0"/>
              <w:rPr>
                <w:sz w:val="20"/>
                <w:szCs w:val="20"/>
                <w:color w:val="auto"/>
              </w:rPr>
            </w:pPr>
            <w:r>
              <w:rPr>
                <w:rFonts w:ascii="Arial" w:cs="Arial" w:eastAsia="Arial" w:hAnsi="Arial"/>
                <w:sz w:val="14"/>
                <w:szCs w:val="14"/>
                <w:color w:val="060606"/>
              </w:rPr>
              <w:t>(24.1)</w:t>
            </w:r>
          </w:p>
        </w:tc>
        <w:tc>
          <w:tcPr>
            <w:tcW w:w="920" w:type="dxa"/>
            <w:vAlign w:val="bottom"/>
          </w:tcPr>
          <w:p>
            <w:pPr>
              <w:jc w:val="right"/>
              <w:ind w:right="129"/>
              <w:spacing w:after="0"/>
              <w:rPr>
                <w:sz w:val="20"/>
                <w:szCs w:val="20"/>
                <w:color w:val="auto"/>
              </w:rPr>
            </w:pPr>
            <w:r>
              <w:rPr>
                <w:rFonts w:ascii="Arial" w:cs="Arial" w:eastAsia="Arial" w:hAnsi="Arial"/>
                <w:sz w:val="14"/>
                <w:szCs w:val="14"/>
                <w:color w:val="060606"/>
              </w:rPr>
              <w:t>20.0</w:t>
            </w:r>
          </w:p>
        </w:tc>
        <w:tc>
          <w:tcPr>
            <w:tcW w:w="780" w:type="dxa"/>
            <w:vAlign w:val="bottom"/>
          </w:tcPr>
          <w:p>
            <w:pPr>
              <w:jc w:val="right"/>
              <w:ind w:right="110"/>
              <w:spacing w:after="0"/>
              <w:rPr>
                <w:sz w:val="20"/>
                <w:szCs w:val="20"/>
                <w:color w:val="auto"/>
              </w:rPr>
            </w:pPr>
            <w:r>
              <w:rPr>
                <w:rFonts w:ascii="Arial" w:cs="Arial" w:eastAsia="Arial" w:hAnsi="Arial"/>
                <w:sz w:val="14"/>
                <w:szCs w:val="14"/>
                <w:color w:val="060606"/>
              </w:rPr>
              <w:t>166.9</w:t>
            </w:r>
          </w:p>
        </w:tc>
        <w:tc>
          <w:tcPr>
            <w:tcW w:w="0" w:type="dxa"/>
            <w:vAlign w:val="bottom"/>
          </w:tcPr>
          <w:p>
            <w:pPr>
              <w:spacing w:after="0"/>
              <w:rPr>
                <w:sz w:val="1"/>
                <w:szCs w:val="1"/>
                <w:color w:val="auto"/>
              </w:rPr>
            </w:pPr>
          </w:p>
        </w:tc>
      </w:tr>
      <w:tr>
        <w:trPr>
          <w:trHeight w:val="161"/>
        </w:trPr>
        <w:tc>
          <w:tcPr>
            <w:tcW w:w="1300" w:type="dxa"/>
            <w:vAlign w:val="bottom"/>
          </w:tcPr>
          <w:p>
            <w:pPr>
              <w:ind w:left="20"/>
              <w:spacing w:after="0"/>
              <w:rPr>
                <w:sz w:val="20"/>
                <w:szCs w:val="20"/>
                <w:color w:val="auto"/>
              </w:rPr>
            </w:pPr>
            <w:r>
              <w:rPr>
                <w:rFonts w:ascii="Arial" w:cs="Arial" w:eastAsia="Arial" w:hAnsi="Arial"/>
                <w:sz w:val="14"/>
                <w:szCs w:val="14"/>
                <w:color w:val="060606"/>
              </w:rPr>
              <w:t>Net (loss) income</w:t>
            </w: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ind w:left="20"/>
              <w:spacing w:after="0" w:line="149" w:lineRule="exact"/>
              <w:rPr>
                <w:sz w:val="20"/>
                <w:szCs w:val="20"/>
                <w:color w:val="auto"/>
              </w:rPr>
            </w:pPr>
            <w:r>
              <w:rPr>
                <w:rFonts w:ascii="Arial" w:cs="Arial" w:eastAsia="Arial" w:hAnsi="Arial"/>
                <w:sz w:val="14"/>
                <w:szCs w:val="14"/>
                <w:color w:val="060606"/>
              </w:rPr>
              <w:t>as a percent of net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060606"/>
              </w:rPr>
              <w:t>(26.6)%</w:t>
            </w:r>
          </w:p>
        </w:tc>
        <w:tc>
          <w:tcPr>
            <w:tcW w:w="1020" w:type="dxa"/>
            <w:vAlign w:val="bottom"/>
            <w:vMerge w:val="restart"/>
          </w:tcPr>
          <w:p>
            <w:pPr>
              <w:ind w:left="640"/>
              <w:spacing w:after="0"/>
              <w:rPr>
                <w:sz w:val="20"/>
                <w:szCs w:val="20"/>
                <w:color w:val="auto"/>
              </w:rPr>
            </w:pPr>
            <w:r>
              <w:rPr>
                <w:rFonts w:ascii="Arial" w:cs="Arial" w:eastAsia="Arial" w:hAnsi="Arial"/>
                <w:sz w:val="14"/>
                <w:szCs w:val="14"/>
                <w:color w:val="060606"/>
              </w:rPr>
              <w:t>—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1.2 %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0.1 %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1.4 %</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060606"/>
              </w:rPr>
              <w:t>0.5 %</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060606"/>
              </w:rPr>
              <w:t>37.4 %</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060606"/>
              </w:rPr>
              <w:t>2.6 %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(2.3)%</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2.0 %</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060606"/>
              </w:rPr>
              <w:t>16.3 %</w:t>
            </w:r>
          </w:p>
        </w:tc>
        <w:tc>
          <w:tcPr>
            <w:tcW w:w="0" w:type="dxa"/>
            <w:vAlign w:val="bottom"/>
          </w:tcPr>
          <w:p>
            <w:pPr>
              <w:spacing w:after="0"/>
              <w:rPr>
                <w:sz w:val="1"/>
                <w:szCs w:val="1"/>
                <w:color w:val="auto"/>
              </w:rPr>
            </w:pPr>
          </w:p>
        </w:tc>
      </w:tr>
      <w:tr>
        <w:trPr>
          <w:trHeight w:val="189"/>
        </w:trPr>
        <w:tc>
          <w:tcPr>
            <w:tcW w:w="1300" w:type="dxa"/>
            <w:vAlign w:val="bottom"/>
          </w:tcPr>
          <w:p>
            <w:pPr>
              <w:ind w:left="20"/>
              <w:spacing w:after="0"/>
              <w:rPr>
                <w:sz w:val="20"/>
                <w:szCs w:val="20"/>
                <w:color w:val="auto"/>
              </w:rPr>
            </w:pPr>
            <w:r>
              <w:rPr>
                <w:rFonts w:ascii="Arial" w:cs="Arial" w:eastAsia="Arial" w:hAnsi="Arial"/>
                <w:sz w:val="14"/>
                <w:szCs w:val="14"/>
                <w:color w:val="060606"/>
              </w:rPr>
              <w:t>revenue</w:t>
            </w:r>
          </w:p>
        </w:tc>
        <w:tc>
          <w:tcPr>
            <w:tcW w:w="7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300" w:type="dxa"/>
            <w:vAlign w:val="bottom"/>
          </w:tcPr>
          <w:p>
            <w:pPr>
              <w:ind w:left="20"/>
              <w:spacing w:after="0"/>
              <w:rPr>
                <w:sz w:val="20"/>
                <w:szCs w:val="20"/>
                <w:color w:val="auto"/>
              </w:rPr>
            </w:pPr>
            <w:r>
              <w:rPr>
                <w:rFonts w:ascii="Arial" w:cs="Arial" w:eastAsia="Arial" w:hAnsi="Arial"/>
                <w:sz w:val="14"/>
                <w:szCs w:val="14"/>
                <w:color w:val="060606"/>
              </w:rPr>
              <w:t>Diluted EPS</w:t>
            </w:r>
          </w:p>
        </w:tc>
        <w:tc>
          <w:tcPr>
            <w:tcW w:w="740" w:type="dxa"/>
            <w:vAlign w:val="bottom"/>
          </w:tcPr>
          <w:p>
            <w:pPr>
              <w:jc w:val="right"/>
              <w:ind w:right="70"/>
              <w:spacing w:after="0"/>
              <w:rPr>
                <w:sz w:val="20"/>
                <w:szCs w:val="20"/>
                <w:color w:val="auto"/>
              </w:rPr>
            </w:pPr>
            <w:r>
              <w:rPr>
                <w:rFonts w:ascii="Arial" w:cs="Arial" w:eastAsia="Arial" w:hAnsi="Arial"/>
                <w:sz w:val="14"/>
                <w:szCs w:val="14"/>
                <w:color w:val="060606"/>
              </w:rPr>
              <w:t>($5.01)</w:t>
            </w:r>
          </w:p>
        </w:tc>
        <w:tc>
          <w:tcPr>
            <w:tcW w:w="1020" w:type="dxa"/>
            <w:vAlign w:val="bottom"/>
          </w:tcPr>
          <w:p>
            <w:pPr>
              <w:jc w:val="right"/>
              <w:ind w:right="169"/>
              <w:spacing w:after="0"/>
              <w:rPr>
                <w:sz w:val="20"/>
                <w:szCs w:val="20"/>
                <w:color w:val="auto"/>
              </w:rPr>
            </w:pPr>
            <w:r>
              <w:rPr>
                <w:rFonts w:ascii="Arial" w:cs="Arial" w:eastAsia="Arial" w:hAnsi="Arial"/>
                <w:sz w:val="14"/>
                <w:szCs w:val="14"/>
                <w:color w:val="060606"/>
              </w:rPr>
              <w:t>$—</w:t>
            </w:r>
          </w:p>
        </w:tc>
        <w:tc>
          <w:tcPr>
            <w:tcW w:w="880" w:type="dxa"/>
            <w:vAlign w:val="bottom"/>
          </w:tcPr>
          <w:p>
            <w:pPr>
              <w:jc w:val="right"/>
              <w:ind w:right="130"/>
              <w:spacing w:after="0"/>
              <w:rPr>
                <w:sz w:val="20"/>
                <w:szCs w:val="20"/>
                <w:color w:val="auto"/>
              </w:rPr>
            </w:pPr>
            <w:r>
              <w:rPr>
                <w:rFonts w:ascii="Arial" w:cs="Arial" w:eastAsia="Arial" w:hAnsi="Arial"/>
                <w:sz w:val="14"/>
                <w:szCs w:val="14"/>
                <w:color w:val="060606"/>
              </w:rPr>
              <w:t>$0.23</w:t>
            </w:r>
          </w:p>
        </w:tc>
        <w:tc>
          <w:tcPr>
            <w:tcW w:w="860" w:type="dxa"/>
            <w:vAlign w:val="bottom"/>
          </w:tcPr>
          <w:p>
            <w:pPr>
              <w:jc w:val="right"/>
              <w:ind w:right="149"/>
              <w:spacing w:after="0"/>
              <w:rPr>
                <w:sz w:val="20"/>
                <w:szCs w:val="20"/>
                <w:color w:val="auto"/>
              </w:rPr>
            </w:pPr>
            <w:r>
              <w:rPr>
                <w:rFonts w:ascii="Arial" w:cs="Arial" w:eastAsia="Arial" w:hAnsi="Arial"/>
                <w:sz w:val="14"/>
                <w:szCs w:val="14"/>
                <w:color w:val="060606"/>
              </w:rPr>
              <w:t>$0.02</w:t>
            </w:r>
          </w:p>
        </w:tc>
        <w:tc>
          <w:tcPr>
            <w:tcW w:w="940" w:type="dxa"/>
            <w:vAlign w:val="bottom"/>
          </w:tcPr>
          <w:p>
            <w:pPr>
              <w:jc w:val="right"/>
              <w:ind w:right="129"/>
              <w:spacing w:after="0"/>
              <w:rPr>
                <w:sz w:val="20"/>
                <w:szCs w:val="20"/>
                <w:color w:val="auto"/>
              </w:rPr>
            </w:pPr>
            <w:r>
              <w:rPr>
                <w:rFonts w:ascii="Arial" w:cs="Arial" w:eastAsia="Arial" w:hAnsi="Arial"/>
                <w:sz w:val="14"/>
                <w:szCs w:val="14"/>
                <w:color w:val="060606"/>
              </w:rPr>
              <w:t>$0.25</w:t>
            </w:r>
          </w:p>
        </w:tc>
        <w:tc>
          <w:tcPr>
            <w:tcW w:w="1020" w:type="dxa"/>
            <w:vAlign w:val="bottom"/>
          </w:tcPr>
          <w:p>
            <w:pPr>
              <w:jc w:val="right"/>
              <w:ind w:right="149"/>
              <w:spacing w:after="0"/>
              <w:rPr>
                <w:sz w:val="20"/>
                <w:szCs w:val="20"/>
                <w:color w:val="auto"/>
              </w:rPr>
            </w:pPr>
            <w:r>
              <w:rPr>
                <w:rFonts w:ascii="Arial" w:cs="Arial" w:eastAsia="Arial" w:hAnsi="Arial"/>
                <w:sz w:val="14"/>
                <w:szCs w:val="14"/>
                <w:color w:val="060606"/>
              </w:rPr>
              <w:t>$0.10</w:t>
            </w:r>
          </w:p>
        </w:tc>
        <w:tc>
          <w:tcPr>
            <w:tcW w:w="880" w:type="dxa"/>
            <w:vAlign w:val="bottom"/>
          </w:tcPr>
          <w:p>
            <w:pPr>
              <w:jc w:val="right"/>
              <w:ind w:right="150"/>
              <w:spacing w:after="0"/>
              <w:rPr>
                <w:sz w:val="20"/>
                <w:szCs w:val="20"/>
                <w:color w:val="auto"/>
              </w:rPr>
            </w:pPr>
            <w:r>
              <w:rPr>
                <w:rFonts w:ascii="Arial" w:cs="Arial" w:eastAsia="Arial" w:hAnsi="Arial"/>
                <w:sz w:val="14"/>
                <w:szCs w:val="14"/>
                <w:color w:val="060606"/>
              </w:rPr>
              <w:t>$7.01</w:t>
            </w:r>
          </w:p>
        </w:tc>
        <w:tc>
          <w:tcPr>
            <w:tcW w:w="980" w:type="dxa"/>
            <w:vAlign w:val="bottom"/>
          </w:tcPr>
          <w:p>
            <w:pPr>
              <w:jc w:val="right"/>
              <w:ind w:right="150"/>
              <w:spacing w:after="0"/>
              <w:rPr>
                <w:sz w:val="20"/>
                <w:szCs w:val="20"/>
                <w:color w:val="auto"/>
              </w:rPr>
            </w:pPr>
            <w:r>
              <w:rPr>
                <w:rFonts w:ascii="Arial" w:cs="Arial" w:eastAsia="Arial" w:hAnsi="Arial"/>
                <w:sz w:val="14"/>
                <w:szCs w:val="14"/>
                <w:color w:val="060606"/>
              </w:rPr>
              <w:t>$0.49</w:t>
            </w:r>
          </w:p>
        </w:tc>
        <w:tc>
          <w:tcPr>
            <w:tcW w:w="920" w:type="dxa"/>
            <w:vAlign w:val="bottom"/>
          </w:tcPr>
          <w:p>
            <w:pPr>
              <w:jc w:val="right"/>
              <w:ind w:right="89"/>
              <w:spacing w:after="0"/>
              <w:rPr>
                <w:sz w:val="20"/>
                <w:szCs w:val="20"/>
                <w:color w:val="auto"/>
              </w:rPr>
            </w:pPr>
            <w:r>
              <w:rPr>
                <w:rFonts w:ascii="Arial" w:cs="Arial" w:eastAsia="Arial" w:hAnsi="Arial"/>
                <w:sz w:val="14"/>
                <w:szCs w:val="14"/>
                <w:color w:val="060606"/>
              </w:rPr>
              <w:t>($0.44)</w:t>
            </w:r>
          </w:p>
        </w:tc>
        <w:tc>
          <w:tcPr>
            <w:tcW w:w="920" w:type="dxa"/>
            <w:vAlign w:val="bottom"/>
          </w:tcPr>
          <w:p>
            <w:pPr>
              <w:jc w:val="right"/>
              <w:ind w:right="129"/>
              <w:spacing w:after="0"/>
              <w:rPr>
                <w:sz w:val="20"/>
                <w:szCs w:val="20"/>
                <w:color w:val="auto"/>
              </w:rPr>
            </w:pPr>
            <w:r>
              <w:rPr>
                <w:rFonts w:ascii="Arial" w:cs="Arial" w:eastAsia="Arial" w:hAnsi="Arial"/>
                <w:sz w:val="14"/>
                <w:szCs w:val="14"/>
                <w:color w:val="060606"/>
              </w:rPr>
              <w:t>$0.37</w:t>
            </w:r>
          </w:p>
        </w:tc>
        <w:tc>
          <w:tcPr>
            <w:tcW w:w="780" w:type="dxa"/>
            <w:vAlign w:val="bottom"/>
          </w:tcPr>
          <w:p>
            <w:pPr>
              <w:jc w:val="right"/>
              <w:ind w:right="110"/>
              <w:spacing w:after="0"/>
              <w:rPr>
                <w:sz w:val="20"/>
                <w:szCs w:val="20"/>
                <w:color w:val="auto"/>
              </w:rPr>
            </w:pPr>
            <w:r>
              <w:rPr>
                <w:rFonts w:ascii="Arial" w:cs="Arial" w:eastAsia="Arial" w:hAnsi="Arial"/>
                <w:sz w:val="14"/>
                <w:szCs w:val="14"/>
                <w:color w:val="060606"/>
              </w:rPr>
              <w:t>$3.04</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060606"/>
        </w:rPr>
        <w:t>GAAP results for the nine months ended September 30, 2025 include:</w:t>
      </w:r>
    </w:p>
    <w:p>
      <w:pPr>
        <w:ind w:left="180" w:hanging="172"/>
        <w:spacing w:after="0" w:line="218" w:lineRule="auto"/>
        <w:tabs>
          <w:tab w:leader="none" w:pos="18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Restructuring expenses related to organizational changes</w:t>
      </w:r>
    </w:p>
    <w:p>
      <w:pPr>
        <w:spacing w:after="0" w:line="4" w:lineRule="exact"/>
        <w:rPr>
          <w:rFonts w:ascii="Arial" w:cs="Arial" w:eastAsia="Arial" w:hAnsi="Arial"/>
          <w:sz w:val="21"/>
          <w:szCs w:val="21"/>
          <w:color w:val="060606"/>
          <w:vertAlign w:val="superscript"/>
        </w:rPr>
      </w:pPr>
    </w:p>
    <w:p>
      <w:pPr>
        <w:ind w:left="180" w:hanging="172"/>
        <w:spacing w:after="0" w:line="187" w:lineRule="auto"/>
        <w:tabs>
          <w:tab w:leader="none" w:pos="18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Depreciation and amortization associated with purchase price accounting</w:t>
      </w:r>
    </w:p>
    <w:p>
      <w:pPr>
        <w:ind w:left="180" w:hanging="172"/>
        <w:spacing w:after="0" w:line="197" w:lineRule="auto"/>
        <w:tabs>
          <w:tab w:leader="none" w:pos="18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Impairment of investment in Highlife S.A.S.</w:t>
      </w:r>
    </w:p>
    <w:p>
      <w:pPr>
        <w:spacing w:after="0" w:line="4" w:lineRule="exact"/>
        <w:rPr>
          <w:rFonts w:ascii="Arial" w:cs="Arial" w:eastAsia="Arial" w:hAnsi="Arial"/>
          <w:sz w:val="21"/>
          <w:szCs w:val="21"/>
          <w:color w:val="060606"/>
          <w:vertAlign w:val="superscript"/>
        </w:rPr>
      </w:pPr>
    </w:p>
    <w:p>
      <w:pPr>
        <w:ind w:left="180" w:hanging="172"/>
        <w:spacing w:after="0" w:line="187" w:lineRule="auto"/>
        <w:tabs>
          <w:tab w:leader="none" w:pos="18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Mark-to-market adjustments for the 2025 &amp; 2029 Notes embedded and capped call derivatives and loss on debt extinguishment</w:t>
      </w:r>
    </w:p>
    <w:p>
      <w:pPr>
        <w:ind w:left="180" w:hanging="172"/>
        <w:spacing w:after="0" w:line="187" w:lineRule="auto"/>
        <w:tabs>
          <w:tab w:leader="none" w:pos="18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Remeasurement of contingent consideration related to the ImThera acquisition</w:t>
      </w:r>
    </w:p>
    <w:p>
      <w:pPr>
        <w:ind w:left="200" w:hanging="192"/>
        <w:spacing w:after="0" w:line="197" w:lineRule="auto"/>
        <w:tabs>
          <w:tab w:leader="none" w:pos="200" w:val="left"/>
        </w:tabs>
        <w:numPr>
          <w:ilvl w:val="0"/>
          <w:numId w:val="16"/>
        </w:numPr>
        <w:rPr>
          <w:rFonts w:ascii="Arial" w:cs="Arial" w:eastAsia="Arial" w:hAnsi="Arial"/>
          <w:sz w:val="21"/>
          <w:szCs w:val="21"/>
          <w:color w:val="060606"/>
          <w:vertAlign w:val="superscript"/>
        </w:rPr>
      </w:pPr>
      <w:r>
        <w:rPr>
          <w:rFonts w:ascii="Arial" w:cs="Arial" w:eastAsia="Arial" w:hAnsi="Arial"/>
          <w:sz w:val="16"/>
          <w:szCs w:val="16"/>
          <w:color w:val="060606"/>
        </w:rPr>
        <w:t>SNIA environmental liability, legal expenses primarily related to 3T Heater-Cooler defense, 3T Heater-Cooler litigation provision, cybersecurity incident</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60606"/>
        </w:rPr>
        <w:t>costs net of insurance reimbursement, MDR costs, and R&amp;D tax incentive</w:t>
      </w:r>
    </w:p>
    <w:p>
      <w:pPr>
        <w:ind w:left="180" w:hanging="172"/>
        <w:spacing w:after="0" w:line="202" w:lineRule="auto"/>
        <w:tabs>
          <w:tab w:leader="none" w:pos="180" w:val="left"/>
        </w:tabs>
        <w:numPr>
          <w:ilvl w:val="0"/>
          <w:numId w:val="17"/>
        </w:numPr>
        <w:rPr>
          <w:rFonts w:ascii="Arial" w:cs="Arial" w:eastAsia="Arial" w:hAnsi="Arial"/>
          <w:sz w:val="21"/>
          <w:szCs w:val="21"/>
          <w:color w:val="060606"/>
          <w:vertAlign w:val="superscript"/>
        </w:rPr>
      </w:pPr>
      <w:r>
        <w:rPr>
          <w:rFonts w:ascii="Arial" w:cs="Arial" w:eastAsia="Arial" w:hAnsi="Arial"/>
          <w:sz w:val="16"/>
          <w:szCs w:val="16"/>
          <w:color w:val="060606"/>
        </w:rPr>
        <w:t>Non-cash expenses associated with stock-based compensation costs</w:t>
      </w:r>
    </w:p>
    <w:p>
      <w:pPr>
        <w:spacing w:after="0" w:line="4" w:lineRule="exact"/>
        <w:rPr>
          <w:rFonts w:ascii="Arial" w:cs="Arial" w:eastAsia="Arial" w:hAnsi="Arial"/>
          <w:sz w:val="21"/>
          <w:szCs w:val="21"/>
          <w:color w:val="060606"/>
          <w:vertAlign w:val="superscript"/>
        </w:rPr>
      </w:pPr>
    </w:p>
    <w:p>
      <w:pPr>
        <w:ind w:left="180" w:hanging="172"/>
        <w:spacing w:after="0" w:line="187" w:lineRule="auto"/>
        <w:tabs>
          <w:tab w:leader="none" w:pos="180" w:val="left"/>
        </w:tabs>
        <w:numPr>
          <w:ilvl w:val="0"/>
          <w:numId w:val="17"/>
        </w:numPr>
        <w:rPr>
          <w:rFonts w:ascii="Arial" w:cs="Arial" w:eastAsia="Arial" w:hAnsi="Arial"/>
          <w:sz w:val="21"/>
          <w:szCs w:val="21"/>
          <w:color w:val="060606"/>
          <w:vertAlign w:val="superscript"/>
        </w:rPr>
      </w:pPr>
      <w:r>
        <w:rPr>
          <w:rFonts w:ascii="Arial" w:cs="Arial" w:eastAsia="Arial" w:hAnsi="Arial"/>
          <w:sz w:val="16"/>
          <w:szCs w:val="16"/>
          <w:color w:val="060606"/>
        </w:rPr>
        <w:t>The impact of valuation allowances, discrete tax items, the tax impact of intercompany transactions, and the tax impact on non-GAAP adjustments</w:t>
      </w:r>
    </w:p>
    <w:p>
      <w:pPr>
        <w:ind w:right="20" w:firstLine="8"/>
        <w:spacing w:after="0" w:line="218" w:lineRule="auto"/>
        <w:tabs>
          <w:tab w:leader="none" w:pos="185" w:val="left"/>
        </w:tabs>
        <w:numPr>
          <w:ilvl w:val="0"/>
          <w:numId w:val="17"/>
        </w:numPr>
        <w:rPr>
          <w:rFonts w:ascii="Arial" w:cs="Arial" w:eastAsia="Arial" w:hAnsi="Arial"/>
          <w:sz w:val="21"/>
          <w:szCs w:val="21"/>
          <w:color w:val="060606"/>
          <w:vertAlign w:val="superscript"/>
        </w:rPr>
      </w:pPr>
      <w:r>
        <w:rPr>
          <w:rFonts w:ascii="Arial" w:cs="Arial" w:eastAsia="Arial" w:hAnsi="Arial"/>
          <w:sz w:val="16"/>
          <w:szCs w:val="16"/>
          <w:color w:val="060606"/>
        </w:rPr>
        <w:t>Interest expense on the Term Facilities, non-cash interest expense on the 2025 &amp; 2029 Notes and Revolving Credit Facility, and interest income on the collateral for the SNIA litigation guarantee and delayed draw on Term Facilities</w:t>
      </w:r>
    </w:p>
    <w:p>
      <w:pPr>
        <w:spacing w:after="0" w:line="1" w:lineRule="exact"/>
        <w:rPr>
          <w:rFonts w:ascii="Arial" w:cs="Arial" w:eastAsia="Arial" w:hAnsi="Arial"/>
          <w:sz w:val="21"/>
          <w:szCs w:val="21"/>
          <w:color w:val="060606"/>
          <w:vertAlign w:val="superscript"/>
        </w:rPr>
      </w:pPr>
    </w:p>
    <w:p>
      <w:pPr>
        <w:spacing w:after="0"/>
        <w:rPr>
          <w:rFonts w:ascii="Arial" w:cs="Arial" w:eastAsia="Arial" w:hAnsi="Arial"/>
          <w:sz w:val="21"/>
          <w:szCs w:val="21"/>
          <w:color w:val="060606"/>
          <w:vertAlign w:val="superscript"/>
        </w:rPr>
      </w:pPr>
      <w:r>
        <w:rPr>
          <w:rFonts w:ascii="Arial" w:cs="Arial" w:eastAsia="Arial" w:hAnsi="Arial"/>
          <w:sz w:val="16"/>
          <w:szCs w:val="16"/>
          <w:color w:val="060606"/>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16</w:t>
      </w:r>
    </w:p>
    <w:p>
      <w:pPr>
        <w:sectPr>
          <w:pgSz w:w="11900" w:h="16838" w:orient="portrait"/>
          <w:cols w:equalWidth="0" w:num="1">
            <w:col w:w="11240"/>
          </w:cols>
          <w:pgMar w:left="320" w:top="1440"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(U.S. dollars in millions,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ind w:left="5820"/>
        <w:spacing w:after="0"/>
        <w:rPr>
          <w:sz w:val="20"/>
          <w:szCs w:val="20"/>
          <w:color w:val="auto"/>
        </w:rPr>
      </w:pPr>
      <w:r>
        <w:rPr>
          <w:rFonts w:ascii="Arial" w:cs="Arial" w:eastAsia="Arial" w:hAnsi="Arial"/>
          <w:sz w:val="14"/>
          <w:szCs w:val="14"/>
          <w:color w:val="060606"/>
        </w:rPr>
        <w:t>Specified Items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44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color w:val="060606"/>
                <w:w w:val="99"/>
              </w:rPr>
              <w:t>GAAP</w:t>
            </w:r>
          </w:p>
        </w:tc>
        <w:tc>
          <w:tcPr>
            <w:tcW w:w="9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color w:val="060606"/>
                <w:w w:val="95"/>
              </w:rPr>
              <w:t>Depreciation</w:t>
            </w:r>
          </w:p>
        </w:tc>
        <w:tc>
          <w:tcPr>
            <w:tcW w:w="8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3"/>
                <w:szCs w:val="13"/>
                <w:color w:val="060606"/>
                <w:w w:val="98"/>
              </w:rPr>
              <w:t>Certain Legal</w:t>
            </w:r>
          </w:p>
        </w:tc>
        <w:tc>
          <w:tcPr>
            <w:tcW w:w="9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color w:val="060606"/>
                <w:w w:val="96"/>
              </w:rPr>
              <w:t>Stock-based</w:t>
            </w:r>
          </w:p>
        </w:tc>
        <w:tc>
          <w:tcPr>
            <w:tcW w:w="9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color w:val="060606"/>
                <w:w w:val="94"/>
              </w:rPr>
              <w:t>Adjusted</w:t>
            </w:r>
          </w:p>
        </w:tc>
        <w:tc>
          <w:tcPr>
            <w:tcW w:w="0" w:type="dxa"/>
            <w:vAlign w:val="bottom"/>
          </w:tcPr>
          <w:p>
            <w:pPr>
              <w:spacing w:after="0"/>
              <w:rPr>
                <w:sz w:val="1"/>
                <w:szCs w:val="1"/>
                <w:color w:val="auto"/>
              </w:rPr>
            </w:pPr>
          </w:p>
        </w:tc>
      </w:tr>
      <w:tr>
        <w:trPr>
          <w:trHeight w:val="122"/>
        </w:trPr>
        <w:tc>
          <w:tcPr>
            <w:tcW w:w="1440" w:type="dxa"/>
            <w:vAlign w:val="bottom"/>
            <w:vMerge w:val="restart"/>
          </w:tcPr>
          <w:p>
            <w:pPr>
              <w:ind w:left="20"/>
              <w:spacing w:after="0"/>
              <w:rPr>
                <w:sz w:val="20"/>
                <w:szCs w:val="20"/>
                <w:color w:val="auto"/>
              </w:rPr>
            </w:pPr>
            <w:r>
              <w:rPr>
                <w:rFonts w:ascii="Arial" w:cs="Arial" w:eastAsia="Arial" w:hAnsi="Arial"/>
                <w:sz w:val="14"/>
                <w:szCs w:val="14"/>
                <w:color w:val="060606"/>
              </w:rPr>
              <w:t>Nine Months Ended</w:t>
            </w:r>
          </w:p>
        </w:tc>
        <w:tc>
          <w:tcPr>
            <w:tcW w:w="760" w:type="dxa"/>
            <w:vAlign w:val="bottom"/>
            <w:vMerge w:val="continue"/>
          </w:tcPr>
          <w:p>
            <w:pPr>
              <w:spacing w:after="0"/>
              <w:rPr>
                <w:sz w:val="10"/>
                <w:szCs w:val="10"/>
                <w:color w:val="auto"/>
              </w:rPr>
            </w:pPr>
          </w:p>
        </w:tc>
        <w:tc>
          <w:tcPr>
            <w:tcW w:w="940" w:type="dxa"/>
            <w:vAlign w:val="bottom"/>
            <w:vMerge w:val="restart"/>
          </w:tcPr>
          <w:p>
            <w:pPr>
              <w:jc w:val="right"/>
              <w:ind w:right="49"/>
              <w:spacing w:after="0"/>
              <w:rPr>
                <w:sz w:val="20"/>
                <w:szCs w:val="20"/>
                <w:color w:val="auto"/>
              </w:rPr>
            </w:pPr>
            <w:r>
              <w:rPr>
                <w:rFonts w:ascii="Arial" w:cs="Arial" w:eastAsia="Arial" w:hAnsi="Arial"/>
                <w:sz w:val="13"/>
                <w:szCs w:val="13"/>
                <w:color w:val="060606"/>
              </w:rPr>
              <w:t>Restructuring</w:t>
            </w:r>
          </w:p>
        </w:tc>
        <w:tc>
          <w:tcPr>
            <w:tcW w:w="860" w:type="dxa"/>
            <w:vAlign w:val="bottom"/>
          </w:tcPr>
          <w:p>
            <w:pPr>
              <w:jc w:val="center"/>
              <w:spacing w:after="0" w:line="122" w:lineRule="exact"/>
              <w:rPr>
                <w:sz w:val="20"/>
                <w:szCs w:val="20"/>
                <w:color w:val="auto"/>
              </w:rPr>
            </w:pPr>
            <w:r>
              <w:rPr>
                <w:rFonts w:ascii="Arial" w:cs="Arial" w:eastAsia="Arial" w:hAnsi="Arial"/>
                <w:sz w:val="13"/>
                <w:szCs w:val="13"/>
                <w:color w:val="060606"/>
              </w:rPr>
              <w:t>and</w:t>
            </w:r>
          </w:p>
        </w:tc>
        <w:tc>
          <w:tcPr>
            <w:tcW w:w="840" w:type="dxa"/>
            <w:vAlign w:val="bottom"/>
          </w:tcPr>
          <w:p>
            <w:pPr>
              <w:spacing w:after="0"/>
              <w:rPr>
                <w:sz w:val="10"/>
                <w:szCs w:val="10"/>
                <w:color w:val="auto"/>
              </w:rPr>
            </w:pPr>
          </w:p>
        </w:tc>
        <w:tc>
          <w:tcPr>
            <w:tcW w:w="920" w:type="dxa"/>
            <w:vAlign w:val="bottom"/>
            <w:vMerge w:val="restart"/>
          </w:tcPr>
          <w:p>
            <w:pPr>
              <w:jc w:val="right"/>
              <w:ind w:right="129"/>
              <w:spacing w:after="0"/>
              <w:rPr>
                <w:sz w:val="20"/>
                <w:szCs w:val="20"/>
                <w:color w:val="auto"/>
              </w:rPr>
            </w:pPr>
            <w:r>
              <w:rPr>
                <w:rFonts w:ascii="Arial" w:cs="Arial" w:eastAsia="Arial" w:hAnsi="Arial"/>
                <w:sz w:val="13"/>
                <w:szCs w:val="13"/>
                <w:color w:val="060606"/>
              </w:rPr>
              <w:t>Financing</w:t>
            </w:r>
          </w:p>
        </w:tc>
        <w:tc>
          <w:tcPr>
            <w:tcW w:w="1000" w:type="dxa"/>
            <w:vAlign w:val="bottom"/>
            <w:vMerge w:val="restart"/>
          </w:tcPr>
          <w:p>
            <w:pPr>
              <w:jc w:val="right"/>
              <w:ind w:right="129"/>
              <w:spacing w:after="0"/>
              <w:rPr>
                <w:sz w:val="20"/>
                <w:szCs w:val="20"/>
                <w:color w:val="auto"/>
              </w:rPr>
            </w:pPr>
            <w:r>
              <w:rPr>
                <w:rFonts w:ascii="Arial" w:cs="Arial" w:eastAsia="Arial" w:hAnsi="Arial"/>
                <w:sz w:val="13"/>
                <w:szCs w:val="13"/>
                <w:color w:val="060606"/>
              </w:rPr>
              <w:t>Contingent</w:t>
            </w:r>
          </w:p>
        </w:tc>
        <w:tc>
          <w:tcPr>
            <w:tcW w:w="900" w:type="dxa"/>
            <w:vAlign w:val="bottom"/>
          </w:tcPr>
          <w:p>
            <w:pPr>
              <w:jc w:val="center"/>
              <w:spacing w:after="0" w:line="122" w:lineRule="exact"/>
              <w:rPr>
                <w:sz w:val="20"/>
                <w:szCs w:val="20"/>
                <w:color w:val="auto"/>
              </w:rPr>
            </w:pPr>
            <w:r>
              <w:rPr>
                <w:rFonts w:ascii="Arial" w:cs="Arial" w:eastAsia="Arial" w:hAnsi="Arial"/>
                <w:sz w:val="13"/>
                <w:szCs w:val="13"/>
                <w:color w:val="060606"/>
                <w:w w:val="91"/>
              </w:rPr>
              <w:t>&amp;</w:t>
            </w:r>
          </w:p>
        </w:tc>
        <w:tc>
          <w:tcPr>
            <w:tcW w:w="960" w:type="dxa"/>
            <w:vAlign w:val="bottom"/>
            <w:vMerge w:val="continue"/>
          </w:tcPr>
          <w:p>
            <w:pPr>
              <w:spacing w:after="0"/>
              <w:rPr>
                <w:sz w:val="10"/>
                <w:szCs w:val="10"/>
                <w:color w:val="auto"/>
              </w:rPr>
            </w:pPr>
          </w:p>
        </w:tc>
        <w:tc>
          <w:tcPr>
            <w:tcW w:w="920" w:type="dxa"/>
            <w:vAlign w:val="bottom"/>
            <w:vMerge w:val="restart"/>
          </w:tcPr>
          <w:p>
            <w:pPr>
              <w:ind w:left="120"/>
              <w:spacing w:after="0"/>
              <w:rPr>
                <w:sz w:val="20"/>
                <w:szCs w:val="20"/>
                <w:color w:val="auto"/>
              </w:rPr>
            </w:pPr>
            <w:r>
              <w:rPr>
                <w:rFonts w:ascii="Arial" w:cs="Arial" w:eastAsia="Arial" w:hAnsi="Arial"/>
                <w:sz w:val="13"/>
                <w:szCs w:val="13"/>
                <w:color w:val="060606"/>
              </w:rPr>
              <w:t>Certain Tax</w:t>
            </w:r>
          </w:p>
        </w:tc>
        <w:tc>
          <w:tcPr>
            <w:tcW w:w="900" w:type="dxa"/>
            <w:vAlign w:val="bottom"/>
            <w:vMerge w:val="restart"/>
          </w:tcPr>
          <w:p>
            <w:pPr>
              <w:jc w:val="right"/>
              <w:spacing w:after="0"/>
              <w:rPr>
                <w:sz w:val="20"/>
                <w:szCs w:val="20"/>
                <w:color w:val="auto"/>
              </w:rPr>
            </w:pPr>
            <w:r>
              <w:rPr>
                <w:rFonts w:ascii="Arial" w:cs="Arial" w:eastAsia="Arial" w:hAnsi="Arial"/>
                <w:sz w:val="13"/>
                <w:szCs w:val="13"/>
                <w:color w:val="060606"/>
                <w:w w:val="96"/>
              </w:rPr>
              <w:t>Certain Interest</w:t>
            </w: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440" w:type="dxa"/>
            <w:vAlign w:val="bottom"/>
            <w:vMerge w:val="continue"/>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3"/>
                <w:szCs w:val="13"/>
                <w:color w:val="060606"/>
                <w:w w:val="96"/>
              </w:rPr>
              <w:t>Financial</w:t>
            </w:r>
          </w:p>
        </w:tc>
        <w:tc>
          <w:tcPr>
            <w:tcW w:w="940" w:type="dxa"/>
            <w:vAlign w:val="bottom"/>
            <w:vMerge w:val="continue"/>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3"/>
                <w:szCs w:val="13"/>
                <w:color w:val="060606"/>
                <w:w w:val="96"/>
              </w:rPr>
              <w:t>Amortization</w:t>
            </w:r>
          </w:p>
        </w:tc>
        <w:tc>
          <w:tcPr>
            <w:tcW w:w="8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900" w:type="dxa"/>
            <w:vAlign w:val="bottom"/>
          </w:tcPr>
          <w:p>
            <w:pPr>
              <w:jc w:val="center"/>
              <w:spacing w:after="0" w:line="126" w:lineRule="exact"/>
              <w:rPr>
                <w:sz w:val="20"/>
                <w:szCs w:val="20"/>
                <w:color w:val="auto"/>
              </w:rPr>
            </w:pPr>
            <w:r>
              <w:rPr>
                <w:rFonts w:ascii="Arial" w:cs="Arial" w:eastAsia="Arial" w:hAnsi="Arial"/>
                <w:sz w:val="13"/>
                <w:szCs w:val="13"/>
                <w:color w:val="060606"/>
                <w:w w:val="95"/>
              </w:rPr>
              <w:t>Regulatory</w:t>
            </w:r>
          </w:p>
        </w:tc>
        <w:tc>
          <w:tcPr>
            <w:tcW w:w="960" w:type="dxa"/>
            <w:vAlign w:val="bottom"/>
          </w:tcPr>
          <w:p>
            <w:pPr>
              <w:jc w:val="center"/>
              <w:spacing w:after="0" w:line="126" w:lineRule="exact"/>
              <w:rPr>
                <w:sz w:val="20"/>
                <w:szCs w:val="20"/>
                <w:color w:val="auto"/>
              </w:rPr>
            </w:pPr>
            <w:r>
              <w:rPr>
                <w:rFonts w:ascii="Arial" w:cs="Arial" w:eastAsia="Arial" w:hAnsi="Arial"/>
                <w:sz w:val="13"/>
                <w:szCs w:val="13"/>
                <w:color w:val="060606"/>
                <w:w w:val="97"/>
              </w:rPr>
              <w:t>Compensation</w:t>
            </w:r>
          </w:p>
        </w:tc>
        <w:tc>
          <w:tcPr>
            <w:tcW w:w="9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color w:val="060606"/>
                <w:w w:val="99"/>
              </w:rPr>
              <w:t>Financial</w:t>
            </w:r>
          </w:p>
        </w:tc>
        <w:tc>
          <w:tcPr>
            <w:tcW w:w="0" w:type="dxa"/>
            <w:vAlign w:val="bottom"/>
          </w:tcPr>
          <w:p>
            <w:pPr>
              <w:spacing w:after="0"/>
              <w:rPr>
                <w:sz w:val="1"/>
                <w:szCs w:val="1"/>
                <w:color w:val="auto"/>
              </w:rPr>
            </w:pPr>
          </w:p>
        </w:tc>
      </w:tr>
      <w:tr>
        <w:trPr>
          <w:trHeight w:val="175"/>
        </w:trPr>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060606"/>
              </w:rPr>
              <w:t>September 30, 2024</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60606"/>
                <w:w w:val="98"/>
              </w:rPr>
              <w:t>Measures</w:t>
            </w:r>
          </w:p>
        </w:tc>
        <w:tc>
          <w:tcPr>
            <w:tcW w:w="940" w:type="dxa"/>
            <w:vAlign w:val="bottom"/>
            <w:tcBorders>
              <w:bottom w:val="single" w:sz="8" w:color="auto"/>
            </w:tcBorders>
          </w:tcPr>
          <w:p>
            <w:pPr>
              <w:jc w:val="right"/>
              <w:ind w:right="69"/>
              <w:spacing w:after="0" w:line="175" w:lineRule="exact"/>
              <w:rPr>
                <w:sz w:val="20"/>
                <w:szCs w:val="20"/>
                <w:color w:val="auto"/>
              </w:rPr>
            </w:pPr>
            <w:r>
              <w:rPr>
                <w:rFonts w:ascii="Arial" w:cs="Arial" w:eastAsia="Arial" w:hAnsi="Arial"/>
                <w:sz w:val="13"/>
                <w:szCs w:val="13"/>
                <w:color w:val="060606"/>
              </w:rPr>
              <w:t xml:space="preserve">Expenses </w:t>
            </w:r>
            <w:r>
              <w:rPr>
                <w:rFonts w:ascii="Arial" w:cs="Arial" w:eastAsia="Arial" w:hAnsi="Arial"/>
                <w:sz w:val="16"/>
                <w:szCs w:val="16"/>
                <w:color w:val="060606"/>
                <w:vertAlign w:val="superscript"/>
              </w:rPr>
              <w:t>(1)</w:t>
            </w:r>
          </w:p>
        </w:tc>
        <w:tc>
          <w:tcPr>
            <w:tcW w:w="8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94"/>
              </w:rPr>
              <w:t xml:space="preserve">Expenses </w:t>
            </w:r>
            <w:r>
              <w:rPr>
                <w:rFonts w:ascii="Arial" w:cs="Arial" w:eastAsia="Arial" w:hAnsi="Arial"/>
                <w:sz w:val="16"/>
                <w:szCs w:val="16"/>
                <w:color w:val="060606"/>
                <w:w w:val="94"/>
                <w:vertAlign w:val="superscript"/>
              </w:rPr>
              <w:t>(2)</w:t>
            </w:r>
          </w:p>
        </w:tc>
        <w:tc>
          <w:tcPr>
            <w:tcW w:w="84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color w:val="060606"/>
                <w:w w:val="95"/>
              </w:rPr>
              <w:t xml:space="preserve">Impairment </w:t>
            </w:r>
            <w:r>
              <w:rPr>
                <w:rFonts w:ascii="Arial" w:cs="Arial" w:eastAsia="Arial" w:hAnsi="Arial"/>
                <w:sz w:val="16"/>
                <w:szCs w:val="16"/>
                <w:color w:val="060606"/>
                <w:w w:val="95"/>
                <w:vertAlign w:val="superscript"/>
              </w:rPr>
              <w:t>(3)</w:t>
            </w:r>
          </w:p>
        </w:tc>
        <w:tc>
          <w:tcPr>
            <w:tcW w:w="92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color w:val="060606"/>
                <w:w w:val="94"/>
              </w:rPr>
              <w:t xml:space="preserve">Transactions </w:t>
            </w:r>
            <w:r>
              <w:rPr>
                <w:rFonts w:ascii="Arial" w:cs="Arial" w:eastAsia="Arial" w:hAnsi="Arial"/>
                <w:sz w:val="16"/>
                <w:szCs w:val="16"/>
                <w:color w:val="060606"/>
                <w:w w:val="94"/>
                <w:vertAlign w:val="superscript"/>
              </w:rPr>
              <w:t>(4)</w:t>
            </w:r>
          </w:p>
        </w:tc>
        <w:tc>
          <w:tcPr>
            <w:tcW w:w="10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color w:val="060606"/>
                <w:w w:val="94"/>
              </w:rPr>
              <w:t xml:space="preserve">Consideration </w:t>
            </w:r>
            <w:r>
              <w:rPr>
                <w:rFonts w:ascii="Arial" w:cs="Arial" w:eastAsia="Arial" w:hAnsi="Arial"/>
                <w:sz w:val="16"/>
                <w:szCs w:val="16"/>
                <w:color w:val="060606"/>
                <w:w w:val="94"/>
                <w:vertAlign w:val="superscript"/>
              </w:rPr>
              <w:t>(5)</w:t>
            </w:r>
          </w:p>
        </w:tc>
        <w:tc>
          <w:tcPr>
            <w:tcW w:w="9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92"/>
              </w:rPr>
              <w:t xml:space="preserve">Costs </w:t>
            </w:r>
            <w:r>
              <w:rPr>
                <w:rFonts w:ascii="Arial" w:cs="Arial" w:eastAsia="Arial" w:hAnsi="Arial"/>
                <w:sz w:val="16"/>
                <w:szCs w:val="16"/>
                <w:color w:val="060606"/>
                <w:w w:val="92"/>
                <w:vertAlign w:val="superscript"/>
              </w:rPr>
              <w:t>(6)</w:t>
            </w:r>
          </w:p>
        </w:tc>
        <w:tc>
          <w:tcPr>
            <w:tcW w:w="9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color w:val="060606"/>
                <w:w w:val="92"/>
              </w:rPr>
              <w:t xml:space="preserve">Costs </w:t>
            </w:r>
            <w:r>
              <w:rPr>
                <w:rFonts w:ascii="Arial" w:cs="Arial" w:eastAsia="Arial" w:hAnsi="Arial"/>
                <w:sz w:val="16"/>
                <w:szCs w:val="16"/>
                <w:color w:val="060606"/>
                <w:w w:val="92"/>
                <w:vertAlign w:val="superscript"/>
              </w:rPr>
              <w:t>(7)</w:t>
            </w:r>
          </w:p>
        </w:tc>
        <w:tc>
          <w:tcPr>
            <w:tcW w:w="920" w:type="dxa"/>
            <w:vAlign w:val="bottom"/>
            <w:tcBorders>
              <w:bottom w:val="single" w:sz="8" w:color="auto"/>
            </w:tcBorders>
          </w:tcPr>
          <w:p>
            <w:pPr>
              <w:ind w:left="40"/>
              <w:spacing w:after="0" w:line="175" w:lineRule="exact"/>
              <w:rPr>
                <w:sz w:val="20"/>
                <w:szCs w:val="20"/>
                <w:color w:val="auto"/>
              </w:rPr>
            </w:pPr>
            <w:r>
              <w:rPr>
                <w:rFonts w:ascii="Arial" w:cs="Arial" w:eastAsia="Arial" w:hAnsi="Arial"/>
                <w:sz w:val="13"/>
                <w:szCs w:val="13"/>
                <w:color w:val="060606"/>
                <w:w w:val="97"/>
              </w:rPr>
              <w:t xml:space="preserve">Adjustments </w:t>
            </w:r>
            <w:r>
              <w:rPr>
                <w:rFonts w:ascii="Arial" w:cs="Arial" w:eastAsia="Arial" w:hAnsi="Arial"/>
                <w:sz w:val="16"/>
                <w:szCs w:val="16"/>
                <w:color w:val="060606"/>
                <w:w w:val="97"/>
                <w:vertAlign w:val="superscript"/>
              </w:rPr>
              <w:t>(8)</w:t>
            </w:r>
          </w:p>
        </w:tc>
        <w:tc>
          <w:tcPr>
            <w:tcW w:w="900" w:type="dxa"/>
            <w:vAlign w:val="bottom"/>
            <w:tcBorders>
              <w:bottom w:val="single" w:sz="8" w:color="auto"/>
            </w:tcBorders>
          </w:tcPr>
          <w:p>
            <w:pPr>
              <w:jc w:val="right"/>
              <w:spacing w:after="0" w:line="175" w:lineRule="exact"/>
              <w:rPr>
                <w:sz w:val="20"/>
                <w:szCs w:val="20"/>
                <w:color w:val="auto"/>
              </w:rPr>
            </w:pPr>
            <w:r>
              <w:rPr>
                <w:rFonts w:ascii="Arial" w:cs="Arial" w:eastAsia="Arial" w:hAnsi="Arial"/>
                <w:sz w:val="13"/>
                <w:szCs w:val="13"/>
                <w:color w:val="060606"/>
                <w:w w:val="95"/>
              </w:rPr>
              <w:t xml:space="preserve">Adjustments </w:t>
            </w:r>
            <w:r>
              <w:rPr>
                <w:rFonts w:ascii="Arial" w:cs="Arial" w:eastAsia="Arial" w:hAnsi="Arial"/>
                <w:sz w:val="16"/>
                <w:szCs w:val="16"/>
                <w:color w:val="060606"/>
                <w:w w:val="95"/>
                <w:vertAlign w:val="superscript"/>
              </w:rPr>
              <w:t>(9)</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060606"/>
                <w:w w:val="98"/>
              </w:rPr>
              <w:t>Measures</w:t>
            </w:r>
          </w:p>
        </w:tc>
        <w:tc>
          <w:tcPr>
            <w:tcW w:w="0" w:type="dxa"/>
            <w:vAlign w:val="bottom"/>
          </w:tcPr>
          <w:p>
            <w:pPr>
              <w:spacing w:after="0"/>
              <w:rPr>
                <w:sz w:val="1"/>
                <w:szCs w:val="1"/>
                <w:color w:val="auto"/>
              </w:rPr>
            </w:pPr>
          </w:p>
        </w:tc>
      </w:tr>
      <w:tr>
        <w:trPr>
          <w:trHeight w:val="188"/>
        </w:trPr>
        <w:tc>
          <w:tcPr>
            <w:tcW w:w="1440" w:type="dxa"/>
            <w:vAlign w:val="bottom"/>
          </w:tcPr>
          <w:p>
            <w:pPr>
              <w:ind w:left="20"/>
              <w:spacing w:after="0"/>
              <w:rPr>
                <w:sz w:val="20"/>
                <w:szCs w:val="20"/>
                <w:color w:val="auto"/>
              </w:rPr>
            </w:pPr>
            <w:r>
              <w:rPr>
                <w:rFonts w:ascii="Arial" w:cs="Arial" w:eastAsia="Arial" w:hAnsi="Arial"/>
                <w:sz w:val="14"/>
                <w:szCs w:val="14"/>
                <w:color w:val="060606"/>
              </w:rPr>
              <w:t>Cost of sales</w:t>
            </w:r>
          </w:p>
        </w:tc>
        <w:tc>
          <w:tcPr>
            <w:tcW w:w="760" w:type="dxa"/>
            <w:vAlign w:val="bottom"/>
          </w:tcPr>
          <w:p>
            <w:pPr>
              <w:jc w:val="right"/>
              <w:ind w:right="130"/>
              <w:spacing w:after="0"/>
              <w:rPr>
                <w:sz w:val="20"/>
                <w:szCs w:val="20"/>
                <w:color w:val="auto"/>
              </w:rPr>
            </w:pPr>
            <w:r>
              <w:rPr>
                <w:rFonts w:ascii="Arial" w:cs="Arial" w:eastAsia="Arial" w:hAnsi="Arial"/>
                <w:sz w:val="14"/>
                <w:szCs w:val="14"/>
                <w:color w:val="060606"/>
              </w:rPr>
              <w:t>$292.5</w:t>
            </w:r>
          </w:p>
        </w:tc>
        <w:tc>
          <w:tcPr>
            <w:tcW w:w="940" w:type="dxa"/>
            <w:vAlign w:val="bottom"/>
          </w:tcPr>
          <w:p>
            <w:pPr>
              <w:jc w:val="right"/>
              <w:ind w:right="149"/>
              <w:spacing w:after="0"/>
              <w:rPr>
                <w:sz w:val="20"/>
                <w:szCs w:val="20"/>
                <w:color w:val="auto"/>
              </w:rPr>
            </w:pPr>
            <w:r>
              <w:rPr>
                <w:rFonts w:ascii="Arial" w:cs="Arial" w:eastAsia="Arial" w:hAnsi="Arial"/>
                <w:sz w:val="14"/>
                <w:szCs w:val="14"/>
                <w:color w:val="060606"/>
              </w:rPr>
              <w:t>$—</w:t>
            </w:r>
          </w:p>
        </w:tc>
        <w:tc>
          <w:tcPr>
            <w:tcW w:w="860" w:type="dxa"/>
            <w:vAlign w:val="bottom"/>
          </w:tcPr>
          <w:p>
            <w:pPr>
              <w:jc w:val="right"/>
              <w:ind w:right="90"/>
              <w:spacing w:after="0"/>
              <w:rPr>
                <w:sz w:val="20"/>
                <w:szCs w:val="20"/>
                <w:color w:val="auto"/>
              </w:rPr>
            </w:pPr>
            <w:r>
              <w:rPr>
                <w:rFonts w:ascii="Arial" w:cs="Arial" w:eastAsia="Arial" w:hAnsi="Arial"/>
                <w:sz w:val="14"/>
                <w:szCs w:val="14"/>
                <w:color w:val="060606"/>
              </w:rPr>
              <w:t>($5.2)</w:t>
            </w:r>
          </w:p>
        </w:tc>
        <w:tc>
          <w:tcPr>
            <w:tcW w:w="84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060606"/>
              </w:rPr>
              <w:t>$0.3</w:t>
            </w:r>
          </w:p>
        </w:tc>
        <w:tc>
          <w:tcPr>
            <w:tcW w:w="900" w:type="dxa"/>
            <w:vAlign w:val="bottom"/>
          </w:tcPr>
          <w:p>
            <w:pPr>
              <w:jc w:val="right"/>
              <w:ind w:right="150"/>
              <w:spacing w:after="0"/>
              <w:rPr>
                <w:sz w:val="20"/>
                <w:szCs w:val="20"/>
                <w:color w:val="auto"/>
              </w:rPr>
            </w:pPr>
            <w:r>
              <w:rPr>
                <w:rFonts w:ascii="Arial" w:cs="Arial" w:eastAsia="Arial" w:hAnsi="Arial"/>
                <w:sz w:val="14"/>
                <w:szCs w:val="14"/>
                <w:color w:val="060606"/>
              </w:rPr>
              <w:t>$0.7</w:t>
            </w:r>
          </w:p>
        </w:tc>
        <w:tc>
          <w:tcPr>
            <w:tcW w:w="960" w:type="dxa"/>
            <w:vAlign w:val="bottom"/>
          </w:tcPr>
          <w:p>
            <w:pPr>
              <w:jc w:val="right"/>
              <w:ind w:right="90"/>
              <w:spacing w:after="0"/>
              <w:rPr>
                <w:sz w:val="20"/>
                <w:szCs w:val="20"/>
                <w:color w:val="auto"/>
              </w:rPr>
            </w:pPr>
            <w:r>
              <w:rPr>
                <w:rFonts w:ascii="Arial" w:cs="Arial" w:eastAsia="Arial" w:hAnsi="Arial"/>
                <w:sz w:val="14"/>
                <w:szCs w:val="14"/>
                <w:color w:val="060606"/>
              </w:rPr>
              <w:t>($0.9)</w:t>
            </w:r>
          </w:p>
        </w:tc>
        <w:tc>
          <w:tcPr>
            <w:tcW w:w="920" w:type="dxa"/>
            <w:vAlign w:val="bottom"/>
          </w:tcPr>
          <w:p>
            <w:pPr>
              <w:ind w:left="500"/>
              <w:spacing w:after="0"/>
              <w:rPr>
                <w:sz w:val="20"/>
                <w:szCs w:val="20"/>
                <w:color w:val="auto"/>
              </w:rPr>
            </w:pPr>
            <w:r>
              <w:rPr>
                <w:rFonts w:ascii="Arial" w:cs="Arial" w:eastAsia="Arial" w:hAnsi="Arial"/>
                <w:sz w:val="14"/>
                <w:szCs w:val="14"/>
                <w:color w:val="060606"/>
              </w:rPr>
              <w:t>$—</w:t>
            </w:r>
          </w:p>
        </w:tc>
        <w:tc>
          <w:tcPr>
            <w:tcW w:w="90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800" w:type="dxa"/>
            <w:vAlign w:val="bottom"/>
          </w:tcPr>
          <w:p>
            <w:pPr>
              <w:jc w:val="right"/>
              <w:ind w:right="110"/>
              <w:spacing w:after="0"/>
              <w:rPr>
                <w:sz w:val="20"/>
                <w:szCs w:val="20"/>
                <w:color w:val="auto"/>
              </w:rPr>
            </w:pPr>
            <w:r>
              <w:rPr>
                <w:rFonts w:ascii="Arial" w:cs="Arial" w:eastAsia="Arial" w:hAnsi="Arial"/>
                <w:sz w:val="14"/>
                <w:szCs w:val="14"/>
                <w:color w:val="060606"/>
              </w:rPr>
              <w:t>$287.5</w:t>
            </w:r>
          </w:p>
        </w:tc>
        <w:tc>
          <w:tcPr>
            <w:tcW w:w="0" w:type="dxa"/>
            <w:vAlign w:val="bottom"/>
          </w:tcPr>
          <w:p>
            <w:pPr>
              <w:spacing w:after="0"/>
              <w:rPr>
                <w:sz w:val="1"/>
                <w:szCs w:val="1"/>
                <w:color w:val="auto"/>
              </w:rPr>
            </w:pPr>
          </w:p>
        </w:tc>
      </w:tr>
      <w:tr>
        <w:trPr>
          <w:trHeight w:val="203"/>
        </w:trPr>
        <w:tc>
          <w:tcPr>
            <w:tcW w:w="1440" w:type="dxa"/>
            <w:vAlign w:val="bottom"/>
          </w:tcPr>
          <w:p>
            <w:pPr>
              <w:ind w:left="20"/>
              <w:spacing w:after="0"/>
              <w:rPr>
                <w:sz w:val="20"/>
                <w:szCs w:val="20"/>
                <w:color w:val="auto"/>
              </w:rPr>
            </w:pPr>
            <w:r>
              <w:rPr>
                <w:rFonts w:ascii="Arial" w:cs="Arial" w:eastAsia="Arial" w:hAnsi="Arial"/>
                <w:sz w:val="14"/>
                <w:szCs w:val="14"/>
                <w:color w:val="060606"/>
              </w:rPr>
              <w:t>Gross profit percent</w:t>
            </w:r>
          </w:p>
        </w:tc>
        <w:tc>
          <w:tcPr>
            <w:tcW w:w="760" w:type="dxa"/>
            <w:vAlign w:val="bottom"/>
          </w:tcPr>
          <w:p>
            <w:pPr>
              <w:jc w:val="right"/>
              <w:spacing w:after="0"/>
              <w:rPr>
                <w:sz w:val="20"/>
                <w:szCs w:val="20"/>
                <w:color w:val="auto"/>
              </w:rPr>
            </w:pPr>
            <w:r>
              <w:rPr>
                <w:rFonts w:ascii="Arial" w:cs="Arial" w:eastAsia="Arial" w:hAnsi="Arial"/>
                <w:sz w:val="14"/>
                <w:szCs w:val="14"/>
                <w:color w:val="060606"/>
              </w:rPr>
              <w:t>68.6 %</w:t>
            </w:r>
          </w:p>
        </w:tc>
        <w:tc>
          <w:tcPr>
            <w:tcW w:w="940" w:type="dxa"/>
            <w:vAlign w:val="bottom"/>
          </w:tcPr>
          <w:p>
            <w:pPr>
              <w:jc w:val="right"/>
              <w:spacing w:after="0"/>
              <w:rPr>
                <w:sz w:val="20"/>
                <w:szCs w:val="20"/>
                <w:color w:val="auto"/>
              </w:rPr>
            </w:pPr>
            <w:r>
              <w:rPr>
                <w:rFonts w:ascii="Arial" w:cs="Arial" w:eastAsia="Arial" w:hAnsi="Arial"/>
                <w:sz w:val="14"/>
                <w:szCs w:val="14"/>
                <w:color w:val="060606"/>
              </w:rPr>
              <w:t>— %</w:t>
            </w:r>
          </w:p>
        </w:tc>
        <w:tc>
          <w:tcPr>
            <w:tcW w:w="860" w:type="dxa"/>
            <w:vAlign w:val="bottom"/>
          </w:tcPr>
          <w:p>
            <w:pPr>
              <w:jc w:val="right"/>
              <w:spacing w:after="0"/>
              <w:rPr>
                <w:sz w:val="20"/>
                <w:szCs w:val="20"/>
                <w:color w:val="auto"/>
              </w:rPr>
            </w:pPr>
            <w:r>
              <w:rPr>
                <w:rFonts w:ascii="Arial" w:cs="Arial" w:eastAsia="Arial" w:hAnsi="Arial"/>
                <w:sz w:val="14"/>
                <w:szCs w:val="14"/>
                <w:color w:val="060606"/>
              </w:rPr>
              <w:t>0.6 %</w:t>
            </w:r>
          </w:p>
        </w:tc>
        <w:tc>
          <w:tcPr>
            <w:tcW w:w="840" w:type="dxa"/>
            <w:vAlign w:val="bottom"/>
          </w:tcPr>
          <w:p>
            <w:pPr>
              <w:jc w:val="right"/>
              <w:spacing w:after="0"/>
              <w:rPr>
                <w:sz w:val="20"/>
                <w:szCs w:val="20"/>
                <w:color w:val="auto"/>
              </w:rPr>
            </w:pPr>
            <w:r>
              <w:rPr>
                <w:rFonts w:ascii="Arial" w:cs="Arial" w:eastAsia="Arial" w:hAnsi="Arial"/>
                <w:sz w:val="14"/>
                <w:szCs w:val="14"/>
                <w:color w:val="060606"/>
              </w:rPr>
              <w:t>— %</w:t>
            </w:r>
          </w:p>
        </w:tc>
        <w:tc>
          <w:tcPr>
            <w:tcW w:w="920" w:type="dxa"/>
            <w:vAlign w:val="bottom"/>
          </w:tcPr>
          <w:p>
            <w:pPr>
              <w:jc w:val="right"/>
              <w:spacing w:after="0"/>
              <w:rPr>
                <w:sz w:val="20"/>
                <w:szCs w:val="20"/>
                <w:color w:val="auto"/>
              </w:rPr>
            </w:pPr>
            <w:r>
              <w:rPr>
                <w:rFonts w:ascii="Arial" w:cs="Arial" w:eastAsia="Arial" w:hAnsi="Arial"/>
                <w:sz w:val="14"/>
                <w:szCs w:val="14"/>
                <w:color w:val="060606"/>
              </w:rPr>
              <w:t>— %</w:t>
            </w:r>
          </w:p>
        </w:tc>
        <w:tc>
          <w:tcPr>
            <w:tcW w:w="1000" w:type="dxa"/>
            <w:vAlign w:val="bottom"/>
          </w:tcPr>
          <w:p>
            <w:pPr>
              <w:jc w:val="right"/>
              <w:spacing w:after="0"/>
              <w:rPr>
                <w:sz w:val="20"/>
                <w:szCs w:val="20"/>
                <w:color w:val="auto"/>
              </w:rPr>
            </w:pPr>
            <w:r>
              <w:rPr>
                <w:rFonts w:ascii="Arial" w:cs="Arial" w:eastAsia="Arial" w:hAnsi="Arial"/>
                <w:sz w:val="14"/>
                <w:szCs w:val="14"/>
                <w:color w:val="060606"/>
              </w:rPr>
              <w:t>— %</w:t>
            </w:r>
          </w:p>
        </w:tc>
        <w:tc>
          <w:tcPr>
            <w:tcW w:w="900" w:type="dxa"/>
            <w:vAlign w:val="bottom"/>
          </w:tcPr>
          <w:p>
            <w:pPr>
              <w:jc w:val="right"/>
              <w:spacing w:after="0"/>
              <w:rPr>
                <w:sz w:val="20"/>
                <w:szCs w:val="20"/>
                <w:color w:val="auto"/>
              </w:rPr>
            </w:pPr>
            <w:r>
              <w:rPr>
                <w:rFonts w:ascii="Arial" w:cs="Arial" w:eastAsia="Arial" w:hAnsi="Arial"/>
                <w:sz w:val="14"/>
                <w:szCs w:val="14"/>
                <w:color w:val="060606"/>
              </w:rPr>
              <w:t>(0.1)%</w:t>
            </w:r>
          </w:p>
        </w:tc>
        <w:tc>
          <w:tcPr>
            <w:tcW w:w="960" w:type="dxa"/>
            <w:vAlign w:val="bottom"/>
          </w:tcPr>
          <w:p>
            <w:pPr>
              <w:jc w:val="right"/>
              <w:spacing w:after="0"/>
              <w:rPr>
                <w:sz w:val="20"/>
                <w:szCs w:val="20"/>
                <w:color w:val="auto"/>
              </w:rPr>
            </w:pPr>
            <w:r>
              <w:rPr>
                <w:rFonts w:ascii="Arial" w:cs="Arial" w:eastAsia="Arial" w:hAnsi="Arial"/>
                <w:sz w:val="14"/>
                <w:szCs w:val="14"/>
                <w:color w:val="060606"/>
              </w:rPr>
              <w:t>0.1 %</w:t>
            </w:r>
          </w:p>
        </w:tc>
        <w:tc>
          <w:tcPr>
            <w:tcW w:w="920" w:type="dxa"/>
            <w:vAlign w:val="bottom"/>
          </w:tcPr>
          <w:p>
            <w:pPr>
              <w:ind w:left="580"/>
              <w:spacing w:after="0"/>
              <w:rPr>
                <w:sz w:val="20"/>
                <w:szCs w:val="20"/>
                <w:color w:val="auto"/>
              </w:rPr>
            </w:pPr>
            <w:r>
              <w:rPr>
                <w:rFonts w:ascii="Arial" w:cs="Arial" w:eastAsia="Arial" w:hAnsi="Arial"/>
                <w:sz w:val="14"/>
                <w:szCs w:val="14"/>
                <w:color w:val="060606"/>
              </w:rPr>
              <w:t>— %</w:t>
            </w:r>
          </w:p>
        </w:tc>
        <w:tc>
          <w:tcPr>
            <w:tcW w:w="900" w:type="dxa"/>
            <w:vAlign w:val="bottom"/>
          </w:tcPr>
          <w:p>
            <w:pPr>
              <w:jc w:val="right"/>
              <w:spacing w:after="0"/>
              <w:rPr>
                <w:sz w:val="20"/>
                <w:szCs w:val="20"/>
                <w:color w:val="auto"/>
              </w:rPr>
            </w:pPr>
            <w:r>
              <w:rPr>
                <w:rFonts w:ascii="Arial" w:cs="Arial" w:eastAsia="Arial" w:hAnsi="Arial"/>
                <w:sz w:val="14"/>
                <w:szCs w:val="14"/>
                <w:color w:val="060606"/>
              </w:rPr>
              <w:t>— %</w:t>
            </w:r>
          </w:p>
        </w:tc>
        <w:tc>
          <w:tcPr>
            <w:tcW w:w="800" w:type="dxa"/>
            <w:vAlign w:val="bottom"/>
          </w:tcPr>
          <w:p>
            <w:pPr>
              <w:jc w:val="right"/>
              <w:spacing w:after="0"/>
              <w:rPr>
                <w:sz w:val="20"/>
                <w:szCs w:val="20"/>
                <w:color w:val="auto"/>
              </w:rPr>
            </w:pPr>
            <w:r>
              <w:rPr>
                <w:rFonts w:ascii="Arial" w:cs="Arial" w:eastAsia="Arial" w:hAnsi="Arial"/>
                <w:sz w:val="14"/>
                <w:szCs w:val="14"/>
                <w:color w:val="060606"/>
              </w:rPr>
              <w:t>69.1 %</w:t>
            </w:r>
          </w:p>
        </w:tc>
        <w:tc>
          <w:tcPr>
            <w:tcW w:w="0" w:type="dxa"/>
            <w:vAlign w:val="bottom"/>
          </w:tcPr>
          <w:p>
            <w:pPr>
              <w:spacing w:after="0"/>
              <w:rPr>
                <w:sz w:val="1"/>
                <w:szCs w:val="1"/>
                <w:color w:val="auto"/>
              </w:rPr>
            </w:pPr>
          </w:p>
        </w:tc>
      </w:tr>
      <w:tr>
        <w:trPr>
          <w:trHeight w:val="161"/>
        </w:trPr>
        <w:tc>
          <w:tcPr>
            <w:tcW w:w="1440" w:type="dxa"/>
            <w:vAlign w:val="bottom"/>
          </w:tcPr>
          <w:p>
            <w:pPr>
              <w:ind w:left="20"/>
              <w:spacing w:after="0"/>
              <w:rPr>
                <w:sz w:val="20"/>
                <w:szCs w:val="20"/>
                <w:color w:val="auto"/>
              </w:rPr>
            </w:pPr>
            <w:r>
              <w:rPr>
                <w:rFonts w:ascii="Arial" w:cs="Arial" w:eastAsia="Arial" w:hAnsi="Arial"/>
                <w:sz w:val="14"/>
                <w:szCs w:val="14"/>
                <w:color w:val="060606"/>
              </w:rPr>
              <w:t>Selling, general, and</w:t>
            </w:r>
          </w:p>
        </w:tc>
        <w:tc>
          <w:tcPr>
            <w:tcW w:w="760" w:type="dxa"/>
            <w:vAlign w:val="bottom"/>
            <w:vMerge w:val="restart"/>
          </w:tcPr>
          <w:p>
            <w:pPr>
              <w:jc w:val="right"/>
              <w:ind w:right="130"/>
              <w:spacing w:after="0"/>
              <w:rPr>
                <w:sz w:val="20"/>
                <w:szCs w:val="20"/>
                <w:color w:val="auto"/>
              </w:rPr>
            </w:pPr>
            <w:r>
              <w:rPr>
                <w:rFonts w:ascii="Arial" w:cs="Arial" w:eastAsia="Arial" w:hAnsi="Arial"/>
                <w:sz w:val="14"/>
                <w:szCs w:val="14"/>
                <w:color w:val="060606"/>
              </w:rPr>
              <w:t>378.2</w:t>
            </w:r>
          </w:p>
        </w:tc>
        <w:tc>
          <w:tcPr>
            <w:tcW w:w="940" w:type="dxa"/>
            <w:vAlign w:val="bottom"/>
            <w:vMerge w:val="restart"/>
          </w:tcPr>
          <w:p>
            <w:pPr>
              <w:jc w:val="right"/>
              <w:ind w:right="149"/>
              <w:spacing w:after="0"/>
              <w:rPr>
                <w:sz w:val="20"/>
                <w:szCs w:val="20"/>
                <w:color w:val="auto"/>
              </w:rPr>
            </w:pPr>
            <w:r>
              <w:rPr>
                <w:rFonts w:ascii="Arial" w:cs="Arial" w:eastAsia="Arial" w:hAnsi="Arial"/>
                <w:sz w:val="14"/>
                <w:szCs w:val="14"/>
                <w:color w:val="060606"/>
              </w:rPr>
              <w:t>—</w:t>
            </w:r>
          </w:p>
        </w:tc>
        <w:tc>
          <w:tcPr>
            <w:tcW w:w="860" w:type="dxa"/>
            <w:vAlign w:val="bottom"/>
            <w:vMerge w:val="restart"/>
          </w:tcPr>
          <w:p>
            <w:pPr>
              <w:jc w:val="right"/>
              <w:ind w:right="90"/>
              <w:spacing w:after="0"/>
              <w:rPr>
                <w:sz w:val="20"/>
                <w:szCs w:val="20"/>
                <w:color w:val="auto"/>
              </w:rPr>
            </w:pPr>
            <w:r>
              <w:rPr>
                <w:rFonts w:ascii="Arial" w:cs="Arial" w:eastAsia="Arial" w:hAnsi="Arial"/>
                <w:sz w:val="14"/>
                <w:szCs w:val="14"/>
                <w:color w:val="060606"/>
              </w:rPr>
              <w:t>(7.9)</w:t>
            </w: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jc w:val="right"/>
              <w:ind w:right="109"/>
              <w:spacing w:after="0"/>
              <w:rPr>
                <w:sz w:val="20"/>
                <w:szCs w:val="20"/>
                <w:color w:val="auto"/>
              </w:rPr>
            </w:pPr>
            <w:r>
              <w:rPr>
                <w:rFonts w:ascii="Arial" w:cs="Arial" w:eastAsia="Arial" w:hAnsi="Arial"/>
                <w:sz w:val="14"/>
                <w:szCs w:val="14"/>
                <w:color w:val="060606"/>
              </w:rPr>
              <w:t>—</w:t>
            </w:r>
          </w:p>
        </w:tc>
        <w:tc>
          <w:tcPr>
            <w:tcW w:w="100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060606"/>
              </w:rPr>
              <w:t>(20.1)</w:t>
            </w:r>
          </w:p>
        </w:tc>
        <w:tc>
          <w:tcPr>
            <w:tcW w:w="960" w:type="dxa"/>
            <w:vAlign w:val="bottom"/>
            <w:vMerge w:val="restart"/>
          </w:tcPr>
          <w:p>
            <w:pPr>
              <w:jc w:val="right"/>
              <w:ind w:right="90"/>
              <w:spacing w:after="0"/>
              <w:rPr>
                <w:sz w:val="20"/>
                <w:szCs w:val="20"/>
                <w:color w:val="auto"/>
              </w:rPr>
            </w:pPr>
            <w:r>
              <w:rPr>
                <w:rFonts w:ascii="Arial" w:cs="Arial" w:eastAsia="Arial" w:hAnsi="Arial"/>
                <w:sz w:val="14"/>
                <w:szCs w:val="14"/>
                <w:color w:val="060606"/>
              </w:rPr>
              <w:t>(20.6)</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w:t>
            </w:r>
          </w:p>
        </w:tc>
        <w:tc>
          <w:tcPr>
            <w:tcW w:w="900" w:type="dxa"/>
            <w:vAlign w:val="bottom"/>
            <w:vMerge w:val="restart"/>
          </w:tcPr>
          <w:p>
            <w:pPr>
              <w:jc w:val="right"/>
              <w:ind w:right="109"/>
              <w:spacing w:after="0"/>
              <w:rPr>
                <w:sz w:val="20"/>
                <w:szCs w:val="20"/>
                <w:color w:val="auto"/>
              </w:rPr>
            </w:pPr>
            <w:r>
              <w:rPr>
                <w:rFonts w:ascii="Arial" w:cs="Arial" w:eastAsia="Arial" w:hAnsi="Arial"/>
                <w:sz w:val="14"/>
                <w:szCs w:val="14"/>
                <w:color w:val="060606"/>
              </w:rPr>
              <w:t>—</w:t>
            </w:r>
          </w:p>
        </w:tc>
        <w:tc>
          <w:tcPr>
            <w:tcW w:w="800" w:type="dxa"/>
            <w:vAlign w:val="bottom"/>
            <w:vMerge w:val="restart"/>
          </w:tcPr>
          <w:p>
            <w:pPr>
              <w:jc w:val="right"/>
              <w:ind w:right="110"/>
              <w:spacing w:after="0"/>
              <w:rPr>
                <w:sz w:val="20"/>
                <w:szCs w:val="20"/>
                <w:color w:val="auto"/>
              </w:rPr>
            </w:pPr>
            <w:r>
              <w:rPr>
                <w:rFonts w:ascii="Arial" w:cs="Arial" w:eastAsia="Arial" w:hAnsi="Arial"/>
                <w:sz w:val="14"/>
                <w:szCs w:val="14"/>
                <w:color w:val="060606"/>
              </w:rPr>
              <w:t>329.7</w:t>
            </w:r>
          </w:p>
        </w:tc>
        <w:tc>
          <w:tcPr>
            <w:tcW w:w="0" w:type="dxa"/>
            <w:vAlign w:val="bottom"/>
          </w:tcPr>
          <w:p>
            <w:pPr>
              <w:spacing w:after="0"/>
              <w:rPr>
                <w:sz w:val="1"/>
                <w:szCs w:val="1"/>
                <w:color w:val="auto"/>
              </w:rPr>
            </w:pPr>
          </w:p>
        </w:tc>
      </w:tr>
      <w:tr>
        <w:trPr>
          <w:trHeight w:val="189"/>
        </w:trPr>
        <w:tc>
          <w:tcPr>
            <w:tcW w:w="1440" w:type="dxa"/>
            <w:vAlign w:val="bottom"/>
          </w:tcPr>
          <w:p>
            <w:pPr>
              <w:ind w:left="20"/>
              <w:spacing w:after="0"/>
              <w:rPr>
                <w:sz w:val="20"/>
                <w:szCs w:val="20"/>
                <w:color w:val="auto"/>
              </w:rPr>
            </w:pPr>
            <w:r>
              <w:rPr>
                <w:rFonts w:ascii="Arial" w:cs="Arial" w:eastAsia="Arial" w:hAnsi="Arial"/>
                <w:sz w:val="14"/>
                <w:szCs w:val="14"/>
                <w:color w:val="060606"/>
              </w:rPr>
              <w:t>administrative</w:t>
            </w:r>
          </w:p>
        </w:tc>
        <w:tc>
          <w:tcPr>
            <w:tcW w:w="7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060606"/>
              </w:rPr>
              <w:t>Selling, general, and</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ind w:left="20"/>
              <w:spacing w:after="0" w:line="149" w:lineRule="exact"/>
              <w:rPr>
                <w:sz w:val="20"/>
                <w:szCs w:val="20"/>
                <w:color w:val="auto"/>
              </w:rPr>
            </w:pPr>
            <w:r>
              <w:rPr>
                <w:rFonts w:ascii="Arial" w:cs="Arial" w:eastAsia="Arial" w:hAnsi="Arial"/>
                <w:sz w:val="14"/>
                <w:szCs w:val="14"/>
                <w:color w:val="060606"/>
              </w:rPr>
              <w:t>administrative as a</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20"/>
              <w:spacing w:after="0" w:line="145" w:lineRule="exact"/>
              <w:rPr>
                <w:sz w:val="20"/>
                <w:szCs w:val="20"/>
                <w:color w:val="auto"/>
              </w:rPr>
            </w:pPr>
            <w:r>
              <w:rPr>
                <w:rFonts w:ascii="Arial" w:cs="Arial" w:eastAsia="Arial" w:hAnsi="Arial"/>
                <w:sz w:val="14"/>
                <w:szCs w:val="14"/>
                <w:color w:val="060606"/>
              </w:rPr>
              <w:t>percent of net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060606"/>
              </w:rPr>
              <w:t>40.6 %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(0.8)%</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(2.2)%</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(2.2)%</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060606"/>
              </w:rPr>
              <w:t>35.4 %</w:t>
            </w:r>
          </w:p>
        </w:tc>
        <w:tc>
          <w:tcPr>
            <w:tcW w:w="0" w:type="dxa"/>
            <w:vAlign w:val="bottom"/>
          </w:tcPr>
          <w:p>
            <w:pPr>
              <w:spacing w:after="0"/>
              <w:rPr>
                <w:sz w:val="1"/>
                <w:szCs w:val="1"/>
                <w:color w:val="auto"/>
              </w:rPr>
            </w:pPr>
          </w:p>
        </w:tc>
      </w:tr>
      <w:tr>
        <w:trPr>
          <w:trHeight w:val="190"/>
        </w:trPr>
        <w:tc>
          <w:tcPr>
            <w:tcW w:w="1440" w:type="dxa"/>
            <w:vAlign w:val="bottom"/>
          </w:tcPr>
          <w:p>
            <w:pPr>
              <w:ind w:left="20"/>
              <w:spacing w:after="0"/>
              <w:rPr>
                <w:sz w:val="20"/>
                <w:szCs w:val="20"/>
                <w:color w:val="auto"/>
              </w:rPr>
            </w:pPr>
            <w:r>
              <w:rPr>
                <w:rFonts w:ascii="Arial" w:cs="Arial" w:eastAsia="Arial" w:hAnsi="Arial"/>
                <w:sz w:val="14"/>
                <w:szCs w:val="14"/>
                <w:color w:val="060606"/>
              </w:rPr>
              <w:t>revenue</w:t>
            </w:r>
          </w:p>
        </w:tc>
        <w:tc>
          <w:tcPr>
            <w:tcW w:w="7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40" w:type="dxa"/>
            <w:vAlign w:val="bottom"/>
          </w:tcPr>
          <w:p>
            <w:pPr>
              <w:ind w:left="20"/>
              <w:spacing w:after="0" w:line="151" w:lineRule="exact"/>
              <w:rPr>
                <w:sz w:val="20"/>
                <w:szCs w:val="20"/>
                <w:color w:val="auto"/>
              </w:rPr>
            </w:pPr>
            <w:r>
              <w:rPr>
                <w:rFonts w:ascii="Arial" w:cs="Arial" w:eastAsia="Arial" w:hAnsi="Arial"/>
                <w:sz w:val="14"/>
                <w:szCs w:val="14"/>
                <w:color w:val="060606"/>
              </w:rPr>
              <w:t>Research and</w:t>
            </w:r>
          </w:p>
        </w:tc>
        <w:tc>
          <w:tcPr>
            <w:tcW w:w="760" w:type="dxa"/>
            <w:vAlign w:val="bottom"/>
            <w:vMerge w:val="restart"/>
          </w:tcPr>
          <w:p>
            <w:pPr>
              <w:jc w:val="right"/>
              <w:ind w:right="130"/>
              <w:spacing w:after="0"/>
              <w:rPr>
                <w:sz w:val="20"/>
                <w:szCs w:val="20"/>
                <w:color w:val="auto"/>
              </w:rPr>
            </w:pPr>
            <w:r>
              <w:rPr>
                <w:rFonts w:ascii="Arial" w:cs="Arial" w:eastAsia="Arial" w:hAnsi="Arial"/>
                <w:sz w:val="14"/>
                <w:szCs w:val="14"/>
                <w:color w:val="060606"/>
              </w:rPr>
              <w:t>139.2</w:t>
            </w:r>
          </w:p>
        </w:tc>
        <w:tc>
          <w:tcPr>
            <w:tcW w:w="940" w:type="dxa"/>
            <w:vAlign w:val="bottom"/>
            <w:vMerge w:val="restart"/>
          </w:tcPr>
          <w:p>
            <w:pPr>
              <w:jc w:val="right"/>
              <w:ind w:right="149"/>
              <w:spacing w:after="0"/>
              <w:rPr>
                <w:sz w:val="20"/>
                <w:szCs w:val="20"/>
                <w:color w:val="auto"/>
              </w:rPr>
            </w:pPr>
            <w:r>
              <w:rPr>
                <w:rFonts w:ascii="Arial" w:cs="Arial" w:eastAsia="Arial" w:hAnsi="Arial"/>
                <w:sz w:val="14"/>
                <w:szCs w:val="14"/>
                <w:color w:val="060606"/>
              </w:rPr>
              <w:t>—</w:t>
            </w:r>
          </w:p>
        </w:tc>
        <w:tc>
          <w:tcPr>
            <w:tcW w:w="860" w:type="dxa"/>
            <w:vAlign w:val="bottom"/>
            <w:vMerge w:val="restart"/>
          </w:tcPr>
          <w:p>
            <w:pPr>
              <w:jc w:val="right"/>
              <w:ind w:right="130"/>
              <w:spacing w:after="0"/>
              <w:rPr>
                <w:sz w:val="20"/>
                <w:szCs w:val="20"/>
                <w:color w:val="auto"/>
              </w:rPr>
            </w:pPr>
            <w:r>
              <w:rPr>
                <w:rFonts w:ascii="Arial" w:cs="Arial" w:eastAsia="Arial" w:hAnsi="Arial"/>
                <w:sz w:val="14"/>
                <w:szCs w:val="14"/>
                <w:color w:val="060606"/>
              </w:rPr>
              <w:t>0.1</w:t>
            </w: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jc w:val="right"/>
              <w:ind w:right="109"/>
              <w:spacing w:after="0"/>
              <w:rPr>
                <w:sz w:val="20"/>
                <w:szCs w:val="20"/>
                <w:color w:val="auto"/>
              </w:rPr>
            </w:pPr>
            <w:r>
              <w:rPr>
                <w:rFonts w:ascii="Arial" w:cs="Arial" w:eastAsia="Arial" w:hAnsi="Arial"/>
                <w:sz w:val="14"/>
                <w:szCs w:val="14"/>
                <w:color w:val="060606"/>
              </w:rPr>
              <w:t>—</w:t>
            </w:r>
          </w:p>
        </w:tc>
        <w:tc>
          <w:tcPr>
            <w:tcW w:w="1000" w:type="dxa"/>
            <w:vAlign w:val="bottom"/>
            <w:vMerge w:val="restart"/>
          </w:tcPr>
          <w:p>
            <w:pPr>
              <w:jc w:val="right"/>
              <w:ind w:right="89"/>
              <w:spacing w:after="0"/>
              <w:rPr>
                <w:sz w:val="20"/>
                <w:szCs w:val="20"/>
                <w:color w:val="auto"/>
              </w:rPr>
            </w:pPr>
            <w:r>
              <w:rPr>
                <w:rFonts w:ascii="Arial" w:cs="Arial" w:eastAsia="Arial" w:hAnsi="Arial"/>
                <w:sz w:val="14"/>
                <w:szCs w:val="14"/>
                <w:color w:val="060606"/>
              </w:rPr>
              <w:t>(0.7)</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060606"/>
              </w:rPr>
              <w:t>(2.3)</w:t>
            </w:r>
          </w:p>
        </w:tc>
        <w:tc>
          <w:tcPr>
            <w:tcW w:w="960" w:type="dxa"/>
            <w:vAlign w:val="bottom"/>
            <w:vMerge w:val="restart"/>
          </w:tcPr>
          <w:p>
            <w:pPr>
              <w:jc w:val="right"/>
              <w:ind w:right="90"/>
              <w:spacing w:after="0"/>
              <w:rPr>
                <w:sz w:val="20"/>
                <w:szCs w:val="20"/>
                <w:color w:val="auto"/>
              </w:rPr>
            </w:pPr>
            <w:r>
              <w:rPr>
                <w:rFonts w:ascii="Arial" w:cs="Arial" w:eastAsia="Arial" w:hAnsi="Arial"/>
                <w:sz w:val="14"/>
                <w:szCs w:val="14"/>
                <w:color w:val="060606"/>
              </w:rPr>
              <w:t>(5.5)</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w:t>
            </w:r>
          </w:p>
        </w:tc>
        <w:tc>
          <w:tcPr>
            <w:tcW w:w="900" w:type="dxa"/>
            <w:vAlign w:val="bottom"/>
            <w:vMerge w:val="restart"/>
          </w:tcPr>
          <w:p>
            <w:pPr>
              <w:jc w:val="right"/>
              <w:ind w:right="109"/>
              <w:spacing w:after="0"/>
              <w:rPr>
                <w:sz w:val="20"/>
                <w:szCs w:val="20"/>
                <w:color w:val="auto"/>
              </w:rPr>
            </w:pPr>
            <w:r>
              <w:rPr>
                <w:rFonts w:ascii="Arial" w:cs="Arial" w:eastAsia="Arial" w:hAnsi="Arial"/>
                <w:sz w:val="14"/>
                <w:szCs w:val="14"/>
                <w:color w:val="060606"/>
              </w:rPr>
              <w:t>—</w:t>
            </w:r>
          </w:p>
        </w:tc>
        <w:tc>
          <w:tcPr>
            <w:tcW w:w="800" w:type="dxa"/>
            <w:vAlign w:val="bottom"/>
            <w:vMerge w:val="restart"/>
          </w:tcPr>
          <w:p>
            <w:pPr>
              <w:jc w:val="right"/>
              <w:ind w:right="110"/>
              <w:spacing w:after="0"/>
              <w:rPr>
                <w:sz w:val="20"/>
                <w:szCs w:val="20"/>
                <w:color w:val="auto"/>
              </w:rPr>
            </w:pPr>
            <w:r>
              <w:rPr>
                <w:rFonts w:ascii="Arial" w:cs="Arial" w:eastAsia="Arial" w:hAnsi="Arial"/>
                <w:sz w:val="14"/>
                <w:szCs w:val="14"/>
                <w:color w:val="060606"/>
              </w:rPr>
              <w:t>130.9</w:t>
            </w:r>
          </w:p>
        </w:tc>
        <w:tc>
          <w:tcPr>
            <w:tcW w:w="0" w:type="dxa"/>
            <w:vAlign w:val="bottom"/>
          </w:tcPr>
          <w:p>
            <w:pPr>
              <w:spacing w:after="0"/>
              <w:rPr>
                <w:sz w:val="1"/>
                <w:szCs w:val="1"/>
                <w:color w:val="auto"/>
              </w:rPr>
            </w:pPr>
          </w:p>
        </w:tc>
      </w:tr>
      <w:tr>
        <w:trPr>
          <w:trHeight w:val="189"/>
        </w:trPr>
        <w:tc>
          <w:tcPr>
            <w:tcW w:w="1440" w:type="dxa"/>
            <w:vAlign w:val="bottom"/>
          </w:tcPr>
          <w:p>
            <w:pPr>
              <w:ind w:left="20"/>
              <w:spacing w:after="0"/>
              <w:rPr>
                <w:sz w:val="20"/>
                <w:szCs w:val="20"/>
                <w:color w:val="auto"/>
              </w:rPr>
            </w:pPr>
            <w:r>
              <w:rPr>
                <w:rFonts w:ascii="Arial" w:cs="Arial" w:eastAsia="Arial" w:hAnsi="Arial"/>
                <w:sz w:val="14"/>
                <w:szCs w:val="14"/>
                <w:color w:val="060606"/>
              </w:rPr>
              <w:t>development</w:t>
            </w:r>
          </w:p>
        </w:tc>
        <w:tc>
          <w:tcPr>
            <w:tcW w:w="7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060606"/>
              </w:rPr>
              <w:t>Research and</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060606"/>
              </w:rPr>
              <w:t>development as a</w:t>
            </w: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440" w:type="dxa"/>
            <w:vAlign w:val="bottom"/>
          </w:tcPr>
          <w:p>
            <w:pPr>
              <w:ind w:left="20"/>
              <w:spacing w:after="0" w:line="145" w:lineRule="exact"/>
              <w:rPr>
                <w:sz w:val="20"/>
                <w:szCs w:val="20"/>
                <w:color w:val="auto"/>
              </w:rPr>
            </w:pPr>
            <w:r>
              <w:rPr>
                <w:rFonts w:ascii="Arial" w:cs="Arial" w:eastAsia="Arial" w:hAnsi="Arial"/>
                <w:sz w:val="14"/>
                <w:szCs w:val="14"/>
                <w:color w:val="060606"/>
              </w:rPr>
              <w:t>percent of net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060606"/>
              </w:rPr>
              <w:t>14.9 %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060606"/>
              </w:rPr>
              <w:t>(0.1)%</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(0.2)%</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(0.6)%</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060606"/>
              </w:rPr>
              <w:t>14.0 %</w:t>
            </w:r>
          </w:p>
        </w:tc>
        <w:tc>
          <w:tcPr>
            <w:tcW w:w="0" w:type="dxa"/>
            <w:vAlign w:val="bottom"/>
          </w:tcPr>
          <w:p>
            <w:pPr>
              <w:spacing w:after="0"/>
              <w:rPr>
                <w:sz w:val="1"/>
                <w:szCs w:val="1"/>
                <w:color w:val="auto"/>
              </w:rPr>
            </w:pPr>
          </w:p>
        </w:tc>
      </w:tr>
      <w:tr>
        <w:trPr>
          <w:trHeight w:val="190"/>
        </w:trPr>
        <w:tc>
          <w:tcPr>
            <w:tcW w:w="1440" w:type="dxa"/>
            <w:vAlign w:val="bottom"/>
          </w:tcPr>
          <w:p>
            <w:pPr>
              <w:ind w:left="20"/>
              <w:spacing w:after="0"/>
              <w:rPr>
                <w:sz w:val="20"/>
                <w:szCs w:val="20"/>
                <w:color w:val="auto"/>
              </w:rPr>
            </w:pPr>
            <w:r>
              <w:rPr>
                <w:rFonts w:ascii="Arial" w:cs="Arial" w:eastAsia="Arial" w:hAnsi="Arial"/>
                <w:sz w:val="14"/>
                <w:szCs w:val="14"/>
                <w:color w:val="060606"/>
              </w:rPr>
              <w:t>revenue</w:t>
            </w:r>
          </w:p>
        </w:tc>
        <w:tc>
          <w:tcPr>
            <w:tcW w:w="7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440" w:type="dxa"/>
            <w:vAlign w:val="bottom"/>
          </w:tcPr>
          <w:p>
            <w:pPr>
              <w:ind w:left="20"/>
              <w:spacing w:after="0" w:line="151" w:lineRule="exact"/>
              <w:rPr>
                <w:sz w:val="20"/>
                <w:szCs w:val="20"/>
                <w:color w:val="auto"/>
              </w:rPr>
            </w:pPr>
            <w:r>
              <w:rPr>
                <w:rFonts w:ascii="Arial" w:cs="Arial" w:eastAsia="Arial" w:hAnsi="Arial"/>
                <w:sz w:val="14"/>
                <w:szCs w:val="14"/>
                <w:color w:val="060606"/>
              </w:rPr>
              <w:t>Other operating</w:t>
            </w:r>
          </w:p>
        </w:tc>
        <w:tc>
          <w:tcPr>
            <w:tcW w:w="760" w:type="dxa"/>
            <w:vAlign w:val="bottom"/>
            <w:vMerge w:val="restart"/>
          </w:tcPr>
          <w:p>
            <w:pPr>
              <w:jc w:val="right"/>
              <w:ind w:right="130"/>
              <w:spacing w:after="0"/>
              <w:rPr>
                <w:sz w:val="20"/>
                <w:szCs w:val="20"/>
                <w:color w:val="auto"/>
              </w:rPr>
            </w:pPr>
            <w:r>
              <w:rPr>
                <w:rFonts w:ascii="Arial" w:cs="Arial" w:eastAsia="Arial" w:hAnsi="Arial"/>
                <w:sz w:val="14"/>
                <w:szCs w:val="14"/>
                <w:color w:val="060606"/>
              </w:rPr>
              <w:t>29.6</w:t>
            </w:r>
          </w:p>
        </w:tc>
        <w:tc>
          <w:tcPr>
            <w:tcW w:w="940" w:type="dxa"/>
            <w:vAlign w:val="bottom"/>
            <w:vMerge w:val="restart"/>
          </w:tcPr>
          <w:p>
            <w:pPr>
              <w:jc w:val="right"/>
              <w:ind w:right="109"/>
              <w:spacing w:after="0"/>
              <w:rPr>
                <w:sz w:val="20"/>
                <w:szCs w:val="20"/>
                <w:color w:val="auto"/>
              </w:rPr>
            </w:pPr>
            <w:r>
              <w:rPr>
                <w:rFonts w:ascii="Arial" w:cs="Arial" w:eastAsia="Arial" w:hAnsi="Arial"/>
                <w:sz w:val="14"/>
                <w:szCs w:val="14"/>
                <w:color w:val="060606"/>
              </w:rPr>
              <w:t>(12.8)</w:t>
            </w:r>
          </w:p>
        </w:tc>
        <w:tc>
          <w:tcPr>
            <w:tcW w:w="860" w:type="dxa"/>
            <w:vAlign w:val="bottom"/>
            <w:vMerge w:val="restart"/>
          </w:tcPr>
          <w:p>
            <w:pPr>
              <w:jc w:val="right"/>
              <w:ind w:right="130"/>
              <w:spacing w:after="0"/>
              <w:rPr>
                <w:sz w:val="20"/>
                <w:szCs w:val="20"/>
                <w:color w:val="auto"/>
              </w:rPr>
            </w:pPr>
            <w:r>
              <w:rPr>
                <w:rFonts w:ascii="Arial" w:cs="Arial" w:eastAsia="Arial" w:hAnsi="Arial"/>
                <w:sz w:val="14"/>
                <w:szCs w:val="14"/>
                <w:color w:val="060606"/>
              </w:rPr>
              <w:t>—</w:t>
            </w:r>
          </w:p>
        </w:tc>
        <w:tc>
          <w:tcPr>
            <w:tcW w:w="84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jc w:val="right"/>
              <w:ind w:right="109"/>
              <w:spacing w:after="0"/>
              <w:rPr>
                <w:sz w:val="20"/>
                <w:szCs w:val="20"/>
                <w:color w:val="auto"/>
              </w:rPr>
            </w:pPr>
            <w:r>
              <w:rPr>
                <w:rFonts w:ascii="Arial" w:cs="Arial" w:eastAsia="Arial" w:hAnsi="Arial"/>
                <w:sz w:val="14"/>
                <w:szCs w:val="14"/>
                <w:color w:val="060606"/>
              </w:rPr>
              <w:t>—</w:t>
            </w:r>
          </w:p>
        </w:tc>
        <w:tc>
          <w:tcPr>
            <w:tcW w:w="1000" w:type="dxa"/>
            <w:vAlign w:val="bottom"/>
            <w:vMerge w:val="restart"/>
          </w:tcPr>
          <w:p>
            <w:pPr>
              <w:jc w:val="right"/>
              <w:ind w:right="129"/>
              <w:spacing w:after="0"/>
              <w:rPr>
                <w:sz w:val="20"/>
                <w:szCs w:val="20"/>
                <w:color w:val="auto"/>
              </w:rPr>
            </w:pPr>
            <w:r>
              <w:rPr>
                <w:rFonts w:ascii="Arial" w:cs="Arial" w:eastAsia="Arial" w:hAnsi="Arial"/>
                <w:sz w:val="14"/>
                <w:szCs w:val="14"/>
                <w:color w:val="060606"/>
              </w:rPr>
              <w:t>—</w:t>
            </w:r>
          </w:p>
        </w:tc>
        <w:tc>
          <w:tcPr>
            <w:tcW w:w="900" w:type="dxa"/>
            <w:vAlign w:val="bottom"/>
            <w:vMerge w:val="restart"/>
          </w:tcPr>
          <w:p>
            <w:pPr>
              <w:jc w:val="right"/>
              <w:ind w:right="110"/>
              <w:spacing w:after="0"/>
              <w:rPr>
                <w:sz w:val="20"/>
                <w:szCs w:val="20"/>
                <w:color w:val="auto"/>
              </w:rPr>
            </w:pPr>
            <w:r>
              <w:rPr>
                <w:rFonts w:ascii="Arial" w:cs="Arial" w:eastAsia="Arial" w:hAnsi="Arial"/>
                <w:sz w:val="14"/>
                <w:szCs w:val="14"/>
                <w:color w:val="060606"/>
              </w:rPr>
              <w:t>(16.8)</w:t>
            </w:r>
          </w:p>
        </w:tc>
        <w:tc>
          <w:tcPr>
            <w:tcW w:w="960" w:type="dxa"/>
            <w:vAlign w:val="bottom"/>
            <w:vMerge w:val="restart"/>
          </w:tcPr>
          <w:p>
            <w:pPr>
              <w:jc w:val="right"/>
              <w:ind w:right="130"/>
              <w:spacing w:after="0"/>
              <w:rPr>
                <w:sz w:val="20"/>
                <w:szCs w:val="20"/>
                <w:color w:val="auto"/>
              </w:rPr>
            </w:pPr>
            <w:r>
              <w:rPr>
                <w:rFonts w:ascii="Arial" w:cs="Arial" w:eastAsia="Arial" w:hAnsi="Arial"/>
                <w:sz w:val="14"/>
                <w:szCs w:val="14"/>
                <w:color w:val="060606"/>
              </w:rPr>
              <w:t>—</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w:t>
            </w:r>
          </w:p>
        </w:tc>
        <w:tc>
          <w:tcPr>
            <w:tcW w:w="900" w:type="dxa"/>
            <w:vAlign w:val="bottom"/>
            <w:vMerge w:val="restart"/>
          </w:tcPr>
          <w:p>
            <w:pPr>
              <w:jc w:val="right"/>
              <w:ind w:right="109"/>
              <w:spacing w:after="0"/>
              <w:rPr>
                <w:sz w:val="20"/>
                <w:szCs w:val="20"/>
                <w:color w:val="auto"/>
              </w:rPr>
            </w:pPr>
            <w:r>
              <w:rPr>
                <w:rFonts w:ascii="Arial" w:cs="Arial" w:eastAsia="Arial" w:hAnsi="Arial"/>
                <w:sz w:val="14"/>
                <w:szCs w:val="14"/>
                <w:color w:val="060606"/>
              </w:rPr>
              <w:t>—</w:t>
            </w:r>
          </w:p>
        </w:tc>
        <w:tc>
          <w:tcPr>
            <w:tcW w:w="800" w:type="dxa"/>
            <w:vAlign w:val="bottom"/>
            <w:vMerge w:val="restart"/>
          </w:tcPr>
          <w:p>
            <w:pPr>
              <w:jc w:val="right"/>
              <w:ind w:right="110"/>
              <w:spacing w:after="0"/>
              <w:rPr>
                <w:sz w:val="20"/>
                <w:szCs w:val="20"/>
                <w:color w:val="auto"/>
              </w:rPr>
            </w:pPr>
            <w:r>
              <w:rPr>
                <w:rFonts w:ascii="Arial" w:cs="Arial" w:eastAsia="Arial" w:hAnsi="Arial"/>
                <w:sz w:val="14"/>
                <w:szCs w:val="14"/>
                <w:color w:val="060606"/>
              </w:rPr>
              <w:t>—</w:t>
            </w:r>
          </w:p>
        </w:tc>
        <w:tc>
          <w:tcPr>
            <w:tcW w:w="0" w:type="dxa"/>
            <w:vAlign w:val="bottom"/>
          </w:tcPr>
          <w:p>
            <w:pPr>
              <w:spacing w:after="0"/>
              <w:rPr>
                <w:sz w:val="1"/>
                <w:szCs w:val="1"/>
                <w:color w:val="auto"/>
              </w:rPr>
            </w:pPr>
          </w:p>
        </w:tc>
      </w:tr>
      <w:tr>
        <w:trPr>
          <w:trHeight w:val="189"/>
        </w:trPr>
        <w:tc>
          <w:tcPr>
            <w:tcW w:w="1440" w:type="dxa"/>
            <w:vAlign w:val="bottom"/>
          </w:tcPr>
          <w:p>
            <w:pPr>
              <w:ind w:left="20"/>
              <w:spacing w:after="0"/>
              <w:rPr>
                <w:sz w:val="20"/>
                <w:szCs w:val="20"/>
                <w:color w:val="auto"/>
              </w:rPr>
            </w:pPr>
            <w:r>
              <w:rPr>
                <w:rFonts w:ascii="Arial" w:cs="Arial" w:eastAsia="Arial" w:hAnsi="Arial"/>
                <w:sz w:val="14"/>
                <w:szCs w:val="14"/>
                <w:color w:val="060606"/>
              </w:rPr>
              <w:t>expense</w:t>
            </w:r>
          </w:p>
        </w:tc>
        <w:tc>
          <w:tcPr>
            <w:tcW w:w="7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ind w:left="20"/>
              <w:spacing w:after="0"/>
              <w:rPr>
                <w:sz w:val="20"/>
                <w:szCs w:val="20"/>
                <w:color w:val="auto"/>
              </w:rPr>
            </w:pPr>
            <w:r>
              <w:rPr>
                <w:rFonts w:ascii="Arial" w:cs="Arial" w:eastAsia="Arial" w:hAnsi="Arial"/>
                <w:sz w:val="14"/>
                <w:szCs w:val="14"/>
                <w:color w:val="060606"/>
              </w:rPr>
              <w:t>Operating income</w:t>
            </w:r>
          </w:p>
        </w:tc>
        <w:tc>
          <w:tcPr>
            <w:tcW w:w="760" w:type="dxa"/>
            <w:vAlign w:val="bottom"/>
          </w:tcPr>
          <w:p>
            <w:pPr>
              <w:jc w:val="right"/>
              <w:ind w:right="130"/>
              <w:spacing w:after="0"/>
              <w:rPr>
                <w:sz w:val="20"/>
                <w:szCs w:val="20"/>
                <w:color w:val="auto"/>
              </w:rPr>
            </w:pPr>
            <w:r>
              <w:rPr>
                <w:rFonts w:ascii="Arial" w:cs="Arial" w:eastAsia="Arial" w:hAnsi="Arial"/>
                <w:sz w:val="14"/>
                <w:szCs w:val="14"/>
                <w:color w:val="060606"/>
              </w:rPr>
              <w:t>92.0</w:t>
            </w:r>
          </w:p>
        </w:tc>
        <w:tc>
          <w:tcPr>
            <w:tcW w:w="940" w:type="dxa"/>
            <w:vAlign w:val="bottom"/>
          </w:tcPr>
          <w:p>
            <w:pPr>
              <w:jc w:val="right"/>
              <w:ind w:right="149"/>
              <w:spacing w:after="0"/>
              <w:rPr>
                <w:sz w:val="20"/>
                <w:szCs w:val="20"/>
                <w:color w:val="auto"/>
              </w:rPr>
            </w:pPr>
            <w:r>
              <w:rPr>
                <w:rFonts w:ascii="Arial" w:cs="Arial" w:eastAsia="Arial" w:hAnsi="Arial"/>
                <w:sz w:val="14"/>
                <w:szCs w:val="14"/>
                <w:color w:val="060606"/>
              </w:rPr>
              <w:t>12.8</w:t>
            </w:r>
          </w:p>
        </w:tc>
        <w:tc>
          <w:tcPr>
            <w:tcW w:w="860" w:type="dxa"/>
            <w:vAlign w:val="bottom"/>
          </w:tcPr>
          <w:p>
            <w:pPr>
              <w:jc w:val="right"/>
              <w:ind w:right="130"/>
              <w:spacing w:after="0"/>
              <w:rPr>
                <w:sz w:val="20"/>
                <w:szCs w:val="20"/>
                <w:color w:val="auto"/>
              </w:rPr>
            </w:pPr>
            <w:r>
              <w:rPr>
                <w:rFonts w:ascii="Arial" w:cs="Arial" w:eastAsia="Arial" w:hAnsi="Arial"/>
                <w:sz w:val="14"/>
                <w:szCs w:val="14"/>
                <w:color w:val="060606"/>
              </w:rPr>
              <w:t>12.9</w:t>
            </w:r>
          </w:p>
        </w:tc>
        <w:tc>
          <w:tcPr>
            <w:tcW w:w="840" w:type="dxa"/>
            <w:vAlign w:val="bottom"/>
          </w:tcPr>
          <w:p>
            <w:pPr>
              <w:jc w:val="right"/>
              <w:ind w:right="129"/>
              <w:spacing w:after="0"/>
              <w:rPr>
                <w:sz w:val="20"/>
                <w:szCs w:val="20"/>
                <w:color w:val="auto"/>
              </w:rPr>
            </w:pPr>
            <w:r>
              <w:rPr>
                <w:rFonts w:ascii="Arial" w:cs="Arial" w:eastAsia="Arial" w:hAnsi="Arial"/>
                <w:sz w:val="14"/>
                <w:szCs w:val="14"/>
                <w:color w:val="060606"/>
              </w:rPr>
              <w:t>—</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1000" w:type="dxa"/>
            <w:vAlign w:val="bottom"/>
          </w:tcPr>
          <w:p>
            <w:pPr>
              <w:jc w:val="right"/>
              <w:ind w:right="129"/>
              <w:spacing w:after="0"/>
              <w:rPr>
                <w:sz w:val="20"/>
                <w:szCs w:val="20"/>
                <w:color w:val="auto"/>
              </w:rPr>
            </w:pPr>
            <w:r>
              <w:rPr>
                <w:rFonts w:ascii="Arial" w:cs="Arial" w:eastAsia="Arial" w:hAnsi="Arial"/>
                <w:sz w:val="14"/>
                <w:szCs w:val="14"/>
                <w:color w:val="060606"/>
              </w:rPr>
              <w:t>0.3</w:t>
            </w:r>
          </w:p>
        </w:tc>
        <w:tc>
          <w:tcPr>
            <w:tcW w:w="900" w:type="dxa"/>
            <w:vAlign w:val="bottom"/>
          </w:tcPr>
          <w:p>
            <w:pPr>
              <w:jc w:val="right"/>
              <w:ind w:right="150"/>
              <w:spacing w:after="0"/>
              <w:rPr>
                <w:sz w:val="20"/>
                <w:szCs w:val="20"/>
                <w:color w:val="auto"/>
              </w:rPr>
            </w:pPr>
            <w:r>
              <w:rPr>
                <w:rFonts w:ascii="Arial" w:cs="Arial" w:eastAsia="Arial" w:hAnsi="Arial"/>
                <w:sz w:val="14"/>
                <w:szCs w:val="14"/>
                <w:color w:val="060606"/>
              </w:rPr>
              <w:t>38.4</w:t>
            </w:r>
          </w:p>
        </w:tc>
        <w:tc>
          <w:tcPr>
            <w:tcW w:w="960" w:type="dxa"/>
            <w:vAlign w:val="bottom"/>
          </w:tcPr>
          <w:p>
            <w:pPr>
              <w:jc w:val="right"/>
              <w:ind w:right="130"/>
              <w:spacing w:after="0"/>
              <w:rPr>
                <w:sz w:val="20"/>
                <w:szCs w:val="20"/>
                <w:color w:val="auto"/>
              </w:rPr>
            </w:pPr>
            <w:r>
              <w:rPr>
                <w:rFonts w:ascii="Arial" w:cs="Arial" w:eastAsia="Arial" w:hAnsi="Arial"/>
                <w:sz w:val="14"/>
                <w:szCs w:val="14"/>
                <w:color w:val="060606"/>
              </w:rPr>
              <w:t>27.0</w:t>
            </w:r>
          </w:p>
        </w:tc>
        <w:tc>
          <w:tcPr>
            <w:tcW w:w="920" w:type="dxa"/>
            <w:vAlign w:val="bottom"/>
          </w:tcPr>
          <w:p>
            <w:pPr>
              <w:ind w:left="580"/>
              <w:spacing w:after="0"/>
              <w:rPr>
                <w:sz w:val="20"/>
                <w:szCs w:val="20"/>
                <w:color w:val="auto"/>
              </w:rPr>
            </w:pPr>
            <w:r>
              <w:rPr>
                <w:rFonts w:ascii="Arial" w:cs="Arial" w:eastAsia="Arial" w:hAnsi="Arial"/>
                <w:sz w:val="14"/>
                <w:szCs w:val="14"/>
                <w:color w:val="060606"/>
              </w:rPr>
              <w:t>—</w:t>
            </w:r>
          </w:p>
        </w:tc>
        <w:tc>
          <w:tcPr>
            <w:tcW w:w="900" w:type="dxa"/>
            <w:vAlign w:val="bottom"/>
          </w:tcPr>
          <w:p>
            <w:pPr>
              <w:jc w:val="right"/>
              <w:ind w:right="109"/>
              <w:spacing w:after="0"/>
              <w:rPr>
                <w:sz w:val="20"/>
                <w:szCs w:val="20"/>
                <w:color w:val="auto"/>
              </w:rPr>
            </w:pPr>
            <w:r>
              <w:rPr>
                <w:rFonts w:ascii="Arial" w:cs="Arial" w:eastAsia="Arial" w:hAnsi="Arial"/>
                <w:sz w:val="14"/>
                <w:szCs w:val="14"/>
                <w:color w:val="060606"/>
              </w:rPr>
              <w:t>—</w:t>
            </w:r>
          </w:p>
        </w:tc>
        <w:tc>
          <w:tcPr>
            <w:tcW w:w="800" w:type="dxa"/>
            <w:vAlign w:val="bottom"/>
          </w:tcPr>
          <w:p>
            <w:pPr>
              <w:jc w:val="right"/>
              <w:ind w:right="110"/>
              <w:spacing w:after="0"/>
              <w:rPr>
                <w:sz w:val="20"/>
                <w:szCs w:val="20"/>
                <w:color w:val="auto"/>
              </w:rPr>
            </w:pPr>
            <w:r>
              <w:rPr>
                <w:rFonts w:ascii="Arial" w:cs="Arial" w:eastAsia="Arial" w:hAnsi="Arial"/>
                <w:sz w:val="14"/>
                <w:szCs w:val="14"/>
                <w:color w:val="060606"/>
              </w:rPr>
              <w:t>183.6</w:t>
            </w:r>
          </w:p>
        </w:tc>
        <w:tc>
          <w:tcPr>
            <w:tcW w:w="0" w:type="dxa"/>
            <w:vAlign w:val="bottom"/>
          </w:tcPr>
          <w:p>
            <w:pPr>
              <w:spacing w:after="0"/>
              <w:rPr>
                <w:sz w:val="1"/>
                <w:szCs w:val="1"/>
                <w:color w:val="auto"/>
              </w:rPr>
            </w:pPr>
          </w:p>
        </w:tc>
      </w:tr>
      <w:tr>
        <w:trPr>
          <w:trHeight w:val="161"/>
        </w:trPr>
        <w:tc>
          <w:tcPr>
            <w:tcW w:w="1440" w:type="dxa"/>
            <w:vAlign w:val="bottom"/>
          </w:tcPr>
          <w:p>
            <w:pPr>
              <w:ind w:left="20"/>
              <w:spacing w:after="0"/>
              <w:rPr>
                <w:sz w:val="20"/>
                <w:szCs w:val="20"/>
                <w:color w:val="auto"/>
              </w:rPr>
            </w:pPr>
            <w:r>
              <w:rPr>
                <w:rFonts w:ascii="Arial" w:cs="Arial" w:eastAsia="Arial" w:hAnsi="Arial"/>
                <w:sz w:val="14"/>
                <w:szCs w:val="14"/>
                <w:color w:val="060606"/>
              </w:rPr>
              <w:t>Operating margin</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060606"/>
              </w:rPr>
              <w:t>9.9 %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1.4 %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1.4 %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4.1 %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2.9 %</w:t>
            </w:r>
          </w:p>
        </w:tc>
        <w:tc>
          <w:tcPr>
            <w:tcW w:w="920" w:type="dxa"/>
            <w:vAlign w:val="bottom"/>
            <w:vMerge w:val="restart"/>
          </w:tcPr>
          <w:p>
            <w:pPr>
              <w:ind w:left="580"/>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060606"/>
              </w:rPr>
              <w:t>19.7 %</w:t>
            </w:r>
          </w:p>
        </w:tc>
        <w:tc>
          <w:tcPr>
            <w:tcW w:w="0" w:type="dxa"/>
            <w:vAlign w:val="bottom"/>
          </w:tcPr>
          <w:p>
            <w:pPr>
              <w:spacing w:after="0"/>
              <w:rPr>
                <w:sz w:val="1"/>
                <w:szCs w:val="1"/>
                <w:color w:val="auto"/>
              </w:rPr>
            </w:pPr>
          </w:p>
        </w:tc>
      </w:tr>
      <w:tr>
        <w:trPr>
          <w:trHeight w:val="189"/>
        </w:trPr>
        <w:tc>
          <w:tcPr>
            <w:tcW w:w="1440" w:type="dxa"/>
            <w:vAlign w:val="bottom"/>
          </w:tcPr>
          <w:p>
            <w:pPr>
              <w:ind w:left="20"/>
              <w:spacing w:after="0"/>
              <w:rPr>
                <w:sz w:val="20"/>
                <w:szCs w:val="20"/>
                <w:color w:val="auto"/>
              </w:rPr>
            </w:pPr>
            <w:r>
              <w:rPr>
                <w:rFonts w:ascii="Arial" w:cs="Arial" w:eastAsia="Arial" w:hAnsi="Arial"/>
                <w:sz w:val="14"/>
                <w:szCs w:val="14"/>
                <w:color w:val="060606"/>
              </w:rPr>
              <w:t>percent</w:t>
            </w:r>
          </w:p>
        </w:tc>
        <w:tc>
          <w:tcPr>
            <w:tcW w:w="7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ind w:left="20"/>
              <w:spacing w:after="0"/>
              <w:rPr>
                <w:sz w:val="20"/>
                <w:szCs w:val="20"/>
                <w:color w:val="auto"/>
              </w:rPr>
            </w:pPr>
            <w:r>
              <w:rPr>
                <w:rFonts w:ascii="Arial" w:cs="Arial" w:eastAsia="Arial" w:hAnsi="Arial"/>
                <w:sz w:val="14"/>
                <w:szCs w:val="14"/>
                <w:color w:val="060606"/>
              </w:rPr>
              <w:t>Net income</w:t>
            </w:r>
          </w:p>
        </w:tc>
        <w:tc>
          <w:tcPr>
            <w:tcW w:w="760" w:type="dxa"/>
            <w:vAlign w:val="bottom"/>
          </w:tcPr>
          <w:p>
            <w:pPr>
              <w:jc w:val="right"/>
              <w:ind w:right="130"/>
              <w:spacing w:after="0"/>
              <w:rPr>
                <w:sz w:val="20"/>
                <w:szCs w:val="20"/>
                <w:color w:val="auto"/>
              </w:rPr>
            </w:pPr>
            <w:r>
              <w:rPr>
                <w:rFonts w:ascii="Arial" w:cs="Arial" w:eastAsia="Arial" w:hAnsi="Arial"/>
                <w:sz w:val="14"/>
                <w:szCs w:val="14"/>
                <w:color w:val="060606"/>
              </w:rPr>
              <w:t>7.3</w:t>
            </w:r>
          </w:p>
        </w:tc>
        <w:tc>
          <w:tcPr>
            <w:tcW w:w="940" w:type="dxa"/>
            <w:vAlign w:val="bottom"/>
          </w:tcPr>
          <w:p>
            <w:pPr>
              <w:jc w:val="right"/>
              <w:ind w:right="149"/>
              <w:spacing w:after="0"/>
              <w:rPr>
                <w:sz w:val="20"/>
                <w:szCs w:val="20"/>
                <w:color w:val="auto"/>
              </w:rPr>
            </w:pPr>
            <w:r>
              <w:rPr>
                <w:rFonts w:ascii="Arial" w:cs="Arial" w:eastAsia="Arial" w:hAnsi="Arial"/>
                <w:sz w:val="14"/>
                <w:szCs w:val="14"/>
                <w:color w:val="060606"/>
              </w:rPr>
              <w:t>12.8</w:t>
            </w:r>
          </w:p>
        </w:tc>
        <w:tc>
          <w:tcPr>
            <w:tcW w:w="860" w:type="dxa"/>
            <w:vAlign w:val="bottom"/>
          </w:tcPr>
          <w:p>
            <w:pPr>
              <w:jc w:val="right"/>
              <w:ind w:right="130"/>
              <w:spacing w:after="0"/>
              <w:rPr>
                <w:sz w:val="20"/>
                <w:szCs w:val="20"/>
                <w:color w:val="auto"/>
              </w:rPr>
            </w:pPr>
            <w:r>
              <w:rPr>
                <w:rFonts w:ascii="Arial" w:cs="Arial" w:eastAsia="Arial" w:hAnsi="Arial"/>
                <w:sz w:val="14"/>
                <w:szCs w:val="14"/>
                <w:color w:val="060606"/>
              </w:rPr>
              <w:t>12.9</w:t>
            </w:r>
          </w:p>
        </w:tc>
        <w:tc>
          <w:tcPr>
            <w:tcW w:w="840" w:type="dxa"/>
            <w:vAlign w:val="bottom"/>
          </w:tcPr>
          <w:p>
            <w:pPr>
              <w:jc w:val="right"/>
              <w:ind w:right="129"/>
              <w:spacing w:after="0"/>
              <w:rPr>
                <w:sz w:val="20"/>
                <w:szCs w:val="20"/>
                <w:color w:val="auto"/>
              </w:rPr>
            </w:pPr>
            <w:r>
              <w:rPr>
                <w:rFonts w:ascii="Arial" w:cs="Arial" w:eastAsia="Arial" w:hAnsi="Arial"/>
                <w:sz w:val="14"/>
                <w:szCs w:val="14"/>
                <w:color w:val="060606"/>
              </w:rPr>
              <w:t>5.8</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25.7</w:t>
            </w:r>
          </w:p>
        </w:tc>
        <w:tc>
          <w:tcPr>
            <w:tcW w:w="1000" w:type="dxa"/>
            <w:vAlign w:val="bottom"/>
          </w:tcPr>
          <w:p>
            <w:pPr>
              <w:jc w:val="right"/>
              <w:ind w:right="129"/>
              <w:spacing w:after="0"/>
              <w:rPr>
                <w:sz w:val="20"/>
                <w:szCs w:val="20"/>
                <w:color w:val="auto"/>
              </w:rPr>
            </w:pPr>
            <w:r>
              <w:rPr>
                <w:rFonts w:ascii="Arial" w:cs="Arial" w:eastAsia="Arial" w:hAnsi="Arial"/>
                <w:sz w:val="14"/>
                <w:szCs w:val="14"/>
                <w:color w:val="060606"/>
              </w:rPr>
              <w:t>0.3</w:t>
            </w:r>
          </w:p>
        </w:tc>
        <w:tc>
          <w:tcPr>
            <w:tcW w:w="900" w:type="dxa"/>
            <w:vAlign w:val="bottom"/>
          </w:tcPr>
          <w:p>
            <w:pPr>
              <w:jc w:val="right"/>
              <w:ind w:right="150"/>
              <w:spacing w:after="0"/>
              <w:rPr>
                <w:sz w:val="20"/>
                <w:szCs w:val="20"/>
                <w:color w:val="auto"/>
              </w:rPr>
            </w:pPr>
            <w:r>
              <w:rPr>
                <w:rFonts w:ascii="Arial" w:cs="Arial" w:eastAsia="Arial" w:hAnsi="Arial"/>
                <w:sz w:val="14"/>
                <w:szCs w:val="14"/>
                <w:color w:val="060606"/>
              </w:rPr>
              <w:t>38.4</w:t>
            </w:r>
          </w:p>
        </w:tc>
        <w:tc>
          <w:tcPr>
            <w:tcW w:w="960" w:type="dxa"/>
            <w:vAlign w:val="bottom"/>
          </w:tcPr>
          <w:p>
            <w:pPr>
              <w:jc w:val="right"/>
              <w:ind w:right="130"/>
              <w:spacing w:after="0"/>
              <w:rPr>
                <w:sz w:val="20"/>
                <w:szCs w:val="20"/>
                <w:color w:val="auto"/>
              </w:rPr>
            </w:pPr>
            <w:r>
              <w:rPr>
                <w:rFonts w:ascii="Arial" w:cs="Arial" w:eastAsia="Arial" w:hAnsi="Arial"/>
                <w:sz w:val="14"/>
                <w:szCs w:val="14"/>
                <w:color w:val="060606"/>
              </w:rPr>
              <w:t>27.0</w:t>
            </w:r>
          </w:p>
        </w:tc>
        <w:tc>
          <w:tcPr>
            <w:tcW w:w="920" w:type="dxa"/>
            <w:vAlign w:val="bottom"/>
          </w:tcPr>
          <w:p>
            <w:pPr>
              <w:jc w:val="right"/>
              <w:ind w:right="89"/>
              <w:spacing w:after="0"/>
              <w:rPr>
                <w:sz w:val="20"/>
                <w:szCs w:val="20"/>
                <w:color w:val="auto"/>
              </w:rPr>
            </w:pPr>
            <w:r>
              <w:rPr>
                <w:rFonts w:ascii="Arial" w:cs="Arial" w:eastAsia="Arial" w:hAnsi="Arial"/>
                <w:sz w:val="14"/>
                <w:szCs w:val="14"/>
                <w:color w:val="060606"/>
              </w:rPr>
              <w:t>(13.7)</w:t>
            </w:r>
          </w:p>
        </w:tc>
        <w:tc>
          <w:tcPr>
            <w:tcW w:w="900" w:type="dxa"/>
            <w:vAlign w:val="bottom"/>
          </w:tcPr>
          <w:p>
            <w:pPr>
              <w:jc w:val="right"/>
              <w:ind w:right="109"/>
              <w:spacing w:after="0"/>
              <w:rPr>
                <w:sz w:val="20"/>
                <w:szCs w:val="20"/>
                <w:color w:val="auto"/>
              </w:rPr>
            </w:pPr>
            <w:r>
              <w:rPr>
                <w:rFonts w:ascii="Arial" w:cs="Arial" w:eastAsia="Arial" w:hAnsi="Arial"/>
                <w:sz w:val="14"/>
                <w:szCs w:val="14"/>
                <w:color w:val="060606"/>
              </w:rPr>
              <w:t>23.5</w:t>
            </w:r>
          </w:p>
        </w:tc>
        <w:tc>
          <w:tcPr>
            <w:tcW w:w="800" w:type="dxa"/>
            <w:vAlign w:val="bottom"/>
          </w:tcPr>
          <w:p>
            <w:pPr>
              <w:jc w:val="right"/>
              <w:ind w:right="110"/>
              <w:spacing w:after="0"/>
              <w:rPr>
                <w:sz w:val="20"/>
                <w:szCs w:val="20"/>
                <w:color w:val="auto"/>
              </w:rPr>
            </w:pPr>
            <w:r>
              <w:rPr>
                <w:rFonts w:ascii="Arial" w:cs="Arial" w:eastAsia="Arial" w:hAnsi="Arial"/>
                <w:sz w:val="14"/>
                <w:szCs w:val="14"/>
                <w:color w:val="060606"/>
              </w:rPr>
              <w:t>140.1</w:t>
            </w:r>
          </w:p>
        </w:tc>
        <w:tc>
          <w:tcPr>
            <w:tcW w:w="0" w:type="dxa"/>
            <w:vAlign w:val="bottom"/>
          </w:tcPr>
          <w:p>
            <w:pPr>
              <w:spacing w:after="0"/>
              <w:rPr>
                <w:sz w:val="1"/>
                <w:szCs w:val="1"/>
                <w:color w:val="auto"/>
              </w:rPr>
            </w:pPr>
          </w:p>
        </w:tc>
      </w:tr>
      <w:tr>
        <w:trPr>
          <w:trHeight w:val="161"/>
        </w:trPr>
        <w:tc>
          <w:tcPr>
            <w:tcW w:w="1440" w:type="dxa"/>
            <w:vAlign w:val="bottom"/>
          </w:tcPr>
          <w:p>
            <w:pPr>
              <w:ind w:left="20"/>
              <w:spacing w:after="0"/>
              <w:rPr>
                <w:sz w:val="20"/>
                <w:szCs w:val="20"/>
                <w:color w:val="auto"/>
              </w:rPr>
            </w:pPr>
            <w:r>
              <w:rPr>
                <w:rFonts w:ascii="Arial" w:cs="Arial" w:eastAsia="Arial" w:hAnsi="Arial"/>
                <w:sz w:val="14"/>
                <w:szCs w:val="14"/>
                <w:color w:val="060606"/>
              </w:rPr>
              <w:t>Net income as a</w:t>
            </w: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40" w:type="dxa"/>
            <w:vAlign w:val="bottom"/>
          </w:tcPr>
          <w:p>
            <w:pPr>
              <w:ind w:left="20"/>
              <w:spacing w:after="0" w:line="149" w:lineRule="exact"/>
              <w:rPr>
                <w:sz w:val="20"/>
                <w:szCs w:val="20"/>
                <w:color w:val="auto"/>
              </w:rPr>
            </w:pPr>
            <w:r>
              <w:rPr>
                <w:rFonts w:ascii="Arial" w:cs="Arial" w:eastAsia="Arial" w:hAnsi="Arial"/>
                <w:sz w:val="14"/>
                <w:szCs w:val="14"/>
                <w:color w:val="060606"/>
              </w:rPr>
              <w:t>percent of net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060606"/>
              </w:rPr>
              <w:t>0.8 %</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060606"/>
              </w:rPr>
              <w:t>1.4 %</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060606"/>
              </w:rPr>
              <w:t>1.4 %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60606"/>
              </w:rPr>
              <w:t>0.6 %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2.8 %</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060606"/>
              </w:rPr>
              <w:t>— %</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4.1 %</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060606"/>
              </w:rPr>
              <w:t>2.9 %</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060606"/>
              </w:rPr>
              <w:t>(1.5)%</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060606"/>
              </w:rPr>
              <w:t>2.5 %</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060606"/>
              </w:rPr>
              <w:t>15.0 %</w:t>
            </w:r>
          </w:p>
        </w:tc>
        <w:tc>
          <w:tcPr>
            <w:tcW w:w="0" w:type="dxa"/>
            <w:vAlign w:val="bottom"/>
          </w:tcPr>
          <w:p>
            <w:pPr>
              <w:spacing w:after="0"/>
              <w:rPr>
                <w:sz w:val="1"/>
                <w:szCs w:val="1"/>
                <w:color w:val="auto"/>
              </w:rPr>
            </w:pPr>
          </w:p>
        </w:tc>
      </w:tr>
      <w:tr>
        <w:trPr>
          <w:trHeight w:val="189"/>
        </w:trPr>
        <w:tc>
          <w:tcPr>
            <w:tcW w:w="1440" w:type="dxa"/>
            <w:vAlign w:val="bottom"/>
          </w:tcPr>
          <w:p>
            <w:pPr>
              <w:ind w:left="20"/>
              <w:spacing w:after="0"/>
              <w:rPr>
                <w:sz w:val="20"/>
                <w:szCs w:val="20"/>
                <w:color w:val="auto"/>
              </w:rPr>
            </w:pPr>
            <w:r>
              <w:rPr>
                <w:rFonts w:ascii="Arial" w:cs="Arial" w:eastAsia="Arial" w:hAnsi="Arial"/>
                <w:sz w:val="14"/>
                <w:szCs w:val="14"/>
                <w:color w:val="060606"/>
              </w:rPr>
              <w:t>revenue</w:t>
            </w:r>
          </w:p>
        </w:tc>
        <w:tc>
          <w:tcPr>
            <w:tcW w:w="7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40" w:type="dxa"/>
            <w:vAlign w:val="bottom"/>
          </w:tcPr>
          <w:p>
            <w:pPr>
              <w:ind w:left="20"/>
              <w:spacing w:after="0"/>
              <w:rPr>
                <w:sz w:val="20"/>
                <w:szCs w:val="20"/>
                <w:color w:val="auto"/>
              </w:rPr>
            </w:pPr>
            <w:r>
              <w:rPr>
                <w:rFonts w:ascii="Arial" w:cs="Arial" w:eastAsia="Arial" w:hAnsi="Arial"/>
                <w:sz w:val="14"/>
                <w:szCs w:val="14"/>
                <w:color w:val="060606"/>
              </w:rPr>
              <w:t>Diluted EPS</w:t>
            </w:r>
          </w:p>
        </w:tc>
        <w:tc>
          <w:tcPr>
            <w:tcW w:w="760" w:type="dxa"/>
            <w:vAlign w:val="bottom"/>
          </w:tcPr>
          <w:p>
            <w:pPr>
              <w:jc w:val="right"/>
              <w:ind w:right="130"/>
              <w:spacing w:after="0"/>
              <w:rPr>
                <w:sz w:val="20"/>
                <w:szCs w:val="20"/>
                <w:color w:val="auto"/>
              </w:rPr>
            </w:pPr>
            <w:r>
              <w:rPr>
                <w:rFonts w:ascii="Arial" w:cs="Arial" w:eastAsia="Arial" w:hAnsi="Arial"/>
                <w:sz w:val="14"/>
                <w:szCs w:val="14"/>
                <w:color w:val="060606"/>
              </w:rPr>
              <w:t>$0.13</w:t>
            </w:r>
          </w:p>
        </w:tc>
        <w:tc>
          <w:tcPr>
            <w:tcW w:w="940" w:type="dxa"/>
            <w:vAlign w:val="bottom"/>
          </w:tcPr>
          <w:p>
            <w:pPr>
              <w:jc w:val="right"/>
              <w:ind w:right="149"/>
              <w:spacing w:after="0"/>
              <w:rPr>
                <w:sz w:val="20"/>
                <w:szCs w:val="20"/>
                <w:color w:val="auto"/>
              </w:rPr>
            </w:pPr>
            <w:r>
              <w:rPr>
                <w:rFonts w:ascii="Arial" w:cs="Arial" w:eastAsia="Arial" w:hAnsi="Arial"/>
                <w:sz w:val="14"/>
                <w:szCs w:val="14"/>
                <w:color w:val="060606"/>
              </w:rPr>
              <w:t>$0.24</w:t>
            </w:r>
          </w:p>
        </w:tc>
        <w:tc>
          <w:tcPr>
            <w:tcW w:w="860" w:type="dxa"/>
            <w:vAlign w:val="bottom"/>
          </w:tcPr>
          <w:p>
            <w:pPr>
              <w:jc w:val="right"/>
              <w:ind w:right="130"/>
              <w:spacing w:after="0"/>
              <w:rPr>
                <w:sz w:val="20"/>
                <w:szCs w:val="20"/>
                <w:color w:val="auto"/>
              </w:rPr>
            </w:pPr>
            <w:r>
              <w:rPr>
                <w:rFonts w:ascii="Arial" w:cs="Arial" w:eastAsia="Arial" w:hAnsi="Arial"/>
                <w:sz w:val="14"/>
                <w:szCs w:val="14"/>
                <w:color w:val="060606"/>
              </w:rPr>
              <w:t>$0.24</w:t>
            </w:r>
          </w:p>
        </w:tc>
        <w:tc>
          <w:tcPr>
            <w:tcW w:w="840" w:type="dxa"/>
            <w:vAlign w:val="bottom"/>
          </w:tcPr>
          <w:p>
            <w:pPr>
              <w:jc w:val="right"/>
              <w:ind w:right="129"/>
              <w:spacing w:after="0"/>
              <w:rPr>
                <w:sz w:val="20"/>
                <w:szCs w:val="20"/>
                <w:color w:val="auto"/>
              </w:rPr>
            </w:pPr>
            <w:r>
              <w:rPr>
                <w:rFonts w:ascii="Arial" w:cs="Arial" w:eastAsia="Arial" w:hAnsi="Arial"/>
                <w:sz w:val="14"/>
                <w:szCs w:val="14"/>
                <w:color w:val="060606"/>
              </w:rPr>
              <w:t>$0.11</w:t>
            </w:r>
          </w:p>
        </w:tc>
        <w:tc>
          <w:tcPr>
            <w:tcW w:w="920" w:type="dxa"/>
            <w:vAlign w:val="bottom"/>
          </w:tcPr>
          <w:p>
            <w:pPr>
              <w:jc w:val="right"/>
              <w:ind w:right="109"/>
              <w:spacing w:after="0"/>
              <w:rPr>
                <w:sz w:val="20"/>
                <w:szCs w:val="20"/>
                <w:color w:val="auto"/>
              </w:rPr>
            </w:pPr>
            <w:r>
              <w:rPr>
                <w:rFonts w:ascii="Arial" w:cs="Arial" w:eastAsia="Arial" w:hAnsi="Arial"/>
                <w:sz w:val="14"/>
                <w:szCs w:val="14"/>
                <w:color w:val="060606"/>
              </w:rPr>
              <w:t>$0.47</w:t>
            </w:r>
          </w:p>
        </w:tc>
        <w:tc>
          <w:tcPr>
            <w:tcW w:w="1000" w:type="dxa"/>
            <w:vAlign w:val="bottom"/>
          </w:tcPr>
          <w:p>
            <w:pPr>
              <w:jc w:val="right"/>
              <w:ind w:right="129"/>
              <w:spacing w:after="0"/>
              <w:rPr>
                <w:sz w:val="20"/>
                <w:szCs w:val="20"/>
                <w:color w:val="auto"/>
              </w:rPr>
            </w:pPr>
            <w:r>
              <w:rPr>
                <w:rFonts w:ascii="Arial" w:cs="Arial" w:eastAsia="Arial" w:hAnsi="Arial"/>
                <w:sz w:val="14"/>
                <w:szCs w:val="14"/>
                <w:color w:val="060606"/>
              </w:rPr>
              <w:t>$0.01</w:t>
            </w:r>
          </w:p>
        </w:tc>
        <w:tc>
          <w:tcPr>
            <w:tcW w:w="900" w:type="dxa"/>
            <w:vAlign w:val="bottom"/>
          </w:tcPr>
          <w:p>
            <w:pPr>
              <w:jc w:val="right"/>
              <w:ind w:right="150"/>
              <w:spacing w:after="0"/>
              <w:rPr>
                <w:sz w:val="20"/>
                <w:szCs w:val="20"/>
                <w:color w:val="auto"/>
              </w:rPr>
            </w:pPr>
            <w:r>
              <w:rPr>
                <w:rFonts w:ascii="Arial" w:cs="Arial" w:eastAsia="Arial" w:hAnsi="Arial"/>
                <w:sz w:val="14"/>
                <w:szCs w:val="14"/>
                <w:color w:val="060606"/>
              </w:rPr>
              <w:t>$0.70</w:t>
            </w:r>
          </w:p>
        </w:tc>
        <w:tc>
          <w:tcPr>
            <w:tcW w:w="960" w:type="dxa"/>
            <w:vAlign w:val="bottom"/>
          </w:tcPr>
          <w:p>
            <w:pPr>
              <w:jc w:val="right"/>
              <w:ind w:right="130"/>
              <w:spacing w:after="0"/>
              <w:rPr>
                <w:sz w:val="20"/>
                <w:szCs w:val="20"/>
                <w:color w:val="auto"/>
              </w:rPr>
            </w:pPr>
            <w:r>
              <w:rPr>
                <w:rFonts w:ascii="Arial" w:cs="Arial" w:eastAsia="Arial" w:hAnsi="Arial"/>
                <w:sz w:val="14"/>
                <w:szCs w:val="14"/>
                <w:color w:val="060606"/>
              </w:rPr>
              <w:t>$0.49</w:t>
            </w:r>
          </w:p>
        </w:tc>
        <w:tc>
          <w:tcPr>
            <w:tcW w:w="920" w:type="dxa"/>
            <w:vAlign w:val="bottom"/>
          </w:tcPr>
          <w:p>
            <w:pPr>
              <w:jc w:val="right"/>
              <w:ind w:right="89"/>
              <w:spacing w:after="0"/>
              <w:rPr>
                <w:sz w:val="20"/>
                <w:szCs w:val="20"/>
                <w:color w:val="auto"/>
              </w:rPr>
            </w:pPr>
            <w:r>
              <w:rPr>
                <w:rFonts w:ascii="Arial" w:cs="Arial" w:eastAsia="Arial" w:hAnsi="Arial"/>
                <w:sz w:val="14"/>
                <w:szCs w:val="14"/>
                <w:color w:val="060606"/>
              </w:rPr>
              <w:t>($0.25)</w:t>
            </w:r>
          </w:p>
        </w:tc>
        <w:tc>
          <w:tcPr>
            <w:tcW w:w="900" w:type="dxa"/>
            <w:vAlign w:val="bottom"/>
          </w:tcPr>
          <w:p>
            <w:pPr>
              <w:jc w:val="right"/>
              <w:ind w:right="109"/>
              <w:spacing w:after="0"/>
              <w:rPr>
                <w:sz w:val="20"/>
                <w:szCs w:val="20"/>
                <w:color w:val="auto"/>
              </w:rPr>
            </w:pPr>
            <w:r>
              <w:rPr>
                <w:rFonts w:ascii="Arial" w:cs="Arial" w:eastAsia="Arial" w:hAnsi="Arial"/>
                <w:sz w:val="14"/>
                <w:szCs w:val="14"/>
                <w:color w:val="060606"/>
              </w:rPr>
              <w:t>$0.43</w:t>
            </w:r>
          </w:p>
        </w:tc>
        <w:tc>
          <w:tcPr>
            <w:tcW w:w="800" w:type="dxa"/>
            <w:vAlign w:val="bottom"/>
          </w:tcPr>
          <w:p>
            <w:pPr>
              <w:jc w:val="right"/>
              <w:ind w:right="110"/>
              <w:spacing w:after="0"/>
              <w:rPr>
                <w:sz w:val="20"/>
                <w:szCs w:val="20"/>
                <w:color w:val="auto"/>
              </w:rPr>
            </w:pPr>
            <w:r>
              <w:rPr>
                <w:rFonts w:ascii="Arial" w:cs="Arial" w:eastAsia="Arial" w:hAnsi="Arial"/>
                <w:sz w:val="14"/>
                <w:szCs w:val="14"/>
                <w:color w:val="060606"/>
              </w:rPr>
              <w:t>$2.57</w:t>
            </w: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060606"/>
        </w:rPr>
        <w:t>GAAP results for the nine months ended September 30, 2024 include:</w:t>
      </w:r>
    </w:p>
    <w:p>
      <w:pPr>
        <w:ind w:left="180" w:hanging="172"/>
        <w:spacing w:after="0" w:line="218" w:lineRule="auto"/>
        <w:tabs>
          <w:tab w:leader="none" w:pos="180" w:val="left"/>
        </w:tabs>
        <w:numPr>
          <w:ilvl w:val="0"/>
          <w:numId w:val="18"/>
        </w:numPr>
        <w:rPr>
          <w:rFonts w:ascii="Arial" w:cs="Arial" w:eastAsia="Arial" w:hAnsi="Arial"/>
          <w:sz w:val="21"/>
          <w:szCs w:val="21"/>
          <w:color w:val="060606"/>
          <w:vertAlign w:val="superscript"/>
        </w:rPr>
      </w:pPr>
      <w:r>
        <w:rPr>
          <w:rFonts w:ascii="Arial" w:cs="Arial" w:eastAsia="Arial" w:hAnsi="Arial"/>
          <w:sz w:val="16"/>
          <w:szCs w:val="16"/>
          <w:color w:val="060606"/>
        </w:rPr>
        <w:t>Restructuring expenses related to organizational changes</w:t>
      </w:r>
    </w:p>
    <w:p>
      <w:pPr>
        <w:spacing w:after="0" w:line="4" w:lineRule="exact"/>
        <w:rPr>
          <w:rFonts w:ascii="Arial" w:cs="Arial" w:eastAsia="Arial" w:hAnsi="Arial"/>
          <w:sz w:val="21"/>
          <w:szCs w:val="21"/>
          <w:color w:val="060606"/>
          <w:vertAlign w:val="superscript"/>
        </w:rPr>
      </w:pPr>
    </w:p>
    <w:p>
      <w:pPr>
        <w:ind w:left="180" w:hanging="172"/>
        <w:spacing w:after="0" w:line="187" w:lineRule="auto"/>
        <w:tabs>
          <w:tab w:leader="none" w:pos="180" w:val="left"/>
        </w:tabs>
        <w:numPr>
          <w:ilvl w:val="0"/>
          <w:numId w:val="18"/>
        </w:numPr>
        <w:rPr>
          <w:rFonts w:ascii="Arial" w:cs="Arial" w:eastAsia="Arial" w:hAnsi="Arial"/>
          <w:sz w:val="21"/>
          <w:szCs w:val="21"/>
          <w:color w:val="060606"/>
          <w:vertAlign w:val="superscript"/>
        </w:rPr>
      </w:pPr>
      <w:r>
        <w:rPr>
          <w:rFonts w:ascii="Arial" w:cs="Arial" w:eastAsia="Arial" w:hAnsi="Arial"/>
          <w:sz w:val="16"/>
          <w:szCs w:val="16"/>
          <w:color w:val="060606"/>
        </w:rPr>
        <w:t>Depreciation and amortization associated with purchase price accounting</w:t>
      </w:r>
    </w:p>
    <w:p>
      <w:pPr>
        <w:ind w:left="180" w:hanging="172"/>
        <w:spacing w:after="0" w:line="197" w:lineRule="auto"/>
        <w:tabs>
          <w:tab w:leader="none" w:pos="180" w:val="left"/>
        </w:tabs>
        <w:numPr>
          <w:ilvl w:val="0"/>
          <w:numId w:val="18"/>
        </w:numPr>
        <w:rPr>
          <w:rFonts w:ascii="Arial" w:cs="Arial" w:eastAsia="Arial" w:hAnsi="Arial"/>
          <w:sz w:val="21"/>
          <w:szCs w:val="21"/>
          <w:color w:val="060606"/>
          <w:vertAlign w:val="superscript"/>
        </w:rPr>
      </w:pPr>
      <w:r>
        <w:rPr>
          <w:rFonts w:ascii="Arial" w:cs="Arial" w:eastAsia="Arial" w:hAnsi="Arial"/>
          <w:sz w:val="16"/>
          <w:szCs w:val="16"/>
          <w:color w:val="060606"/>
        </w:rPr>
        <w:t>Impairment of investment in ShiraTronics, Inc.</w:t>
      </w:r>
    </w:p>
    <w:p>
      <w:pPr>
        <w:spacing w:after="0" w:line="4" w:lineRule="exact"/>
        <w:rPr>
          <w:rFonts w:ascii="Arial" w:cs="Arial" w:eastAsia="Arial" w:hAnsi="Arial"/>
          <w:sz w:val="21"/>
          <w:szCs w:val="21"/>
          <w:color w:val="060606"/>
          <w:vertAlign w:val="superscript"/>
        </w:rPr>
      </w:pPr>
    </w:p>
    <w:p>
      <w:pPr>
        <w:ind w:left="180" w:hanging="172"/>
        <w:spacing w:after="0" w:line="187" w:lineRule="auto"/>
        <w:tabs>
          <w:tab w:leader="none" w:pos="180" w:val="left"/>
        </w:tabs>
        <w:numPr>
          <w:ilvl w:val="0"/>
          <w:numId w:val="18"/>
        </w:numPr>
        <w:rPr>
          <w:rFonts w:ascii="Arial" w:cs="Arial" w:eastAsia="Arial" w:hAnsi="Arial"/>
          <w:sz w:val="21"/>
          <w:szCs w:val="21"/>
          <w:color w:val="060606"/>
          <w:vertAlign w:val="superscript"/>
        </w:rPr>
      </w:pPr>
      <w:r>
        <w:rPr>
          <w:rFonts w:ascii="Arial" w:cs="Arial" w:eastAsia="Arial" w:hAnsi="Arial"/>
          <w:sz w:val="16"/>
          <w:szCs w:val="16"/>
          <w:color w:val="060606"/>
        </w:rPr>
        <w:t>Mark-to-market adjustment for the embedded and capped call derivatives associated with the 2025 Notes</w:t>
      </w:r>
    </w:p>
    <w:p>
      <w:pPr>
        <w:ind w:left="180" w:hanging="172"/>
        <w:spacing w:after="0" w:line="187" w:lineRule="auto"/>
        <w:tabs>
          <w:tab w:leader="none" w:pos="180" w:val="left"/>
        </w:tabs>
        <w:numPr>
          <w:ilvl w:val="0"/>
          <w:numId w:val="18"/>
        </w:numPr>
        <w:rPr>
          <w:rFonts w:ascii="Arial" w:cs="Arial" w:eastAsia="Arial" w:hAnsi="Arial"/>
          <w:sz w:val="21"/>
          <w:szCs w:val="21"/>
          <w:color w:val="060606"/>
          <w:vertAlign w:val="superscript"/>
        </w:rPr>
      </w:pPr>
      <w:r>
        <w:rPr>
          <w:rFonts w:ascii="Arial" w:cs="Arial" w:eastAsia="Arial" w:hAnsi="Arial"/>
          <w:sz w:val="16"/>
          <w:szCs w:val="16"/>
          <w:color w:val="060606"/>
        </w:rPr>
        <w:t>Remeasurement of contingent consideration related to ImThera acquisition</w:t>
      </w:r>
    </w:p>
    <w:p>
      <w:pPr>
        <w:ind w:left="200" w:hanging="192"/>
        <w:spacing w:after="0" w:line="197" w:lineRule="auto"/>
        <w:tabs>
          <w:tab w:leader="none" w:pos="200" w:val="left"/>
        </w:tabs>
        <w:numPr>
          <w:ilvl w:val="0"/>
          <w:numId w:val="18"/>
        </w:numPr>
        <w:rPr>
          <w:rFonts w:ascii="Arial" w:cs="Arial" w:eastAsia="Arial" w:hAnsi="Arial"/>
          <w:sz w:val="21"/>
          <w:szCs w:val="21"/>
          <w:color w:val="060606"/>
          <w:vertAlign w:val="superscript"/>
        </w:rPr>
      </w:pPr>
      <w:r>
        <w:rPr>
          <w:rFonts w:ascii="Arial" w:cs="Arial" w:eastAsia="Arial" w:hAnsi="Arial"/>
          <w:sz w:val="16"/>
          <w:szCs w:val="16"/>
          <w:color w:val="060606"/>
        </w:rPr>
        <w:t>3T Heater-Cooler litigation provision, legal expenses primarily related to 3T Heater-Cooler defense, cybersecurity incident costs, MDR costs, and costs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60606"/>
        </w:rPr>
        <w:t>related to the SNIA matter</w:t>
      </w:r>
    </w:p>
    <w:p>
      <w:pPr>
        <w:ind w:left="180" w:hanging="172"/>
        <w:spacing w:after="0" w:line="202" w:lineRule="auto"/>
        <w:tabs>
          <w:tab w:leader="none" w:pos="180" w:val="left"/>
        </w:tabs>
        <w:numPr>
          <w:ilvl w:val="0"/>
          <w:numId w:val="19"/>
        </w:numPr>
        <w:rPr>
          <w:rFonts w:ascii="Arial" w:cs="Arial" w:eastAsia="Arial" w:hAnsi="Arial"/>
          <w:sz w:val="21"/>
          <w:szCs w:val="21"/>
          <w:color w:val="060606"/>
          <w:vertAlign w:val="superscript"/>
        </w:rPr>
      </w:pPr>
      <w:r>
        <w:rPr>
          <w:rFonts w:ascii="Arial" w:cs="Arial" w:eastAsia="Arial" w:hAnsi="Arial"/>
          <w:sz w:val="16"/>
          <w:szCs w:val="16"/>
          <w:color w:val="060606"/>
        </w:rPr>
        <w:t>Non-cash expenses associated with stock-based compensation costs</w:t>
      </w:r>
    </w:p>
    <w:p>
      <w:pPr>
        <w:spacing w:after="0" w:line="4" w:lineRule="exact"/>
        <w:rPr>
          <w:rFonts w:ascii="Arial" w:cs="Arial" w:eastAsia="Arial" w:hAnsi="Arial"/>
          <w:sz w:val="21"/>
          <w:szCs w:val="21"/>
          <w:color w:val="060606"/>
          <w:vertAlign w:val="superscript"/>
        </w:rPr>
      </w:pPr>
    </w:p>
    <w:p>
      <w:pPr>
        <w:ind w:left="180" w:hanging="172"/>
        <w:spacing w:after="0" w:line="187" w:lineRule="auto"/>
        <w:tabs>
          <w:tab w:leader="none" w:pos="180" w:val="left"/>
        </w:tabs>
        <w:numPr>
          <w:ilvl w:val="0"/>
          <w:numId w:val="19"/>
        </w:numPr>
        <w:rPr>
          <w:rFonts w:ascii="Arial" w:cs="Arial" w:eastAsia="Arial" w:hAnsi="Arial"/>
          <w:sz w:val="21"/>
          <w:szCs w:val="21"/>
          <w:color w:val="060606"/>
          <w:vertAlign w:val="superscript"/>
        </w:rPr>
      </w:pPr>
      <w:r>
        <w:rPr>
          <w:rFonts w:ascii="Arial" w:cs="Arial" w:eastAsia="Arial" w:hAnsi="Arial"/>
          <w:sz w:val="16"/>
          <w:szCs w:val="16"/>
          <w:color w:val="060606"/>
        </w:rPr>
        <w:t>The impact of valuation allowances, discrete tax items, the tax impact of intercompany transactions, and the tax impact on non-GAAP adjustments</w:t>
      </w:r>
    </w:p>
    <w:p>
      <w:pPr>
        <w:ind w:right="20" w:firstLine="8"/>
        <w:spacing w:after="0" w:line="231" w:lineRule="auto"/>
        <w:tabs>
          <w:tab w:leader="none" w:pos="178" w:val="left"/>
        </w:tabs>
        <w:numPr>
          <w:ilvl w:val="0"/>
          <w:numId w:val="19"/>
        </w:numPr>
        <w:rPr>
          <w:rFonts w:ascii="Arial" w:cs="Arial" w:eastAsia="Arial" w:hAnsi="Arial"/>
          <w:sz w:val="20"/>
          <w:szCs w:val="20"/>
          <w:color w:val="060606"/>
          <w:vertAlign w:val="superscript"/>
        </w:rPr>
      </w:pPr>
      <w:r>
        <w:rPr>
          <w:rFonts w:ascii="Arial" w:cs="Arial" w:eastAsia="Arial" w:hAnsi="Arial"/>
          <w:sz w:val="15"/>
          <w:szCs w:val="15"/>
          <w:color w:val="060606"/>
        </w:rPr>
        <w:t>Interest expense on the Term Facilities, non-cash interest expense on the 2025 and 2029 Notes and Revolving Credit Facility, and interest income on the collateral for the SNIA litigation guarantee and delayed draw on Term Facilities</w:t>
      </w:r>
    </w:p>
    <w:p>
      <w:pPr>
        <w:spacing w:after="0"/>
        <w:rPr>
          <w:rFonts w:ascii="Arial" w:cs="Arial" w:eastAsia="Arial" w:hAnsi="Arial"/>
          <w:sz w:val="20"/>
          <w:szCs w:val="20"/>
          <w:color w:val="060606"/>
          <w:vertAlign w:val="superscript"/>
        </w:rPr>
      </w:pPr>
      <w:r>
        <w:rPr>
          <w:rFonts w:ascii="Arial" w:cs="Arial" w:eastAsia="Arial" w:hAnsi="Arial"/>
          <w:sz w:val="16"/>
          <w:szCs w:val="16"/>
          <w:color w:val="060606"/>
        </w:rPr>
        <w:t>• Numbers may not add precisely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060606"/>
        </w:rPr>
        <w:t>17</w:t>
      </w:r>
    </w:p>
    <w:p>
      <w:pPr>
        <w:sectPr>
          <w:pgSz w:w="11900" w:h="16838" w:orient="portrait"/>
          <w:cols w:equalWidth="0" w:num="1">
            <w:col w:w="11240"/>
          </w:cols>
          <w:pgMar w:left="320" w:top="1440"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2"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r>
              <w:rPr>
                <w:rFonts w:ascii="Arial" w:cs="Arial" w:eastAsia="Arial" w:hAnsi="Arial"/>
                <w:sz w:val="18"/>
                <w:szCs w:val="18"/>
                <w:color w:val="060606"/>
              </w:rPr>
              <w:t>LIVANOVA PLC AND SUBSIDIARIES</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060606"/>
              </w:rPr>
              <w:t>CONDENSED CONSOLIDATED BALANCE SHEETS - UNAUDITED</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980" w:type="dxa"/>
            <w:vAlign w:val="bottom"/>
          </w:tcPr>
          <w:p>
            <w:pPr>
              <w:spacing w:after="0"/>
              <w:rPr>
                <w:sz w:val="20"/>
                <w:szCs w:val="20"/>
                <w:color w:val="auto"/>
              </w:rPr>
            </w:pPr>
            <w:r>
              <w:rPr>
                <w:rFonts w:ascii="Arial" w:cs="Arial" w:eastAsia="Arial" w:hAnsi="Arial"/>
                <w:sz w:val="18"/>
                <w:szCs w:val="18"/>
                <w:color w:val="060606"/>
              </w:rPr>
              <w:t>(U.S. dollars in millions)</w:t>
            </w:r>
          </w:p>
        </w:tc>
        <w:tc>
          <w:tcPr>
            <w:tcW w:w="2160" w:type="dxa"/>
            <w:vAlign w:val="bottom"/>
            <w:gridSpan w:val="2"/>
            <w:vMerge w:val="restart"/>
          </w:tcPr>
          <w:p>
            <w:pPr>
              <w:ind w:left="220"/>
              <w:spacing w:after="0"/>
              <w:rPr>
                <w:sz w:val="20"/>
                <w:szCs w:val="20"/>
                <w:color w:val="auto"/>
              </w:rPr>
            </w:pPr>
            <w:r>
              <w:rPr>
                <w:rFonts w:ascii="Arial" w:cs="Arial" w:eastAsia="Arial" w:hAnsi="Arial"/>
                <w:sz w:val="18"/>
                <w:szCs w:val="18"/>
                <w:color w:val="060606"/>
              </w:rPr>
              <w:t>September 30, 2025</w:t>
            </w:r>
          </w:p>
        </w:tc>
        <w:tc>
          <w:tcPr>
            <w:tcW w:w="2080" w:type="dxa"/>
            <w:vAlign w:val="bottom"/>
            <w:vMerge w:val="restart"/>
          </w:tcPr>
          <w:p>
            <w:pPr>
              <w:jc w:val="right"/>
              <w:ind w:right="150"/>
              <w:spacing w:after="0"/>
              <w:rPr>
                <w:sz w:val="20"/>
                <w:szCs w:val="20"/>
                <w:color w:val="auto"/>
              </w:rPr>
            </w:pPr>
            <w:r>
              <w:rPr>
                <w:rFonts w:ascii="Arial" w:cs="Arial" w:eastAsia="Arial" w:hAnsi="Arial"/>
                <w:sz w:val="18"/>
                <w:szCs w:val="18"/>
                <w:color w:val="060606"/>
              </w:rPr>
              <w:t>December 31, 2024</w:t>
            </w:r>
          </w:p>
        </w:tc>
        <w:tc>
          <w:tcPr>
            <w:tcW w:w="0" w:type="dxa"/>
            <w:vAlign w:val="bottom"/>
          </w:tcPr>
          <w:p>
            <w:pPr>
              <w:spacing w:after="0"/>
              <w:rPr>
                <w:sz w:val="1"/>
                <w:szCs w:val="1"/>
                <w:color w:val="auto"/>
              </w:rPr>
            </w:pPr>
          </w:p>
        </w:tc>
      </w:tr>
      <w:tr>
        <w:trPr>
          <w:trHeight w:val="225"/>
        </w:trPr>
        <w:tc>
          <w:tcPr>
            <w:tcW w:w="6980" w:type="dxa"/>
            <w:vAlign w:val="bottom"/>
            <w:vMerge w:val="restart"/>
          </w:tcPr>
          <w:p>
            <w:pPr>
              <w:spacing w:after="0"/>
              <w:rPr>
                <w:sz w:val="20"/>
                <w:szCs w:val="20"/>
                <w:color w:val="auto"/>
              </w:rPr>
            </w:pPr>
            <w:r>
              <w:rPr>
                <w:rFonts w:ascii="Arial" w:cs="Arial" w:eastAsia="Arial" w:hAnsi="Arial"/>
                <w:sz w:val="18"/>
                <w:szCs w:val="18"/>
                <w:color w:val="060606"/>
              </w:rPr>
              <w:t>ASSETS</w:t>
            </w:r>
          </w:p>
        </w:tc>
        <w:tc>
          <w:tcPr>
            <w:tcW w:w="2160" w:type="dxa"/>
            <w:vAlign w:val="bottom"/>
            <w:gridSpan w:val="2"/>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980" w:type="dxa"/>
            <w:vAlign w:val="bottom"/>
            <w:vMerge w:val="continue"/>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980" w:type="dxa"/>
            <w:vAlign w:val="bottom"/>
          </w:tcPr>
          <w:p>
            <w:pPr>
              <w:spacing w:after="0"/>
              <w:rPr>
                <w:sz w:val="20"/>
                <w:szCs w:val="20"/>
                <w:color w:val="auto"/>
              </w:rPr>
            </w:pPr>
            <w:r>
              <w:rPr>
                <w:rFonts w:ascii="Arial" w:cs="Arial" w:eastAsia="Arial" w:hAnsi="Arial"/>
                <w:sz w:val="18"/>
                <w:szCs w:val="18"/>
                <w:i w:val="1"/>
                <w:iCs w:val="1"/>
                <w:color w:val="060606"/>
              </w:rPr>
              <w:t>Current Assets:</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Cash and cash equivalents</w:t>
            </w:r>
          </w:p>
        </w:tc>
        <w:tc>
          <w:tcPr>
            <w:tcW w:w="2080" w:type="dxa"/>
            <w:vAlign w:val="bottom"/>
          </w:tcPr>
          <w:p>
            <w:pPr>
              <w:jc w:val="right"/>
              <w:spacing w:after="0"/>
              <w:rPr>
                <w:sz w:val="20"/>
                <w:szCs w:val="20"/>
                <w:color w:val="auto"/>
              </w:rPr>
            </w:pPr>
            <w:r>
              <w:rPr>
                <w:rFonts w:ascii="Arial" w:cs="Arial" w:eastAsia="Arial" w:hAnsi="Arial"/>
                <w:sz w:val="18"/>
                <w:szCs w:val="18"/>
                <w:color w:val="060606"/>
              </w:rPr>
              <w:t>$646.1</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$428.9</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060606"/>
              </w:rPr>
              <w:t>Restricted cash</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060606"/>
              </w:rPr>
              <w:t>—</w:t>
            </w:r>
          </w:p>
        </w:tc>
        <w:tc>
          <w:tcPr>
            <w:tcW w:w="2080" w:type="dxa"/>
            <w:vAlign w:val="bottom"/>
          </w:tcPr>
          <w:p>
            <w:pPr>
              <w:jc w:val="right"/>
              <w:spacing w:after="0"/>
              <w:rPr>
                <w:sz w:val="20"/>
                <w:szCs w:val="20"/>
                <w:color w:val="auto"/>
              </w:rPr>
            </w:pPr>
            <w:r>
              <w:rPr>
                <w:rFonts w:ascii="Arial" w:cs="Arial" w:eastAsia="Arial" w:hAnsi="Arial"/>
                <w:sz w:val="18"/>
                <w:szCs w:val="18"/>
                <w:color w:val="060606"/>
              </w:rPr>
              <w:t>294.7</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Accounts receivable, net of allowance</w:t>
            </w:r>
          </w:p>
        </w:tc>
        <w:tc>
          <w:tcPr>
            <w:tcW w:w="2080" w:type="dxa"/>
            <w:vAlign w:val="bottom"/>
          </w:tcPr>
          <w:p>
            <w:pPr>
              <w:jc w:val="right"/>
              <w:spacing w:after="0"/>
              <w:rPr>
                <w:sz w:val="20"/>
                <w:szCs w:val="20"/>
                <w:color w:val="auto"/>
              </w:rPr>
            </w:pPr>
            <w:r>
              <w:rPr>
                <w:rFonts w:ascii="Arial" w:cs="Arial" w:eastAsia="Arial" w:hAnsi="Arial"/>
                <w:sz w:val="18"/>
                <w:szCs w:val="18"/>
                <w:color w:val="060606"/>
              </w:rPr>
              <w:t>211.6</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193.2</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060606"/>
              </w:rPr>
              <w:t>Inventories</w:t>
            </w:r>
          </w:p>
        </w:tc>
        <w:tc>
          <w:tcPr>
            <w:tcW w:w="2080" w:type="dxa"/>
            <w:vAlign w:val="bottom"/>
          </w:tcPr>
          <w:p>
            <w:pPr>
              <w:jc w:val="right"/>
              <w:spacing w:after="0"/>
              <w:rPr>
                <w:sz w:val="20"/>
                <w:szCs w:val="20"/>
                <w:color w:val="auto"/>
              </w:rPr>
            </w:pPr>
            <w:r>
              <w:rPr>
                <w:rFonts w:ascii="Arial" w:cs="Arial" w:eastAsia="Arial" w:hAnsi="Arial"/>
                <w:sz w:val="18"/>
                <w:szCs w:val="18"/>
                <w:color w:val="060606"/>
              </w:rPr>
              <w:t>167.5</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147.6</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060606"/>
              </w:rPr>
              <w:t>Prepaid and refundable taxes</w:t>
            </w:r>
          </w:p>
        </w:tc>
        <w:tc>
          <w:tcPr>
            <w:tcW w:w="2080" w:type="dxa"/>
            <w:vAlign w:val="bottom"/>
          </w:tcPr>
          <w:p>
            <w:pPr>
              <w:jc w:val="right"/>
              <w:spacing w:after="0"/>
              <w:rPr>
                <w:sz w:val="20"/>
                <w:szCs w:val="20"/>
                <w:color w:val="auto"/>
              </w:rPr>
            </w:pPr>
            <w:r>
              <w:rPr>
                <w:rFonts w:ascii="Arial" w:cs="Arial" w:eastAsia="Arial" w:hAnsi="Arial"/>
                <w:sz w:val="18"/>
                <w:szCs w:val="18"/>
                <w:color w:val="060606"/>
              </w:rPr>
              <w:t>27.5</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30.5</w:t>
            </w:r>
          </w:p>
        </w:tc>
        <w:tc>
          <w:tcPr>
            <w:tcW w:w="0" w:type="dxa"/>
            <w:vAlign w:val="bottom"/>
          </w:tcPr>
          <w:p>
            <w:pPr>
              <w:spacing w:after="0"/>
              <w:rPr>
                <w:sz w:val="1"/>
                <w:szCs w:val="1"/>
                <w:color w:val="auto"/>
              </w:rPr>
            </w:pPr>
          </w:p>
        </w:tc>
      </w:tr>
      <w:tr>
        <w:trPr>
          <w:trHeight w:val="235"/>
        </w:trPr>
        <w:tc>
          <w:tcPr>
            <w:tcW w:w="6980" w:type="dxa"/>
            <w:vAlign w:val="bottom"/>
          </w:tcPr>
          <w:p>
            <w:pPr>
              <w:ind w:left="240"/>
              <w:spacing w:after="0"/>
              <w:rPr>
                <w:sz w:val="20"/>
                <w:szCs w:val="20"/>
                <w:color w:val="auto"/>
              </w:rPr>
            </w:pPr>
            <w:r>
              <w:rPr>
                <w:rFonts w:ascii="Arial" w:cs="Arial" w:eastAsia="Arial" w:hAnsi="Arial"/>
                <w:sz w:val="18"/>
                <w:szCs w:val="18"/>
                <w:color w:val="060606"/>
              </w:rPr>
              <w:t>Prepaid expenses and other current assets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44.4</w:t>
            </w:r>
          </w:p>
        </w:tc>
        <w:tc>
          <w:tcPr>
            <w:tcW w:w="80" w:type="dxa"/>
            <w:vAlign w:val="bottom"/>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32.4</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060606"/>
              </w:rPr>
              <w:t>Total Current Assets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1,097.1</w:t>
            </w:r>
          </w:p>
        </w:tc>
        <w:tc>
          <w:tcPr>
            <w:tcW w:w="8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1,127.2</w:t>
            </w:r>
          </w:p>
        </w:tc>
        <w:tc>
          <w:tcPr>
            <w:tcW w:w="0" w:type="dxa"/>
            <w:vAlign w:val="bottom"/>
          </w:tcPr>
          <w:p>
            <w:pPr>
              <w:spacing w:after="0"/>
              <w:rPr>
                <w:sz w:val="1"/>
                <w:szCs w:val="1"/>
                <w:color w:val="auto"/>
              </w:rPr>
            </w:pPr>
          </w:p>
        </w:tc>
      </w:tr>
      <w:tr>
        <w:trPr>
          <w:trHeight w:val="218"/>
        </w:trPr>
        <w:tc>
          <w:tcPr>
            <w:tcW w:w="6980" w:type="dxa"/>
            <w:vAlign w:val="bottom"/>
          </w:tcPr>
          <w:p>
            <w:pPr>
              <w:ind w:left="240"/>
              <w:spacing w:after="0"/>
              <w:rPr>
                <w:sz w:val="20"/>
                <w:szCs w:val="20"/>
                <w:color w:val="auto"/>
              </w:rPr>
            </w:pPr>
            <w:r>
              <w:rPr>
                <w:rFonts w:ascii="Arial" w:cs="Arial" w:eastAsia="Arial" w:hAnsi="Arial"/>
                <w:sz w:val="18"/>
                <w:szCs w:val="18"/>
                <w:color w:val="060606"/>
              </w:rPr>
              <w:t>Property, plant, and equipment, net</w:t>
            </w:r>
          </w:p>
        </w:tc>
        <w:tc>
          <w:tcPr>
            <w:tcW w:w="2080" w:type="dxa"/>
            <w:vAlign w:val="bottom"/>
          </w:tcPr>
          <w:p>
            <w:pPr>
              <w:jc w:val="right"/>
              <w:spacing w:after="0"/>
              <w:rPr>
                <w:sz w:val="20"/>
                <w:szCs w:val="20"/>
                <w:color w:val="auto"/>
              </w:rPr>
            </w:pPr>
            <w:r>
              <w:rPr>
                <w:rFonts w:ascii="Arial" w:cs="Arial" w:eastAsia="Arial" w:hAnsi="Arial"/>
                <w:sz w:val="18"/>
                <w:szCs w:val="18"/>
                <w:color w:val="060606"/>
              </w:rPr>
              <w:t>218.5</w:t>
            </w:r>
          </w:p>
        </w:tc>
        <w:tc>
          <w:tcPr>
            <w:tcW w:w="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170.3</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060606"/>
              </w:rPr>
              <w:t>Goodwill</w:t>
            </w:r>
          </w:p>
        </w:tc>
        <w:tc>
          <w:tcPr>
            <w:tcW w:w="2080" w:type="dxa"/>
            <w:vAlign w:val="bottom"/>
          </w:tcPr>
          <w:p>
            <w:pPr>
              <w:jc w:val="right"/>
              <w:spacing w:after="0"/>
              <w:rPr>
                <w:sz w:val="20"/>
                <w:szCs w:val="20"/>
                <w:color w:val="auto"/>
              </w:rPr>
            </w:pPr>
            <w:r>
              <w:rPr>
                <w:rFonts w:ascii="Arial" w:cs="Arial" w:eastAsia="Arial" w:hAnsi="Arial"/>
                <w:sz w:val="18"/>
                <w:szCs w:val="18"/>
                <w:color w:val="060606"/>
              </w:rPr>
              <w:t>791.0</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750.0</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Intangible assets, net</w:t>
            </w:r>
          </w:p>
        </w:tc>
        <w:tc>
          <w:tcPr>
            <w:tcW w:w="2080" w:type="dxa"/>
            <w:vAlign w:val="bottom"/>
          </w:tcPr>
          <w:p>
            <w:pPr>
              <w:jc w:val="right"/>
              <w:spacing w:after="0"/>
              <w:rPr>
                <w:sz w:val="20"/>
                <w:szCs w:val="20"/>
                <w:color w:val="auto"/>
              </w:rPr>
            </w:pPr>
            <w:r>
              <w:rPr>
                <w:rFonts w:ascii="Arial" w:cs="Arial" w:eastAsia="Arial" w:hAnsi="Arial"/>
                <w:sz w:val="18"/>
                <w:szCs w:val="18"/>
                <w:color w:val="060606"/>
              </w:rPr>
              <w:t>234.5</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237.3</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060606"/>
              </w:rPr>
              <w:t>Operating lease assets</w:t>
            </w:r>
          </w:p>
        </w:tc>
        <w:tc>
          <w:tcPr>
            <w:tcW w:w="2080" w:type="dxa"/>
            <w:vAlign w:val="bottom"/>
          </w:tcPr>
          <w:p>
            <w:pPr>
              <w:jc w:val="right"/>
              <w:spacing w:after="0"/>
              <w:rPr>
                <w:sz w:val="20"/>
                <w:szCs w:val="20"/>
                <w:color w:val="auto"/>
              </w:rPr>
            </w:pPr>
            <w:r>
              <w:rPr>
                <w:rFonts w:ascii="Arial" w:cs="Arial" w:eastAsia="Arial" w:hAnsi="Arial"/>
                <w:sz w:val="18"/>
                <w:szCs w:val="18"/>
                <w:color w:val="060606"/>
              </w:rPr>
              <w:t>51.2</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46.8</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060606"/>
              </w:rPr>
              <w:t>Investments</w:t>
            </w:r>
          </w:p>
        </w:tc>
        <w:tc>
          <w:tcPr>
            <w:tcW w:w="2080" w:type="dxa"/>
            <w:vAlign w:val="bottom"/>
          </w:tcPr>
          <w:p>
            <w:pPr>
              <w:jc w:val="right"/>
              <w:spacing w:after="0"/>
              <w:rPr>
                <w:sz w:val="20"/>
                <w:szCs w:val="20"/>
                <w:color w:val="auto"/>
              </w:rPr>
            </w:pPr>
            <w:r>
              <w:rPr>
                <w:rFonts w:ascii="Arial" w:cs="Arial" w:eastAsia="Arial" w:hAnsi="Arial"/>
                <w:sz w:val="18"/>
                <w:szCs w:val="18"/>
                <w:color w:val="060606"/>
              </w:rPr>
              <w:t>15.0</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25.1</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Deferred tax assets</w:t>
            </w:r>
          </w:p>
        </w:tc>
        <w:tc>
          <w:tcPr>
            <w:tcW w:w="2080" w:type="dxa"/>
            <w:vAlign w:val="bottom"/>
          </w:tcPr>
          <w:p>
            <w:pPr>
              <w:jc w:val="right"/>
              <w:spacing w:after="0"/>
              <w:rPr>
                <w:sz w:val="20"/>
                <w:szCs w:val="20"/>
                <w:color w:val="auto"/>
              </w:rPr>
            </w:pPr>
            <w:r>
              <w:rPr>
                <w:rFonts w:ascii="Arial" w:cs="Arial" w:eastAsia="Arial" w:hAnsi="Arial"/>
                <w:sz w:val="18"/>
                <w:szCs w:val="18"/>
                <w:color w:val="060606"/>
              </w:rPr>
              <w:t>107.3</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111.9</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Long-term derivative assets</w:t>
            </w:r>
          </w:p>
        </w:tc>
        <w:tc>
          <w:tcPr>
            <w:tcW w:w="2080" w:type="dxa"/>
            <w:vAlign w:val="bottom"/>
          </w:tcPr>
          <w:p>
            <w:pPr>
              <w:jc w:val="right"/>
              <w:spacing w:after="0"/>
              <w:rPr>
                <w:sz w:val="20"/>
                <w:szCs w:val="20"/>
                <w:color w:val="auto"/>
              </w:rPr>
            </w:pPr>
            <w:r>
              <w:rPr>
                <w:rFonts w:ascii="Arial" w:cs="Arial" w:eastAsia="Arial" w:hAnsi="Arial"/>
                <w:sz w:val="18"/>
                <w:szCs w:val="18"/>
                <w:color w:val="060606"/>
              </w:rPr>
              <w:t>28.0</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23.7</w:t>
            </w:r>
          </w:p>
        </w:tc>
        <w:tc>
          <w:tcPr>
            <w:tcW w:w="0" w:type="dxa"/>
            <w:vAlign w:val="bottom"/>
          </w:tcPr>
          <w:p>
            <w:pPr>
              <w:spacing w:after="0"/>
              <w:rPr>
                <w:sz w:val="1"/>
                <w:szCs w:val="1"/>
                <w:color w:val="auto"/>
              </w:rPr>
            </w:pPr>
          </w:p>
        </w:tc>
      </w:tr>
      <w:tr>
        <w:trPr>
          <w:trHeight w:val="235"/>
        </w:trPr>
        <w:tc>
          <w:tcPr>
            <w:tcW w:w="6980" w:type="dxa"/>
            <w:vAlign w:val="bottom"/>
          </w:tcPr>
          <w:p>
            <w:pPr>
              <w:ind w:left="240"/>
              <w:spacing w:after="0"/>
              <w:rPr>
                <w:sz w:val="20"/>
                <w:szCs w:val="20"/>
                <w:color w:val="auto"/>
              </w:rPr>
            </w:pPr>
            <w:r>
              <w:rPr>
                <w:rFonts w:ascii="Arial" w:cs="Arial" w:eastAsia="Arial" w:hAnsi="Arial"/>
                <w:sz w:val="18"/>
                <w:szCs w:val="18"/>
                <w:color w:val="060606"/>
              </w:rPr>
              <w:t>Other assets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14.8</w:t>
            </w:r>
          </w:p>
        </w:tc>
        <w:tc>
          <w:tcPr>
            <w:tcW w:w="80" w:type="dxa"/>
            <w:vAlign w:val="bottom"/>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14.1</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060606"/>
              </w:rPr>
              <w:t>Total Assets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$2,557.6</w:t>
            </w:r>
          </w:p>
        </w:tc>
        <w:tc>
          <w:tcPr>
            <w:tcW w:w="8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$2,506.4</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060606"/>
              </w:rPr>
              <w:t>LIABILITIES AND STOCKHOLDERS’ EQUITY</w:t>
            </w: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6980" w:type="dxa"/>
            <w:vAlign w:val="bottom"/>
            <w:vMerge w:val="continue"/>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980" w:type="dxa"/>
            <w:vAlign w:val="bottom"/>
          </w:tcPr>
          <w:p>
            <w:pPr>
              <w:spacing w:after="0"/>
              <w:rPr>
                <w:sz w:val="20"/>
                <w:szCs w:val="20"/>
                <w:color w:val="auto"/>
              </w:rPr>
            </w:pPr>
            <w:r>
              <w:rPr>
                <w:rFonts w:ascii="Arial" w:cs="Arial" w:eastAsia="Arial" w:hAnsi="Arial"/>
                <w:sz w:val="18"/>
                <w:szCs w:val="18"/>
                <w:i w:val="1"/>
                <w:iCs w:val="1"/>
                <w:color w:val="060606"/>
              </w:rPr>
              <w:t>Current Liabilities:</w:t>
            </w:r>
          </w:p>
        </w:tc>
        <w:tc>
          <w:tcPr>
            <w:tcW w:w="2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060606"/>
              </w:rPr>
              <w:t>Current debt obligations</w:t>
            </w:r>
          </w:p>
        </w:tc>
        <w:tc>
          <w:tcPr>
            <w:tcW w:w="2080" w:type="dxa"/>
            <w:vAlign w:val="bottom"/>
          </w:tcPr>
          <w:p>
            <w:pPr>
              <w:jc w:val="right"/>
              <w:spacing w:after="0"/>
              <w:rPr>
                <w:sz w:val="20"/>
                <w:szCs w:val="20"/>
                <w:color w:val="auto"/>
              </w:rPr>
            </w:pPr>
            <w:r>
              <w:rPr>
                <w:rFonts w:ascii="Arial" w:cs="Arial" w:eastAsia="Arial" w:hAnsi="Arial"/>
                <w:sz w:val="18"/>
                <w:szCs w:val="18"/>
                <w:color w:val="060606"/>
              </w:rPr>
              <w:t>$85.4</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$78.0</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Accounts payable</w:t>
            </w:r>
          </w:p>
        </w:tc>
        <w:tc>
          <w:tcPr>
            <w:tcW w:w="2080" w:type="dxa"/>
            <w:vAlign w:val="bottom"/>
          </w:tcPr>
          <w:p>
            <w:pPr>
              <w:jc w:val="right"/>
              <w:spacing w:after="0"/>
              <w:rPr>
                <w:sz w:val="20"/>
                <w:szCs w:val="20"/>
                <w:color w:val="auto"/>
              </w:rPr>
            </w:pPr>
            <w:r>
              <w:rPr>
                <w:rFonts w:ascii="Arial" w:cs="Arial" w:eastAsia="Arial" w:hAnsi="Arial"/>
                <w:sz w:val="18"/>
                <w:szCs w:val="18"/>
                <w:color w:val="060606"/>
              </w:rPr>
              <w:t>88.2</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69.7</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Accrued liabilities and other</w:t>
            </w:r>
          </w:p>
        </w:tc>
        <w:tc>
          <w:tcPr>
            <w:tcW w:w="2080" w:type="dxa"/>
            <w:vAlign w:val="bottom"/>
          </w:tcPr>
          <w:p>
            <w:pPr>
              <w:jc w:val="right"/>
              <w:spacing w:after="0"/>
              <w:rPr>
                <w:sz w:val="20"/>
                <w:szCs w:val="20"/>
                <w:color w:val="auto"/>
              </w:rPr>
            </w:pPr>
            <w:r>
              <w:rPr>
                <w:rFonts w:ascii="Arial" w:cs="Arial" w:eastAsia="Arial" w:hAnsi="Arial"/>
                <w:sz w:val="18"/>
                <w:szCs w:val="18"/>
                <w:color w:val="060606"/>
              </w:rPr>
              <w:t>92.2</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118.5</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SNIA environmental liability</w:t>
            </w:r>
          </w:p>
        </w:tc>
        <w:tc>
          <w:tcPr>
            <w:tcW w:w="2080" w:type="dxa"/>
            <w:vAlign w:val="bottom"/>
          </w:tcPr>
          <w:p>
            <w:pPr>
              <w:jc w:val="right"/>
              <w:spacing w:after="0"/>
              <w:rPr>
                <w:sz w:val="20"/>
                <w:szCs w:val="20"/>
                <w:color w:val="auto"/>
              </w:rPr>
            </w:pPr>
            <w:r>
              <w:rPr>
                <w:rFonts w:ascii="Arial" w:cs="Arial" w:eastAsia="Arial" w:hAnsi="Arial"/>
                <w:sz w:val="18"/>
                <w:szCs w:val="18"/>
                <w:color w:val="060606"/>
              </w:rPr>
              <w:t>394.6</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060606"/>
              </w:rPr>
              <w:t>Current contingent consideration</w:t>
            </w:r>
          </w:p>
        </w:tc>
        <w:tc>
          <w:tcPr>
            <w:tcW w:w="2080" w:type="dxa"/>
            <w:vAlign w:val="bottom"/>
          </w:tcPr>
          <w:p>
            <w:pPr>
              <w:jc w:val="right"/>
              <w:spacing w:after="0"/>
              <w:rPr>
                <w:sz w:val="20"/>
                <w:szCs w:val="20"/>
                <w:color w:val="auto"/>
              </w:rPr>
            </w:pPr>
            <w:r>
              <w:rPr>
                <w:rFonts w:ascii="Arial" w:cs="Arial" w:eastAsia="Arial" w:hAnsi="Arial"/>
                <w:sz w:val="18"/>
                <w:szCs w:val="18"/>
                <w:color w:val="060606"/>
              </w:rPr>
              <w:t>49.0</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Current litigation provision liability</w:t>
            </w:r>
          </w:p>
        </w:tc>
        <w:tc>
          <w:tcPr>
            <w:tcW w:w="2080" w:type="dxa"/>
            <w:vAlign w:val="bottom"/>
          </w:tcPr>
          <w:p>
            <w:pPr>
              <w:jc w:val="right"/>
              <w:spacing w:after="0"/>
              <w:rPr>
                <w:sz w:val="20"/>
                <w:szCs w:val="20"/>
                <w:color w:val="auto"/>
              </w:rPr>
            </w:pPr>
            <w:r>
              <w:rPr>
                <w:rFonts w:ascii="Arial" w:cs="Arial" w:eastAsia="Arial" w:hAnsi="Arial"/>
                <w:sz w:val="18"/>
                <w:szCs w:val="18"/>
                <w:color w:val="060606"/>
              </w:rPr>
              <w:t>16.5</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12.9</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Taxes payable</w:t>
            </w:r>
          </w:p>
        </w:tc>
        <w:tc>
          <w:tcPr>
            <w:tcW w:w="2080" w:type="dxa"/>
            <w:vAlign w:val="bottom"/>
          </w:tcPr>
          <w:p>
            <w:pPr>
              <w:jc w:val="right"/>
              <w:spacing w:after="0"/>
              <w:rPr>
                <w:sz w:val="20"/>
                <w:szCs w:val="20"/>
                <w:color w:val="auto"/>
              </w:rPr>
            </w:pPr>
            <w:r>
              <w:rPr>
                <w:rFonts w:ascii="Arial" w:cs="Arial" w:eastAsia="Arial" w:hAnsi="Arial"/>
                <w:sz w:val="18"/>
                <w:szCs w:val="18"/>
                <w:color w:val="060606"/>
              </w:rPr>
              <w:t>21.4</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32.5</w:t>
            </w:r>
          </w:p>
        </w:tc>
        <w:tc>
          <w:tcPr>
            <w:tcW w:w="0" w:type="dxa"/>
            <w:vAlign w:val="bottom"/>
          </w:tcPr>
          <w:p>
            <w:pPr>
              <w:spacing w:after="0"/>
              <w:rPr>
                <w:sz w:val="1"/>
                <w:szCs w:val="1"/>
                <w:color w:val="auto"/>
              </w:rPr>
            </w:pPr>
          </w:p>
        </w:tc>
      </w:tr>
      <w:tr>
        <w:trPr>
          <w:trHeight w:val="235"/>
        </w:trPr>
        <w:tc>
          <w:tcPr>
            <w:tcW w:w="6980" w:type="dxa"/>
            <w:vAlign w:val="bottom"/>
          </w:tcPr>
          <w:p>
            <w:pPr>
              <w:ind w:left="240"/>
              <w:spacing w:after="0"/>
              <w:rPr>
                <w:sz w:val="20"/>
                <w:szCs w:val="20"/>
                <w:color w:val="auto"/>
              </w:rPr>
            </w:pPr>
            <w:r>
              <w:rPr>
                <w:rFonts w:ascii="Arial" w:cs="Arial" w:eastAsia="Arial" w:hAnsi="Arial"/>
                <w:sz w:val="18"/>
                <w:szCs w:val="18"/>
                <w:color w:val="060606"/>
              </w:rPr>
              <w:t>Accrued employee compensation and related benefits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80.3</w:t>
            </w:r>
          </w:p>
        </w:tc>
        <w:tc>
          <w:tcPr>
            <w:tcW w:w="80" w:type="dxa"/>
            <w:vAlign w:val="bottom"/>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80.5</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060606"/>
              </w:rPr>
              <w:t>Total Current Liabilities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827.6</w:t>
            </w:r>
          </w:p>
        </w:tc>
        <w:tc>
          <w:tcPr>
            <w:tcW w:w="8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392.1</w:t>
            </w:r>
          </w:p>
        </w:tc>
        <w:tc>
          <w:tcPr>
            <w:tcW w:w="0" w:type="dxa"/>
            <w:vAlign w:val="bottom"/>
          </w:tcPr>
          <w:p>
            <w:pPr>
              <w:spacing w:after="0"/>
              <w:rPr>
                <w:sz w:val="1"/>
                <w:szCs w:val="1"/>
                <w:color w:val="auto"/>
              </w:rPr>
            </w:pPr>
          </w:p>
        </w:tc>
      </w:tr>
      <w:tr>
        <w:trPr>
          <w:trHeight w:val="218"/>
        </w:trPr>
        <w:tc>
          <w:tcPr>
            <w:tcW w:w="6980" w:type="dxa"/>
            <w:vAlign w:val="bottom"/>
          </w:tcPr>
          <w:p>
            <w:pPr>
              <w:ind w:left="240"/>
              <w:spacing w:after="0"/>
              <w:rPr>
                <w:sz w:val="20"/>
                <w:szCs w:val="20"/>
                <w:color w:val="auto"/>
              </w:rPr>
            </w:pPr>
            <w:r>
              <w:rPr>
                <w:rFonts w:ascii="Arial" w:cs="Arial" w:eastAsia="Arial" w:hAnsi="Arial"/>
                <w:sz w:val="18"/>
                <w:szCs w:val="18"/>
                <w:color w:val="060606"/>
              </w:rPr>
              <w:t>Long-term debt obligations</w:t>
            </w:r>
          </w:p>
        </w:tc>
        <w:tc>
          <w:tcPr>
            <w:tcW w:w="2080" w:type="dxa"/>
            <w:vAlign w:val="bottom"/>
          </w:tcPr>
          <w:p>
            <w:pPr>
              <w:jc w:val="right"/>
              <w:spacing w:after="0"/>
              <w:rPr>
                <w:sz w:val="20"/>
                <w:szCs w:val="20"/>
                <w:color w:val="auto"/>
              </w:rPr>
            </w:pPr>
            <w:r>
              <w:rPr>
                <w:rFonts w:ascii="Arial" w:cs="Arial" w:eastAsia="Arial" w:hAnsi="Arial"/>
                <w:sz w:val="18"/>
                <w:szCs w:val="18"/>
                <w:color w:val="060606"/>
              </w:rPr>
              <w:t>349.0</w:t>
            </w:r>
          </w:p>
        </w:tc>
        <w:tc>
          <w:tcPr>
            <w:tcW w:w="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549.6</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Long-term contingent consideration</w:t>
            </w:r>
          </w:p>
        </w:tc>
        <w:tc>
          <w:tcPr>
            <w:tcW w:w="2080" w:type="dxa"/>
            <w:vAlign w:val="bottom"/>
          </w:tcPr>
          <w:p>
            <w:pPr>
              <w:jc w:val="right"/>
              <w:spacing w:after="0"/>
              <w:rPr>
                <w:sz w:val="20"/>
                <w:szCs w:val="20"/>
                <w:color w:val="auto"/>
              </w:rPr>
            </w:pPr>
            <w:r>
              <w:rPr>
                <w:rFonts w:ascii="Arial" w:cs="Arial" w:eastAsia="Arial" w:hAnsi="Arial"/>
                <w:sz w:val="18"/>
                <w:szCs w:val="18"/>
                <w:color w:val="060606"/>
              </w:rPr>
              <w:t>40.6</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84.2</w:t>
            </w:r>
          </w:p>
        </w:tc>
        <w:tc>
          <w:tcPr>
            <w:tcW w:w="0" w:type="dxa"/>
            <w:vAlign w:val="bottom"/>
          </w:tcPr>
          <w:p>
            <w:pPr>
              <w:spacing w:after="0"/>
              <w:rPr>
                <w:sz w:val="1"/>
                <w:szCs w:val="1"/>
                <w:color w:val="auto"/>
              </w:rPr>
            </w:pPr>
          </w:p>
        </w:tc>
      </w:tr>
      <w:tr>
        <w:trPr>
          <w:trHeight w:val="229"/>
        </w:trPr>
        <w:tc>
          <w:tcPr>
            <w:tcW w:w="6980" w:type="dxa"/>
            <w:vAlign w:val="bottom"/>
          </w:tcPr>
          <w:p>
            <w:pPr>
              <w:ind w:left="240"/>
              <w:spacing w:after="0"/>
              <w:rPr>
                <w:sz w:val="20"/>
                <w:szCs w:val="20"/>
                <w:color w:val="auto"/>
              </w:rPr>
            </w:pPr>
            <w:r>
              <w:rPr>
                <w:rFonts w:ascii="Arial" w:cs="Arial" w:eastAsia="Arial" w:hAnsi="Arial"/>
                <w:sz w:val="18"/>
                <w:szCs w:val="18"/>
                <w:color w:val="060606"/>
              </w:rPr>
              <w:t>Deferred tax liabilities</w:t>
            </w:r>
          </w:p>
        </w:tc>
        <w:tc>
          <w:tcPr>
            <w:tcW w:w="2080" w:type="dxa"/>
            <w:vAlign w:val="bottom"/>
          </w:tcPr>
          <w:p>
            <w:pPr>
              <w:jc w:val="right"/>
              <w:spacing w:after="0"/>
              <w:rPr>
                <w:sz w:val="20"/>
                <w:szCs w:val="20"/>
                <w:color w:val="auto"/>
              </w:rPr>
            </w:pPr>
            <w:r>
              <w:rPr>
                <w:rFonts w:ascii="Arial" w:cs="Arial" w:eastAsia="Arial" w:hAnsi="Arial"/>
                <w:sz w:val="18"/>
                <w:szCs w:val="18"/>
                <w:color w:val="060606"/>
              </w:rPr>
              <w:t>10.1</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10.9</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Long-term operating lease liabilities</w:t>
            </w:r>
          </w:p>
        </w:tc>
        <w:tc>
          <w:tcPr>
            <w:tcW w:w="2080" w:type="dxa"/>
            <w:vAlign w:val="bottom"/>
          </w:tcPr>
          <w:p>
            <w:pPr>
              <w:jc w:val="right"/>
              <w:spacing w:after="0"/>
              <w:rPr>
                <w:sz w:val="20"/>
                <w:szCs w:val="20"/>
                <w:color w:val="auto"/>
              </w:rPr>
            </w:pPr>
            <w:r>
              <w:rPr>
                <w:rFonts w:ascii="Arial" w:cs="Arial" w:eastAsia="Arial" w:hAnsi="Arial"/>
                <w:sz w:val="18"/>
                <w:szCs w:val="18"/>
                <w:color w:val="060606"/>
              </w:rPr>
              <w:t>43.1</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40.1</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Long-term employee compensation and related benefits</w:t>
            </w:r>
          </w:p>
        </w:tc>
        <w:tc>
          <w:tcPr>
            <w:tcW w:w="2080" w:type="dxa"/>
            <w:vAlign w:val="bottom"/>
          </w:tcPr>
          <w:p>
            <w:pPr>
              <w:jc w:val="right"/>
              <w:spacing w:after="0"/>
              <w:rPr>
                <w:sz w:val="20"/>
                <w:szCs w:val="20"/>
                <w:color w:val="auto"/>
              </w:rPr>
            </w:pPr>
            <w:r>
              <w:rPr>
                <w:rFonts w:ascii="Arial" w:cs="Arial" w:eastAsia="Arial" w:hAnsi="Arial"/>
                <w:sz w:val="18"/>
                <w:szCs w:val="18"/>
                <w:color w:val="060606"/>
              </w:rPr>
              <w:t>13.5</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12.8</w:t>
            </w:r>
          </w:p>
        </w:tc>
        <w:tc>
          <w:tcPr>
            <w:tcW w:w="0" w:type="dxa"/>
            <w:vAlign w:val="bottom"/>
          </w:tcPr>
          <w:p>
            <w:pPr>
              <w:spacing w:after="0"/>
              <w:rPr>
                <w:sz w:val="1"/>
                <w:szCs w:val="1"/>
                <w:color w:val="auto"/>
              </w:rPr>
            </w:pPr>
          </w:p>
        </w:tc>
      </w:tr>
      <w:tr>
        <w:trPr>
          <w:trHeight w:val="230"/>
        </w:trPr>
        <w:tc>
          <w:tcPr>
            <w:tcW w:w="6980" w:type="dxa"/>
            <w:vAlign w:val="bottom"/>
          </w:tcPr>
          <w:p>
            <w:pPr>
              <w:ind w:left="240"/>
              <w:spacing w:after="0"/>
              <w:rPr>
                <w:sz w:val="20"/>
                <w:szCs w:val="20"/>
                <w:color w:val="auto"/>
              </w:rPr>
            </w:pPr>
            <w:r>
              <w:rPr>
                <w:rFonts w:ascii="Arial" w:cs="Arial" w:eastAsia="Arial" w:hAnsi="Arial"/>
                <w:sz w:val="18"/>
                <w:szCs w:val="18"/>
                <w:color w:val="060606"/>
              </w:rPr>
              <w:t>Long-term derivative liabilities</w:t>
            </w:r>
          </w:p>
        </w:tc>
        <w:tc>
          <w:tcPr>
            <w:tcW w:w="2080" w:type="dxa"/>
            <w:vAlign w:val="bottom"/>
          </w:tcPr>
          <w:p>
            <w:pPr>
              <w:jc w:val="right"/>
              <w:spacing w:after="0"/>
              <w:rPr>
                <w:sz w:val="20"/>
                <w:szCs w:val="20"/>
                <w:color w:val="auto"/>
              </w:rPr>
            </w:pPr>
            <w:r>
              <w:rPr>
                <w:rFonts w:ascii="Arial" w:cs="Arial" w:eastAsia="Arial" w:hAnsi="Arial"/>
                <w:sz w:val="18"/>
                <w:szCs w:val="18"/>
                <w:color w:val="060606"/>
              </w:rPr>
              <w:t>64.5</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060606"/>
              </w:rPr>
              <w:t>51.8</w:t>
            </w:r>
          </w:p>
        </w:tc>
        <w:tc>
          <w:tcPr>
            <w:tcW w:w="0" w:type="dxa"/>
            <w:vAlign w:val="bottom"/>
          </w:tcPr>
          <w:p>
            <w:pPr>
              <w:spacing w:after="0"/>
              <w:rPr>
                <w:sz w:val="1"/>
                <w:szCs w:val="1"/>
                <w:color w:val="auto"/>
              </w:rPr>
            </w:pPr>
          </w:p>
        </w:tc>
      </w:tr>
      <w:tr>
        <w:trPr>
          <w:trHeight w:val="235"/>
        </w:trPr>
        <w:tc>
          <w:tcPr>
            <w:tcW w:w="6980" w:type="dxa"/>
            <w:vAlign w:val="bottom"/>
          </w:tcPr>
          <w:p>
            <w:pPr>
              <w:ind w:left="240"/>
              <w:spacing w:after="0"/>
              <w:rPr>
                <w:sz w:val="20"/>
                <w:szCs w:val="20"/>
                <w:color w:val="auto"/>
              </w:rPr>
            </w:pPr>
            <w:r>
              <w:rPr>
                <w:rFonts w:ascii="Arial" w:cs="Arial" w:eastAsia="Arial" w:hAnsi="Arial"/>
                <w:sz w:val="18"/>
                <w:szCs w:val="18"/>
                <w:color w:val="060606"/>
              </w:rPr>
              <w:t>Other long-term liabilities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51.9</w:t>
            </w:r>
          </w:p>
        </w:tc>
        <w:tc>
          <w:tcPr>
            <w:tcW w:w="80" w:type="dxa"/>
            <w:vAlign w:val="bottom"/>
          </w:tcPr>
          <w:p>
            <w:pPr>
              <w:spacing w:after="0"/>
              <w:rPr>
                <w:sz w:val="20"/>
                <w:szCs w:val="20"/>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44.5</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060606"/>
              </w:rPr>
              <w:t>Total Liabilities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1,400.4</w:t>
            </w:r>
          </w:p>
        </w:tc>
        <w:tc>
          <w:tcPr>
            <w:tcW w:w="8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1,186.1</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060606"/>
              </w:rPr>
              <w:t>Total Stockholders’ Equity</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1,157.2</w:t>
            </w:r>
          </w:p>
        </w:tc>
        <w:tc>
          <w:tcPr>
            <w:tcW w:w="8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1,320.3</w:t>
            </w: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060606"/>
              </w:rPr>
              <w:t>Total Liabilities and Stockholders’ Equity</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$2,557.6</w:t>
            </w:r>
          </w:p>
        </w:tc>
        <w:tc>
          <w:tcPr>
            <w:tcW w:w="8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060606"/>
              </w:rPr>
              <w:t>$2,506.4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272" w:hanging="272"/>
        <w:spacing w:after="0"/>
        <w:tabs>
          <w:tab w:leader="none" w:pos="272" w:val="left"/>
        </w:tabs>
        <w:numPr>
          <w:ilvl w:val="0"/>
          <w:numId w:val="20"/>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ectPr>
          <w:pgSz w:w="11900" w:h="16838" w:orient="portrait"/>
          <w:cols w:equalWidth="0" w:num="1">
            <w:col w:w="11232"/>
          </w:cols>
          <w:pgMar w:left="328"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
        <w:spacing w:after="0"/>
        <w:rPr>
          <w:sz w:val="20"/>
          <w:szCs w:val="20"/>
          <w:color w:val="auto"/>
        </w:rPr>
      </w:pPr>
      <w:r>
        <w:rPr>
          <w:rFonts w:ascii="Arial" w:cs="Arial" w:eastAsia="Arial" w:hAnsi="Arial"/>
          <w:sz w:val="21"/>
          <w:szCs w:val="21"/>
          <w:color w:val="060606"/>
        </w:rPr>
        <w:t>18</w:t>
      </w:r>
    </w:p>
    <w:p>
      <w:pPr>
        <w:sectPr>
          <w:pgSz w:w="11900" w:h="16838" w:orient="portrait"/>
          <w:cols w:equalWidth="0" w:num="1">
            <w:col w:w="11232"/>
          </w:cols>
          <w:pgMar w:left="328" w:top="1440" w:right="339" w:bottom="1440" w:gutter="0" w:footer="0" w:header="0"/>
          <w:type w:val="continuous"/>
        </w:sectPr>
      </w:pPr>
    </w:p>
    <w:bookmarkStart w:id="21" w:name="page22"/>
    <w:bookmarkEnd w:id="21"/>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000" w:type="dxa"/>
            <w:vAlign w:val="bottom"/>
          </w:tcPr>
          <w:p>
            <w:pPr>
              <w:spacing w:after="0"/>
              <w:rPr>
                <w:sz w:val="20"/>
                <w:szCs w:val="20"/>
                <w:color w:val="auto"/>
              </w:rPr>
            </w:pPr>
            <w:r>
              <w:rPr>
                <w:rFonts w:ascii="Arial" w:cs="Arial" w:eastAsia="Arial" w:hAnsi="Arial"/>
                <w:sz w:val="16"/>
                <w:szCs w:val="16"/>
                <w:color w:val="060606"/>
              </w:rPr>
              <w:t>LIVANOVA PLC AND SUBSIDIARIES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060606"/>
              </w:rPr>
              <w:t>CONDENSED CONSOLIDATED STATEMENTS OF CASH FLOWS - UNAUDITED</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00" w:type="dxa"/>
            <w:vAlign w:val="bottom"/>
          </w:tcPr>
          <w:p>
            <w:pPr>
              <w:spacing w:after="0"/>
              <w:rPr>
                <w:sz w:val="20"/>
                <w:szCs w:val="20"/>
                <w:color w:val="auto"/>
              </w:rPr>
            </w:pPr>
            <w:r>
              <w:rPr>
                <w:rFonts w:ascii="Arial" w:cs="Arial" w:eastAsia="Arial" w:hAnsi="Arial"/>
                <w:sz w:val="16"/>
                <w:szCs w:val="16"/>
                <w:color w:val="060606"/>
              </w:rPr>
              <w:t>(U.S. dollars in millions)</w:t>
            </w:r>
          </w:p>
        </w:tc>
        <w:tc>
          <w:tcPr>
            <w:tcW w:w="322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color w:val="060606"/>
              </w:rPr>
              <w:t>Nine Months Ended September 30,</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060606"/>
              </w:rPr>
              <w:t>2025</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060606"/>
              </w:rPr>
              <w:t>2024</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20"/>
                <w:szCs w:val="20"/>
                <w:color w:val="auto"/>
              </w:rPr>
            </w:pPr>
            <w:r>
              <w:rPr>
                <w:rFonts w:ascii="Arial" w:cs="Arial" w:eastAsia="Arial" w:hAnsi="Arial"/>
                <w:sz w:val="16"/>
                <w:szCs w:val="16"/>
                <w:color w:val="060606"/>
              </w:rPr>
              <w:t>Operating Activities: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Net (loss) income</w:t>
            </w:r>
          </w:p>
        </w:tc>
        <w:tc>
          <w:tcPr>
            <w:tcW w:w="1560" w:type="dxa"/>
            <w:vAlign w:val="bottom"/>
          </w:tcPr>
          <w:p>
            <w:pPr>
              <w:jc w:val="right"/>
              <w:spacing w:after="0"/>
              <w:rPr>
                <w:sz w:val="20"/>
                <w:szCs w:val="20"/>
                <w:color w:val="auto"/>
              </w:rPr>
            </w:pPr>
            <w:r>
              <w:rPr>
                <w:rFonts w:ascii="Arial" w:cs="Arial" w:eastAsia="Arial" w:hAnsi="Arial"/>
                <w:sz w:val="16"/>
                <w:szCs w:val="16"/>
                <w:color w:val="auto"/>
              </w:rPr>
              <w:t>($273.4)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Adjustments to reconcile net (loss) income to net cash provided by operating activities: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56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Depreciation</w:t>
            </w:r>
          </w:p>
        </w:tc>
        <w:tc>
          <w:tcPr>
            <w:tcW w:w="156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Amortization of debt issuance costs</w:t>
            </w:r>
          </w:p>
        </w:tc>
        <w:tc>
          <w:tcPr>
            <w:tcW w:w="1560" w:type="dxa"/>
            <w:vAlign w:val="bottom"/>
          </w:tcPr>
          <w:p>
            <w:pPr>
              <w:jc w:val="right"/>
              <w:spacing w:after="0"/>
              <w:rPr>
                <w:sz w:val="20"/>
                <w:szCs w:val="20"/>
                <w:color w:val="auto"/>
              </w:rPr>
            </w:pPr>
            <w:r>
              <w:rPr>
                <w:rFonts w:ascii="Arial" w:cs="Arial" w:eastAsia="Arial" w:hAnsi="Arial"/>
                <w:sz w:val="16"/>
                <w:szCs w:val="16"/>
                <w:color w:val="auto"/>
              </w:rPr>
              <w:t>17.3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Remeasurement of derivative instruments</w:t>
            </w:r>
          </w:p>
        </w:tc>
        <w:tc>
          <w:tcPr>
            <w:tcW w:w="156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156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Amortization of operating lease assets</w:t>
            </w:r>
          </w:p>
        </w:tc>
        <w:tc>
          <w:tcPr>
            <w:tcW w:w="156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Remeasurement of contingent consideration to fair value</w:t>
            </w:r>
          </w:p>
        </w:tc>
        <w:tc>
          <w:tcPr>
            <w:tcW w:w="15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Deferred income tax expense</w:t>
            </w:r>
          </w:p>
        </w:tc>
        <w:tc>
          <w:tcPr>
            <w:tcW w:w="15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Loss on investment revaluation - Ceribell, Inc.</w:t>
            </w:r>
          </w:p>
        </w:tc>
        <w:tc>
          <w:tcPr>
            <w:tcW w:w="15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Loss on debt extinguishment</w:t>
            </w:r>
          </w:p>
        </w:tc>
        <w:tc>
          <w:tcPr>
            <w:tcW w:w="15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Impairments of investments</w:t>
            </w:r>
          </w:p>
        </w:tc>
        <w:tc>
          <w:tcPr>
            <w:tcW w:w="15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8000" w:type="dxa"/>
            <w:vAlign w:val="bottom"/>
          </w:tcPr>
          <w:p>
            <w:pPr>
              <w:ind w:left="220"/>
              <w:spacing w:after="0"/>
              <w:rPr>
                <w:sz w:val="20"/>
                <w:szCs w:val="20"/>
                <w:color w:val="auto"/>
              </w:rPr>
            </w:pPr>
            <w:r>
              <w:rPr>
                <w:rFonts w:ascii="Arial" w:cs="Arial" w:eastAsia="Arial" w:hAnsi="Arial"/>
                <w:sz w:val="16"/>
                <w:szCs w:val="16"/>
                <w:color w:val="auto"/>
              </w:rPr>
              <w:t>Other</w:t>
            </w:r>
          </w:p>
        </w:tc>
        <w:tc>
          <w:tcPr>
            <w:tcW w:w="156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060606"/>
              </w:rPr>
              <w:t>Changes in operating assets and liabilities: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5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56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Other current and non-current assets</w:t>
            </w:r>
          </w:p>
        </w:tc>
        <w:tc>
          <w:tcPr>
            <w:tcW w:w="1560" w:type="dxa"/>
            <w:vAlign w:val="bottom"/>
          </w:tcPr>
          <w:p>
            <w:pPr>
              <w:jc w:val="right"/>
              <w:spacing w:after="0"/>
              <w:rPr>
                <w:sz w:val="20"/>
                <w:szCs w:val="20"/>
                <w:color w:val="auto"/>
              </w:rPr>
            </w:pPr>
            <w:r>
              <w:rPr>
                <w:rFonts w:ascii="Arial" w:cs="Arial" w:eastAsia="Arial" w:hAnsi="Arial"/>
                <w:sz w:val="16"/>
                <w:szCs w:val="16"/>
                <w:color w:val="auto"/>
              </w:rPr>
              <w:t>50.6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Accounts payable and accrued current and non-current liabilities</w:t>
            </w:r>
          </w:p>
        </w:tc>
        <w:tc>
          <w:tcPr>
            <w:tcW w:w="156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Taxes payable</w:t>
            </w:r>
          </w:p>
        </w:tc>
        <w:tc>
          <w:tcPr>
            <w:tcW w:w="15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SNIA environmental liability</w:t>
            </w:r>
          </w:p>
        </w:tc>
        <w:tc>
          <w:tcPr>
            <w:tcW w:w="1560" w:type="dxa"/>
            <w:vAlign w:val="bottom"/>
          </w:tcPr>
          <w:p>
            <w:pPr>
              <w:jc w:val="right"/>
              <w:spacing w:after="0"/>
              <w:rPr>
                <w:sz w:val="20"/>
                <w:szCs w:val="20"/>
                <w:color w:val="auto"/>
              </w:rPr>
            </w:pPr>
            <w:r>
              <w:rPr>
                <w:rFonts w:ascii="Arial" w:cs="Arial" w:eastAsia="Arial" w:hAnsi="Arial"/>
                <w:sz w:val="16"/>
                <w:szCs w:val="16"/>
                <w:color w:val="auto"/>
              </w:rPr>
              <w:t>363.8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Litigation provision liability</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0"/>
        </w:trPr>
        <w:tc>
          <w:tcPr>
            <w:tcW w:w="8000" w:type="dxa"/>
            <w:vAlign w:val="bottom"/>
          </w:tcPr>
          <w:p>
            <w:pPr>
              <w:ind w:left="240"/>
              <w:spacing w:after="0"/>
              <w:rPr>
                <w:sz w:val="20"/>
                <w:szCs w:val="20"/>
                <w:color w:val="auto"/>
              </w:rPr>
            </w:pPr>
            <w:r>
              <w:rPr>
                <w:rFonts w:ascii="Arial" w:cs="Arial" w:eastAsia="Arial" w:hAnsi="Arial"/>
                <w:sz w:val="16"/>
                <w:szCs w:val="16"/>
                <w:color w:val="060606"/>
              </w:rPr>
              <w:t>Net cash provided by operating activities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20"/>
                <w:szCs w:val="20"/>
                <w:color w:val="auto"/>
              </w:rPr>
            </w:pPr>
            <w:r>
              <w:rPr>
                <w:rFonts w:ascii="Arial" w:cs="Arial" w:eastAsia="Arial" w:hAnsi="Arial"/>
                <w:sz w:val="16"/>
                <w:szCs w:val="16"/>
                <w:color w:val="060606"/>
              </w:rPr>
              <w:t>Investing Activities: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156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Proceeds from investments</w:t>
            </w:r>
          </w:p>
        </w:tc>
        <w:tc>
          <w:tcPr>
            <w:tcW w:w="15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Other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10"/>
        </w:trPr>
        <w:tc>
          <w:tcPr>
            <w:tcW w:w="8000" w:type="dxa"/>
            <w:vAlign w:val="bottom"/>
          </w:tcPr>
          <w:p>
            <w:pPr>
              <w:ind w:left="240"/>
              <w:spacing w:after="0"/>
              <w:rPr>
                <w:sz w:val="20"/>
                <w:szCs w:val="20"/>
                <w:color w:val="auto"/>
              </w:rPr>
            </w:pPr>
            <w:r>
              <w:rPr>
                <w:rFonts w:ascii="Arial" w:cs="Arial" w:eastAsia="Arial" w:hAnsi="Arial"/>
                <w:sz w:val="16"/>
                <w:szCs w:val="16"/>
                <w:color w:val="060606"/>
              </w:rPr>
              <w:t>Net cash used in investing activities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95"/>
        </w:trPr>
        <w:tc>
          <w:tcPr>
            <w:tcW w:w="8000" w:type="dxa"/>
            <w:vAlign w:val="bottom"/>
          </w:tcPr>
          <w:p>
            <w:pPr>
              <w:spacing w:after="0"/>
              <w:rPr>
                <w:sz w:val="20"/>
                <w:szCs w:val="20"/>
                <w:color w:val="auto"/>
              </w:rPr>
            </w:pPr>
            <w:r>
              <w:rPr>
                <w:rFonts w:ascii="Arial" w:cs="Arial" w:eastAsia="Arial" w:hAnsi="Arial"/>
                <w:sz w:val="16"/>
                <w:szCs w:val="16"/>
                <w:color w:val="060606"/>
              </w:rPr>
              <w:t>Financing Activities: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Repayment of long-term debt obligations</w:t>
            </w:r>
          </w:p>
        </w:tc>
        <w:tc>
          <w:tcPr>
            <w:tcW w:w="1560" w:type="dxa"/>
            <w:vAlign w:val="bottom"/>
          </w:tcPr>
          <w:p>
            <w:pPr>
              <w:jc w:val="right"/>
              <w:spacing w:after="0"/>
              <w:rPr>
                <w:sz w:val="20"/>
                <w:szCs w:val="20"/>
                <w:color w:val="auto"/>
              </w:rPr>
            </w:pPr>
            <w:r>
              <w:rPr>
                <w:rFonts w:ascii="Arial" w:cs="Arial" w:eastAsia="Arial" w:hAnsi="Arial"/>
                <w:sz w:val="16"/>
                <w:szCs w:val="16"/>
                <w:color w:val="auto"/>
              </w:rPr>
              <w:t>(216.8)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Shares repurchased from employees for minimum tax withholding</w:t>
            </w:r>
          </w:p>
        </w:tc>
        <w:tc>
          <w:tcPr>
            <w:tcW w:w="156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Proceeds from long-term debt obligations</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335.5</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Payment of debt extinguishment costs</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Purchase of capped calls</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Proceeds from unwind of capped calls</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Payment of contingent consideration</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Payment of debt issuance costs</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Proceeds from exercise of stock options</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Other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10"/>
        </w:trPr>
        <w:tc>
          <w:tcPr>
            <w:tcW w:w="8000" w:type="dxa"/>
            <w:vAlign w:val="bottom"/>
          </w:tcPr>
          <w:p>
            <w:pPr>
              <w:ind w:left="240"/>
              <w:spacing w:after="0"/>
              <w:rPr>
                <w:sz w:val="20"/>
                <w:szCs w:val="20"/>
                <w:color w:val="auto"/>
              </w:rPr>
            </w:pPr>
            <w:r>
              <w:rPr>
                <w:rFonts w:ascii="Arial" w:cs="Arial" w:eastAsia="Arial" w:hAnsi="Arial"/>
                <w:sz w:val="16"/>
                <w:szCs w:val="16"/>
                <w:color w:val="060606"/>
              </w:rPr>
              <w:t>Net cash (used in) provided by financing activities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(222.8)</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0"/>
        </w:trPr>
        <w:tc>
          <w:tcPr>
            <w:tcW w:w="8000" w:type="dxa"/>
            <w:vAlign w:val="bottom"/>
          </w:tcPr>
          <w:p>
            <w:pPr>
              <w:ind w:left="340"/>
              <w:spacing w:after="0"/>
              <w:rPr>
                <w:sz w:val="20"/>
                <w:szCs w:val="20"/>
                <w:color w:val="auto"/>
              </w:rPr>
            </w:pPr>
            <w:r>
              <w:rPr>
                <w:rFonts w:ascii="Arial" w:cs="Arial" w:eastAsia="Arial" w:hAnsi="Arial"/>
                <w:sz w:val="16"/>
                <w:szCs w:val="16"/>
                <w:color w:val="060606"/>
              </w:rPr>
              <w:t>Net (decrease) increase in cash, cash equivalents, and restricted cash</w:t>
            </w:r>
          </w:p>
        </w:tc>
        <w:tc>
          <w:tcPr>
            <w:tcW w:w="1560" w:type="dxa"/>
            <w:vAlign w:val="bottom"/>
          </w:tcPr>
          <w:p>
            <w:pPr>
              <w:jc w:val="right"/>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723.6</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577.9</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$646.1</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$666.6</w:t>
            </w:r>
          </w:p>
        </w:tc>
        <w:tc>
          <w:tcPr>
            <w:tcW w:w="0" w:type="dxa"/>
            <w:vAlign w:val="bottom"/>
          </w:tcPr>
          <w:p>
            <w:pPr>
              <w:spacing w:after="0"/>
              <w:rPr>
                <w:sz w:val="1"/>
                <w:szCs w:val="1"/>
                <w:color w:val="auto"/>
              </w:rPr>
            </w:pPr>
          </w:p>
        </w:tc>
      </w:tr>
      <w:tr>
        <w:trPr>
          <w:trHeight w:val="21"/>
        </w:trPr>
        <w:tc>
          <w:tcPr>
            <w:tcW w:w="8000" w:type="dxa"/>
            <w:vAlign w:val="bottom"/>
            <w:vMerge w:val="restart"/>
          </w:tcPr>
          <w:p>
            <w:pPr>
              <w:spacing w:after="0"/>
              <w:rPr>
                <w:sz w:val="20"/>
                <w:szCs w:val="20"/>
                <w:color w:val="auto"/>
              </w:rPr>
            </w:pPr>
            <w:r>
              <w:rPr>
                <w:rFonts w:ascii="Arial" w:cs="Arial" w:eastAsia="Arial" w:hAnsi="Arial"/>
                <w:sz w:val="16"/>
                <w:szCs w:val="16"/>
                <w:color w:val="060606"/>
              </w:rPr>
              <w:t>Supplemental noncash investing and financing transaction:</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9"/>
        </w:trPr>
        <w:tc>
          <w:tcPr>
            <w:tcW w:w="80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20"/>
              <w:spacing w:after="0"/>
              <w:rPr>
                <w:sz w:val="20"/>
                <w:szCs w:val="20"/>
                <w:color w:val="auto"/>
              </w:rPr>
            </w:pPr>
            <w:r>
              <w:rPr>
                <w:rFonts w:ascii="Arial" w:cs="Arial" w:eastAsia="Arial" w:hAnsi="Arial"/>
                <w:sz w:val="16"/>
                <w:szCs w:val="16"/>
                <w:color w:val="auto"/>
              </w:rPr>
              <w:t>Asset obtained in exchange for finance lease obligation</w:t>
            </w:r>
          </w:p>
        </w:tc>
        <w:tc>
          <w:tcPr>
            <w:tcW w:w="15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060606"/>
        </w:rPr>
        <w:t>•</w:t>
        <w:tab/>
        <w:t>Numbers may not add precisely due to rounding.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19</w:t>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(U.S. 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0" w:type="dxa"/>
            <w:vAlign w:val="bottom"/>
            <w:tcBorders>
              <w:top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780" w:type="dxa"/>
            <w:vAlign w:val="bottom"/>
            <w:tcBorders>
              <w:top w:val="single" w:sz="8" w:color="auto"/>
              <w:bottom w:val="single" w:sz="8" w:color="auto"/>
            </w:tcBorders>
            <w:gridSpan w:val="4"/>
          </w:tcPr>
          <w:p>
            <w:pPr>
              <w:jc w:val="center"/>
              <w:ind w:right="60"/>
              <w:spacing w:after="0"/>
              <w:rPr>
                <w:sz w:val="20"/>
                <w:szCs w:val="20"/>
                <w:color w:val="auto"/>
              </w:rPr>
            </w:pPr>
            <w:r>
              <w:rPr>
                <w:rFonts w:ascii="Arial" w:cs="Arial" w:eastAsia="Arial" w:hAnsi="Arial"/>
                <w:sz w:val="14"/>
                <w:szCs w:val="14"/>
                <w:color w:val="060606"/>
              </w:rPr>
              <w:t>Three Months Ended September 30,</w:t>
            </w:r>
          </w:p>
        </w:tc>
        <w:tc>
          <w:tcPr>
            <w:tcW w:w="12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2025</w:t>
            </w: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2024</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200" w:type="dxa"/>
            <w:vAlign w:val="bottom"/>
          </w:tcPr>
          <w:p>
            <w:pPr>
              <w:spacing w:after="0"/>
              <w:rPr>
                <w:sz w:val="13"/>
                <w:szCs w:val="13"/>
                <w:color w:val="auto"/>
              </w:rPr>
            </w:pPr>
          </w:p>
        </w:tc>
        <w:tc>
          <w:tcPr>
            <w:tcW w:w="1380" w:type="dxa"/>
            <w:vAlign w:val="bottom"/>
            <w:gridSpan w:val="2"/>
          </w:tcPr>
          <w:p>
            <w:pPr>
              <w:jc w:val="center"/>
              <w:ind w:right="80"/>
              <w:spacing w:after="0" w:line="151" w:lineRule="exact"/>
              <w:rPr>
                <w:sz w:val="20"/>
                <w:szCs w:val="20"/>
                <w:color w:val="auto"/>
              </w:rPr>
            </w:pPr>
            <w:r>
              <w:rPr>
                <w:rFonts w:ascii="Arial" w:cs="Arial" w:eastAsia="Arial" w:hAnsi="Arial"/>
                <w:sz w:val="14"/>
                <w:szCs w:val="14"/>
                <w:color w:val="060606"/>
              </w:rPr>
              <w:t>GAAP Financial</w:t>
            </w:r>
          </w:p>
        </w:tc>
        <w:tc>
          <w:tcPr>
            <w:tcW w:w="1280" w:type="dxa"/>
            <w:vAlign w:val="bottom"/>
            <w:gridSpan w:val="2"/>
          </w:tcPr>
          <w:p>
            <w:pPr>
              <w:jc w:val="center"/>
              <w:ind w:right="80"/>
              <w:spacing w:after="0" w:line="151" w:lineRule="exact"/>
              <w:rPr>
                <w:sz w:val="20"/>
                <w:szCs w:val="20"/>
                <w:color w:val="auto"/>
              </w:rPr>
            </w:pPr>
            <w:r>
              <w:rPr>
                <w:rFonts w:ascii="Arial" w:cs="Arial" w:eastAsia="Arial" w:hAnsi="Arial"/>
                <w:sz w:val="14"/>
                <w:szCs w:val="14"/>
                <w:color w:val="060606"/>
                <w:w w:val="99"/>
              </w:rPr>
              <w:t>Certain Tax</w:t>
            </w:r>
          </w:p>
        </w:tc>
        <w:tc>
          <w:tcPr>
            <w:tcW w:w="1400" w:type="dxa"/>
            <w:vAlign w:val="bottom"/>
            <w:gridSpan w:val="2"/>
          </w:tcPr>
          <w:p>
            <w:pPr>
              <w:jc w:val="center"/>
              <w:ind w:right="80"/>
              <w:spacing w:after="0" w:line="151" w:lineRule="exact"/>
              <w:rPr>
                <w:sz w:val="20"/>
                <w:szCs w:val="20"/>
                <w:color w:val="auto"/>
              </w:rPr>
            </w:pPr>
            <w:r>
              <w:rPr>
                <w:rFonts w:ascii="Arial" w:cs="Arial" w:eastAsia="Arial" w:hAnsi="Arial"/>
                <w:sz w:val="14"/>
                <w:szCs w:val="14"/>
                <w:color w:val="060606"/>
              </w:rPr>
              <w:t>Adjusted Financial</w:t>
            </w:r>
          </w:p>
        </w:tc>
        <w:tc>
          <w:tcPr>
            <w:tcW w:w="1380" w:type="dxa"/>
            <w:vAlign w:val="bottom"/>
            <w:gridSpan w:val="2"/>
          </w:tcPr>
          <w:p>
            <w:pPr>
              <w:jc w:val="center"/>
              <w:ind w:right="80"/>
              <w:spacing w:after="0" w:line="151" w:lineRule="exact"/>
              <w:rPr>
                <w:sz w:val="20"/>
                <w:szCs w:val="20"/>
                <w:color w:val="auto"/>
              </w:rPr>
            </w:pPr>
            <w:r>
              <w:rPr>
                <w:rFonts w:ascii="Arial" w:cs="Arial" w:eastAsia="Arial" w:hAnsi="Arial"/>
                <w:sz w:val="14"/>
                <w:szCs w:val="14"/>
                <w:color w:val="060606"/>
              </w:rPr>
              <w:t>GAAP Financial</w:t>
            </w:r>
          </w:p>
        </w:tc>
        <w:tc>
          <w:tcPr>
            <w:tcW w:w="1300" w:type="dxa"/>
            <w:vAlign w:val="bottom"/>
            <w:gridSpan w:val="2"/>
          </w:tcPr>
          <w:p>
            <w:pPr>
              <w:jc w:val="center"/>
              <w:ind w:right="80"/>
              <w:spacing w:after="0" w:line="151" w:lineRule="exact"/>
              <w:rPr>
                <w:sz w:val="20"/>
                <w:szCs w:val="20"/>
                <w:color w:val="auto"/>
              </w:rPr>
            </w:pPr>
            <w:r>
              <w:rPr>
                <w:rFonts w:ascii="Arial" w:cs="Arial" w:eastAsia="Arial" w:hAnsi="Arial"/>
                <w:sz w:val="14"/>
                <w:szCs w:val="14"/>
                <w:color w:val="060606"/>
              </w:rPr>
              <w:t>Certain Tax</w:t>
            </w:r>
          </w:p>
        </w:tc>
        <w:tc>
          <w:tcPr>
            <w:tcW w:w="1300" w:type="dxa"/>
            <w:vAlign w:val="bottom"/>
          </w:tcPr>
          <w:p>
            <w:pPr>
              <w:jc w:val="center"/>
              <w:spacing w:after="0" w:line="151" w:lineRule="exact"/>
              <w:rPr>
                <w:sz w:val="20"/>
                <w:szCs w:val="20"/>
                <w:color w:val="auto"/>
              </w:rPr>
            </w:pPr>
            <w:r>
              <w:rPr>
                <w:rFonts w:ascii="Arial" w:cs="Arial" w:eastAsia="Arial" w:hAnsi="Arial"/>
                <w:sz w:val="14"/>
                <w:szCs w:val="14"/>
                <w:color w:val="060606"/>
              </w:rPr>
              <w:t>Adjusted Financial</w:t>
            </w: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Adjustments</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Adjustments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0" w:type="dxa"/>
            <w:vAlign w:val="bottom"/>
          </w:tcPr>
          <w:p>
            <w:pPr>
              <w:spacing w:after="0"/>
              <w:rPr>
                <w:sz w:val="1"/>
                <w:szCs w:val="1"/>
                <w:color w:val="auto"/>
              </w:rPr>
            </w:pPr>
          </w:p>
        </w:tc>
      </w:tr>
      <w:tr>
        <w:trPr>
          <w:trHeight w:val="188"/>
        </w:trPr>
        <w:tc>
          <w:tcPr>
            <w:tcW w:w="3200" w:type="dxa"/>
            <w:vAlign w:val="bottom"/>
          </w:tcPr>
          <w:p>
            <w:pPr>
              <w:ind w:left="20"/>
              <w:spacing w:after="0"/>
              <w:rPr>
                <w:sz w:val="20"/>
                <w:szCs w:val="20"/>
                <w:color w:val="auto"/>
              </w:rPr>
            </w:pPr>
            <w:r>
              <w:rPr>
                <w:rFonts w:ascii="Arial" w:cs="Arial" w:eastAsia="Arial" w:hAnsi="Arial"/>
                <w:sz w:val="14"/>
                <w:szCs w:val="14"/>
                <w:color w:val="060606"/>
              </w:rPr>
              <w:t>Income before tax</w:t>
            </w: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$33.9</w:t>
            </w: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060606"/>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060606"/>
              </w:rPr>
              <w:t>$78.9</w:t>
            </w:r>
          </w:p>
        </w:tc>
        <w:tc>
          <w:tcPr>
            <w:tcW w:w="8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$44.4</w:t>
            </w: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060606"/>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$63.6</w:t>
            </w:r>
          </w:p>
        </w:tc>
        <w:tc>
          <w:tcPr>
            <w:tcW w:w="0" w:type="dxa"/>
            <w:vAlign w:val="bottom"/>
          </w:tcPr>
          <w:p>
            <w:pPr>
              <w:spacing w:after="0"/>
              <w:rPr>
                <w:sz w:val="1"/>
                <w:szCs w:val="1"/>
                <w:color w:val="auto"/>
              </w:rPr>
            </w:pPr>
          </w:p>
        </w:tc>
      </w:tr>
      <w:tr>
        <w:trPr>
          <w:trHeight w:val="207"/>
        </w:trPr>
        <w:tc>
          <w:tcPr>
            <w:tcW w:w="3200" w:type="dxa"/>
            <w:vAlign w:val="bottom"/>
          </w:tcPr>
          <w:p>
            <w:pPr>
              <w:ind w:left="20"/>
              <w:spacing w:after="0"/>
              <w:rPr>
                <w:sz w:val="20"/>
                <w:szCs w:val="20"/>
                <w:color w:val="auto"/>
              </w:rPr>
            </w:pPr>
            <w:r>
              <w:rPr>
                <w:rFonts w:ascii="Arial" w:cs="Arial" w:eastAsia="Arial" w:hAnsi="Arial"/>
                <w:sz w:val="14"/>
                <w:szCs w:val="14"/>
                <w:color w:val="060606"/>
              </w:rPr>
              <w:t>Income tax expense</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7.1</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10.4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060606"/>
              </w:rPr>
              <w:t>17.5</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11.5</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2.7</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14.3</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color w:val="060606"/>
              </w:rPr>
              <w:t>Net income</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$26.8</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($10.4)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060606"/>
              </w:rPr>
              <w:t>$61.4</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$33.0</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($2.7)</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$49.3</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Arial" w:cs="Arial" w:eastAsia="Arial" w:hAnsi="Arial"/>
                <w:sz w:val="14"/>
                <w:szCs w:val="14"/>
                <w:color w:val="060606"/>
              </w:rPr>
              <w:t>Income tax rate</w:t>
            </w: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200" w:type="dxa"/>
            <w:vAlign w:val="bottom"/>
            <w:vMerge w:val="continue"/>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60606"/>
              </w:rPr>
              <w:t>21.0 %</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060606"/>
              </w:rPr>
              <w:t>22.1 %</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60606"/>
              </w:rPr>
              <w:t>25.9 %</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60606"/>
              </w:rPr>
              <w:t>22.5 %</w:t>
            </w:r>
          </w:p>
        </w:tc>
        <w:tc>
          <w:tcPr>
            <w:tcW w:w="0" w:type="dxa"/>
            <w:vAlign w:val="bottom"/>
          </w:tcPr>
          <w:p>
            <w:pPr>
              <w:spacing w:after="0"/>
              <w:rPr>
                <w:sz w:val="1"/>
                <w:szCs w:val="1"/>
                <w:color w:val="auto"/>
              </w:rPr>
            </w:pPr>
          </w:p>
        </w:tc>
      </w:tr>
      <w:tr>
        <w:trPr>
          <w:trHeight w:val="436"/>
        </w:trPr>
        <w:tc>
          <w:tcPr>
            <w:tcW w:w="320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color w:val="060606"/>
              </w:rPr>
              <w:t>Nine Months Ended September 30,</w:t>
            </w: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2025</w:t>
            </w: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2024</w:t>
            </w: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3200" w:type="dxa"/>
            <w:vAlign w:val="bottom"/>
          </w:tcPr>
          <w:p>
            <w:pPr>
              <w:spacing w:after="0"/>
              <w:rPr>
                <w:sz w:val="13"/>
                <w:szCs w:val="13"/>
                <w:color w:val="auto"/>
              </w:rPr>
            </w:pPr>
          </w:p>
        </w:tc>
        <w:tc>
          <w:tcPr>
            <w:tcW w:w="1380" w:type="dxa"/>
            <w:vAlign w:val="bottom"/>
            <w:gridSpan w:val="2"/>
          </w:tcPr>
          <w:p>
            <w:pPr>
              <w:jc w:val="center"/>
              <w:ind w:right="80"/>
              <w:spacing w:after="0" w:line="151" w:lineRule="exact"/>
              <w:rPr>
                <w:sz w:val="20"/>
                <w:szCs w:val="20"/>
                <w:color w:val="auto"/>
              </w:rPr>
            </w:pPr>
            <w:r>
              <w:rPr>
                <w:rFonts w:ascii="Arial" w:cs="Arial" w:eastAsia="Arial" w:hAnsi="Arial"/>
                <w:sz w:val="14"/>
                <w:szCs w:val="14"/>
                <w:color w:val="060606"/>
              </w:rPr>
              <w:t>GAAP Financial</w:t>
            </w:r>
          </w:p>
        </w:tc>
        <w:tc>
          <w:tcPr>
            <w:tcW w:w="1280" w:type="dxa"/>
            <w:vAlign w:val="bottom"/>
            <w:gridSpan w:val="2"/>
          </w:tcPr>
          <w:p>
            <w:pPr>
              <w:jc w:val="center"/>
              <w:ind w:right="80"/>
              <w:spacing w:after="0" w:line="151" w:lineRule="exact"/>
              <w:rPr>
                <w:sz w:val="20"/>
                <w:szCs w:val="20"/>
                <w:color w:val="auto"/>
              </w:rPr>
            </w:pPr>
            <w:r>
              <w:rPr>
                <w:rFonts w:ascii="Arial" w:cs="Arial" w:eastAsia="Arial" w:hAnsi="Arial"/>
                <w:sz w:val="14"/>
                <w:szCs w:val="14"/>
                <w:color w:val="060606"/>
                <w:w w:val="99"/>
              </w:rPr>
              <w:t>Certain Tax</w:t>
            </w:r>
          </w:p>
        </w:tc>
        <w:tc>
          <w:tcPr>
            <w:tcW w:w="1400" w:type="dxa"/>
            <w:vAlign w:val="bottom"/>
            <w:gridSpan w:val="2"/>
          </w:tcPr>
          <w:p>
            <w:pPr>
              <w:jc w:val="center"/>
              <w:ind w:right="80"/>
              <w:spacing w:after="0" w:line="151" w:lineRule="exact"/>
              <w:rPr>
                <w:sz w:val="20"/>
                <w:szCs w:val="20"/>
                <w:color w:val="auto"/>
              </w:rPr>
            </w:pPr>
            <w:r>
              <w:rPr>
                <w:rFonts w:ascii="Arial" w:cs="Arial" w:eastAsia="Arial" w:hAnsi="Arial"/>
                <w:sz w:val="14"/>
                <w:szCs w:val="14"/>
                <w:color w:val="060606"/>
              </w:rPr>
              <w:t>Adjusted Financial</w:t>
            </w:r>
          </w:p>
        </w:tc>
        <w:tc>
          <w:tcPr>
            <w:tcW w:w="1380" w:type="dxa"/>
            <w:vAlign w:val="bottom"/>
            <w:gridSpan w:val="2"/>
          </w:tcPr>
          <w:p>
            <w:pPr>
              <w:jc w:val="center"/>
              <w:ind w:right="80"/>
              <w:spacing w:after="0" w:line="151" w:lineRule="exact"/>
              <w:rPr>
                <w:sz w:val="20"/>
                <w:szCs w:val="20"/>
                <w:color w:val="auto"/>
              </w:rPr>
            </w:pPr>
            <w:r>
              <w:rPr>
                <w:rFonts w:ascii="Arial" w:cs="Arial" w:eastAsia="Arial" w:hAnsi="Arial"/>
                <w:sz w:val="14"/>
                <w:szCs w:val="14"/>
                <w:color w:val="060606"/>
              </w:rPr>
              <w:t>GAAP Financial</w:t>
            </w:r>
          </w:p>
        </w:tc>
        <w:tc>
          <w:tcPr>
            <w:tcW w:w="1300" w:type="dxa"/>
            <w:vAlign w:val="bottom"/>
            <w:gridSpan w:val="2"/>
          </w:tcPr>
          <w:p>
            <w:pPr>
              <w:jc w:val="center"/>
              <w:ind w:right="80"/>
              <w:spacing w:after="0" w:line="151" w:lineRule="exact"/>
              <w:rPr>
                <w:sz w:val="20"/>
                <w:szCs w:val="20"/>
                <w:color w:val="auto"/>
              </w:rPr>
            </w:pPr>
            <w:r>
              <w:rPr>
                <w:rFonts w:ascii="Arial" w:cs="Arial" w:eastAsia="Arial" w:hAnsi="Arial"/>
                <w:sz w:val="14"/>
                <w:szCs w:val="14"/>
                <w:color w:val="060606"/>
              </w:rPr>
              <w:t>Certain Tax</w:t>
            </w:r>
          </w:p>
        </w:tc>
        <w:tc>
          <w:tcPr>
            <w:tcW w:w="1300" w:type="dxa"/>
            <w:vAlign w:val="bottom"/>
          </w:tcPr>
          <w:p>
            <w:pPr>
              <w:jc w:val="center"/>
              <w:spacing w:after="0" w:line="151" w:lineRule="exact"/>
              <w:rPr>
                <w:sz w:val="20"/>
                <w:szCs w:val="20"/>
                <w:color w:val="auto"/>
              </w:rPr>
            </w:pPr>
            <w:r>
              <w:rPr>
                <w:rFonts w:ascii="Arial" w:cs="Arial" w:eastAsia="Arial" w:hAnsi="Arial"/>
                <w:sz w:val="14"/>
                <w:szCs w:val="14"/>
                <w:color w:val="060606"/>
              </w:rPr>
              <w:t>Adjusted Financial</w:t>
            </w: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Adjustments</w:t>
            </w:r>
          </w:p>
        </w:tc>
        <w:tc>
          <w:tcPr>
            <w:tcW w:w="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8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Adjustments</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Measures</w:t>
            </w:r>
          </w:p>
        </w:tc>
        <w:tc>
          <w:tcPr>
            <w:tcW w:w="0" w:type="dxa"/>
            <w:vAlign w:val="bottom"/>
          </w:tcPr>
          <w:p>
            <w:pPr>
              <w:spacing w:after="0"/>
              <w:rPr>
                <w:sz w:val="1"/>
                <w:szCs w:val="1"/>
                <w:color w:val="auto"/>
              </w:rPr>
            </w:pPr>
          </w:p>
        </w:tc>
      </w:tr>
      <w:tr>
        <w:trPr>
          <w:trHeight w:val="188"/>
        </w:trPr>
        <w:tc>
          <w:tcPr>
            <w:tcW w:w="3200" w:type="dxa"/>
            <w:vAlign w:val="bottom"/>
          </w:tcPr>
          <w:p>
            <w:pPr>
              <w:ind w:left="20"/>
              <w:spacing w:after="0"/>
              <w:rPr>
                <w:sz w:val="20"/>
                <w:szCs w:val="20"/>
                <w:color w:val="auto"/>
              </w:rPr>
            </w:pPr>
            <w:r>
              <w:rPr>
                <w:rFonts w:ascii="Arial" w:cs="Arial" w:eastAsia="Arial" w:hAnsi="Arial"/>
                <w:sz w:val="14"/>
                <w:szCs w:val="14"/>
                <w:color w:val="060606"/>
              </w:rPr>
              <w:t>(Loss) income before tax</w:t>
            </w:r>
          </w:p>
        </w:tc>
        <w:tc>
          <w:tcPr>
            <w:tcW w:w="1300" w:type="dxa"/>
            <w:vAlign w:val="bottom"/>
          </w:tcPr>
          <w:p>
            <w:pPr>
              <w:jc w:val="right"/>
              <w:ind w:right="68"/>
              <w:spacing w:after="0"/>
              <w:rPr>
                <w:sz w:val="20"/>
                <w:szCs w:val="20"/>
                <w:color w:val="auto"/>
              </w:rPr>
            </w:pPr>
            <w:r>
              <w:rPr>
                <w:rFonts w:ascii="Arial" w:cs="Arial" w:eastAsia="Arial" w:hAnsi="Arial"/>
                <w:sz w:val="14"/>
                <w:szCs w:val="14"/>
                <w:color w:val="060606"/>
              </w:rPr>
              <w:t>($248.4)</w:t>
            </w:r>
          </w:p>
        </w:tc>
        <w:tc>
          <w:tcPr>
            <w:tcW w:w="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060606"/>
              </w:rPr>
              <w:t>$—</w:t>
            </w:r>
          </w:p>
        </w:tc>
        <w:tc>
          <w:tcPr>
            <w:tcW w:w="1320" w:type="dxa"/>
            <w:vAlign w:val="bottom"/>
          </w:tcPr>
          <w:p>
            <w:pPr>
              <w:jc w:val="right"/>
              <w:ind w:right="128"/>
              <w:spacing w:after="0"/>
              <w:rPr>
                <w:sz w:val="20"/>
                <w:szCs w:val="20"/>
                <w:color w:val="auto"/>
              </w:rPr>
            </w:pPr>
            <w:r>
              <w:rPr>
                <w:rFonts w:ascii="Arial" w:cs="Arial" w:eastAsia="Arial" w:hAnsi="Arial"/>
                <w:sz w:val="14"/>
                <w:szCs w:val="14"/>
                <w:color w:val="060606"/>
              </w:rPr>
              <w:t>$215.9</w:t>
            </w:r>
          </w:p>
        </w:tc>
        <w:tc>
          <w:tcPr>
            <w:tcW w:w="8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$31.8</w:t>
            </w:r>
          </w:p>
        </w:tc>
        <w:tc>
          <w:tcPr>
            <w:tcW w:w="8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4"/>
                <w:szCs w:val="14"/>
                <w:color w:val="060606"/>
              </w:rPr>
              <w:t>$—</w:t>
            </w:r>
          </w:p>
        </w:tc>
        <w:tc>
          <w:tcPr>
            <w:tcW w:w="1300" w:type="dxa"/>
            <w:vAlign w:val="bottom"/>
          </w:tcPr>
          <w:p>
            <w:pPr>
              <w:jc w:val="right"/>
              <w:ind w:right="108"/>
              <w:spacing w:after="0"/>
              <w:rPr>
                <w:sz w:val="20"/>
                <w:szCs w:val="20"/>
                <w:color w:val="auto"/>
              </w:rPr>
            </w:pPr>
            <w:r>
              <w:rPr>
                <w:rFonts w:ascii="Arial" w:cs="Arial" w:eastAsia="Arial" w:hAnsi="Arial"/>
                <w:sz w:val="14"/>
                <w:szCs w:val="14"/>
                <w:color w:val="060606"/>
              </w:rPr>
              <w:t>$178.3</w:t>
            </w:r>
          </w:p>
        </w:tc>
        <w:tc>
          <w:tcPr>
            <w:tcW w:w="0" w:type="dxa"/>
            <w:vAlign w:val="bottom"/>
          </w:tcPr>
          <w:p>
            <w:pPr>
              <w:spacing w:after="0"/>
              <w:rPr>
                <w:sz w:val="1"/>
                <w:szCs w:val="1"/>
                <w:color w:val="auto"/>
              </w:rPr>
            </w:pPr>
          </w:p>
        </w:tc>
      </w:tr>
      <w:tr>
        <w:trPr>
          <w:trHeight w:val="206"/>
        </w:trPr>
        <w:tc>
          <w:tcPr>
            <w:tcW w:w="3200" w:type="dxa"/>
            <w:vAlign w:val="bottom"/>
          </w:tcPr>
          <w:p>
            <w:pPr>
              <w:ind w:left="20"/>
              <w:spacing w:after="0"/>
              <w:rPr>
                <w:sz w:val="20"/>
                <w:szCs w:val="20"/>
                <w:color w:val="auto"/>
              </w:rPr>
            </w:pPr>
            <w:r>
              <w:rPr>
                <w:rFonts w:ascii="Arial" w:cs="Arial" w:eastAsia="Arial" w:hAnsi="Arial"/>
                <w:sz w:val="14"/>
                <w:szCs w:val="14"/>
                <w:color w:val="060606"/>
              </w:rPr>
              <w:t>Income tax expense</w:t>
            </w: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24.9</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24.1</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060606"/>
              </w:rPr>
              <w:t>49.0</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24.5</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13.7</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38.1</w:t>
            </w:r>
          </w:p>
        </w:tc>
        <w:tc>
          <w:tcPr>
            <w:tcW w:w="0" w:type="dxa"/>
            <w:vAlign w:val="bottom"/>
          </w:tcPr>
          <w:p>
            <w:pPr>
              <w:spacing w:after="0"/>
              <w:rPr>
                <w:sz w:val="1"/>
                <w:szCs w:val="1"/>
                <w:color w:val="auto"/>
              </w:rPr>
            </w:pPr>
          </w:p>
        </w:tc>
      </w:tr>
      <w:tr>
        <w:trPr>
          <w:trHeight w:val="200"/>
        </w:trPr>
        <w:tc>
          <w:tcPr>
            <w:tcW w:w="3200" w:type="dxa"/>
            <w:vAlign w:val="bottom"/>
          </w:tcPr>
          <w:p>
            <w:pPr>
              <w:ind w:left="20"/>
              <w:spacing w:after="0"/>
              <w:rPr>
                <w:sz w:val="20"/>
                <w:szCs w:val="20"/>
                <w:color w:val="auto"/>
              </w:rPr>
            </w:pPr>
            <w:r>
              <w:rPr>
                <w:rFonts w:ascii="Arial" w:cs="Arial" w:eastAsia="Arial" w:hAnsi="Arial"/>
                <w:sz w:val="14"/>
                <w:szCs w:val="14"/>
                <w:color w:val="060606"/>
              </w:rPr>
              <w:t>Net (loss) income</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060606"/>
              </w:rPr>
              <w:t>($273.4)</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($24.1)</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060606"/>
              </w:rPr>
              <w:t>$166.9</w:t>
            </w: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$7.3</w:t>
            </w:r>
          </w:p>
        </w:tc>
        <w:tc>
          <w:tcPr>
            <w:tcW w:w="80" w:type="dxa"/>
            <w:vAlign w:val="bottom"/>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($13.7)</w:t>
            </w: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060606"/>
              </w:rPr>
              <w:t>$140.1</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20"/>
              <w:spacing w:after="0"/>
              <w:rPr>
                <w:sz w:val="20"/>
                <w:szCs w:val="20"/>
                <w:color w:val="auto"/>
              </w:rPr>
            </w:pPr>
            <w:r>
              <w:rPr>
                <w:rFonts w:ascii="Arial" w:cs="Arial" w:eastAsia="Arial" w:hAnsi="Arial"/>
                <w:sz w:val="14"/>
                <w:szCs w:val="14"/>
                <w:color w:val="060606"/>
              </w:rPr>
              <w:t>Income tax rate</w:t>
            </w: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3200" w:type="dxa"/>
            <w:vAlign w:val="bottom"/>
            <w:vMerge w:val="continue"/>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60606"/>
              </w:rPr>
              <w:t>(10.0)%</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060606"/>
              </w:rPr>
              <w:t>22.7 %</w:t>
            </w: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60606"/>
              </w:rPr>
              <w:t>76.9 %</w:t>
            </w: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060606"/>
              </w:rPr>
              <w:t>21.4 %</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334"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(U.S. dollars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94"/>
        </w:trPr>
        <w:tc>
          <w:tcPr>
            <w:tcW w:w="514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color w:val="060606"/>
              </w:rPr>
              <w:t>Three Months Ended September 30,</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060606"/>
              </w:rPr>
              <w:t>Constant-Currency %</w:t>
            </w:r>
          </w:p>
        </w:tc>
      </w:tr>
      <w:tr>
        <w:trPr>
          <w:trHeight w:val="200"/>
        </w:trPr>
        <w:tc>
          <w:tcPr>
            <w:tcW w:w="5140" w:type="dxa"/>
            <w:vAlign w:val="bottom"/>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060606"/>
              </w:rPr>
              <w:t>2025</w:t>
            </w:r>
          </w:p>
        </w:tc>
        <w:tc>
          <w:tcPr>
            <w:tcW w:w="8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color w:val="060606"/>
              </w:rPr>
              <w:t>2024</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060606"/>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Change</w:t>
            </w:r>
          </w:p>
        </w:tc>
      </w:tr>
      <w:tr>
        <w:trPr>
          <w:trHeight w:val="188"/>
        </w:trPr>
        <w:tc>
          <w:tcPr>
            <w:tcW w:w="5140" w:type="dxa"/>
            <w:vAlign w:val="bottom"/>
          </w:tcPr>
          <w:p>
            <w:pPr>
              <w:spacing w:after="0"/>
              <w:rPr>
                <w:sz w:val="20"/>
                <w:szCs w:val="20"/>
                <w:color w:val="auto"/>
              </w:rPr>
            </w:pPr>
            <w:r>
              <w:rPr>
                <w:rFonts w:ascii="Arial" w:cs="Arial" w:eastAsia="Arial" w:hAnsi="Arial"/>
                <w:sz w:val="14"/>
                <w:szCs w:val="14"/>
                <w:color w:val="060606"/>
              </w:rPr>
              <w:t>GAAP net revenue</w:t>
            </w:r>
          </w:p>
        </w:tc>
        <w:tc>
          <w:tcPr>
            <w:tcW w:w="1440" w:type="dxa"/>
            <w:vAlign w:val="bottom"/>
          </w:tcPr>
          <w:p>
            <w:pPr>
              <w:jc w:val="right"/>
              <w:ind w:right="8"/>
              <w:spacing w:after="0"/>
              <w:rPr>
                <w:sz w:val="20"/>
                <w:szCs w:val="20"/>
                <w:color w:val="auto"/>
              </w:rPr>
            </w:pPr>
            <w:r>
              <w:rPr>
                <w:rFonts w:ascii="Arial" w:cs="Arial" w:eastAsia="Arial" w:hAnsi="Arial"/>
                <w:sz w:val="14"/>
                <w:szCs w:val="14"/>
                <w:color w:val="060606"/>
              </w:rPr>
              <w:t>$357.8</w:t>
            </w:r>
          </w:p>
        </w:tc>
        <w:tc>
          <w:tcPr>
            <w:tcW w:w="80" w:type="dxa"/>
            <w:vAlign w:val="bottom"/>
          </w:tcPr>
          <w:p>
            <w:pPr>
              <w:spacing w:after="0"/>
              <w:rPr>
                <w:sz w:val="16"/>
                <w:szCs w:val="16"/>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060606"/>
              </w:rPr>
              <w:t>$318.1</w:t>
            </w:r>
          </w:p>
        </w:tc>
        <w:tc>
          <w:tcPr>
            <w:tcW w:w="1540" w:type="dxa"/>
            <w:vAlign w:val="bottom"/>
            <w:gridSpan w:val="2"/>
          </w:tcPr>
          <w:p>
            <w:pPr>
              <w:jc w:val="right"/>
              <w:spacing w:after="0"/>
              <w:rPr>
                <w:sz w:val="20"/>
                <w:szCs w:val="20"/>
                <w:color w:val="auto"/>
              </w:rPr>
            </w:pPr>
            <w:r>
              <w:rPr>
                <w:rFonts w:ascii="Arial" w:cs="Arial" w:eastAsia="Arial" w:hAnsi="Arial"/>
                <w:sz w:val="14"/>
                <w:szCs w:val="14"/>
                <w:color w:val="060606"/>
              </w:rPr>
              <w:t>12.5 %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060606"/>
              </w:rPr>
              <w:t>11.0 %</w:t>
            </w:r>
          </w:p>
        </w:tc>
      </w:tr>
      <w:tr>
        <w:trPr>
          <w:trHeight w:val="211"/>
        </w:trPr>
        <w:tc>
          <w:tcPr>
            <w:tcW w:w="5140" w:type="dxa"/>
            <w:vAlign w:val="bottom"/>
          </w:tcPr>
          <w:p>
            <w:pPr>
              <w:spacing w:after="0"/>
              <w:rPr>
                <w:sz w:val="20"/>
                <w:szCs w:val="20"/>
                <w:color w:val="auto"/>
              </w:rPr>
            </w:pPr>
            <w:r>
              <w:rPr>
                <w:rFonts w:ascii="Arial" w:cs="Arial" w:eastAsia="Arial" w:hAnsi="Arial"/>
                <w:sz w:val="14"/>
                <w:szCs w:val="14"/>
                <w:color w:val="060606"/>
              </w:rPr>
              <w:t xml:space="preserve">Less: ACS </w:t>
            </w:r>
            <w:r>
              <w:rPr>
                <w:rFonts w:ascii="Arial" w:cs="Arial" w:eastAsia="Arial" w:hAnsi="Arial"/>
                <w:sz w:val="18"/>
                <w:szCs w:val="18"/>
                <w:color w:val="060606"/>
                <w:vertAlign w:val="superscript"/>
              </w:rPr>
              <w:t>(1)</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060606"/>
              </w:rPr>
              <w:t>—</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060606"/>
              </w:rPr>
              <w:t>4.4</w:t>
            </w:r>
          </w:p>
        </w:tc>
        <w:tc>
          <w:tcPr>
            <w:tcW w:w="1540" w:type="dxa"/>
            <w:vAlign w:val="bottom"/>
            <w:gridSpan w:val="2"/>
          </w:tcPr>
          <w:p>
            <w:pPr>
              <w:jc w:val="right"/>
              <w:spacing w:after="0"/>
              <w:rPr>
                <w:sz w:val="20"/>
                <w:szCs w:val="20"/>
                <w:color w:val="auto"/>
              </w:rPr>
            </w:pPr>
            <w:r>
              <w:rPr>
                <w:rFonts w:ascii="Arial" w:cs="Arial" w:eastAsia="Arial" w:hAnsi="Arial"/>
                <w:sz w:val="14"/>
                <w:szCs w:val="14"/>
                <w:color w:val="060606"/>
              </w:rPr>
              <w:t>(100.0)%</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060606"/>
              </w:rPr>
              <w:t>(100.0)%</w:t>
            </w:r>
          </w:p>
        </w:tc>
      </w:tr>
      <w:tr>
        <w:trPr>
          <w:trHeight w:val="196"/>
        </w:trPr>
        <w:tc>
          <w:tcPr>
            <w:tcW w:w="5140" w:type="dxa"/>
            <w:vAlign w:val="bottom"/>
          </w:tcPr>
          <w:p>
            <w:pPr>
              <w:spacing w:after="0"/>
              <w:rPr>
                <w:sz w:val="20"/>
                <w:szCs w:val="20"/>
                <w:color w:val="auto"/>
              </w:rPr>
            </w:pPr>
            <w:r>
              <w:rPr>
                <w:rFonts w:ascii="Arial" w:cs="Arial" w:eastAsia="Arial" w:hAnsi="Arial"/>
                <w:sz w:val="14"/>
                <w:szCs w:val="14"/>
                <w:color w:val="060606"/>
              </w:rPr>
              <w:t>Organic net revenue</w:t>
            </w:r>
          </w:p>
        </w:tc>
        <w:tc>
          <w:tcPr>
            <w:tcW w:w="14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060606"/>
              </w:rPr>
              <w:t>$357.8</w:t>
            </w:r>
          </w:p>
        </w:tc>
        <w:tc>
          <w:tcPr>
            <w:tcW w:w="80" w:type="dxa"/>
            <w:vAlign w:val="bottom"/>
          </w:tcPr>
          <w:p>
            <w:pPr>
              <w:spacing w:after="0"/>
              <w:rPr>
                <w:sz w:val="17"/>
                <w:szCs w:val="17"/>
                <w:color w:val="auto"/>
              </w:rPr>
            </w:pPr>
          </w:p>
        </w:tc>
        <w:tc>
          <w:tcPr>
            <w:tcW w:w="14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color w:val="060606"/>
              </w:rPr>
              <w:t>$313.7</w:t>
            </w:r>
          </w:p>
        </w:tc>
        <w:tc>
          <w:tcPr>
            <w:tcW w:w="80" w:type="dxa"/>
            <w:vAlign w:val="bottom"/>
          </w:tcPr>
          <w:p>
            <w:pPr>
              <w:spacing w:after="0"/>
              <w:rPr>
                <w:sz w:val="17"/>
                <w:szCs w:val="17"/>
                <w:color w:val="auto"/>
              </w:rPr>
            </w:pPr>
          </w:p>
        </w:tc>
        <w:tc>
          <w:tcPr>
            <w:tcW w:w="1540" w:type="dxa"/>
            <w:vAlign w:val="bottom"/>
            <w:gridSpan w:val="2"/>
          </w:tcPr>
          <w:p>
            <w:pPr>
              <w:ind w:left="1220"/>
              <w:spacing w:after="0"/>
              <w:rPr>
                <w:sz w:val="20"/>
                <w:szCs w:val="20"/>
                <w:color w:val="auto"/>
              </w:rPr>
            </w:pPr>
            <w:r>
              <w:rPr>
                <w:rFonts w:ascii="Arial" w:cs="Arial" w:eastAsia="Arial" w:hAnsi="Arial"/>
                <w:sz w:val="14"/>
                <w:szCs w:val="14"/>
                <w:color w:val="060606"/>
              </w:rPr>
              <w:t>N/A</w:t>
            </w:r>
          </w:p>
        </w:tc>
        <w:tc>
          <w:tcPr>
            <w:tcW w:w="1480" w:type="dxa"/>
            <w:vAlign w:val="bottom"/>
          </w:tcPr>
          <w:p>
            <w:pPr>
              <w:jc w:val="right"/>
              <w:spacing w:after="0"/>
              <w:rPr>
                <w:sz w:val="20"/>
                <w:szCs w:val="20"/>
                <w:color w:val="auto"/>
              </w:rPr>
            </w:pPr>
            <w:r>
              <w:rPr>
                <w:rFonts w:ascii="Arial" w:cs="Arial" w:eastAsia="Arial" w:hAnsi="Arial"/>
                <w:sz w:val="14"/>
                <w:szCs w:val="14"/>
                <w:color w:val="060606"/>
              </w:rPr>
              <w:t>12.5 %</w:t>
            </w:r>
          </w:p>
        </w:tc>
      </w:tr>
      <w:tr>
        <w:trPr>
          <w:trHeight w:val="20"/>
        </w:trPr>
        <w:tc>
          <w:tcPr>
            <w:tcW w:w="5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543"/>
        </w:trPr>
        <w:tc>
          <w:tcPr>
            <w:tcW w:w="5140" w:type="dxa"/>
            <w:vAlign w:val="bottom"/>
          </w:tcPr>
          <w:p>
            <w:pPr>
              <w:spacing w:after="0"/>
              <w:rPr>
                <w:sz w:val="24"/>
                <w:szCs w:val="24"/>
                <w:color w:val="auto"/>
              </w:rPr>
            </w:pPr>
          </w:p>
        </w:tc>
        <w:tc>
          <w:tcPr>
            <w:tcW w:w="29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4"/>
                <w:szCs w:val="14"/>
                <w:color w:val="060606"/>
              </w:rPr>
              <w:t>Nine Months Ended September 30,</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color w:val="060606"/>
              </w:rPr>
              <w:t>Constant-Currency %</w:t>
            </w:r>
          </w:p>
        </w:tc>
      </w:tr>
      <w:tr>
        <w:trPr>
          <w:trHeight w:val="200"/>
        </w:trPr>
        <w:tc>
          <w:tcPr>
            <w:tcW w:w="5140" w:type="dxa"/>
            <w:vAlign w:val="bottom"/>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060606"/>
              </w:rPr>
              <w:t>2025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060606"/>
              </w:rPr>
              <w:t>2024</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060606"/>
              </w:rPr>
              <w:t>% Change</w:t>
            </w:r>
          </w:p>
        </w:tc>
        <w:tc>
          <w:tcPr>
            <w:tcW w:w="8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060606"/>
              </w:rPr>
              <w:t>Change</w:t>
            </w:r>
          </w:p>
        </w:tc>
      </w:tr>
      <w:tr>
        <w:trPr>
          <w:trHeight w:val="188"/>
        </w:trPr>
        <w:tc>
          <w:tcPr>
            <w:tcW w:w="5140" w:type="dxa"/>
            <w:vAlign w:val="bottom"/>
          </w:tcPr>
          <w:p>
            <w:pPr>
              <w:spacing w:after="0"/>
              <w:rPr>
                <w:sz w:val="20"/>
                <w:szCs w:val="20"/>
                <w:color w:val="auto"/>
              </w:rPr>
            </w:pPr>
            <w:r>
              <w:rPr>
                <w:rFonts w:ascii="Arial" w:cs="Arial" w:eastAsia="Arial" w:hAnsi="Arial"/>
                <w:sz w:val="14"/>
                <w:szCs w:val="14"/>
                <w:color w:val="060606"/>
              </w:rPr>
              <w:t>GAAP net revenue</w:t>
            </w:r>
          </w:p>
        </w:tc>
        <w:tc>
          <w:tcPr>
            <w:tcW w:w="1440" w:type="dxa"/>
            <w:vAlign w:val="bottom"/>
          </w:tcPr>
          <w:p>
            <w:pPr>
              <w:jc w:val="right"/>
              <w:spacing w:after="0"/>
              <w:rPr>
                <w:sz w:val="20"/>
                <w:szCs w:val="20"/>
                <w:color w:val="auto"/>
              </w:rPr>
            </w:pPr>
            <w:r>
              <w:rPr>
                <w:rFonts w:ascii="Arial" w:cs="Arial" w:eastAsia="Arial" w:hAnsi="Arial"/>
                <w:sz w:val="14"/>
                <w:szCs w:val="14"/>
                <w:color w:val="060606"/>
              </w:rPr>
              <w:t>$1,027.1</w:t>
            </w:r>
          </w:p>
        </w:tc>
        <w:tc>
          <w:tcPr>
            <w:tcW w:w="80" w:type="dxa"/>
            <w:vAlign w:val="bottom"/>
          </w:tcPr>
          <w:p>
            <w:pPr>
              <w:spacing w:after="0"/>
              <w:rPr>
                <w:sz w:val="16"/>
                <w:szCs w:val="16"/>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060606"/>
              </w:rPr>
              <w:t>$931.6</w:t>
            </w:r>
          </w:p>
        </w:tc>
        <w:tc>
          <w:tcPr>
            <w:tcW w:w="1540" w:type="dxa"/>
            <w:vAlign w:val="bottom"/>
            <w:gridSpan w:val="2"/>
          </w:tcPr>
          <w:p>
            <w:pPr>
              <w:jc w:val="right"/>
              <w:spacing w:after="0"/>
              <w:rPr>
                <w:sz w:val="20"/>
                <w:szCs w:val="20"/>
                <w:color w:val="auto"/>
              </w:rPr>
            </w:pPr>
            <w:r>
              <w:rPr>
                <w:rFonts w:ascii="Arial" w:cs="Arial" w:eastAsia="Arial" w:hAnsi="Arial"/>
                <w:sz w:val="14"/>
                <w:szCs w:val="14"/>
                <w:color w:val="060606"/>
              </w:rPr>
              <w:t>10.3 %</w:t>
            </w:r>
          </w:p>
        </w:tc>
        <w:tc>
          <w:tcPr>
            <w:tcW w:w="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060606"/>
              </w:rPr>
              <w:t>9.7 %</w:t>
            </w:r>
          </w:p>
        </w:tc>
      </w:tr>
      <w:tr>
        <w:trPr>
          <w:trHeight w:val="211"/>
        </w:trPr>
        <w:tc>
          <w:tcPr>
            <w:tcW w:w="5140" w:type="dxa"/>
            <w:vAlign w:val="bottom"/>
          </w:tcPr>
          <w:p>
            <w:pPr>
              <w:spacing w:after="0"/>
              <w:rPr>
                <w:sz w:val="20"/>
                <w:szCs w:val="20"/>
                <w:color w:val="auto"/>
              </w:rPr>
            </w:pPr>
            <w:r>
              <w:rPr>
                <w:rFonts w:ascii="Arial" w:cs="Arial" w:eastAsia="Arial" w:hAnsi="Arial"/>
                <w:sz w:val="14"/>
                <w:szCs w:val="14"/>
                <w:color w:val="060606"/>
              </w:rPr>
              <w:t xml:space="preserve">Less: ACS </w:t>
            </w:r>
            <w:r>
              <w:rPr>
                <w:rFonts w:ascii="Arial" w:cs="Arial" w:eastAsia="Arial" w:hAnsi="Arial"/>
                <w:sz w:val="18"/>
                <w:szCs w:val="18"/>
                <w:color w:val="060606"/>
                <w:vertAlign w:val="superscript"/>
              </w:rPr>
              <w:t>(1)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060606"/>
              </w:rPr>
              <w:t>11.5</w:t>
            </w:r>
          </w:p>
        </w:tc>
        <w:tc>
          <w:tcPr>
            <w:tcW w:w="1540" w:type="dxa"/>
            <w:vAlign w:val="bottom"/>
            <w:gridSpan w:val="2"/>
          </w:tcPr>
          <w:p>
            <w:pPr>
              <w:jc w:val="right"/>
              <w:spacing w:after="0"/>
              <w:rPr>
                <w:sz w:val="20"/>
                <w:szCs w:val="20"/>
                <w:color w:val="auto"/>
              </w:rPr>
            </w:pPr>
            <w:r>
              <w:rPr>
                <w:rFonts w:ascii="Arial" w:cs="Arial" w:eastAsia="Arial" w:hAnsi="Arial"/>
                <w:sz w:val="14"/>
                <w:szCs w:val="14"/>
                <w:color w:val="060606"/>
              </w:rPr>
              <w:t>(100.0)%</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060606"/>
              </w:rPr>
              <w:t>(100.0)%</w:t>
            </w:r>
          </w:p>
        </w:tc>
      </w:tr>
      <w:tr>
        <w:trPr>
          <w:trHeight w:val="196"/>
        </w:trPr>
        <w:tc>
          <w:tcPr>
            <w:tcW w:w="5140" w:type="dxa"/>
            <w:vAlign w:val="bottom"/>
          </w:tcPr>
          <w:p>
            <w:pPr>
              <w:spacing w:after="0"/>
              <w:rPr>
                <w:sz w:val="20"/>
                <w:szCs w:val="20"/>
                <w:color w:val="auto"/>
              </w:rPr>
            </w:pPr>
            <w:r>
              <w:rPr>
                <w:rFonts w:ascii="Arial" w:cs="Arial" w:eastAsia="Arial" w:hAnsi="Arial"/>
                <w:sz w:val="14"/>
                <w:szCs w:val="14"/>
                <w:color w:val="060606"/>
              </w:rPr>
              <w:t>Organic net revenue</w:t>
            </w:r>
          </w:p>
        </w:tc>
        <w:tc>
          <w:tcPr>
            <w:tcW w:w="1440" w:type="dxa"/>
            <w:vAlign w:val="bottom"/>
          </w:tcPr>
          <w:p>
            <w:pPr>
              <w:jc w:val="right"/>
              <w:spacing w:after="0"/>
              <w:rPr>
                <w:sz w:val="20"/>
                <w:szCs w:val="20"/>
                <w:color w:val="auto"/>
              </w:rPr>
            </w:pPr>
            <w:r>
              <w:rPr>
                <w:rFonts w:ascii="Arial" w:cs="Arial" w:eastAsia="Arial" w:hAnsi="Arial"/>
                <w:sz w:val="14"/>
                <w:szCs w:val="14"/>
                <w:color w:val="060606"/>
              </w:rPr>
              <w:t>$1,027.1</w:t>
            </w:r>
          </w:p>
        </w:tc>
        <w:tc>
          <w:tcPr>
            <w:tcW w:w="80" w:type="dxa"/>
            <w:vAlign w:val="bottom"/>
          </w:tcPr>
          <w:p>
            <w:pPr>
              <w:spacing w:after="0"/>
              <w:rPr>
                <w:sz w:val="17"/>
                <w:szCs w:val="17"/>
                <w:color w:val="auto"/>
              </w:rPr>
            </w:pP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060606"/>
              </w:rPr>
              <w:t>$920.1</w:t>
            </w:r>
          </w:p>
        </w:tc>
        <w:tc>
          <w:tcPr>
            <w:tcW w:w="80" w:type="dxa"/>
            <w:vAlign w:val="bottom"/>
          </w:tcPr>
          <w:p>
            <w:pPr>
              <w:spacing w:after="0"/>
              <w:rPr>
                <w:sz w:val="17"/>
                <w:szCs w:val="17"/>
                <w:color w:val="auto"/>
              </w:rPr>
            </w:pPr>
          </w:p>
        </w:tc>
        <w:tc>
          <w:tcPr>
            <w:tcW w:w="1540" w:type="dxa"/>
            <w:vAlign w:val="bottom"/>
            <w:gridSpan w:val="2"/>
          </w:tcPr>
          <w:p>
            <w:pPr>
              <w:ind w:left="1220"/>
              <w:spacing w:after="0"/>
              <w:rPr>
                <w:sz w:val="20"/>
                <w:szCs w:val="20"/>
                <w:color w:val="auto"/>
              </w:rPr>
            </w:pPr>
            <w:r>
              <w:rPr>
                <w:rFonts w:ascii="Arial" w:cs="Arial" w:eastAsia="Arial" w:hAnsi="Arial"/>
                <w:sz w:val="14"/>
                <w:szCs w:val="14"/>
                <w:color w:val="060606"/>
              </w:rPr>
              <w:t>N/A</w:t>
            </w:r>
          </w:p>
        </w:tc>
        <w:tc>
          <w:tcPr>
            <w:tcW w:w="1480" w:type="dxa"/>
            <w:vAlign w:val="bottom"/>
          </w:tcPr>
          <w:p>
            <w:pPr>
              <w:jc w:val="right"/>
              <w:spacing w:after="0"/>
              <w:rPr>
                <w:sz w:val="20"/>
                <w:szCs w:val="20"/>
                <w:color w:val="auto"/>
              </w:rPr>
            </w:pPr>
            <w:r>
              <w:rPr>
                <w:rFonts w:ascii="Arial" w:cs="Arial" w:eastAsia="Arial" w:hAnsi="Arial"/>
                <w:sz w:val="14"/>
                <w:szCs w:val="14"/>
                <w:color w:val="060606"/>
              </w:rPr>
              <w:t>11.1 %</w:t>
            </w:r>
          </w:p>
        </w:tc>
      </w:tr>
      <w:tr>
        <w:trPr>
          <w:trHeight w:val="20"/>
        </w:trPr>
        <w:tc>
          <w:tcPr>
            <w:tcW w:w="5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56"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21"/>
          <w:szCs w:val="21"/>
          <w:color w:val="060606"/>
          <w:vertAlign w:val="superscript"/>
        </w:rPr>
      </w:pPr>
      <w:r>
        <w:rPr>
          <w:rFonts w:ascii="Arial" w:cs="Arial" w:eastAsia="Arial" w:hAnsi="Arial"/>
          <w:sz w:val="16"/>
          <w:szCs w:val="16"/>
          <w:color w:val="060606"/>
        </w:rPr>
        <w:t>Includes net revenue from the Company’s former ACS reportable segment.</w:t>
      </w:r>
    </w:p>
    <w:p>
      <w:pPr>
        <w:spacing w:after="0" w:line="3" w:lineRule="exact"/>
        <w:rPr>
          <w:rFonts w:ascii="Arial" w:cs="Arial" w:eastAsia="Arial" w:hAnsi="Arial"/>
          <w:sz w:val="21"/>
          <w:szCs w:val="21"/>
          <w:color w:val="060606"/>
          <w:vertAlign w:val="superscript"/>
        </w:rPr>
      </w:pPr>
    </w:p>
    <w:p>
      <w:pPr>
        <w:spacing w:after="0"/>
        <w:rPr>
          <w:rFonts w:ascii="Arial" w:cs="Arial" w:eastAsia="Arial" w:hAnsi="Arial"/>
          <w:sz w:val="21"/>
          <w:szCs w:val="21"/>
          <w:color w:val="060606"/>
          <w:vertAlign w:val="superscript"/>
        </w:rPr>
      </w:pPr>
      <w:r>
        <w:rPr>
          <w:rFonts w:ascii="Arial" w:cs="Arial" w:eastAsia="Arial" w:hAnsi="Arial"/>
          <w:sz w:val="16"/>
          <w:szCs w:val="16"/>
          <w:color w:val="060606"/>
        </w:rPr>
        <w:t>•  Numbers may not add precisely due to rounding.</w:t>
      </w: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RECONCILIATION OF GAAP TO NON-GAAP FINANCIAL MEASURES - UNAUDITED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(U.S. dollars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95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ind w:right="108"/>
              <w:spacing w:after="0" w:line="147" w:lineRule="exact"/>
              <w:rPr>
                <w:sz w:val="20"/>
                <w:szCs w:val="20"/>
                <w:color w:val="auto"/>
              </w:rPr>
            </w:pPr>
            <w:r>
              <w:rPr>
                <w:rFonts w:ascii="Arial" w:cs="Arial" w:eastAsia="Arial" w:hAnsi="Arial"/>
                <w:sz w:val="14"/>
                <w:szCs w:val="14"/>
                <w:color w:val="060606"/>
              </w:rPr>
              <w:t>Three Months Ended</w:t>
            </w:r>
          </w:p>
        </w:tc>
      </w:tr>
      <w:tr>
        <w:trPr>
          <w:trHeight w:val="185"/>
        </w:trPr>
        <w:tc>
          <w:tcPr>
            <w:tcW w:w="9540" w:type="dxa"/>
            <w:vAlign w:val="bottom"/>
          </w:tcPr>
          <w:p>
            <w:pPr>
              <w:spacing w:after="0"/>
              <w:rPr>
                <w:sz w:val="16"/>
                <w:szCs w:val="16"/>
                <w:color w:val="auto"/>
              </w:rPr>
            </w:pPr>
          </w:p>
        </w:tc>
        <w:tc>
          <w:tcPr>
            <w:tcW w:w="17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060606"/>
              </w:rPr>
              <w:t>September 30, 2025</w:t>
            </w:r>
          </w:p>
        </w:tc>
      </w:tr>
      <w:tr>
        <w:trPr>
          <w:trHeight w:val="188"/>
        </w:trPr>
        <w:tc>
          <w:tcPr>
            <w:tcW w:w="9540" w:type="dxa"/>
            <w:vAlign w:val="bottom"/>
          </w:tcPr>
          <w:p>
            <w:pPr>
              <w:ind w:left="20"/>
              <w:spacing w:after="0"/>
              <w:rPr>
                <w:sz w:val="20"/>
                <w:szCs w:val="20"/>
                <w:color w:val="auto"/>
              </w:rPr>
            </w:pPr>
            <w:r>
              <w:rPr>
                <w:rFonts w:ascii="Arial" w:cs="Arial" w:eastAsia="Arial" w:hAnsi="Arial"/>
                <w:sz w:val="14"/>
                <w:szCs w:val="14"/>
                <w:color w:val="060606"/>
              </w:rPr>
              <w:t>Net cash provided by operating activities</w:t>
            </w:r>
          </w:p>
        </w:tc>
        <w:tc>
          <w:tcPr>
            <w:tcW w:w="1700" w:type="dxa"/>
            <w:vAlign w:val="bottom"/>
          </w:tcPr>
          <w:p>
            <w:pPr>
              <w:jc w:val="right"/>
              <w:spacing w:after="0"/>
              <w:rPr>
                <w:sz w:val="20"/>
                <w:szCs w:val="20"/>
                <w:color w:val="auto"/>
              </w:rPr>
            </w:pPr>
            <w:r>
              <w:rPr>
                <w:rFonts w:ascii="Arial" w:cs="Arial" w:eastAsia="Arial" w:hAnsi="Arial"/>
                <w:sz w:val="14"/>
                <w:szCs w:val="14"/>
                <w:color w:val="060606"/>
              </w:rPr>
              <w:t>$85.1</w:t>
            </w:r>
          </w:p>
        </w:tc>
      </w:tr>
      <w:tr>
        <w:trPr>
          <w:trHeight w:val="203"/>
        </w:trPr>
        <w:tc>
          <w:tcPr>
            <w:tcW w:w="9540" w:type="dxa"/>
            <w:vAlign w:val="bottom"/>
          </w:tcPr>
          <w:p>
            <w:pPr>
              <w:ind w:left="20"/>
              <w:spacing w:after="0"/>
              <w:rPr>
                <w:sz w:val="20"/>
                <w:szCs w:val="20"/>
                <w:color w:val="auto"/>
              </w:rPr>
            </w:pPr>
            <w:r>
              <w:rPr>
                <w:rFonts w:ascii="Arial" w:cs="Arial" w:eastAsia="Arial" w:hAnsi="Arial"/>
                <w:sz w:val="14"/>
                <w:szCs w:val="14"/>
                <w:color w:val="060606"/>
              </w:rPr>
              <w:t>Less: Purchases of plant, property, and equipment</w:t>
            </w:r>
          </w:p>
        </w:tc>
        <w:tc>
          <w:tcPr>
            <w:tcW w:w="1700" w:type="dxa"/>
            <w:vAlign w:val="bottom"/>
          </w:tcPr>
          <w:p>
            <w:pPr>
              <w:jc w:val="right"/>
              <w:spacing w:after="0"/>
              <w:rPr>
                <w:sz w:val="20"/>
                <w:szCs w:val="20"/>
                <w:color w:val="auto"/>
              </w:rPr>
            </w:pPr>
            <w:r>
              <w:rPr>
                <w:rFonts w:ascii="Arial" w:cs="Arial" w:eastAsia="Arial" w:hAnsi="Arial"/>
                <w:sz w:val="14"/>
                <w:szCs w:val="14"/>
                <w:color w:val="060606"/>
              </w:rPr>
              <w:t>(22.9)</w:t>
            </w:r>
          </w:p>
        </w:tc>
      </w:tr>
      <w:tr>
        <w:trPr>
          <w:trHeight w:val="206"/>
        </w:trPr>
        <w:tc>
          <w:tcPr>
            <w:tcW w:w="9540" w:type="dxa"/>
            <w:vAlign w:val="bottom"/>
          </w:tcPr>
          <w:p>
            <w:pPr>
              <w:ind w:left="20"/>
              <w:spacing w:after="0"/>
              <w:rPr>
                <w:sz w:val="20"/>
                <w:szCs w:val="20"/>
                <w:color w:val="auto"/>
              </w:rPr>
            </w:pPr>
            <w:r>
              <w:rPr>
                <w:rFonts w:ascii="Arial" w:cs="Arial" w:eastAsia="Arial" w:hAnsi="Arial"/>
                <w:sz w:val="14"/>
                <w:szCs w:val="14"/>
                <w:color w:val="060606"/>
              </w:rPr>
              <w:t>Less: Dividends received from investments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(0.1)</w:t>
            </w:r>
          </w:p>
        </w:tc>
      </w:tr>
      <w:tr>
        <w:trPr>
          <w:trHeight w:val="200"/>
        </w:trPr>
        <w:tc>
          <w:tcPr>
            <w:tcW w:w="9540" w:type="dxa"/>
            <w:vAlign w:val="bottom"/>
          </w:tcPr>
          <w:p>
            <w:pPr>
              <w:ind w:left="20"/>
              <w:spacing w:after="0"/>
              <w:rPr>
                <w:sz w:val="20"/>
                <w:szCs w:val="20"/>
                <w:color w:val="auto"/>
              </w:rPr>
            </w:pPr>
            <w:r>
              <w:rPr>
                <w:rFonts w:ascii="Arial" w:cs="Arial" w:eastAsia="Arial" w:hAnsi="Arial"/>
                <w:sz w:val="14"/>
                <w:szCs w:val="14"/>
                <w:color w:val="060606"/>
              </w:rPr>
              <w:t>Adjusted free cash flow</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060606"/>
              </w:rPr>
              <w:t>$62.0</w:t>
            </w:r>
          </w:p>
        </w:tc>
      </w:tr>
      <w:tr>
        <w:trPr>
          <w:trHeight w:val="21"/>
        </w:trPr>
        <w:tc>
          <w:tcPr>
            <w:tcW w:w="9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00" w:hanging="292"/>
        <w:spacing w:after="0"/>
        <w:tabs>
          <w:tab w:leader="none" w:pos="300" w:val="left"/>
        </w:tabs>
        <w:numPr>
          <w:ilvl w:val="0"/>
          <w:numId w:val="23"/>
        </w:numPr>
        <w:rPr>
          <w:rFonts w:ascii="Arial" w:cs="Arial" w:eastAsia="Arial" w:hAnsi="Arial"/>
          <w:sz w:val="21"/>
          <w:szCs w:val="21"/>
          <w:color w:val="060606"/>
          <w:vertAlign w:val="superscript"/>
        </w:rPr>
      </w:pPr>
      <w:r>
        <w:rPr>
          <w:rFonts w:ascii="Arial" w:cs="Arial" w:eastAsia="Arial" w:hAnsi="Arial"/>
          <w:sz w:val="16"/>
          <w:szCs w:val="16"/>
          <w:color w:val="060606"/>
        </w:rPr>
        <w:t>Numbers may not add precisely due to rounding.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20</w:t>
      </w:r>
    </w:p>
    <w:p>
      <w:pPr>
        <w:sectPr>
          <w:pgSz w:w="11900" w:h="16838" w:orient="portrait"/>
          <w:cols w:equalWidth="0" w:num="1">
            <w:col w:w="11240"/>
          </w:cols>
          <w:pgMar w:left="320" w:top="1440" w:right="339" w:bottom="1440" w:gutter="0" w:footer="0" w:header="0"/>
          <w:type w:val="continuous"/>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389" w:lineRule="auto"/>
        <w:rPr>
          <w:sz w:val="20"/>
          <w:szCs w:val="20"/>
          <w:color w:val="auto"/>
        </w:rPr>
      </w:pPr>
      <w:r>
        <w:rPr>
          <w:rFonts w:ascii="Arial" w:cs="Arial" w:eastAsia="Arial" w:hAnsi="Arial"/>
          <w:sz w:val="20"/>
          <w:szCs w:val="20"/>
          <w:color w:val="060606"/>
        </w:rPr>
        <w:t>The following table presents the reconciliation of GAAP diluted weighted average shares outstanding, used in the computation of GAAP diluted net loss per common share, to adjusted diluted weighted average shares outstanding, used in the computation of adjusted diluted earnings per common share (in millions of shares):</w:t>
      </w:r>
    </w:p>
    <w:p>
      <w:pPr>
        <w:sectPr>
          <w:pgSz w:w="11900" w:h="16838" w:orient="portrait"/>
          <w:cols w:equalWidth="0" w:num="1">
            <w:col w:w="11240"/>
          </w:cols>
          <w:pgMar w:left="320" w:top="1440" w:right="339" w:bottom="1440" w:gutter="0" w:footer="0" w:header="0"/>
        </w:sectPr>
      </w:pPr>
    </w:p>
    <w:p>
      <w:pPr>
        <w:spacing w:after="0" w:line="163" w:lineRule="exact"/>
        <w:rPr>
          <w:sz w:val="20"/>
          <w:szCs w:val="20"/>
          <w:color w:val="auto"/>
        </w:rPr>
      </w:pPr>
    </w:p>
    <w:p>
      <w:pPr>
        <w:ind w:left="20" w:right="3380"/>
        <w:spacing w:after="0" w:line="244" w:lineRule="auto"/>
        <w:rPr>
          <w:sz w:val="20"/>
          <w:szCs w:val="20"/>
          <w:color w:val="auto"/>
        </w:rPr>
      </w:pPr>
      <w:r>
        <w:rPr>
          <w:rFonts w:ascii="Arial" w:cs="Arial" w:eastAsia="Arial" w:hAnsi="Arial"/>
          <w:sz w:val="14"/>
          <w:szCs w:val="14"/>
          <w:color w:val="060606"/>
        </w:rPr>
        <w:t>RECONCILIATION OF GAAP TO NON-GAAP FINANCIAL MEASURES - UNAUDITED (shares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5"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GAAP diluted weighted average shares outstanding</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Add: Effects of stock-based compensation instruments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Adjusted diluted weighted average shares outstanding</w:t>
      </w:r>
    </w:p>
    <w:p>
      <w:pPr>
        <w:spacing w:after="0" w:line="131" w:lineRule="exact"/>
        <w:rPr>
          <w:sz w:val="20"/>
          <w:szCs w:val="20"/>
          <w:color w:val="auto"/>
        </w:rPr>
      </w:pPr>
    </w:p>
    <w:p>
      <w:pPr>
        <w:ind w:left="280" w:hanging="272"/>
        <w:spacing w:after="0"/>
        <w:tabs>
          <w:tab w:leader="none" w:pos="280" w:val="left"/>
        </w:tabs>
        <w:numPr>
          <w:ilvl w:val="0"/>
          <w:numId w:val="24"/>
        </w:numPr>
        <w:rPr>
          <w:rFonts w:ascii="Arial" w:cs="Arial" w:eastAsia="Arial" w:hAnsi="Arial"/>
          <w:sz w:val="16"/>
          <w:szCs w:val="16"/>
          <w:color w:val="060606"/>
        </w:rPr>
      </w:pPr>
      <w:r>
        <w:rPr>
          <w:rFonts w:ascii="Arial" w:cs="Arial" w:eastAsia="Arial" w:hAnsi="Arial"/>
          <w:sz w:val="16"/>
          <w:szCs w:val="16"/>
          <w:color w:val="060606"/>
        </w:rPr>
        <w:t>Numbers may not add precisely due to rounding.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4"/>
          <w:szCs w:val="14"/>
          <w:color w:val="060606"/>
        </w:rPr>
        <w:t>Nine Months Ended</w:t>
      </w:r>
    </w:p>
    <w:p>
      <w:pPr>
        <w:spacing w:after="0"/>
        <w:rPr>
          <w:sz w:val="20"/>
          <w:szCs w:val="20"/>
          <w:color w:val="auto"/>
        </w:rPr>
      </w:pPr>
      <w:r>
        <w:rPr>
          <w:rFonts w:ascii="Arial" w:cs="Arial" w:eastAsia="Arial" w:hAnsi="Arial"/>
          <w:sz w:val="14"/>
          <w:szCs w:val="14"/>
          <w:color w:val="060606"/>
        </w:rPr>
        <w:t>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14605</wp:posOffset>
            </wp:positionV>
            <wp:extent cx="11830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2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060606"/>
        </w:rPr>
        <w:t>54.5</w:t>
      </w:r>
    </w:p>
    <w:p>
      <w:pPr>
        <w:spacing w:after="0" w:line="4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060606"/>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23495</wp:posOffset>
            </wp:positionV>
            <wp:extent cx="11830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060606"/>
        </w:rPr>
        <w:t>54.8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23495</wp:posOffset>
            </wp:positionV>
            <wp:extent cx="11830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-179070</wp:posOffset>
            </wp:positionH>
            <wp:positionV relativeFrom="paragraph">
              <wp:posOffset>49530</wp:posOffset>
            </wp:positionV>
            <wp:extent cx="11830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83005" cy="8255"/>
                    </a:xfrm>
                    <a:prstGeom prst="rect">
                      <a:avLst/>
                    </a:prstGeom>
                    <a:noFill/>
                  </pic:spPr>
                </pic:pic>
              </a:graphicData>
            </a:graphic>
          </wp:anchor>
        </w:drawing>
      </w:r>
    </w:p>
    <w:p>
      <w:pPr>
        <w:spacing w:after="0" w:line="542" w:lineRule="exact"/>
        <w:rPr>
          <w:sz w:val="20"/>
          <w:szCs w:val="20"/>
          <w:color w:val="auto"/>
        </w:rPr>
      </w:pPr>
    </w:p>
    <w:p>
      <w:pPr>
        <w:sectPr>
          <w:pgSz w:w="11900" w:h="16838" w:orient="portrait"/>
          <w:cols w:equalWidth="0" w:num="2">
            <w:col w:w="8940" w:space="720"/>
            <w:col w:w="15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060606"/>
        </w:rPr>
        <w:t>21</w:t>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4"/>
    </w:lvl>
  </w:abstractNum>
  <w:abstractNum w:abstractNumId="2">
    <w:nsid w:val="109CF92E"/>
    <w:multiLevelType w:val="hybridMultilevel"/>
    <w:lvl w:ilvl="0">
      <w:lvlJc w:val="left"/>
      <w:lvlText w:val="\endash "/>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decimal"/>
      <w:start w:val="7"/>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7"/>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2025-11-05T05:16:51Z</dcterms:created>
  <dcterms:modified xsi:type="dcterms:W3CDTF">2025-11-05T05:16:51Z</dcterms:modified>
</cp:coreProperties>
</file>