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Shvartsburg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180" w:space="72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390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4,576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184</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72.89</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4,392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390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03/15/2022</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390</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66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RSUs subject to a four-year vesting schedule, the first vesting occurring on March 15, 2019.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03/17/2022</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w:t>
      </w:r>
      <w:r>
        <w:rPr>
          <w:rFonts w:ascii="Arial" w:cs="Arial" w:eastAsia="Arial" w:hAnsi="Arial"/>
          <w:sz w:val="17"/>
          <w:szCs w:val="17"/>
          <w:u w:val="single" w:color="auto"/>
          <w:color w:val="auto"/>
        </w:rPr>
        <w:t>28th</w:t>
      </w:r>
      <w:r>
        <w:rPr>
          <w:rFonts w:ascii="Arial" w:cs="Arial" w:eastAsia="Arial" w:hAnsi="Arial"/>
          <w:sz w:val="17"/>
          <w:szCs w:val="17"/>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2022-03-17T09:33:17Z</dcterms:created>
  <dcterms:modified xsi:type="dcterms:W3CDTF">2022-03-17T09:33:17Z</dcterms:modified>
</cp:coreProperties>
</file>