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color w:val="auto"/>
        </w:rPr>
        <w:t>As filed with the Securities and Exchange Commission on June 12, 2024.</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S-8</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LivaNova PLC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0" w:lineRule="exact"/>
        <w:rPr>
          <w:sz w:val="24"/>
          <w:szCs w:val="24"/>
          <w:color w:val="auto"/>
        </w:rPr>
      </w:pPr>
    </w:p>
    <w:p>
      <w:pPr>
        <w:spacing w:after="0" w:line="215" w:lineRule="exact"/>
        <w:rPr>
          <w:sz w:val="24"/>
          <w:szCs w:val="24"/>
          <w:color w:val="auto"/>
        </w:rPr>
      </w:pPr>
    </w:p>
    <w:tbl>
      <w:tblPr>
        <w:tblLayout w:type="fixed"/>
        <w:tblInd w:w="1520" w:type="dxa"/>
        <w:tblCellMar>
          <w:top w:w="0" w:type="dxa"/>
          <w:left w:w="0" w:type="dxa"/>
          <w:bottom w:w="0" w:type="dxa"/>
          <w:right w:w="0" w:type="dxa"/>
        </w:tblCellMar>
      </w:tblPr>
      <w:tr>
        <w:trPr>
          <w:trHeight w:val="180"/>
        </w:trPr>
        <w:tc>
          <w:tcPr>
            <w:tcW w:w="4940" w:type="dxa"/>
            <w:vAlign w:val="bottom"/>
          </w:tcPr>
          <w:p>
            <w:pPr>
              <w:jc w:val="center"/>
              <w:ind w:right="1209"/>
              <w:spacing w:after="0"/>
              <w:rPr>
                <w:sz w:val="20"/>
                <w:szCs w:val="20"/>
                <w:color w:val="auto"/>
              </w:rPr>
            </w:pPr>
            <w:r>
              <w:rPr>
                <w:rFonts w:ascii="Times New Roman" w:cs="Times New Roman" w:eastAsia="Times New Roman" w:hAnsi="Times New Roman"/>
                <w:sz w:val="14"/>
                <w:szCs w:val="14"/>
                <w:b w:val="1"/>
                <w:bCs w:val="1"/>
                <w:color w:val="auto"/>
              </w:rPr>
              <w:t>England and Wales</w:t>
            </w:r>
          </w:p>
        </w:tc>
        <w:tc>
          <w:tcPr>
            <w:tcW w:w="3760" w:type="dxa"/>
            <w:vAlign w:val="bottom"/>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98-1268150</w:t>
            </w:r>
          </w:p>
        </w:tc>
      </w:tr>
      <w:tr>
        <w:trPr>
          <w:trHeight w:val="186"/>
        </w:trPr>
        <w:tc>
          <w:tcPr>
            <w:tcW w:w="4940" w:type="dxa"/>
            <w:vAlign w:val="bottom"/>
          </w:tcPr>
          <w:p>
            <w:pPr>
              <w:jc w:val="center"/>
              <w:ind w:right="120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760" w:type="dxa"/>
            <w:vAlign w:val="bottom"/>
          </w:tcPr>
          <w:p>
            <w:pPr>
              <w:jc w:val="center"/>
              <w:ind w:left="1229"/>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tc>
      </w:tr>
      <w:tr>
        <w:trPr>
          <w:trHeight w:val="387"/>
        </w:trPr>
        <w:tc>
          <w:tcPr>
            <w:tcW w:w="4940" w:type="dxa"/>
            <w:vAlign w:val="bottom"/>
          </w:tcPr>
          <w:p>
            <w:pPr>
              <w:jc w:val="center"/>
              <w:ind w:right="1209"/>
              <w:spacing w:after="0"/>
              <w:rPr>
                <w:sz w:val="20"/>
                <w:szCs w:val="20"/>
                <w:color w:val="auto"/>
              </w:rPr>
            </w:pPr>
            <w:r>
              <w:rPr>
                <w:rFonts w:ascii="Times New Roman" w:cs="Times New Roman" w:eastAsia="Times New Roman" w:hAnsi="Times New Roman"/>
                <w:sz w:val="14"/>
                <w:szCs w:val="14"/>
                <w:b w:val="1"/>
                <w:bCs w:val="1"/>
                <w:color w:val="auto"/>
              </w:rPr>
              <w:t>20 Eastbourne Terrace</w:t>
            </w:r>
          </w:p>
        </w:tc>
        <w:tc>
          <w:tcPr>
            <w:tcW w:w="3760" w:type="dxa"/>
            <w:vAlign w:val="bottom"/>
          </w:tcPr>
          <w:p>
            <w:pPr>
              <w:spacing w:after="0"/>
              <w:rPr>
                <w:sz w:val="24"/>
                <w:szCs w:val="24"/>
                <w:color w:val="auto"/>
              </w:rPr>
            </w:pPr>
          </w:p>
        </w:tc>
      </w:tr>
      <w:tr>
        <w:trPr>
          <w:trHeight w:val="180"/>
        </w:trPr>
        <w:tc>
          <w:tcPr>
            <w:tcW w:w="4940" w:type="dxa"/>
            <w:vAlign w:val="bottom"/>
          </w:tcPr>
          <w:p>
            <w:pPr>
              <w:jc w:val="center"/>
              <w:ind w:right="1209"/>
              <w:spacing w:after="0"/>
              <w:rPr>
                <w:sz w:val="20"/>
                <w:szCs w:val="20"/>
                <w:color w:val="auto"/>
              </w:rPr>
            </w:pPr>
            <w:r>
              <w:rPr>
                <w:rFonts w:ascii="Times New Roman" w:cs="Times New Roman" w:eastAsia="Times New Roman" w:hAnsi="Times New Roman"/>
                <w:sz w:val="14"/>
                <w:szCs w:val="14"/>
                <w:b w:val="1"/>
                <w:bCs w:val="1"/>
                <w:color w:val="auto"/>
              </w:rPr>
              <w:t>London, United Kingdom</w:t>
            </w:r>
          </w:p>
        </w:tc>
        <w:tc>
          <w:tcPr>
            <w:tcW w:w="3760" w:type="dxa"/>
            <w:vAlign w:val="bottom"/>
          </w:tcPr>
          <w:p>
            <w:pPr>
              <w:jc w:val="center"/>
              <w:ind w:left="1209"/>
              <w:spacing w:after="0"/>
              <w:rPr>
                <w:sz w:val="20"/>
                <w:szCs w:val="20"/>
                <w:color w:val="auto"/>
              </w:rPr>
            </w:pPr>
            <w:r>
              <w:rPr>
                <w:rFonts w:ascii="Times New Roman" w:cs="Times New Roman" w:eastAsia="Times New Roman" w:hAnsi="Times New Roman"/>
                <w:sz w:val="14"/>
                <w:szCs w:val="14"/>
                <w:b w:val="1"/>
                <w:bCs w:val="1"/>
                <w:color w:val="auto"/>
              </w:rPr>
              <w:t>W2 6LG</w:t>
            </w:r>
          </w:p>
        </w:tc>
      </w:tr>
      <w:tr>
        <w:trPr>
          <w:trHeight w:val="186"/>
        </w:trPr>
        <w:tc>
          <w:tcPr>
            <w:tcW w:w="4940" w:type="dxa"/>
            <w:vAlign w:val="bottom"/>
          </w:tcPr>
          <w:p>
            <w:pPr>
              <w:jc w:val="center"/>
              <w:ind w:right="120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760" w:type="dxa"/>
            <w:vAlign w:val="bottom"/>
          </w:tcPr>
          <w:p>
            <w:pPr>
              <w:jc w:val="center"/>
              <w:ind w:left="122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Amended and Restated LivaNova PLC 2022 Incentive Award Plan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LivaNova PLC 2015 Incentive Award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Company Secretariat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LivaNova Plc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LivaNova USA,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100 Cyberonics Blvd.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Houston, Texas 77058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of service)</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(281) 228-7200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of service)</w:t>
      </w:r>
    </w:p>
    <w:p>
      <w:pPr>
        <w:spacing w:after="0" w:line="185" w:lineRule="exact"/>
        <w:rPr>
          <w:sz w:val="24"/>
          <w:szCs w:val="24"/>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1419" w:right="31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 (Do not check if a 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0" w:lineRule="exact"/>
        <w:rPr>
          <w:sz w:val="20"/>
          <w:szCs w:val="20"/>
          <w:color w:val="auto"/>
        </w:rPr>
      </w:pPr>
    </w:p>
    <w:p>
      <w:pPr>
        <w:sectPr>
          <w:pgSz w:w="11900" w:h="16838" w:orient="portrait"/>
          <w:cols w:equalWidth="0" w:num="2">
            <w:col w:w="7160" w:space="720"/>
            <w:col w:w="3180"/>
          </w:cols>
          <w:pgMar w:left="300" w:top="1196" w:right="539" w:bottom="1440" w:gutter="0" w:footer="0" w:header="0"/>
        </w:sectPr>
      </w:pPr>
    </w:p>
    <w:p>
      <w:pPr>
        <w:spacing w:after="0" w:line="95" w:lineRule="exact"/>
        <w:rPr>
          <w:sz w:val="20"/>
          <w:szCs w:val="20"/>
          <w:color w:val="auto"/>
        </w:rPr>
      </w:pPr>
    </w:p>
    <w:p>
      <w:pPr>
        <w:spacing w:after="0" w:line="334"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of 1933 (the “Securities Act”).</w:t>
      </w:r>
    </w:p>
    <w:p>
      <w:pPr>
        <w:sectPr>
          <w:pgSz w:w="11900" w:h="16838" w:orient="portrait"/>
          <w:cols w:equalWidth="0" w:num="1">
            <w:col w:w="11060"/>
          </w:cols>
          <w:pgMar w:left="300" w:top="1196" w:right="539" w:bottom="1440" w:gutter="0" w:footer="0" w:header="0"/>
          <w:type w:val="continuous"/>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20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This registration statement on Form S-8 (the “Registration Statement”) is being filed in order to register an additional (i) 1,200,000 ordinary shares, par value £1.00 per share (the “Ordinary Shares”), of LivaNova PLC (the “Registrant”) that may be issued under the Registrant’s Amended and Restated LivaNova PLC 2022 Incentive Award Plan (the “A&amp;R 2022 Plan”), (ii) 1,200,000 Ordinary Shares that may become available for issuance under the A&amp;R 2022 Plan as a result of outstanding awards under the A&amp;R 2022 Plan being (a) forfeited, lapsed, or expired, (b) converted to shares of another company in connection with a takeover, sale, recapitalization, reorganization, merger, consolidation, split-up, spin-off, combination, exchange of shares or other similar event, (c) settled for cash (in whole or in part) or (d) repurchased by the Registrant and (iii) 100,000 Ordinary Shares that may be issued under the Registrant’s LivaNova PLC 2015 Incentive Award Plan, as amended (the “2015 Plan”).</w:t>
      </w:r>
    </w:p>
    <w:p>
      <w:pPr>
        <w:spacing w:after="0" w:line="167" w:lineRule="exact"/>
        <w:rPr>
          <w:sz w:val="20"/>
          <w:szCs w:val="20"/>
          <w:color w:val="auto"/>
        </w:rPr>
      </w:pPr>
    </w:p>
    <w:p>
      <w:pPr>
        <w:ind w:right="40" w:firstLine="509"/>
        <w:spacing w:after="0" w:line="26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Ordinary Shares are securities of the same class as those securities registered on the Registrant’s registration statements on Form S-8 previously filed with the Securities and Exchange Commission (the “Commission”) on </w:t>
      </w:r>
      <w:hyperlink r:id="rId9">
        <w:r>
          <w:rPr>
            <w:rFonts w:ascii="Times New Roman" w:cs="Times New Roman" w:eastAsia="Times New Roman" w:hAnsi="Times New Roman"/>
            <w:sz w:val="14"/>
            <w:szCs w:val="14"/>
            <w:u w:val="single" w:color="auto"/>
            <w:color w:val="0000FF"/>
          </w:rPr>
          <w:t>July 26, 2023</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(Registration No. 333-273450), </w:t>
      </w:r>
      <w:hyperlink r:id="rId10">
        <w:r>
          <w:rPr>
            <w:rFonts w:ascii="Times New Roman" w:cs="Times New Roman" w:eastAsia="Times New Roman" w:hAnsi="Times New Roman"/>
            <w:sz w:val="14"/>
            <w:szCs w:val="14"/>
            <w:u w:val="single" w:color="auto"/>
            <w:color w:val="0000FF"/>
          </w:rPr>
          <w:t>June 13, 2022</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(Registration No. 333-265563) and </w:t>
      </w:r>
      <w:hyperlink r:id="rId11">
        <w:r>
          <w:rPr>
            <w:rFonts w:ascii="Times New Roman" w:cs="Times New Roman" w:eastAsia="Times New Roman" w:hAnsi="Times New Roman"/>
            <w:sz w:val="14"/>
            <w:szCs w:val="14"/>
            <w:u w:val="single" w:color="auto"/>
            <w:color w:val="0000FF"/>
          </w:rPr>
          <w:t>October 19, 2015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(Registration No. 333-207478) which are hereby incorporated by reference, except to the extent supplemented, amended or superseded by information set forth in this Registration Statement, consistent with General Instruction E to Form S-8.</w:t>
      </w:r>
    </w:p>
    <w:p>
      <w:pPr>
        <w:spacing w:after="0" w:line="331" w:lineRule="exact"/>
        <w:rPr>
          <w:rFonts w:ascii="Times New Roman" w:cs="Times New Roman" w:eastAsia="Times New Roman" w:hAnsi="Times New Roman"/>
          <w:sz w:val="14"/>
          <w:szCs w:val="1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00" w:lineRule="exact"/>
        <w:rPr>
          <w:rFonts w:ascii="Times New Roman" w:cs="Times New Roman" w:eastAsia="Times New Roman" w:hAnsi="Times New Roman"/>
          <w:sz w:val="14"/>
          <w:szCs w:val="1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INFORMATION REQUIRED IN THE REGISTRATION STATEMENT</w:t>
      </w:r>
    </w:p>
    <w:p>
      <w:pPr>
        <w:spacing w:after="0" w:line="242" w:lineRule="exact"/>
        <w:rPr>
          <w:rFonts w:ascii="Times New Roman" w:cs="Times New Roman" w:eastAsia="Times New Roman" w:hAnsi="Times New Roman"/>
          <w:sz w:val="14"/>
          <w:szCs w:val="14"/>
          <w:color w:val="auto"/>
        </w:rPr>
      </w:pPr>
    </w:p>
    <w:p>
      <w:pPr>
        <w:ind w:left="20"/>
        <w:spacing w:after="0"/>
        <w:tabs>
          <w:tab w:leader="none" w:pos="172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Incorporation of Documents By Reference.</w:t>
      </w:r>
    </w:p>
    <w:p>
      <w:pPr>
        <w:spacing w:after="0" w:line="276" w:lineRule="exact"/>
        <w:rPr>
          <w:rFonts w:ascii="Times New Roman" w:cs="Times New Roman" w:eastAsia="Times New Roman" w:hAnsi="Times New Roman"/>
          <w:sz w:val="14"/>
          <w:szCs w:val="14"/>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documents filed by the Registrant with the Commission are incorporated into this Registration Statement by reference:</w:t>
      </w:r>
    </w:p>
    <w:p>
      <w:pPr>
        <w:spacing w:after="0" w:line="62" w:lineRule="exact"/>
        <w:rPr>
          <w:rFonts w:ascii="Times New Roman" w:cs="Times New Roman" w:eastAsia="Times New Roman" w:hAnsi="Times New Roman"/>
          <w:sz w:val="14"/>
          <w:szCs w:val="14"/>
          <w:color w:val="auto"/>
        </w:rPr>
      </w:pPr>
    </w:p>
    <w:p>
      <w:pPr>
        <w:ind w:left="740" w:right="280" w:hanging="477"/>
        <w:spacing w:after="0" w:line="284" w:lineRule="auto"/>
        <w:tabs>
          <w:tab w:leader="none" w:pos="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Registrant’s Annual Report on Form 10-K for the fiscal year ended December 31, 2023, filed with the Commission on </w:t>
      </w:r>
      <w:hyperlink r:id="rId12">
        <w:r>
          <w:rPr>
            <w:rFonts w:ascii="Times New Roman" w:cs="Times New Roman" w:eastAsia="Times New Roman" w:hAnsi="Times New Roman"/>
            <w:sz w:val="14"/>
            <w:szCs w:val="14"/>
            <w:u w:val="single" w:color="auto"/>
            <w:color w:val="0000FF"/>
          </w:rPr>
          <w:t>February 29,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(including the information specifically incorporated by reference therein from the Registrant’s definitive proxy statement on Schedule 14A, filed with the Commission on </w:t>
      </w:r>
      <w:hyperlink r:id="rId13">
        <w:r>
          <w:rPr>
            <w:rFonts w:ascii="Times New Roman" w:cs="Times New Roman" w:eastAsia="Times New Roman" w:hAnsi="Times New Roman"/>
            <w:sz w:val="14"/>
            <w:szCs w:val="14"/>
            <w:u w:val="single" w:color="auto"/>
            <w:color w:val="0000FF"/>
          </w:rPr>
          <w:t>April 26, 2024</w:t>
        </w:r>
      </w:hyperlink>
      <w:r>
        <w:rPr>
          <w:rFonts w:ascii="Times New Roman" w:cs="Times New Roman" w:eastAsia="Times New Roman" w:hAnsi="Times New Roman"/>
          <w:sz w:val="14"/>
          <w:szCs w:val="14"/>
          <w:color w:val="auto"/>
        </w:rPr>
        <w:t>);</w:t>
      </w:r>
    </w:p>
    <w:p>
      <w:pPr>
        <w:spacing w:after="0" w:line="11" w:lineRule="exact"/>
        <w:rPr>
          <w:rFonts w:ascii="Times New Roman" w:cs="Times New Roman" w:eastAsia="Times New Roman" w:hAnsi="Times New Roman"/>
          <w:sz w:val="14"/>
          <w:szCs w:val="14"/>
          <w:color w:val="auto"/>
        </w:rPr>
      </w:pPr>
    </w:p>
    <w:p>
      <w:pPr>
        <w:ind w:left="740" w:hanging="477"/>
        <w:spacing w:after="0"/>
        <w:tabs>
          <w:tab w:leader="none" w:pos="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Registrant’s Quarterly Report on Form 10-Q for the quarterly period ended March 31, 2024, filed with the Commission on </w:t>
      </w:r>
      <w:hyperlink r:id="rId14">
        <w:r>
          <w:rPr>
            <w:rFonts w:ascii="Times New Roman" w:cs="Times New Roman" w:eastAsia="Times New Roman" w:hAnsi="Times New Roman"/>
            <w:sz w:val="14"/>
            <w:szCs w:val="14"/>
            <w:u w:val="single" w:color="auto"/>
            <w:color w:val="0000FF"/>
          </w:rPr>
          <w:t>May 3, 2024</w:t>
        </w:r>
      </w:hyperlink>
      <w:r>
        <w:rPr>
          <w:rFonts w:ascii="Times New Roman" w:cs="Times New Roman" w:eastAsia="Times New Roman" w:hAnsi="Times New Roman"/>
          <w:sz w:val="14"/>
          <w:szCs w:val="14"/>
          <w:color w:val="auto"/>
        </w:rPr>
        <w:t>;</w:t>
      </w:r>
    </w:p>
    <w:p>
      <w:pPr>
        <w:spacing w:after="0" w:line="295" w:lineRule="exact"/>
        <w:rPr>
          <w:rFonts w:ascii="Times New Roman" w:cs="Times New Roman" w:eastAsia="Times New Roman" w:hAnsi="Times New Roman"/>
          <w:sz w:val="14"/>
          <w:szCs w:val="14"/>
          <w:color w:val="auto"/>
        </w:rPr>
      </w:pPr>
    </w:p>
    <w:p>
      <w:pPr>
        <w:ind w:left="740" w:hanging="477"/>
        <w:spacing w:after="0"/>
        <w:tabs>
          <w:tab w:leader="none" w:pos="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Registrant’s Current Reports on Form 8-K filed with the Commission on </w:t>
      </w:r>
      <w:hyperlink r:id="rId15">
        <w:r>
          <w:rPr>
            <w:rFonts w:ascii="Times New Roman" w:cs="Times New Roman" w:eastAsia="Times New Roman" w:hAnsi="Times New Roman"/>
            <w:sz w:val="14"/>
            <w:szCs w:val="14"/>
            <w:u w:val="single" w:color="auto"/>
            <w:color w:val="0000FF"/>
          </w:rPr>
          <w:t>January 8, 2024</w:t>
        </w:r>
      </w:hyperlink>
      <w:r>
        <w:rPr>
          <w:rFonts w:ascii="Times New Roman" w:cs="Times New Roman" w:eastAsia="Times New Roman" w:hAnsi="Times New Roman"/>
          <w:sz w:val="14"/>
          <w:szCs w:val="14"/>
          <w:color w:val="auto"/>
        </w:rPr>
        <w:t xml:space="preserve">, </w:t>
      </w:r>
      <w:hyperlink r:id="rId16">
        <w:r>
          <w:rPr>
            <w:rFonts w:ascii="Times New Roman" w:cs="Times New Roman" w:eastAsia="Times New Roman" w:hAnsi="Times New Roman"/>
            <w:sz w:val="14"/>
            <w:szCs w:val="14"/>
            <w:u w:val="single" w:color="auto"/>
            <w:color w:val="0000FF"/>
          </w:rPr>
          <w:t>February 5, 2024</w:t>
        </w:r>
      </w:hyperlink>
      <w:r>
        <w:rPr>
          <w:rFonts w:ascii="Times New Roman" w:cs="Times New Roman" w:eastAsia="Times New Roman" w:hAnsi="Times New Roman"/>
          <w:sz w:val="14"/>
          <w:szCs w:val="14"/>
          <w:color w:val="auto"/>
        </w:rPr>
        <w:t xml:space="preserve">, </w:t>
      </w:r>
      <w:hyperlink r:id="rId17">
        <w:r>
          <w:rPr>
            <w:rFonts w:ascii="Times New Roman" w:cs="Times New Roman" w:eastAsia="Times New Roman" w:hAnsi="Times New Roman"/>
            <w:sz w:val="14"/>
            <w:szCs w:val="14"/>
            <w:u w:val="single" w:color="auto"/>
            <w:color w:val="0000FF"/>
          </w:rPr>
          <w:t>March 8,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18">
        <w:r>
          <w:rPr>
            <w:rFonts w:ascii="Times New Roman" w:cs="Times New Roman" w:eastAsia="Times New Roman" w:hAnsi="Times New Roman"/>
            <w:sz w:val="14"/>
            <w:szCs w:val="14"/>
            <w:u w:val="single" w:color="auto"/>
            <w:color w:val="0000FF"/>
          </w:rPr>
          <w:t>June 12, 2024</w:t>
        </w:r>
      </w:hyperlink>
      <w:r>
        <w:rPr>
          <w:rFonts w:ascii="Times New Roman" w:cs="Times New Roman" w:eastAsia="Times New Roman" w:hAnsi="Times New Roman"/>
          <w:sz w:val="14"/>
          <w:szCs w:val="14"/>
          <w:color w:val="auto"/>
        </w:rPr>
        <w:t>; and</w:t>
      </w:r>
    </w:p>
    <w:p>
      <w:pPr>
        <w:spacing w:after="0" w:line="263" w:lineRule="exact"/>
        <w:rPr>
          <w:rFonts w:ascii="Times New Roman" w:cs="Times New Roman" w:eastAsia="Times New Roman" w:hAnsi="Times New Roman"/>
          <w:sz w:val="14"/>
          <w:szCs w:val="14"/>
          <w:color w:val="auto"/>
        </w:rPr>
      </w:pPr>
    </w:p>
    <w:p>
      <w:pPr>
        <w:ind w:left="740" w:hanging="477"/>
        <w:spacing w:after="0"/>
        <w:tabs>
          <w:tab w:leader="none" w:pos="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the Registrant’s securities contained in </w:t>
      </w:r>
      <w:hyperlink r:id="rId19">
        <w:r>
          <w:rPr>
            <w:rFonts w:ascii="Times New Roman" w:cs="Times New Roman" w:eastAsia="Times New Roman" w:hAnsi="Times New Roman"/>
            <w:sz w:val="14"/>
            <w:szCs w:val="14"/>
            <w:u w:val="single" w:color="auto"/>
            <w:color w:val="0000FF"/>
          </w:rPr>
          <w:t>Exhibit 4.1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of the Registrant’s Annual Report on Form 10-K for the fiscal year ended December 31, 2023.</w:t>
      </w:r>
    </w:p>
    <w:p>
      <w:pPr>
        <w:spacing w:after="0" w:line="285" w:lineRule="exact"/>
        <w:rPr>
          <w:rFonts w:ascii="Times New Roman" w:cs="Times New Roman" w:eastAsia="Times New Roman" w:hAnsi="Times New Roman"/>
          <w:sz w:val="14"/>
          <w:szCs w:val="14"/>
          <w:color w:val="auto"/>
        </w:rPr>
      </w:pPr>
    </w:p>
    <w:p>
      <w:pPr>
        <w:ind w:right="200" w:firstLine="509"/>
        <w:spacing w:after="0" w:line="270" w:lineRule="auto"/>
        <w:rPr>
          <w:sz w:val="20"/>
          <w:szCs w:val="20"/>
          <w:color w:val="auto"/>
        </w:rPr>
      </w:pPr>
      <w:r>
        <w:rPr>
          <w:rFonts w:ascii="Times New Roman" w:cs="Times New Roman" w:eastAsia="Times New Roman" w:hAnsi="Times New Roman"/>
          <w:sz w:val="14"/>
          <w:szCs w:val="14"/>
          <w:color w:val="auto"/>
        </w:rPr>
        <w:t>All documents subsequently filed by the Registrant pursuant to Sections 13(a), 13(c), 14 and 15(d) of the Securities Exchange Act of 1934, as amended, after the date of this Registration Statement and prior to the filing of a post-effective amendment to this Registration Statement indicating that all securities offered hereby have been sold or which deregisters all securities then remaining unsold, shall be deemed to be incorporated by reference in this Registration Statement and to be part hereof from the date of the filing of such documents.</w:t>
      </w:r>
    </w:p>
    <w:p>
      <w:pPr>
        <w:spacing w:after="0" w:line="157" w:lineRule="exact"/>
        <w:rPr>
          <w:rFonts w:ascii="Times New Roman" w:cs="Times New Roman" w:eastAsia="Times New Roman" w:hAnsi="Times New Roman"/>
          <w:sz w:val="14"/>
          <w:szCs w:val="14"/>
          <w:color w:val="auto"/>
        </w:rPr>
      </w:pPr>
    </w:p>
    <w:p>
      <w:pPr>
        <w:ind w:right="420" w:firstLine="509"/>
        <w:spacing w:after="0" w:line="287" w:lineRule="auto"/>
        <w:rPr>
          <w:sz w:val="20"/>
          <w:szCs w:val="20"/>
          <w:color w:val="auto"/>
        </w:rPr>
      </w:pPr>
      <w:r>
        <w:rPr>
          <w:rFonts w:ascii="Times New Roman" w:cs="Times New Roman" w:eastAsia="Times New Roman" w:hAnsi="Times New Roman"/>
          <w:sz w:val="14"/>
          <w:szCs w:val="14"/>
          <w:color w:val="auto"/>
        </w:rPr>
        <w:t>Any statement contained in a document incorporated or deemed to be incorporated by reference herein shall be deemed to be modified or superseded for purposes of this Registration Statement to the extent that a statement</w:t>
      </w:r>
    </w:p>
    <w:p>
      <w:pPr>
        <w:sectPr>
          <w:pgSz w:w="11900" w:h="16838" w:orient="portrait"/>
          <w:cols w:equalWidth="0" w:num="1">
            <w:col w:w="11220"/>
          </w:cols>
          <w:pgMar w:left="300" w:top="1332" w:right="379" w:bottom="1440" w:gutter="0" w:footer="0" w:header="0"/>
        </w:sectPr>
      </w:pPr>
    </w:p>
    <w:bookmarkStart w:id="3" w:name="page4"/>
    <w:bookmarkEnd w:id="3"/>
    <w:p>
      <w:pPr>
        <w:ind w:right="80"/>
        <w:spacing w:after="0" w:line="287" w:lineRule="auto"/>
        <w:rPr>
          <w:sz w:val="20"/>
          <w:szCs w:val="20"/>
          <w:color w:val="auto"/>
        </w:rPr>
      </w:pPr>
      <w:r>
        <w:rPr>
          <w:rFonts w:ascii="Times New Roman" w:cs="Times New Roman" w:eastAsia="Times New Roman" w:hAnsi="Times New Roman"/>
          <w:sz w:val="14"/>
          <w:szCs w:val="14"/>
          <w:color w:val="auto"/>
        </w:rPr>
        <w:t>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45"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Subject to the foregoing, all information appearing in this Registration Statement is qualified in its entirety by the information appearing in the documents incorporated by reference in this Registration Statement.</w:t>
      </w:r>
    </w:p>
    <w:p>
      <w:pPr>
        <w:spacing w:after="0" w:line="186" w:lineRule="exact"/>
        <w:rPr>
          <w:sz w:val="20"/>
          <w:szCs w:val="20"/>
          <w:color w:val="auto"/>
        </w:rPr>
      </w:pPr>
    </w:p>
    <w:p>
      <w:pPr>
        <w:ind w:left="20"/>
        <w:spacing w:after="0"/>
        <w:tabs>
          <w:tab w:leader="none" w:pos="5120" w:val="left"/>
        </w:tabs>
        <w:rPr>
          <w:sz w:val="20"/>
          <w:szCs w:val="20"/>
          <w:color w:val="auto"/>
        </w:rPr>
      </w:pPr>
      <w:r>
        <w:rPr>
          <w:rFonts w:ascii="Times New Roman" w:cs="Times New Roman" w:eastAsia="Times New Roman" w:hAnsi="Times New Roman"/>
          <w:sz w:val="14"/>
          <w:szCs w:val="14"/>
          <w:b w:val="1"/>
          <w:bCs w:val="1"/>
          <w:color w:val="auto"/>
        </w:rPr>
        <w:t>Item 8.</w:t>
      </w:r>
      <w:r>
        <w:rPr>
          <w:sz w:val="20"/>
          <w:szCs w:val="20"/>
          <w:color w:val="auto"/>
        </w:rPr>
        <w:tab/>
      </w:r>
      <w:r>
        <w:rPr>
          <w:rFonts w:ascii="Times New Roman" w:cs="Times New Roman" w:eastAsia="Times New Roman" w:hAnsi="Times New Roman"/>
          <w:sz w:val="14"/>
          <w:szCs w:val="14"/>
          <w:b w:val="1"/>
          <w:bCs w:val="1"/>
          <w:color w:val="auto"/>
        </w:rPr>
        <w:t>Exhibits.</w:t>
      </w:r>
    </w:p>
    <w:p>
      <w:pPr>
        <w:spacing w:after="0" w:line="2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exhibits to this Registration Statement are described below.</w:t>
      </w:r>
    </w:p>
    <w:p>
      <w:pPr>
        <w:spacing w:after="0" w:line="219" w:lineRule="exact"/>
        <w:rPr>
          <w:sz w:val="20"/>
          <w:szCs w:val="20"/>
          <w:color w:val="auto"/>
        </w:rPr>
      </w:pPr>
    </w:p>
    <w:p>
      <w:pPr>
        <w:ind w:left="200"/>
        <w:spacing w:after="0"/>
        <w:tabs>
          <w:tab w:leader="none" w:pos="622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2" w:lineRule="exact"/>
        <w:rPr>
          <w:sz w:val="20"/>
          <w:szCs w:val="20"/>
          <w:color w:val="auto"/>
        </w:rPr>
      </w:pPr>
    </w:p>
    <w:p>
      <w:pPr>
        <w:ind w:left="1660" w:right="200" w:hanging="458"/>
        <w:spacing w:after="0" w:line="287" w:lineRule="auto"/>
        <w:tabs>
          <w:tab w:leader="none" w:pos="16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w:t>
      </w:r>
      <w:r>
        <w:rPr>
          <w:sz w:val="20"/>
          <w:szCs w:val="20"/>
          <w:color w:val="auto"/>
        </w:rPr>
        <w:tab/>
      </w:r>
      <w:hyperlink r:id="rId21">
        <w:r>
          <w:rPr>
            <w:rFonts w:ascii="Times New Roman" w:cs="Times New Roman" w:eastAsia="Times New Roman" w:hAnsi="Times New Roman"/>
            <w:sz w:val="14"/>
            <w:szCs w:val="14"/>
            <w:u w:val="single" w:color="auto"/>
            <w:color w:val="0000FF"/>
          </w:rPr>
          <w:t>Amended Articles of Association of LivaNova PLC, effective as from June 29, 2020 (incorporated by reference to Exhibit 3.1 to the Registrant’s Quarterly Report on</w:t>
        </w:r>
      </w:hyperlink>
      <w:r>
        <w:rPr>
          <w:rFonts w:ascii="Times New Roman" w:cs="Times New Roman" w:eastAsia="Times New Roman" w:hAnsi="Times New Roman"/>
          <w:sz w:val="14"/>
          <w:szCs w:val="14"/>
          <w:u w:val="single" w:color="auto"/>
          <w:color w:val="0000FF"/>
        </w:rPr>
        <w:t xml:space="preserve"> </w:t>
      </w:r>
      <w:hyperlink r:id="rId21">
        <w:r>
          <w:rPr>
            <w:rFonts w:ascii="Times New Roman" w:cs="Times New Roman" w:eastAsia="Times New Roman" w:hAnsi="Times New Roman"/>
            <w:sz w:val="14"/>
            <w:szCs w:val="14"/>
            <w:u w:val="single" w:color="auto"/>
            <w:color w:val="0000FF"/>
          </w:rPr>
          <w:t>Form 10-Q, filed on July 29, 2020 (File No. 001-37599))</w:t>
        </w:r>
      </w:hyperlink>
    </w:p>
    <w:p>
      <w:pPr>
        <w:spacing w:after="0" w:line="209" w:lineRule="exact"/>
        <w:rPr>
          <w:sz w:val="20"/>
          <w:szCs w:val="20"/>
          <w:color w:val="auto"/>
        </w:rPr>
      </w:pPr>
    </w:p>
    <w:p>
      <w:pPr>
        <w:ind w:left="1200"/>
        <w:spacing w:after="0"/>
        <w:tabs>
          <w:tab w:leader="none" w:pos="1640" w:val="left"/>
        </w:tabs>
        <w:rPr>
          <w:sz w:val="20"/>
          <w:szCs w:val="20"/>
          <w:color w:val="auto"/>
        </w:rPr>
      </w:pPr>
      <w:r>
        <w:rPr>
          <w:rFonts w:ascii="Times New Roman" w:cs="Times New Roman" w:eastAsia="Times New Roman" w:hAnsi="Times New Roman"/>
          <w:sz w:val="14"/>
          <w:szCs w:val="14"/>
          <w:color w:val="auto"/>
        </w:rPr>
        <w:t>5.1</w:t>
      </w:r>
      <w:r>
        <w:rPr>
          <w:sz w:val="20"/>
          <w:szCs w:val="20"/>
          <w:color w:val="auto"/>
        </w:rPr>
        <w:tab/>
      </w:r>
      <w:r>
        <w:rPr>
          <w:rFonts w:ascii="Times New Roman" w:cs="Times New Roman" w:eastAsia="Times New Roman" w:hAnsi="Times New Roman"/>
          <w:sz w:val="14"/>
          <w:szCs w:val="14"/>
          <w:u w:val="single" w:color="auto"/>
          <w:color w:val="0E32E1"/>
        </w:rPr>
        <w:t>Opinion of Cleary Gottlieb Steen &amp; Hamilton LLP</w:t>
      </w:r>
    </w:p>
    <w:p>
      <w:pPr>
        <w:spacing w:after="0" w:line="232" w:lineRule="exact"/>
        <w:rPr>
          <w:sz w:val="20"/>
          <w:szCs w:val="20"/>
          <w:color w:val="auto"/>
        </w:rPr>
      </w:pPr>
    </w:p>
    <w:p>
      <w:pPr>
        <w:ind w:left="1660" w:right="140" w:hanging="529"/>
        <w:spacing w:after="0" w:line="287" w:lineRule="auto"/>
        <w:tabs>
          <w:tab w:leader="none" w:pos="16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w:t>
      </w:r>
      <w:r>
        <w:rPr>
          <w:sz w:val="20"/>
          <w:szCs w:val="20"/>
          <w:color w:val="auto"/>
        </w:rPr>
        <w:tab/>
      </w:r>
      <w:hyperlink r:id="rId22">
        <w:r>
          <w:rPr>
            <w:rFonts w:ascii="Times New Roman" w:cs="Times New Roman" w:eastAsia="Times New Roman" w:hAnsi="Times New Roman"/>
            <w:sz w:val="14"/>
            <w:szCs w:val="14"/>
            <w:u w:val="single" w:color="auto"/>
            <w:color w:val="0000FF"/>
          </w:rPr>
          <w:t>Amended and Restated LivaNova PLC 2022 Incentive Award Plan (incorporated by reference to Exhibit 10.1 to the Registrant’s Current Report on Form 8-K, filed on</w:t>
        </w:r>
      </w:hyperlink>
      <w:r>
        <w:rPr>
          <w:rFonts w:ascii="Times New Roman" w:cs="Times New Roman" w:eastAsia="Times New Roman" w:hAnsi="Times New Roman"/>
          <w:sz w:val="14"/>
          <w:szCs w:val="14"/>
          <w:u w:val="single" w:color="auto"/>
          <w:color w:val="0000FF"/>
        </w:rPr>
        <w:t xml:space="preserve"> </w:t>
      </w:r>
      <w:hyperlink r:id="rId22">
        <w:r>
          <w:rPr>
            <w:rFonts w:ascii="Times New Roman" w:cs="Times New Roman" w:eastAsia="Times New Roman" w:hAnsi="Times New Roman"/>
            <w:sz w:val="14"/>
            <w:szCs w:val="14"/>
            <w:u w:val="single" w:color="auto"/>
            <w:color w:val="0000FF"/>
          </w:rPr>
          <w:t>June 16, 2023 (File No. 001-37599))</w:t>
        </w:r>
      </w:hyperlink>
    </w:p>
    <w:p>
      <w:pPr>
        <w:spacing w:after="0" w:line="209" w:lineRule="exact"/>
        <w:rPr>
          <w:sz w:val="20"/>
          <w:szCs w:val="20"/>
          <w:color w:val="auto"/>
        </w:rPr>
      </w:pPr>
    </w:p>
    <w:p>
      <w:pPr>
        <w:ind w:left="1660" w:right="160" w:hanging="529"/>
        <w:spacing w:after="0" w:line="239" w:lineRule="auto"/>
        <w:tabs>
          <w:tab w:leader="none" w:pos="1640" w:val="left"/>
        </w:tabs>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color w:val="auto"/>
        </w:rPr>
        <w:t>10.2</w:t>
      </w:r>
      <w:r>
        <w:rPr>
          <w:sz w:val="20"/>
          <w:szCs w:val="20"/>
          <w:color w:val="auto"/>
        </w:rPr>
        <w:tab/>
      </w:r>
      <w:hyperlink r:id="rId23">
        <w:r>
          <w:rPr>
            <w:rFonts w:ascii="Times New Roman" w:cs="Times New Roman" w:eastAsia="Times New Roman" w:hAnsi="Times New Roman"/>
            <w:sz w:val="14"/>
            <w:szCs w:val="14"/>
            <w:u w:val="single" w:color="auto"/>
            <w:color w:val="0E32E1"/>
          </w:rPr>
          <w:t>Amendment No. 1 to the Amended and Restated LivaNova PLC 2022 Incentive Award Plan, dated April 17, 2024 (incorporated herein by reference to Exhibit 10.1 to</w:t>
        </w:r>
      </w:hyperlink>
      <w:r>
        <w:rPr>
          <w:rFonts w:ascii="Times New Roman" w:cs="Times New Roman" w:eastAsia="Times New Roman" w:hAnsi="Times New Roman"/>
          <w:sz w:val="14"/>
          <w:szCs w:val="14"/>
          <w:u w:val="single" w:color="auto"/>
          <w:color w:val="0E32E1"/>
        </w:rPr>
        <w:t xml:space="preserve"> </w:t>
      </w:r>
      <w:hyperlink r:id="rId23">
        <w:r>
          <w:rPr>
            <w:rFonts w:ascii="Times New Roman" w:cs="Times New Roman" w:eastAsia="Times New Roman" w:hAnsi="Times New Roman"/>
            <w:sz w:val="14"/>
            <w:szCs w:val="14"/>
            <w:u w:val="single" w:color="auto"/>
            <w:color w:val="0E32E1"/>
          </w:rPr>
          <w:t>the Registrant’s Current Report on Form 8-K, filed on June 12, 2024 (Commission File No. 001-37599))</w:t>
        </w:r>
      </w:hyperlink>
    </w:p>
    <w:p>
      <w:pPr>
        <w:spacing w:after="0" w:line="220" w:lineRule="exact"/>
        <w:rPr>
          <w:sz w:val="20"/>
          <w:szCs w:val="20"/>
          <w:color w:val="auto"/>
        </w:rPr>
      </w:pPr>
    </w:p>
    <w:p>
      <w:pPr>
        <w:ind w:left="1660" w:right="40" w:hanging="529"/>
        <w:spacing w:after="0" w:line="287" w:lineRule="auto"/>
        <w:tabs>
          <w:tab w:leader="none" w:pos="16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w:t>
      </w:r>
      <w:r>
        <w:rPr>
          <w:sz w:val="20"/>
          <w:szCs w:val="20"/>
          <w:color w:val="auto"/>
        </w:rPr>
        <w:tab/>
      </w:r>
      <w:hyperlink r:id="rId24">
        <w:r>
          <w:rPr>
            <w:rFonts w:ascii="Times New Roman" w:cs="Times New Roman" w:eastAsia="Times New Roman" w:hAnsi="Times New Roman"/>
            <w:sz w:val="14"/>
            <w:szCs w:val="14"/>
            <w:u w:val="single" w:color="auto"/>
            <w:color w:val="0000FF"/>
          </w:rPr>
          <w:t>2015 Incentive Award Plan and related Sub-Plan for UK Participants, adopted on October 16, 2015 (incorporated by reference to Exhibit 10.1 of the Company’s Current</w:t>
        </w:r>
      </w:hyperlink>
      <w:r>
        <w:rPr>
          <w:rFonts w:ascii="Times New Roman" w:cs="Times New Roman" w:eastAsia="Times New Roman" w:hAnsi="Times New Roman"/>
          <w:sz w:val="14"/>
          <w:szCs w:val="14"/>
          <w:u w:val="single" w:color="auto"/>
          <w:color w:val="0000FF"/>
        </w:rPr>
        <w:t xml:space="preserve"> </w:t>
      </w:r>
      <w:hyperlink r:id="rId24">
        <w:r>
          <w:rPr>
            <w:rFonts w:ascii="Times New Roman" w:cs="Times New Roman" w:eastAsia="Times New Roman" w:hAnsi="Times New Roman"/>
            <w:sz w:val="14"/>
            <w:szCs w:val="14"/>
            <w:u w:val="single" w:color="auto"/>
            <w:color w:val="0000FF"/>
          </w:rPr>
          <w:t>Report on Form 8-K12B, filed on October 19, 2015 (File No. 001-37599))</w:t>
        </w:r>
      </w:hyperlink>
    </w:p>
    <w:p>
      <w:pPr>
        <w:spacing w:after="0" w:line="209" w:lineRule="exact"/>
        <w:rPr>
          <w:sz w:val="20"/>
          <w:szCs w:val="20"/>
          <w:color w:val="auto"/>
        </w:rPr>
      </w:pPr>
    </w:p>
    <w:p>
      <w:pPr>
        <w:ind w:left="1140"/>
        <w:spacing w:after="0"/>
        <w:tabs>
          <w:tab w:leader="none" w:pos="16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10.4</w:t>
      </w:r>
      <w:r>
        <w:rPr>
          <w:sz w:val="20"/>
          <w:szCs w:val="20"/>
          <w:color w:val="auto"/>
        </w:rPr>
        <w:tab/>
      </w:r>
      <w:hyperlink r:id="rId25">
        <w:r>
          <w:rPr>
            <w:rFonts w:ascii="Times New Roman" w:cs="Times New Roman" w:eastAsia="Times New Roman" w:hAnsi="Times New Roman"/>
            <w:sz w:val="14"/>
            <w:szCs w:val="14"/>
            <w:u w:val="single" w:color="auto"/>
            <w:color w:val="0000FF"/>
          </w:rPr>
          <w:t>Amendment to the LivaNova Plc 2015 Incentive Award Plan, dated 13 June 2022 (incorporated by reference to Exhibit 10.1 of the Company’s Quarterly Report on Form</w:t>
        </w:r>
      </w:hyperlink>
    </w:p>
    <w:p>
      <w:pPr>
        <w:spacing w:after="0" w:line="34" w:lineRule="exact"/>
        <w:rPr>
          <w:sz w:val="20"/>
          <w:szCs w:val="20"/>
          <w:color w:val="auto"/>
        </w:rPr>
      </w:pPr>
    </w:p>
    <w:p>
      <w:pPr>
        <w:ind w:left="1660"/>
        <w:spacing w:after="0"/>
        <w:rPr>
          <w:rFonts w:ascii="Times New Roman" w:cs="Times New Roman" w:eastAsia="Times New Roman" w:hAnsi="Times New Roman"/>
          <w:sz w:val="14"/>
          <w:szCs w:val="14"/>
          <w:u w:val="single" w:color="auto"/>
          <w:color w:val="0000FF"/>
        </w:rPr>
      </w:pPr>
      <w:hyperlink r:id="rId25">
        <w:r>
          <w:rPr>
            <w:rFonts w:ascii="Times New Roman" w:cs="Times New Roman" w:eastAsia="Times New Roman" w:hAnsi="Times New Roman"/>
            <w:sz w:val="14"/>
            <w:szCs w:val="14"/>
            <w:u w:val="single" w:color="auto"/>
            <w:color w:val="0000FF"/>
          </w:rPr>
          <w:t>10-Q, filed on August 3, 2022 (File No. 001-37599))</w:t>
        </w:r>
      </w:hyperlink>
    </w:p>
    <w:p>
      <w:pPr>
        <w:spacing w:after="0" w:line="239" w:lineRule="exact"/>
        <w:rPr>
          <w:sz w:val="20"/>
          <w:szCs w:val="20"/>
          <w:color w:val="auto"/>
        </w:rPr>
      </w:pPr>
    </w:p>
    <w:p>
      <w:pPr>
        <w:ind w:left="1660" w:right="120" w:hanging="529"/>
        <w:spacing w:after="0" w:line="239" w:lineRule="auto"/>
        <w:tabs>
          <w:tab w:leader="none" w:pos="1640" w:val="left"/>
        </w:tabs>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color w:val="auto"/>
        </w:rPr>
        <w:t>10.5</w:t>
      </w:r>
      <w:r>
        <w:rPr>
          <w:sz w:val="20"/>
          <w:szCs w:val="20"/>
          <w:color w:val="auto"/>
        </w:rPr>
        <w:tab/>
      </w:r>
      <w:hyperlink r:id="rId26">
        <w:r>
          <w:rPr>
            <w:rFonts w:ascii="Times New Roman" w:cs="Times New Roman" w:eastAsia="Times New Roman" w:hAnsi="Times New Roman"/>
            <w:sz w:val="14"/>
            <w:szCs w:val="14"/>
            <w:u w:val="single" w:color="auto"/>
            <w:color w:val="0E32E1"/>
          </w:rPr>
          <w:t>Amendment No. 2 to the LivaNova PLC 2015 Incentive Award Plan, dated April 17, 2024 (incorporated herein by reference to Exhibit 10.1 to the Registrant’s Current</w:t>
        </w:r>
      </w:hyperlink>
      <w:r>
        <w:rPr>
          <w:rFonts w:ascii="Times New Roman" w:cs="Times New Roman" w:eastAsia="Times New Roman" w:hAnsi="Times New Roman"/>
          <w:sz w:val="14"/>
          <w:szCs w:val="14"/>
          <w:u w:val="single" w:color="auto"/>
          <w:color w:val="0E32E1"/>
        </w:rPr>
        <w:t xml:space="preserve"> </w:t>
      </w:r>
      <w:hyperlink r:id="rId26">
        <w:r>
          <w:rPr>
            <w:rFonts w:ascii="Times New Roman" w:cs="Times New Roman" w:eastAsia="Times New Roman" w:hAnsi="Times New Roman"/>
            <w:sz w:val="14"/>
            <w:szCs w:val="14"/>
            <w:u w:val="single" w:color="auto"/>
            <w:color w:val="0E32E1"/>
          </w:rPr>
          <w:t>Report on Form 8-K, filed on June 12, 2024 (Commission File No. 001-37599))</w:t>
        </w:r>
      </w:hyperlink>
    </w:p>
    <w:p>
      <w:pPr>
        <w:spacing w:after="0" w:line="220"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color w:val="auto"/>
        </w:rPr>
        <w:t>23.1</w:t>
      </w:r>
      <w:r>
        <w:rPr>
          <w:sz w:val="20"/>
          <w:szCs w:val="20"/>
          <w:color w:val="auto"/>
        </w:rPr>
        <w:tab/>
      </w:r>
      <w:r>
        <w:rPr>
          <w:rFonts w:ascii="Times New Roman" w:cs="Times New Roman" w:eastAsia="Times New Roman" w:hAnsi="Times New Roman"/>
          <w:sz w:val="14"/>
          <w:szCs w:val="14"/>
          <w:u w:val="single" w:color="auto"/>
          <w:color w:val="0E32E1"/>
        </w:rPr>
        <w:t>Consent of Cleary Gottlieb Steen &amp; Hamilton LLP (included in Exhibit 5.1)</w:t>
      </w:r>
    </w:p>
    <w:p>
      <w:pPr>
        <w:spacing w:after="0" w:line="232"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color w:val="auto"/>
        </w:rPr>
        <w:t>23.2</w:t>
      </w:r>
      <w:r>
        <w:rPr>
          <w:sz w:val="20"/>
          <w:szCs w:val="20"/>
          <w:color w:val="auto"/>
        </w:rPr>
        <w:tab/>
      </w:r>
      <w:r>
        <w:rPr>
          <w:rFonts w:ascii="Times New Roman" w:cs="Times New Roman" w:eastAsia="Times New Roman" w:hAnsi="Times New Roman"/>
          <w:sz w:val="14"/>
          <w:szCs w:val="14"/>
          <w:u w:val="single" w:color="auto"/>
          <w:color w:val="0E32E1"/>
        </w:rPr>
        <w:t>Consent of PricewaterhouseCoopers LLP</w:t>
      </w:r>
    </w:p>
    <w:p>
      <w:pPr>
        <w:spacing w:after="0" w:line="232"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color w:val="auto"/>
        </w:rPr>
        <w:t>24.1</w:t>
      </w:r>
      <w:r>
        <w:rPr>
          <w:sz w:val="20"/>
          <w:szCs w:val="20"/>
          <w:color w:val="auto"/>
        </w:rPr>
        <w:tab/>
      </w:r>
      <w:r>
        <w:rPr>
          <w:rFonts w:ascii="Times New Roman" w:cs="Times New Roman" w:eastAsia="Times New Roman" w:hAnsi="Times New Roman"/>
          <w:sz w:val="14"/>
          <w:szCs w:val="14"/>
          <w:u w:val="single" w:color="auto"/>
          <w:color w:val="0E32E1"/>
        </w:rPr>
        <w:t>Power of Attorney (included on the signature page hereto)</w:t>
      </w:r>
    </w:p>
    <w:p>
      <w:pPr>
        <w:spacing w:after="0" w:line="232" w:lineRule="exact"/>
        <w:rPr>
          <w:sz w:val="20"/>
          <w:szCs w:val="20"/>
          <w:color w:val="auto"/>
        </w:rPr>
      </w:pPr>
    </w:p>
    <w:p>
      <w:pPr>
        <w:ind w:left="1660" w:hanging="491"/>
        <w:spacing w:after="0"/>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E32E1"/>
        </w:rPr>
        <w:t>Filing Fee Table</w:t>
      </w:r>
    </w:p>
    <w:p>
      <w:pPr>
        <w:sectPr>
          <w:pgSz w:w="11900" w:h="16838" w:orient="portrait"/>
          <w:cols w:equalWidth="0" w:num="1">
            <w:col w:w="11240"/>
          </w:cols>
          <w:pgMar w:left="300" w:top="1143" w:right="359" w:bottom="1440" w:gutter="0" w:footer="0" w:header="0"/>
        </w:sectPr>
      </w:pPr>
    </w:p>
    <w:bookmarkStart w:id="4" w:name="page5"/>
    <w:bookmarkEnd w:id="4"/>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London, United Kingdom, on June 12, 2024.</w:t>
      </w:r>
    </w:p>
    <w:p>
      <w:pPr>
        <w:spacing w:after="0" w:line="177" w:lineRule="exact"/>
        <w:rPr>
          <w:sz w:val="20"/>
          <w:szCs w:val="20"/>
          <w:color w:val="auto"/>
        </w:rPr>
      </w:pPr>
    </w:p>
    <w:tbl>
      <w:tblPr>
        <w:tblLayout w:type="fixed"/>
        <w:tblInd w:w="398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6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LivaNova PLC</w:t>
            </w:r>
          </w:p>
        </w:tc>
      </w:tr>
      <w:tr>
        <w:trPr>
          <w:trHeight w:val="393"/>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160" w:type="dxa"/>
            <w:vAlign w:val="bottom"/>
          </w:tcPr>
          <w:p>
            <w:pPr>
              <w:spacing w:after="0"/>
              <w:rPr>
                <w:sz w:val="24"/>
                <w:szCs w:val="24"/>
                <w:color w:val="auto"/>
              </w:rPr>
            </w:pPr>
          </w:p>
        </w:tc>
        <w:tc>
          <w:tcPr>
            <w:tcW w:w="4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/s/ Vladimir Makatsaria</w:t>
            </w:r>
          </w:p>
        </w:tc>
      </w:tr>
      <w:tr>
        <w:trPr>
          <w:trHeight w:val="167"/>
        </w:trPr>
        <w:tc>
          <w:tcPr>
            <w:tcW w:w="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Vladimir Makatsaria</w:t>
            </w:r>
          </w:p>
        </w:tc>
      </w:tr>
      <w:tr>
        <w:trPr>
          <w:trHeight w:val="184"/>
        </w:trPr>
        <w:tc>
          <w:tcPr>
            <w:tcW w:w="2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bl>
    <w:p>
      <w:pPr>
        <w:sectPr>
          <w:pgSz w:w="11900" w:h="16838" w:orient="portrait"/>
          <w:cols w:equalWidth="0" w:num="1">
            <w:col w:w="11020"/>
          </w:cols>
          <w:pgMar w:left="300" w:top="1141" w:right="57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hereby constitutes and appoints Michael Hutchinson and Sarah Mohr as his or her true and lawful attorney-in-fact and agent with full power of substitution, for him or her in any and all capacities, to sign any and all amendments to this registration statement (including post-effective amendments or any abbreviated registration statement and any amendments thereto filed pursuant to Rule 462(b) under the Securities Act of 1933, as amended, increasing the number of securities for which registration is sought), and to file the same, with all exhibits thereto and other documents in connection therewith, with the Commission, granting unto said attorney-in-fact, proxy, and agent full power and authority to do and perform each and every act and thing requisite and necessary to be done in connection therewith, as fully for all intents and purposes as he might or could do in person, hereby ratifying and confirming all that said attorney-in-fact, proxy and agent, or his substitute, may lawfully do or cause to be done by virtue hereof.</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00"/>
          </w:cols>
          <w:pgMar w:left="300" w:top="1322" w:right="3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6"/>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60" w:type="dxa"/>
            <w:vAlign w:val="bottom"/>
          </w:tcPr>
          <w:p>
            <w:pPr>
              <w:spacing w:after="0"/>
              <w:rPr>
                <w:sz w:val="16"/>
                <w:szCs w:val="16"/>
                <w:color w:val="auto"/>
              </w:rPr>
            </w:pPr>
          </w:p>
        </w:tc>
        <w:tc>
          <w:tcPr>
            <w:tcW w:w="5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2"/>
        </w:trPr>
        <w:tc>
          <w:tcPr>
            <w:tcW w:w="3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368"/>
        </w:trPr>
        <w:tc>
          <w:tcPr>
            <w:tcW w:w="3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Director and Chief Executive Officer</w:t>
            </w:r>
          </w:p>
        </w:tc>
        <w:tc>
          <w:tcPr>
            <w:tcW w:w="1880" w:type="dxa"/>
            <w:vAlign w:val="bottom"/>
          </w:tcPr>
          <w:p>
            <w:pPr>
              <w:spacing w:after="0"/>
              <w:rPr>
                <w:sz w:val="24"/>
                <w:szCs w:val="24"/>
                <w:color w:val="auto"/>
              </w:rPr>
            </w:pPr>
          </w:p>
        </w:tc>
      </w:tr>
      <w:tr>
        <w:trPr>
          <w:trHeight w:val="184"/>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 Vladimir Makatsaria</w:t>
            </w:r>
          </w:p>
        </w:tc>
        <w:tc>
          <w:tcPr>
            <w:tcW w:w="260" w:type="dxa"/>
            <w:vAlign w:val="bottom"/>
          </w:tcPr>
          <w:p>
            <w:pPr>
              <w:spacing w:after="0"/>
              <w:rPr>
                <w:sz w:val="16"/>
                <w:szCs w:val="16"/>
                <w:color w:val="auto"/>
              </w:rPr>
            </w:pPr>
          </w:p>
        </w:tc>
        <w:tc>
          <w:tcPr>
            <w:tcW w:w="5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June 12, 2024</w:t>
            </w:r>
          </w:p>
        </w:tc>
      </w:tr>
      <w:tr>
        <w:trPr>
          <w:trHeight w:val="22"/>
        </w:trPr>
        <w:tc>
          <w:tcPr>
            <w:tcW w:w="3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81"/>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Vladimir Makatsaria</w:t>
            </w:r>
          </w:p>
        </w:tc>
        <w:tc>
          <w:tcPr>
            <w:tcW w:w="2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89"/>
        </w:trPr>
        <w:tc>
          <w:tcPr>
            <w:tcW w:w="3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Chief Financial Officer</w:t>
            </w:r>
          </w:p>
        </w:tc>
        <w:tc>
          <w:tcPr>
            <w:tcW w:w="1880" w:type="dxa"/>
            <w:vAlign w:val="bottom"/>
          </w:tcPr>
          <w:p>
            <w:pPr>
              <w:spacing w:after="0"/>
              <w:rPr>
                <w:sz w:val="24"/>
                <w:szCs w:val="24"/>
                <w:color w:val="auto"/>
              </w:rPr>
            </w:pPr>
          </w:p>
        </w:tc>
      </w:tr>
      <w:tr>
        <w:trPr>
          <w:trHeight w:val="184"/>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 Alex Shvartsburg</w:t>
            </w:r>
          </w:p>
        </w:tc>
        <w:tc>
          <w:tcPr>
            <w:tcW w:w="260" w:type="dxa"/>
            <w:vAlign w:val="bottom"/>
          </w:tcPr>
          <w:p>
            <w:pPr>
              <w:spacing w:after="0"/>
              <w:rPr>
                <w:sz w:val="16"/>
                <w:szCs w:val="16"/>
                <w:color w:val="auto"/>
              </w:rPr>
            </w:pPr>
          </w:p>
        </w:tc>
        <w:tc>
          <w:tcPr>
            <w:tcW w:w="5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(Principal Accounting and Financial Officer)</w:t>
            </w:r>
          </w:p>
        </w:tc>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June 12, 2024</w:t>
            </w:r>
          </w:p>
        </w:tc>
      </w:tr>
      <w:tr>
        <w:trPr>
          <w:trHeight w:val="22"/>
        </w:trPr>
        <w:tc>
          <w:tcPr>
            <w:tcW w:w="3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81"/>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Alex Shvartsburg</w:t>
            </w:r>
          </w:p>
        </w:tc>
        <w:tc>
          <w:tcPr>
            <w:tcW w:w="2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403"/>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 William A. Kozy</w:t>
            </w:r>
          </w:p>
        </w:tc>
        <w:tc>
          <w:tcPr>
            <w:tcW w:w="260" w:type="dxa"/>
            <w:vAlign w:val="bottom"/>
          </w:tcPr>
          <w:p>
            <w:pPr>
              <w:spacing w:after="0"/>
              <w:rPr>
                <w:sz w:val="24"/>
                <w:szCs w:val="24"/>
                <w:color w:val="auto"/>
              </w:rPr>
            </w:pPr>
          </w:p>
        </w:tc>
        <w:tc>
          <w:tcPr>
            <w:tcW w:w="5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Chair of the Board of Directors</w:t>
            </w:r>
          </w:p>
        </w:tc>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June 12, 2024</w:t>
            </w:r>
          </w:p>
        </w:tc>
      </w:tr>
      <w:tr>
        <w:trPr>
          <w:trHeight w:val="22"/>
        </w:trPr>
        <w:tc>
          <w:tcPr>
            <w:tcW w:w="3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81"/>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William A. Kozy</w:t>
            </w:r>
          </w:p>
        </w:tc>
        <w:tc>
          <w:tcPr>
            <w:tcW w:w="2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403"/>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 J. Christopher Barry</w:t>
            </w:r>
          </w:p>
        </w:tc>
        <w:tc>
          <w:tcPr>
            <w:tcW w:w="260" w:type="dxa"/>
            <w:vAlign w:val="bottom"/>
          </w:tcPr>
          <w:p>
            <w:pPr>
              <w:spacing w:after="0"/>
              <w:rPr>
                <w:sz w:val="24"/>
                <w:szCs w:val="24"/>
                <w:color w:val="auto"/>
              </w:rPr>
            </w:pPr>
          </w:p>
        </w:tc>
        <w:tc>
          <w:tcPr>
            <w:tcW w:w="5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Director</w:t>
            </w:r>
          </w:p>
        </w:tc>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June 12, 2024</w:t>
            </w:r>
          </w:p>
        </w:tc>
      </w:tr>
      <w:tr>
        <w:trPr>
          <w:trHeight w:val="22"/>
        </w:trPr>
        <w:tc>
          <w:tcPr>
            <w:tcW w:w="3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81"/>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 Christopher Barry</w:t>
            </w:r>
          </w:p>
        </w:tc>
        <w:tc>
          <w:tcPr>
            <w:tcW w:w="2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403"/>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 Francesco Bianchi</w:t>
            </w:r>
          </w:p>
        </w:tc>
        <w:tc>
          <w:tcPr>
            <w:tcW w:w="260" w:type="dxa"/>
            <w:vAlign w:val="bottom"/>
          </w:tcPr>
          <w:p>
            <w:pPr>
              <w:spacing w:after="0"/>
              <w:rPr>
                <w:sz w:val="24"/>
                <w:szCs w:val="24"/>
                <w:color w:val="auto"/>
              </w:rPr>
            </w:pPr>
          </w:p>
        </w:tc>
        <w:tc>
          <w:tcPr>
            <w:tcW w:w="5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Director</w:t>
            </w:r>
          </w:p>
        </w:tc>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June 12, 2024</w:t>
            </w:r>
          </w:p>
        </w:tc>
      </w:tr>
      <w:tr>
        <w:trPr>
          <w:trHeight w:val="22"/>
        </w:trPr>
        <w:tc>
          <w:tcPr>
            <w:tcW w:w="3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81"/>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Francesco Bianchi</w:t>
            </w:r>
          </w:p>
        </w:tc>
        <w:tc>
          <w:tcPr>
            <w:tcW w:w="2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403"/>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 Stacy Enxing Seng</w:t>
            </w:r>
          </w:p>
        </w:tc>
        <w:tc>
          <w:tcPr>
            <w:tcW w:w="260" w:type="dxa"/>
            <w:vAlign w:val="bottom"/>
          </w:tcPr>
          <w:p>
            <w:pPr>
              <w:spacing w:after="0"/>
              <w:rPr>
                <w:sz w:val="24"/>
                <w:szCs w:val="24"/>
                <w:color w:val="auto"/>
              </w:rPr>
            </w:pPr>
          </w:p>
        </w:tc>
        <w:tc>
          <w:tcPr>
            <w:tcW w:w="5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Director</w:t>
            </w:r>
          </w:p>
        </w:tc>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June 12, 2024</w:t>
            </w:r>
          </w:p>
        </w:tc>
      </w:tr>
      <w:tr>
        <w:trPr>
          <w:trHeight w:val="22"/>
        </w:trPr>
        <w:tc>
          <w:tcPr>
            <w:tcW w:w="3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81"/>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Stacy Enxing Seng</w:t>
            </w:r>
          </w:p>
        </w:tc>
        <w:tc>
          <w:tcPr>
            <w:tcW w:w="2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403"/>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 Sharon O’Kane</w:t>
            </w:r>
          </w:p>
        </w:tc>
        <w:tc>
          <w:tcPr>
            <w:tcW w:w="260" w:type="dxa"/>
            <w:vAlign w:val="bottom"/>
          </w:tcPr>
          <w:p>
            <w:pPr>
              <w:spacing w:after="0"/>
              <w:rPr>
                <w:sz w:val="24"/>
                <w:szCs w:val="24"/>
                <w:color w:val="auto"/>
              </w:rPr>
            </w:pPr>
          </w:p>
        </w:tc>
        <w:tc>
          <w:tcPr>
            <w:tcW w:w="5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Director</w:t>
            </w:r>
          </w:p>
        </w:tc>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June 12, 2024</w:t>
            </w:r>
          </w:p>
        </w:tc>
      </w:tr>
      <w:tr>
        <w:trPr>
          <w:trHeight w:val="22"/>
        </w:trPr>
        <w:tc>
          <w:tcPr>
            <w:tcW w:w="3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81"/>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Sharon O’Kane</w:t>
            </w:r>
          </w:p>
        </w:tc>
        <w:tc>
          <w:tcPr>
            <w:tcW w:w="2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403"/>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 Todd C. Schermerhorn</w:t>
            </w:r>
          </w:p>
        </w:tc>
        <w:tc>
          <w:tcPr>
            <w:tcW w:w="260" w:type="dxa"/>
            <w:vAlign w:val="bottom"/>
          </w:tcPr>
          <w:p>
            <w:pPr>
              <w:spacing w:after="0"/>
              <w:rPr>
                <w:sz w:val="24"/>
                <w:szCs w:val="24"/>
                <w:color w:val="auto"/>
              </w:rPr>
            </w:pPr>
          </w:p>
        </w:tc>
        <w:tc>
          <w:tcPr>
            <w:tcW w:w="5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Director</w:t>
            </w:r>
          </w:p>
        </w:tc>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June 12, 2024</w:t>
            </w:r>
          </w:p>
        </w:tc>
      </w:tr>
      <w:tr>
        <w:trPr>
          <w:trHeight w:val="22"/>
        </w:trPr>
        <w:tc>
          <w:tcPr>
            <w:tcW w:w="3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81"/>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Todd C. Schermerhorn</w:t>
            </w:r>
          </w:p>
        </w:tc>
        <w:tc>
          <w:tcPr>
            <w:tcW w:w="2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403"/>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 Brooke Story</w:t>
            </w:r>
          </w:p>
        </w:tc>
        <w:tc>
          <w:tcPr>
            <w:tcW w:w="260" w:type="dxa"/>
            <w:vAlign w:val="bottom"/>
          </w:tcPr>
          <w:p>
            <w:pPr>
              <w:spacing w:after="0"/>
              <w:rPr>
                <w:sz w:val="24"/>
                <w:szCs w:val="24"/>
                <w:color w:val="auto"/>
              </w:rPr>
            </w:pPr>
          </w:p>
        </w:tc>
        <w:tc>
          <w:tcPr>
            <w:tcW w:w="5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Director</w:t>
            </w:r>
          </w:p>
        </w:tc>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June 12, 2024</w:t>
            </w:r>
          </w:p>
        </w:tc>
      </w:tr>
      <w:tr>
        <w:trPr>
          <w:trHeight w:val="22"/>
        </w:trPr>
        <w:tc>
          <w:tcPr>
            <w:tcW w:w="3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81"/>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Brooke Story</w:t>
            </w:r>
          </w:p>
        </w:tc>
        <w:tc>
          <w:tcPr>
            <w:tcW w:w="2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403"/>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 Peter Wilver</w:t>
            </w:r>
          </w:p>
        </w:tc>
        <w:tc>
          <w:tcPr>
            <w:tcW w:w="260" w:type="dxa"/>
            <w:vAlign w:val="bottom"/>
          </w:tcPr>
          <w:p>
            <w:pPr>
              <w:spacing w:after="0"/>
              <w:rPr>
                <w:sz w:val="24"/>
                <w:szCs w:val="24"/>
                <w:color w:val="auto"/>
              </w:rPr>
            </w:pPr>
          </w:p>
        </w:tc>
        <w:tc>
          <w:tcPr>
            <w:tcW w:w="5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Director</w:t>
            </w:r>
          </w:p>
        </w:tc>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June 12, 2024</w:t>
            </w:r>
          </w:p>
        </w:tc>
      </w:tr>
      <w:tr>
        <w:trPr>
          <w:trHeight w:val="22"/>
        </w:trPr>
        <w:tc>
          <w:tcPr>
            <w:tcW w:w="3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81"/>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Peter Wilver</w:t>
            </w:r>
          </w:p>
        </w:tc>
        <w:tc>
          <w:tcPr>
            <w:tcW w:w="2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403"/>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 Lindsey R. Little</w:t>
            </w:r>
          </w:p>
        </w:tc>
        <w:tc>
          <w:tcPr>
            <w:tcW w:w="260" w:type="dxa"/>
            <w:vAlign w:val="bottom"/>
          </w:tcPr>
          <w:p>
            <w:pPr>
              <w:spacing w:after="0"/>
              <w:rPr>
                <w:sz w:val="24"/>
                <w:szCs w:val="24"/>
                <w:color w:val="auto"/>
              </w:rPr>
            </w:pPr>
          </w:p>
        </w:tc>
        <w:tc>
          <w:tcPr>
            <w:tcW w:w="5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Authorized Representative in the United States</w:t>
            </w:r>
          </w:p>
        </w:tc>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June 12, 2024</w:t>
            </w:r>
          </w:p>
        </w:tc>
      </w:tr>
      <w:tr>
        <w:trPr>
          <w:trHeight w:val="22"/>
        </w:trPr>
        <w:tc>
          <w:tcPr>
            <w:tcW w:w="3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81"/>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Lindsey R. Little</w:t>
            </w:r>
          </w:p>
        </w:tc>
        <w:tc>
          <w:tcPr>
            <w:tcW w:w="2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Pr>
          <w:p>
            <w:pPr>
              <w:spacing w:after="0"/>
              <w:rPr>
                <w:sz w:val="15"/>
                <w:szCs w:val="15"/>
                <w:color w:val="auto"/>
              </w:rPr>
            </w:pPr>
          </w:p>
        </w:tc>
      </w:tr>
    </w:tbl>
    <w:p>
      <w:pPr>
        <w:sectPr>
          <w:pgSz w:w="11900" w:h="16838" w:orient="portrait"/>
          <w:cols w:equalWidth="0" w:num="1">
            <w:col w:w="11280"/>
          </w:cols>
          <w:pgMar w:left="300" w:top="1396" w:right="319" w:bottom="1440"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304800</wp:posOffset>
            </wp:positionV>
            <wp:extent cx="6507480" cy="9333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9740265</wp:posOffset>
            </wp:positionV>
            <wp:extent cx="6507480"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extLst>
                    </a:blip>
                    <a:srcRect/>
                    <a:stretch>
                      <a:fillRect/>
                    </a:stretch>
                  </pic:blipFill>
                  <pic:spPr bwMode="auto">
                    <a:xfrm>
                      <a:off x="0" y="0"/>
                      <a:ext cx="650748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extLst>
                    </a:blip>
                    <a:srcRect/>
                    <a:stretch>
                      <a:fillRect/>
                    </a:stretch>
                  </pic:blipFill>
                  <pic:spPr bwMode="auto">
                    <a:xfrm>
                      <a:off x="0" y="0"/>
                      <a:ext cx="650748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07"/>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20" Type="http://schemas.openxmlformats.org/officeDocument/2006/relationships/image" Target="media/image2.png"/><Relationship Id="rId27" Type="http://schemas.openxmlformats.org/officeDocument/2006/relationships/image" Target="media/image3.png"/><Relationship Id="rId28" Type="http://schemas.openxmlformats.org/officeDocument/2006/relationships/image" Target="media/image4.png"/><Relationship Id="rId29" Type="http://schemas.openxmlformats.org/officeDocument/2006/relationships/image" Target="media/image5.png"/><Relationship Id="rId30" Type="http://schemas.openxmlformats.org/officeDocument/2006/relationships/image" Target="media/image6.png"/><Relationship Id="rId31" Type="http://schemas.openxmlformats.org/officeDocument/2006/relationships/image" Target="media/image7.png"/><Relationship Id="rId32" Type="http://schemas.openxmlformats.org/officeDocument/2006/relationships/image" Target="media/image8.png"/><Relationship Id="rId33" Type="http://schemas.openxmlformats.org/officeDocument/2006/relationships/image" Target="media/image9.png"/><Relationship Id="rId9" Type="http://schemas.openxmlformats.org/officeDocument/2006/relationships/hyperlink" Target="https://www.sec.gov/Archives/edgar/data/1639691/000163969123000080/securitiestobeofferedtoemp.htm" TargetMode="External"/><Relationship Id="rId10" Type="http://schemas.openxmlformats.org/officeDocument/2006/relationships/hyperlink" Target="https://www.sec.gov/Archives/edgar/data/1639691/000110465922070586/tm2218278d1_s8.htm" TargetMode="External"/><Relationship Id="rId11" Type="http://schemas.openxmlformats.org/officeDocument/2006/relationships/hyperlink" Target="https://www.sec.gov/Archives/edgar/data/1639691/000119312515346159/d89334ds8.htm" TargetMode="External"/><Relationship Id="rId12" Type="http://schemas.openxmlformats.org/officeDocument/2006/relationships/hyperlink" Target="https://www.sec.gov/ix?doc=/Archives/edgar/data/1639691/000163969124000021/livn-20231231.htm" TargetMode="External"/><Relationship Id="rId13" Type="http://schemas.openxmlformats.org/officeDocument/2006/relationships/hyperlink" Target="https://www.sec.gov/ix?doc=/Archives/edgar/data/1639691/000110465924052902/tm242614-d3_def14a.htm" TargetMode="External"/><Relationship Id="rId14" Type="http://schemas.openxmlformats.org/officeDocument/2006/relationships/hyperlink" Target="https://www.sec.gov/ix?doc=/Archives/edgar/data/1639691/000163969124000060/livn-20240331.htm" TargetMode="External"/><Relationship Id="rId15" Type="http://schemas.openxmlformats.org/officeDocument/2006/relationships/hyperlink" Target="https://www.sec.gov/ix?doc=/Archives/edgar/data/1639691/000163969124000006/livn-20240105.htm" TargetMode="External"/><Relationship Id="rId16" Type="http://schemas.openxmlformats.org/officeDocument/2006/relationships/hyperlink" Target="https://www.sec.gov/ix?doc=/Archives/edgar/data/1639691/000163969124000013/livn-20240201.htm" TargetMode="External"/><Relationship Id="rId17" Type="http://schemas.openxmlformats.org/officeDocument/2006/relationships/hyperlink" Target="https://www.sec.gov/ix?doc=/Archives/edgar/data/0001639691/000163969124000034/livn-20240308.htm" TargetMode="External"/><Relationship Id="rId18" Type="http://schemas.openxmlformats.org/officeDocument/2006/relationships/hyperlink" Target="https://www.sec.gov/ix?doc=/Archives/edgar/data/0001639691/000163969124000075/livn-20240611.htm" TargetMode="External"/><Relationship Id="rId19" Type="http://schemas.openxmlformats.org/officeDocument/2006/relationships/hyperlink" Target="https://www.sec.gov/Archives/edgar/data/1639691/000163969124000021/livn-20231231xex41.htm" TargetMode="External"/><Relationship Id="rId21" Type="http://schemas.openxmlformats.org/officeDocument/2006/relationships/hyperlink" Target="https://www.sec.gov/Archives/edgar/data/1639691/000163969120000098/livn-20200630xex31.htm" TargetMode="External"/><Relationship Id="rId22" Type="http://schemas.openxmlformats.org/officeDocument/2006/relationships/hyperlink" Target="https://www.sec.gov/Archives/edgar/data/1639691/000163969123000057/proposal4approvaloftheamen.htm" TargetMode="External"/><Relationship Id="rId23" Type="http://schemas.openxmlformats.org/officeDocument/2006/relationships/hyperlink" Target="https://www.sec.gov/Archives/edgar/data/1639691/000163969124000075/amendmentno1tothe2022arp.htm" TargetMode="External"/><Relationship Id="rId24" Type="http://schemas.openxmlformats.org/officeDocument/2006/relationships/hyperlink" Target="https://www.sec.gov/Archives/edgar/data/1639691/000119312515347176/d58097dex101.htm" TargetMode="External"/><Relationship Id="rId25" Type="http://schemas.openxmlformats.org/officeDocument/2006/relationships/hyperlink" Target="https://www.sec.gov/Archives/edgar/data/1639691/000163969122000082/exhibit101-amendmentto20.htm" TargetMode="External"/><Relationship Id="rId26" Type="http://schemas.openxmlformats.org/officeDocument/2006/relationships/hyperlink" Target="https://www.sec.gov/Archives/edgar/data/1639691/000163969124000075/amendmentno2tothe2015p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2024-06-13T05:13:31Z</dcterms:created>
  <dcterms:modified xsi:type="dcterms:W3CDTF">2024-06-13T05:13:31Z</dcterms:modified>
</cp:coreProperties>
</file>