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414020</wp:posOffset>
            </wp:positionV>
            <wp:extent cx="713930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305" cy="16510"/>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 February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160020</wp:posOffset>
            </wp:positionV>
            <wp:extent cx="1397000" cy="4387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000" cy="438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LivaNova PLC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35"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2120" w:type="dxa"/>
            <w:vAlign w:val="bottom"/>
          </w:tcPr>
          <w:p>
            <w:pPr>
              <w:jc w:val="center"/>
              <w:ind w:right="175"/>
              <w:spacing w:after="0"/>
              <w:rPr>
                <w:sz w:val="20"/>
                <w:szCs w:val="20"/>
                <w:color w:val="auto"/>
              </w:rPr>
            </w:pPr>
            <w:r>
              <w:rPr>
                <w:rFonts w:ascii="Arial" w:cs="Arial" w:eastAsia="Arial" w:hAnsi="Arial"/>
                <w:sz w:val="17"/>
                <w:szCs w:val="17"/>
                <w:b w:val="1"/>
                <w:bCs w:val="1"/>
                <w:color w:val="auto"/>
                <w:w w:val="91"/>
              </w:rPr>
              <w:t>England and Wales</w:t>
            </w:r>
          </w:p>
        </w:tc>
        <w:tc>
          <w:tcPr>
            <w:tcW w:w="4440" w:type="dxa"/>
            <w:vAlign w:val="bottom"/>
          </w:tcPr>
          <w:p>
            <w:pPr>
              <w:jc w:val="center"/>
              <w:ind w:right="95"/>
              <w:spacing w:after="0"/>
              <w:rPr>
                <w:sz w:val="20"/>
                <w:szCs w:val="20"/>
                <w:color w:val="auto"/>
              </w:rPr>
            </w:pPr>
            <w:r>
              <w:rPr>
                <w:rFonts w:ascii="Arial" w:cs="Arial" w:eastAsia="Arial" w:hAnsi="Arial"/>
                <w:sz w:val="17"/>
                <w:szCs w:val="17"/>
                <w:b w:val="1"/>
                <w:bCs w:val="1"/>
                <w:color w:val="auto"/>
                <w:w w:val="90"/>
              </w:rPr>
              <w:t>001-37599</w:t>
            </w:r>
          </w:p>
        </w:tc>
        <w:tc>
          <w:tcPr>
            <w:tcW w:w="1660" w:type="dxa"/>
            <w:vAlign w:val="bottom"/>
          </w:tcPr>
          <w:p>
            <w:pPr>
              <w:jc w:val="center"/>
              <w:ind w:left="275"/>
              <w:spacing w:after="0"/>
              <w:rPr>
                <w:sz w:val="20"/>
                <w:szCs w:val="20"/>
                <w:color w:val="auto"/>
              </w:rPr>
            </w:pPr>
            <w:r>
              <w:rPr>
                <w:rFonts w:ascii="Arial" w:cs="Arial" w:eastAsia="Arial" w:hAnsi="Arial"/>
                <w:sz w:val="17"/>
                <w:szCs w:val="17"/>
                <w:b w:val="1"/>
                <w:bCs w:val="1"/>
                <w:color w:val="auto"/>
                <w:w w:val="90"/>
              </w:rPr>
              <w:t>98-1268150</w:t>
            </w:r>
          </w:p>
        </w:tc>
      </w:tr>
      <w:tr>
        <w:trPr>
          <w:trHeight w:val="245"/>
        </w:trPr>
        <w:tc>
          <w:tcPr>
            <w:tcW w:w="2120" w:type="dxa"/>
            <w:vAlign w:val="bottom"/>
          </w:tcPr>
          <w:p>
            <w:pPr>
              <w:jc w:val="center"/>
              <w:ind w:right="175"/>
              <w:spacing w:after="0"/>
              <w:rPr>
                <w:sz w:val="20"/>
                <w:szCs w:val="20"/>
                <w:color w:val="auto"/>
              </w:rPr>
            </w:pPr>
            <w:r>
              <w:rPr>
                <w:rFonts w:ascii="Arial" w:cs="Arial" w:eastAsia="Arial" w:hAnsi="Arial"/>
                <w:sz w:val="17"/>
                <w:szCs w:val="17"/>
                <w:color w:val="auto"/>
                <w:w w:val="91"/>
              </w:rPr>
              <w:t>(State or Other Jurisdiction</w:t>
            </w:r>
          </w:p>
        </w:tc>
        <w:tc>
          <w:tcPr>
            <w:tcW w:w="4440" w:type="dxa"/>
            <w:vAlign w:val="bottom"/>
          </w:tcPr>
          <w:p>
            <w:pPr>
              <w:ind w:left="1640"/>
              <w:spacing w:after="0"/>
              <w:rPr>
                <w:sz w:val="20"/>
                <w:szCs w:val="20"/>
                <w:color w:val="auto"/>
              </w:rPr>
            </w:pPr>
            <w:r>
              <w:rPr>
                <w:rFonts w:ascii="Arial" w:cs="Arial" w:eastAsia="Arial" w:hAnsi="Arial"/>
                <w:sz w:val="17"/>
                <w:szCs w:val="17"/>
                <w:color w:val="auto"/>
              </w:rPr>
              <w:t>(Commission</w:t>
            </w:r>
          </w:p>
        </w:tc>
        <w:tc>
          <w:tcPr>
            <w:tcW w:w="1660" w:type="dxa"/>
            <w:vAlign w:val="bottom"/>
          </w:tcPr>
          <w:p>
            <w:pPr>
              <w:jc w:val="center"/>
              <w:ind w:left="255"/>
              <w:spacing w:after="0"/>
              <w:rPr>
                <w:sz w:val="20"/>
                <w:szCs w:val="20"/>
                <w:color w:val="auto"/>
              </w:rPr>
            </w:pPr>
            <w:r>
              <w:rPr>
                <w:rFonts w:ascii="Arial" w:cs="Arial" w:eastAsia="Arial" w:hAnsi="Arial"/>
                <w:sz w:val="17"/>
                <w:szCs w:val="17"/>
                <w:color w:val="auto"/>
                <w:w w:val="94"/>
              </w:rPr>
              <w:t>(IRS Employer</w:t>
            </w:r>
          </w:p>
        </w:tc>
      </w:tr>
      <w:tr>
        <w:trPr>
          <w:trHeight w:val="216"/>
        </w:trPr>
        <w:tc>
          <w:tcPr>
            <w:tcW w:w="2120" w:type="dxa"/>
            <w:vAlign w:val="bottom"/>
          </w:tcPr>
          <w:p>
            <w:pPr>
              <w:jc w:val="center"/>
              <w:ind w:right="135"/>
              <w:spacing w:after="0"/>
              <w:rPr>
                <w:sz w:val="20"/>
                <w:szCs w:val="20"/>
                <w:color w:val="auto"/>
              </w:rPr>
            </w:pPr>
            <w:r>
              <w:rPr>
                <w:rFonts w:ascii="Arial" w:cs="Arial" w:eastAsia="Arial" w:hAnsi="Arial"/>
                <w:sz w:val="17"/>
                <w:szCs w:val="17"/>
                <w:color w:val="auto"/>
                <w:w w:val="95"/>
              </w:rPr>
              <w:t>of Incorporation)</w:t>
            </w:r>
          </w:p>
        </w:tc>
        <w:tc>
          <w:tcPr>
            <w:tcW w:w="4440" w:type="dxa"/>
            <w:vAlign w:val="bottom"/>
          </w:tcPr>
          <w:p>
            <w:pPr>
              <w:jc w:val="center"/>
              <w:ind w:right="115"/>
              <w:spacing w:after="0"/>
              <w:rPr>
                <w:sz w:val="20"/>
                <w:szCs w:val="20"/>
                <w:color w:val="auto"/>
              </w:rPr>
            </w:pPr>
            <w:r>
              <w:rPr>
                <w:rFonts w:ascii="Arial" w:cs="Arial" w:eastAsia="Arial" w:hAnsi="Arial"/>
                <w:sz w:val="17"/>
                <w:szCs w:val="17"/>
                <w:color w:val="auto"/>
                <w:w w:val="93"/>
              </w:rPr>
              <w:t>File Number)</w:t>
            </w:r>
          </w:p>
        </w:tc>
        <w:tc>
          <w:tcPr>
            <w:tcW w:w="1660" w:type="dxa"/>
            <w:vAlign w:val="bottom"/>
          </w:tcPr>
          <w:p>
            <w:pPr>
              <w:jc w:val="center"/>
              <w:ind w:left="295"/>
              <w:spacing w:after="0"/>
              <w:rPr>
                <w:sz w:val="20"/>
                <w:szCs w:val="20"/>
                <w:color w:val="auto"/>
              </w:rPr>
            </w:pPr>
            <w:r>
              <w:rPr>
                <w:rFonts w:ascii="Arial" w:cs="Arial" w:eastAsia="Arial" w:hAnsi="Arial"/>
                <w:sz w:val="17"/>
                <w:szCs w:val="17"/>
                <w:color w:val="auto"/>
                <w:w w:val="96"/>
              </w:rPr>
              <w:t>Identification No.)</w:t>
            </w:r>
          </w:p>
        </w:tc>
      </w:tr>
      <w:tr>
        <w:trPr>
          <w:trHeight w:val="535"/>
        </w:trPr>
        <w:tc>
          <w:tcPr>
            <w:tcW w:w="2120" w:type="dxa"/>
            <w:vAlign w:val="bottom"/>
          </w:tcPr>
          <w:p>
            <w:pPr>
              <w:spacing w:after="0"/>
              <w:rPr>
                <w:sz w:val="24"/>
                <w:szCs w:val="24"/>
                <w:color w:val="auto"/>
              </w:rPr>
            </w:pPr>
          </w:p>
        </w:tc>
        <w:tc>
          <w:tcPr>
            <w:tcW w:w="4440" w:type="dxa"/>
            <w:vAlign w:val="bottom"/>
          </w:tcPr>
          <w:p>
            <w:pPr>
              <w:jc w:val="center"/>
              <w:ind w:right="55"/>
              <w:spacing w:after="0"/>
              <w:rPr>
                <w:sz w:val="20"/>
                <w:szCs w:val="20"/>
                <w:color w:val="auto"/>
              </w:rPr>
            </w:pPr>
            <w:r>
              <w:rPr>
                <w:rFonts w:ascii="Arial" w:cs="Arial" w:eastAsia="Arial" w:hAnsi="Arial"/>
                <w:sz w:val="17"/>
                <w:szCs w:val="17"/>
                <w:b w:val="1"/>
                <w:bCs w:val="1"/>
                <w:color w:val="auto"/>
                <w:w w:val="90"/>
              </w:rPr>
              <w:t>20 Eastbourne Terrace</w:t>
            </w:r>
          </w:p>
        </w:tc>
        <w:tc>
          <w:tcPr>
            <w:tcW w:w="1660" w:type="dxa"/>
            <w:vAlign w:val="bottom"/>
          </w:tcPr>
          <w:p>
            <w:pPr>
              <w:spacing w:after="0"/>
              <w:rPr>
                <w:sz w:val="24"/>
                <w:szCs w:val="24"/>
                <w:color w:val="auto"/>
              </w:rPr>
            </w:pPr>
          </w:p>
        </w:tc>
      </w:tr>
      <w:tr>
        <w:trPr>
          <w:trHeight w:val="205"/>
        </w:trPr>
        <w:tc>
          <w:tcPr>
            <w:tcW w:w="2120" w:type="dxa"/>
            <w:vAlign w:val="bottom"/>
          </w:tcPr>
          <w:p>
            <w:pPr>
              <w:spacing w:after="0"/>
              <w:rPr>
                <w:sz w:val="17"/>
                <w:szCs w:val="17"/>
                <w:color w:val="auto"/>
              </w:rPr>
            </w:pPr>
          </w:p>
        </w:tc>
        <w:tc>
          <w:tcPr>
            <w:tcW w:w="4440" w:type="dxa"/>
            <w:vAlign w:val="bottom"/>
          </w:tcPr>
          <w:p>
            <w:pPr>
              <w:jc w:val="center"/>
              <w:ind w:right="75"/>
              <w:spacing w:after="0"/>
              <w:rPr>
                <w:sz w:val="20"/>
                <w:szCs w:val="20"/>
                <w:color w:val="auto"/>
              </w:rPr>
            </w:pPr>
            <w:r>
              <w:rPr>
                <w:rFonts w:ascii="Arial" w:cs="Arial" w:eastAsia="Arial" w:hAnsi="Arial"/>
                <w:sz w:val="17"/>
                <w:szCs w:val="17"/>
                <w:b w:val="1"/>
                <w:bCs w:val="1"/>
                <w:color w:val="auto"/>
                <w:w w:val="94"/>
              </w:rPr>
              <w:t>London, W2 6LG</w:t>
            </w:r>
          </w:p>
        </w:tc>
        <w:tc>
          <w:tcPr>
            <w:tcW w:w="1660" w:type="dxa"/>
            <w:vAlign w:val="bottom"/>
          </w:tcPr>
          <w:p>
            <w:pPr>
              <w:spacing w:after="0"/>
              <w:rPr>
                <w:sz w:val="17"/>
                <w:szCs w:val="17"/>
                <w:color w:val="auto"/>
              </w:rPr>
            </w:pPr>
          </w:p>
        </w:tc>
      </w:tr>
      <w:tr>
        <w:trPr>
          <w:trHeight w:val="209"/>
        </w:trPr>
        <w:tc>
          <w:tcPr>
            <w:tcW w:w="2120" w:type="dxa"/>
            <w:vAlign w:val="bottom"/>
          </w:tcPr>
          <w:p>
            <w:pPr>
              <w:spacing w:after="0"/>
              <w:rPr>
                <w:sz w:val="18"/>
                <w:szCs w:val="18"/>
                <w:color w:val="auto"/>
              </w:rPr>
            </w:pPr>
          </w:p>
        </w:tc>
        <w:tc>
          <w:tcPr>
            <w:tcW w:w="4440" w:type="dxa"/>
            <w:vAlign w:val="bottom"/>
          </w:tcPr>
          <w:p>
            <w:pPr>
              <w:jc w:val="center"/>
              <w:ind w:right="55"/>
              <w:spacing w:after="0"/>
              <w:rPr>
                <w:sz w:val="20"/>
                <w:szCs w:val="20"/>
                <w:color w:val="auto"/>
              </w:rPr>
            </w:pPr>
            <w:r>
              <w:rPr>
                <w:rFonts w:ascii="Arial" w:cs="Arial" w:eastAsia="Arial" w:hAnsi="Arial"/>
                <w:sz w:val="17"/>
                <w:szCs w:val="17"/>
                <w:b w:val="1"/>
                <w:bCs w:val="1"/>
                <w:color w:val="auto"/>
                <w:w w:val="92"/>
              </w:rPr>
              <w:t>United Kingdom</w:t>
            </w:r>
          </w:p>
        </w:tc>
        <w:tc>
          <w:tcPr>
            <w:tcW w:w="166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4440" w:type="dxa"/>
            <w:vAlign w:val="bottom"/>
          </w:tcPr>
          <w:p>
            <w:pPr>
              <w:jc w:val="center"/>
              <w:ind w:right="55"/>
              <w:spacing w:after="0"/>
              <w:rPr>
                <w:sz w:val="20"/>
                <w:szCs w:val="20"/>
                <w:color w:val="auto"/>
              </w:rPr>
            </w:pPr>
            <w:r>
              <w:rPr>
                <w:rFonts w:ascii="Arial" w:cs="Arial" w:eastAsia="Arial" w:hAnsi="Arial"/>
                <w:sz w:val="17"/>
                <w:szCs w:val="17"/>
                <w:color w:val="auto"/>
                <w:w w:val="93"/>
              </w:rPr>
              <w:t>(Address of Principal Executive Offices)</w:t>
            </w:r>
          </w:p>
        </w:tc>
        <w:tc>
          <w:tcPr>
            <w:tcW w:w="1660" w:type="dxa"/>
            <w:vAlign w:val="bottom"/>
          </w:tcPr>
          <w:p>
            <w:pPr>
              <w:spacing w:after="0"/>
              <w:rPr>
                <w:sz w:val="18"/>
                <w:szCs w:val="18"/>
                <w:color w:val="auto"/>
              </w:rPr>
            </w:pPr>
          </w:p>
        </w:tc>
      </w:tr>
      <w:tr>
        <w:trPr>
          <w:trHeight w:val="424"/>
        </w:trPr>
        <w:tc>
          <w:tcPr>
            <w:tcW w:w="2120" w:type="dxa"/>
            <w:vAlign w:val="bottom"/>
          </w:tcPr>
          <w:p>
            <w:pPr>
              <w:spacing w:after="0"/>
              <w:rPr>
                <w:sz w:val="24"/>
                <w:szCs w:val="24"/>
                <w:color w:val="auto"/>
              </w:rPr>
            </w:pPr>
          </w:p>
        </w:tc>
        <w:tc>
          <w:tcPr>
            <w:tcW w:w="4440" w:type="dxa"/>
            <w:vAlign w:val="bottom"/>
          </w:tcPr>
          <w:p>
            <w:pPr>
              <w:jc w:val="center"/>
              <w:ind w:right="75"/>
              <w:spacing w:after="0"/>
              <w:rPr>
                <w:sz w:val="20"/>
                <w:szCs w:val="20"/>
                <w:color w:val="auto"/>
              </w:rPr>
            </w:pPr>
            <w:r>
              <w:rPr>
                <w:rFonts w:ascii="Arial" w:cs="Arial" w:eastAsia="Arial" w:hAnsi="Arial"/>
                <w:sz w:val="17"/>
                <w:szCs w:val="17"/>
                <w:b w:val="1"/>
                <w:bCs w:val="1"/>
                <w:color w:val="auto"/>
                <w:w w:val="90"/>
              </w:rPr>
              <w:t>+44 20 33250660</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440" w:type="dxa"/>
            <w:vAlign w:val="bottom"/>
          </w:tcPr>
          <w:p>
            <w:pPr>
              <w:jc w:val="center"/>
              <w:ind w:right="55"/>
              <w:spacing w:after="0"/>
              <w:rPr>
                <w:sz w:val="20"/>
                <w:szCs w:val="20"/>
                <w:color w:val="auto"/>
              </w:rPr>
            </w:pPr>
            <w:r>
              <w:rPr>
                <w:rFonts w:ascii="Arial" w:cs="Arial" w:eastAsia="Arial" w:hAnsi="Arial"/>
                <w:sz w:val="17"/>
                <w:szCs w:val="17"/>
                <w:color w:val="auto"/>
                <w:w w:val="91"/>
              </w:rPr>
              <w:t>(Registrant’s Telephone Number, Including Area Code)</w:t>
            </w:r>
          </w:p>
        </w:tc>
        <w:tc>
          <w:tcPr>
            <w:tcW w:w="1660" w:type="dxa"/>
            <w:vAlign w:val="bottom"/>
          </w:tcPr>
          <w:p>
            <w:pPr>
              <w:spacing w:after="0"/>
              <w:rPr>
                <w:sz w:val="18"/>
                <w:szCs w:val="18"/>
                <w:color w:val="auto"/>
              </w:rPr>
            </w:pPr>
          </w:p>
        </w:tc>
      </w:tr>
    </w:tbl>
    <w:p>
      <w:pPr>
        <w:spacing w:after="0" w:line="2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28" w:lineRule="exact"/>
        <w:rPr>
          <w:sz w:val="24"/>
          <w:szCs w:val="24"/>
          <w:color w:val="auto"/>
        </w:rPr>
      </w:pPr>
    </w:p>
    <w:p>
      <w:pPr>
        <w:ind w:right="200"/>
        <w:spacing w:after="0" w:line="276" w:lineRule="auto"/>
        <w:rPr>
          <w:sz w:val="20"/>
          <w:szCs w:val="20"/>
          <w:color w:val="auto"/>
        </w:rPr>
      </w:pPr>
      <w:r>
        <w:rPr>
          <w:rFonts w:ascii="Arial" w:cs="Arial" w:eastAsia="Arial" w:hAnsi="Arial"/>
          <w:sz w:val="17"/>
          <w:szCs w:val="17"/>
          <w:color w:val="auto"/>
        </w:rPr>
        <w:t>Check the appropriate box below if the Form 8-K is intended to simultaneously satisfy the filing obligation of the registrant under any of the following provisions (see General Instructions A.2. below):</w:t>
      </w:r>
    </w:p>
    <w:p>
      <w:pPr>
        <w:spacing w:after="0" w:line="228" w:lineRule="exact"/>
        <w:rPr>
          <w:sz w:val="24"/>
          <w:szCs w:val="24"/>
          <w:color w:val="auto"/>
        </w:rPr>
      </w:pPr>
    </w:p>
    <w:p>
      <w:pPr>
        <w:ind w:left="220" w:hanging="218"/>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7"/>
          <w:szCs w:val="17"/>
          <w:color w:val="auto"/>
        </w:rPr>
        <w:t>Written communications pursuant to Rule 425 under the Securities Act (17 CFR 230.425)</w:t>
      </w:r>
    </w:p>
    <w:p>
      <w:pPr>
        <w:spacing w:after="0" w:line="265" w:lineRule="exact"/>
        <w:rPr>
          <w:rFonts w:ascii="MS PGothic" w:cs="MS PGothic" w:eastAsia="MS PGothic" w:hAnsi="MS PGothic"/>
          <w:sz w:val="20"/>
          <w:szCs w:val="20"/>
          <w:color w:val="auto"/>
        </w:rPr>
      </w:pPr>
    </w:p>
    <w:p>
      <w:pPr>
        <w:ind w:left="220" w:hanging="218"/>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7"/>
          <w:szCs w:val="17"/>
          <w:color w:val="auto"/>
        </w:rPr>
        <w:t>Soliciting material pursuant to Rule 14a-12 under the Exchange Act (17 CFR 240.14a-12)</w:t>
      </w:r>
    </w:p>
    <w:p>
      <w:pPr>
        <w:spacing w:after="0" w:line="265" w:lineRule="exact"/>
        <w:rPr>
          <w:rFonts w:ascii="MS PGothic" w:cs="MS PGothic" w:eastAsia="MS PGothic" w:hAnsi="MS PGothic"/>
          <w:sz w:val="20"/>
          <w:szCs w:val="20"/>
          <w:color w:val="auto"/>
        </w:rPr>
      </w:pPr>
    </w:p>
    <w:p>
      <w:pPr>
        <w:ind w:left="220" w:hanging="218"/>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7"/>
          <w:szCs w:val="17"/>
          <w:color w:val="auto"/>
        </w:rPr>
        <w:t>Pre-commencement communications pursuant to Rule 14d-2(b) under the Exchange Act (17 CFR 240.14d-2(b))</w:t>
      </w:r>
    </w:p>
    <w:p>
      <w:pPr>
        <w:spacing w:after="0" w:line="265" w:lineRule="exact"/>
        <w:rPr>
          <w:rFonts w:ascii="MS PGothic" w:cs="MS PGothic" w:eastAsia="MS PGothic" w:hAnsi="MS PGothic"/>
          <w:sz w:val="20"/>
          <w:szCs w:val="20"/>
          <w:color w:val="auto"/>
        </w:rPr>
      </w:pPr>
    </w:p>
    <w:p>
      <w:pPr>
        <w:ind w:right="3400" w:firstLine="2"/>
        <w:spacing w:after="0" w:line="403" w:lineRule="auto"/>
        <w:tabs>
          <w:tab w:leader="none" w:pos="222" w:val="left"/>
        </w:tabs>
        <w:numPr>
          <w:ilvl w:val="0"/>
          <w:numId w:val="1"/>
        </w:numPr>
        <w:rPr>
          <w:rFonts w:ascii="MS PGothic" w:cs="MS PGothic" w:eastAsia="MS PGothic" w:hAnsi="MS PGothic"/>
          <w:sz w:val="20"/>
          <w:szCs w:val="20"/>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2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Name on each exchange on which registered</w:t>
            </w:r>
          </w:p>
        </w:tc>
      </w:tr>
      <w:tr>
        <w:trPr>
          <w:trHeight w:val="210"/>
        </w:trPr>
        <w:tc>
          <w:tcPr>
            <w:tcW w:w="4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NASDAQ Global Market</w:t>
            </w:r>
          </w:p>
        </w:tc>
      </w:tr>
    </w:tbl>
    <w:p>
      <w:pPr>
        <w:spacing w:after="0" w:line="307" w:lineRule="exact"/>
        <w:rPr>
          <w:sz w:val="24"/>
          <w:szCs w:val="24"/>
          <w:color w:val="auto"/>
        </w:rPr>
      </w:pPr>
    </w:p>
    <w:p>
      <w:pPr>
        <w:spacing w:after="0" w:line="276"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1" w:lineRule="exact"/>
        <w:rPr>
          <w:sz w:val="24"/>
          <w:szCs w:val="24"/>
          <w:color w:val="auto"/>
        </w:rPr>
      </w:pPr>
    </w:p>
    <w:p>
      <w:pPr>
        <w:ind w:left="7800"/>
        <w:spacing w:after="0" w:line="196" w:lineRule="exact"/>
        <w:tabs>
          <w:tab w:leader="none" w:pos="10720" w:val="left"/>
        </w:tabs>
        <w:rPr>
          <w:sz w:val="20"/>
          <w:szCs w:val="20"/>
          <w:color w:val="auto"/>
        </w:rPr>
      </w:pPr>
      <w:r>
        <w:rPr>
          <w:rFonts w:ascii="Arial" w:cs="Arial" w:eastAsia="Arial" w:hAnsi="Arial"/>
          <w:sz w:val="17"/>
          <w:szCs w:val="17"/>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1" w:lineRule="exact"/>
        <w:rPr>
          <w:sz w:val="24"/>
          <w:szCs w:val="24"/>
          <w:color w:val="auto"/>
        </w:rPr>
      </w:pPr>
    </w:p>
    <w:p>
      <w:pPr>
        <w:spacing w:after="0" w:line="276"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41" w:lineRule="exact"/>
        <w:rPr>
          <w:sz w:val="24"/>
          <w:szCs w:val="24"/>
          <w:color w:val="auto"/>
        </w:rPr>
      </w:pPr>
    </w:p>
    <w:p>
      <w:pPr>
        <w:ind w:left="10740"/>
        <w:spacing w:after="0" w:line="201" w:lineRule="exact"/>
        <w:rPr>
          <w:sz w:val="20"/>
          <w:szCs w:val="20"/>
          <w:color w:val="auto"/>
        </w:rPr>
      </w:pP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450215</wp:posOffset>
            </wp:positionV>
            <wp:extent cx="716470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419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186690</wp:posOffset>
            </wp:positionV>
            <wp:extent cx="713930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 Results of Operations and Financial Condition.</w:t>
      </w:r>
    </w:p>
    <w:p>
      <w:pPr>
        <w:spacing w:after="0" w:line="231" w:lineRule="exact"/>
        <w:rPr>
          <w:sz w:val="20"/>
          <w:szCs w:val="20"/>
          <w:color w:val="auto"/>
        </w:rPr>
      </w:pPr>
    </w:p>
    <w:p>
      <w:pPr>
        <w:ind w:right="200" w:firstLine="614"/>
        <w:spacing w:after="0" w:line="297" w:lineRule="auto"/>
        <w:rPr>
          <w:sz w:val="20"/>
          <w:szCs w:val="20"/>
          <w:color w:val="auto"/>
        </w:rPr>
      </w:pPr>
      <w:r>
        <w:rPr>
          <w:rFonts w:ascii="Arial" w:cs="Arial" w:eastAsia="Arial" w:hAnsi="Arial"/>
          <w:sz w:val="15"/>
          <w:szCs w:val="15"/>
          <w:color w:val="auto"/>
        </w:rPr>
        <w:t xml:space="preserve">On February 22, 2023, LivaNova PLC (the “Company”) issued a press release announcing financial results for the quarter and full year ended December 31, 2022. The Company will host a business update conference call and webcast today, February 22, 2023, at 1 p.m. London time (8 a.m. Eastern Time), during which the Company will discuss the financial results. The conference call will be available through the LivaNova website at </w:t>
      </w:r>
      <w:r>
        <w:rPr>
          <w:rFonts w:ascii="Arial" w:cs="Arial" w:eastAsia="Arial" w:hAnsi="Arial"/>
          <w:sz w:val="15"/>
          <w:szCs w:val="15"/>
          <w:color w:val="3051F2"/>
        </w:rPr>
        <w:t>www.livanova.com/events</w:t>
      </w:r>
      <w:r>
        <w:rPr>
          <w:rFonts w:ascii="Arial" w:cs="Arial" w:eastAsia="Arial" w:hAnsi="Arial"/>
          <w:sz w:val="15"/>
          <w:szCs w:val="15"/>
          <w:color w:val="auto"/>
        </w:rPr>
        <w:t>.</w:t>
      </w:r>
    </w:p>
    <w:p>
      <w:pPr>
        <w:spacing w:after="0" w:line="165" w:lineRule="exact"/>
        <w:rPr>
          <w:sz w:val="20"/>
          <w:szCs w:val="20"/>
          <w:color w:val="auto"/>
        </w:rPr>
      </w:pPr>
    </w:p>
    <w:p>
      <w:pPr>
        <w:ind w:right="300" w:firstLine="614"/>
        <w:spacing w:after="0" w:line="239" w:lineRule="auto"/>
        <w:rPr>
          <w:sz w:val="20"/>
          <w:szCs w:val="20"/>
          <w:color w:val="auto"/>
        </w:rPr>
      </w:pPr>
      <w:r>
        <w:rPr>
          <w:rFonts w:ascii="Arial" w:cs="Arial" w:eastAsia="Arial" w:hAnsi="Arial"/>
          <w:sz w:val="17"/>
          <w:szCs w:val="17"/>
          <w:color w:val="auto"/>
        </w:rPr>
        <w:t>A copy of the Company’s press release related to the foregoing matters is attached hereto as Exhibit 99.1. The information in Exhibit 99.1 is being furnished and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spacing w:after="0" w:line="202"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ind w:right="180" w:firstLine="614"/>
        <w:spacing w:after="0" w:line="264" w:lineRule="auto"/>
        <w:rPr>
          <w:sz w:val="20"/>
          <w:szCs w:val="20"/>
          <w:color w:val="auto"/>
        </w:rPr>
      </w:pPr>
      <w:r>
        <w:rPr>
          <w:rFonts w:ascii="Arial" w:cs="Arial" w:eastAsia="Arial" w:hAnsi="Arial"/>
          <w:sz w:val="16"/>
          <w:szCs w:val="16"/>
          <w:color w:val="auto"/>
        </w:rPr>
        <w:t>On February 15, 2023, the Compensation Committee of the Board of Directors of the Company approved amended forms of award agreements under the Company’s 2022 Incentive Award Plan providing for accelerated vesting upon certain terminations of employment in connection with an acquisition of the Company, i.e., a double trigger vesting. The forms of award agreements include the Stock Appreciation Right Grant Notice and Agreement, the Restricted Stock Unit Award Grant Notice and Agreement, and the Performance Stock Unit Award Grant Notice and Agreement.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gridSpan w:val="3"/>
          </w:tcPr>
          <w:p>
            <w:pPr>
              <w:spacing w:after="0"/>
              <w:rPr>
                <w:sz w:val="20"/>
                <w:szCs w:val="20"/>
                <w:color w:val="auto"/>
              </w:rPr>
            </w:pPr>
            <w:r>
              <w:rPr>
                <w:rFonts w:ascii="Arial" w:cs="Arial" w:eastAsia="Arial" w:hAnsi="Arial"/>
                <w:sz w:val="17"/>
                <w:szCs w:val="17"/>
                <w:color w:val="auto"/>
              </w:rPr>
              <w:t>(d)  Exhibits.</w:t>
            </w:r>
          </w:p>
        </w:tc>
        <w:tc>
          <w:tcPr>
            <w:tcW w:w="8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800" w:type="dxa"/>
            <w:vAlign w:val="bottom"/>
          </w:tcPr>
          <w:p>
            <w:pPr>
              <w:spacing w:after="0"/>
              <w:rPr>
                <w:sz w:val="18"/>
                <w:szCs w:val="18"/>
                <w:color w:val="auto"/>
              </w:rPr>
            </w:pPr>
          </w:p>
        </w:tc>
      </w:tr>
      <w:tr>
        <w:trPr>
          <w:trHeight w:val="436"/>
        </w:trPr>
        <w:tc>
          <w:tcPr>
            <w:tcW w:w="2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Arial" w:cs="Arial" w:eastAsia="Arial" w:hAnsi="Arial"/>
                <w:sz w:val="17"/>
                <w:szCs w:val="17"/>
                <w:b w:val="1"/>
                <w:bCs w:val="1"/>
                <w:color w:val="auto"/>
                <w:w w:val="91"/>
              </w:rPr>
              <w:t>Exhibit</w:t>
            </w:r>
          </w:p>
        </w:tc>
        <w:tc>
          <w:tcPr>
            <w:tcW w:w="980" w:type="dxa"/>
            <w:vAlign w:val="bottom"/>
          </w:tcPr>
          <w:p>
            <w:pPr>
              <w:spacing w:after="0"/>
              <w:rPr>
                <w:sz w:val="24"/>
                <w:szCs w:val="24"/>
                <w:color w:val="auto"/>
              </w:rPr>
            </w:pPr>
          </w:p>
        </w:tc>
        <w:tc>
          <w:tcPr>
            <w:tcW w:w="9700" w:type="dxa"/>
            <w:vAlign w:val="bottom"/>
            <w:gridSpan w:val="3"/>
          </w:tcPr>
          <w:p>
            <w:pPr>
              <w:spacing w:after="0"/>
              <w:rPr>
                <w:sz w:val="20"/>
                <w:szCs w:val="20"/>
                <w:color w:val="auto"/>
              </w:rPr>
            </w:pPr>
            <w:r>
              <w:rPr>
                <w:rFonts w:ascii="Arial" w:cs="Arial" w:eastAsia="Arial" w:hAnsi="Arial"/>
                <w:sz w:val="17"/>
                <w:szCs w:val="17"/>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197"/>
        </w:trPr>
        <w:tc>
          <w:tcPr>
            <w:tcW w:w="560" w:type="dxa"/>
            <w:vAlign w:val="bottom"/>
            <w:gridSpan w:val="2"/>
          </w:tcPr>
          <w:p>
            <w:pPr>
              <w:ind w:left="20"/>
              <w:spacing w:after="0"/>
              <w:rPr>
                <w:sz w:val="20"/>
                <w:szCs w:val="20"/>
                <w:color w:val="auto"/>
              </w:rPr>
            </w:pPr>
            <w:r>
              <w:rPr>
                <w:rFonts w:ascii="Arial" w:cs="Arial" w:eastAsia="Arial" w:hAnsi="Arial"/>
                <w:sz w:val="17"/>
                <w:szCs w:val="17"/>
                <w:color w:val="auto"/>
              </w:rPr>
              <w:t>99.1</w:t>
            </w:r>
          </w:p>
        </w:tc>
        <w:tc>
          <w:tcPr>
            <w:tcW w:w="980" w:type="dxa"/>
            <w:vAlign w:val="bottom"/>
          </w:tcPr>
          <w:p>
            <w:pPr>
              <w:spacing w:after="0"/>
              <w:rPr>
                <w:sz w:val="17"/>
                <w:szCs w:val="17"/>
                <w:color w:val="auto"/>
              </w:rPr>
            </w:pPr>
          </w:p>
        </w:tc>
        <w:tc>
          <w:tcPr>
            <w:tcW w:w="9700" w:type="dxa"/>
            <w:vAlign w:val="bottom"/>
            <w:gridSpan w:val="3"/>
          </w:tcPr>
          <w:p>
            <w:pPr>
              <w:spacing w:after="0"/>
              <w:rPr>
                <w:sz w:val="20"/>
                <w:szCs w:val="20"/>
                <w:color w:val="auto"/>
              </w:rPr>
            </w:pPr>
            <w:r>
              <w:rPr>
                <w:rFonts w:ascii="Arial" w:cs="Arial" w:eastAsia="Arial" w:hAnsi="Arial"/>
                <w:sz w:val="17"/>
                <w:szCs w:val="17"/>
                <w:color w:val="0000FF"/>
              </w:rPr>
              <w:t>Press Release of LivaNova PLC dated February 22, 2023</w:t>
            </w:r>
          </w:p>
        </w:tc>
      </w:tr>
      <w:tr>
        <w:trPr>
          <w:trHeight w:val="20"/>
        </w:trPr>
        <w:tc>
          <w:tcPr>
            <w:tcW w:w="5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235"/>
        </w:trPr>
        <w:tc>
          <w:tcPr>
            <w:tcW w:w="560" w:type="dxa"/>
            <w:vAlign w:val="bottom"/>
            <w:gridSpan w:val="2"/>
          </w:tcPr>
          <w:p>
            <w:pPr>
              <w:ind w:left="20"/>
              <w:spacing w:after="0"/>
              <w:rPr>
                <w:sz w:val="20"/>
                <w:szCs w:val="20"/>
                <w:color w:val="auto"/>
              </w:rPr>
            </w:pPr>
            <w:r>
              <w:rPr>
                <w:rFonts w:ascii="Arial" w:cs="Arial" w:eastAsia="Arial" w:hAnsi="Arial"/>
                <w:sz w:val="17"/>
                <w:szCs w:val="17"/>
                <w:color w:val="auto"/>
              </w:rPr>
              <w:t>104</w:t>
            </w:r>
          </w:p>
        </w:tc>
        <w:tc>
          <w:tcPr>
            <w:tcW w:w="980" w:type="dxa"/>
            <w:vAlign w:val="bottom"/>
          </w:tcPr>
          <w:p>
            <w:pPr>
              <w:spacing w:after="0"/>
              <w:rPr>
                <w:sz w:val="20"/>
                <w:szCs w:val="20"/>
                <w:color w:val="auto"/>
              </w:rPr>
            </w:pPr>
          </w:p>
        </w:tc>
        <w:tc>
          <w:tcPr>
            <w:tcW w:w="9700" w:type="dxa"/>
            <w:vAlign w:val="bottom"/>
            <w:gridSpan w:val="3"/>
          </w:tcPr>
          <w:p>
            <w:pPr>
              <w:spacing w:after="0"/>
              <w:rPr>
                <w:sz w:val="20"/>
                <w:szCs w:val="20"/>
                <w:color w:val="auto"/>
              </w:rPr>
            </w:pPr>
            <w:r>
              <w:rPr>
                <w:rFonts w:ascii="Arial" w:cs="Arial" w:eastAsia="Arial" w:hAnsi="Arial"/>
                <w:sz w:val="17"/>
                <w:szCs w:val="17"/>
                <w:color w:val="auto"/>
              </w:rPr>
              <w:t>Cover Page Interactive Data File (embedded within the Inline XBRL document)</w:t>
            </w:r>
          </w:p>
        </w:tc>
      </w:tr>
      <w:tr>
        <w:trPr>
          <w:trHeight w:val="1427"/>
        </w:trPr>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5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2" w:name="page3"/>
    <w:bookmarkEnd w:id="2"/>
    <w:p>
      <w:pPr>
        <w:jc w:val="center"/>
        <w:ind w:right="-839"/>
        <w:spacing w:after="0"/>
        <w:rPr>
          <w:sz w:val="20"/>
          <w:szCs w:val="20"/>
          <w:color w:val="auto"/>
        </w:rPr>
      </w:pPr>
      <w:r>
        <w:rPr>
          <w:rFonts w:ascii="Arial" w:cs="Arial" w:eastAsia="Arial" w:hAnsi="Arial"/>
          <w:sz w:val="17"/>
          <w:szCs w:val="17"/>
          <w:b w:val="1"/>
          <w:bCs w:val="1"/>
          <w:color w:val="auto"/>
        </w:rPr>
        <w:t>SIGNATURE</w:t>
      </w:r>
    </w:p>
    <w:p>
      <w:pPr>
        <w:spacing w:after="0" w:line="243" w:lineRule="exact"/>
        <w:rPr>
          <w:sz w:val="20"/>
          <w:szCs w:val="20"/>
          <w:color w:val="auto"/>
        </w:rPr>
      </w:pPr>
    </w:p>
    <w:p>
      <w:pPr>
        <w:ind w:firstLine="614"/>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41"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LivaNova PLC</w:t>
      </w:r>
    </w:p>
    <w:p>
      <w:pPr>
        <w:spacing w:after="0" w:line="200" w:lineRule="exact"/>
        <w:rPr>
          <w:sz w:val="20"/>
          <w:szCs w:val="20"/>
          <w:color w:val="auto"/>
        </w:rPr>
      </w:pPr>
    </w:p>
    <w:p>
      <w:pPr>
        <w:spacing w:after="0" w:line="308" w:lineRule="exact"/>
        <w:rPr>
          <w:sz w:val="20"/>
          <w:szCs w:val="20"/>
          <w:color w:val="auto"/>
        </w:rPr>
      </w:pPr>
    </w:p>
    <w:p>
      <w:pPr>
        <w:jc w:val="right"/>
        <w:ind w:right="2840"/>
        <w:spacing w:after="0"/>
        <w:tabs>
          <w:tab w:leader="none" w:pos="4700" w:val="left"/>
        </w:tabs>
        <w:rPr>
          <w:sz w:val="20"/>
          <w:szCs w:val="20"/>
          <w:color w:val="auto"/>
        </w:rPr>
      </w:pPr>
      <w:r>
        <w:rPr>
          <w:rFonts w:ascii="Arial" w:cs="Arial" w:eastAsia="Arial" w:hAnsi="Arial"/>
          <w:sz w:val="17"/>
          <w:szCs w:val="17"/>
          <w:color w:val="auto"/>
        </w:rPr>
        <w:t>Date: February 22, 2023</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u w:val="single" w:color="auto"/>
          <w:color w:val="auto"/>
        </w:rPr>
        <w:t>/s/ Michael Hutchinson</w:t>
      </w:r>
    </w:p>
    <w:p>
      <w:pPr>
        <w:spacing w:after="0" w:line="60" w:lineRule="exact"/>
        <w:rPr>
          <w:sz w:val="20"/>
          <w:szCs w:val="20"/>
          <w:color w:val="auto"/>
        </w:rPr>
      </w:pPr>
    </w:p>
    <w:p>
      <w:pPr>
        <w:jc w:val="right"/>
        <w:ind w:right="2840"/>
        <w:spacing w:after="0"/>
        <w:rPr>
          <w:sz w:val="20"/>
          <w:szCs w:val="20"/>
          <w:color w:val="auto"/>
        </w:rPr>
      </w:pPr>
      <w:r>
        <w:rPr>
          <w:rFonts w:ascii="Arial" w:cs="Arial" w:eastAsia="Arial" w:hAnsi="Arial"/>
          <w:sz w:val="17"/>
          <w:szCs w:val="17"/>
          <w:color w:val="auto"/>
        </w:rPr>
        <w:t>Name: Michael Hutchinson</w:t>
      </w:r>
    </w:p>
    <w:p>
      <w:pPr>
        <w:spacing w:after="0" w:line="22"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Title: Senior Vice President &amp; Chief Legal Officer</w:t>
      </w:r>
    </w:p>
    <w:p>
      <w:pPr>
        <w:sectPr>
          <w:pgSz w:w="11900" w:h="16838" w:orient="portrait"/>
          <w:cols w:equalWidth="0" w:num="1">
            <w:col w:w="10400"/>
          </w:cols>
          <w:pgMar w:left="320" w:top="967" w:right="117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24765</wp:posOffset>
            </wp:positionV>
            <wp:extent cx="1591945" cy="454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194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9"/>
          <w:szCs w:val="19"/>
          <w:color w:val="6D207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131445</wp:posOffset>
            </wp:positionV>
            <wp:extent cx="713930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7"/>
          <w:szCs w:val="27"/>
          <w:color w:val="6D2077"/>
        </w:rPr>
        <w:t>LivaNova Reports Fourth-Quarter and Full-Year 2022 Results</w:t>
      </w:r>
    </w:p>
    <w:p>
      <w:pPr>
        <w:spacing w:after="0" w:line="369" w:lineRule="exact"/>
        <w:rPr>
          <w:sz w:val="20"/>
          <w:szCs w:val="20"/>
          <w:color w:val="auto"/>
        </w:rPr>
      </w:pPr>
    </w:p>
    <w:p>
      <w:pPr>
        <w:spacing w:after="0" w:line="399" w:lineRule="auto"/>
        <w:rPr>
          <w:sz w:val="20"/>
          <w:szCs w:val="20"/>
          <w:color w:val="auto"/>
        </w:rPr>
      </w:pPr>
      <w:r>
        <w:rPr>
          <w:rFonts w:ascii="Arial" w:cs="Arial" w:eastAsia="Arial" w:hAnsi="Arial"/>
          <w:sz w:val="19"/>
          <w:szCs w:val="19"/>
          <w:color w:val="auto"/>
        </w:rPr>
        <w:t xml:space="preserve">London, February 22, 2023 </w:t>
      </w:r>
      <w:r>
        <w:rPr>
          <w:rFonts w:ascii="Arial" w:cs="Arial" w:eastAsia="Arial" w:hAnsi="Arial"/>
          <w:sz w:val="19"/>
          <w:szCs w:val="19"/>
          <w:b w:val="1"/>
          <w:bCs w:val="1"/>
          <w:color w:val="auto"/>
        </w:rPr>
        <w:t>–</w:t>
      </w:r>
      <w:r>
        <w:rPr>
          <w:rFonts w:ascii="Arial" w:cs="Arial" w:eastAsia="Arial" w:hAnsi="Arial"/>
          <w:sz w:val="19"/>
          <w:szCs w:val="19"/>
          <w:color w:val="auto"/>
        </w:rPr>
        <w:t xml:space="preserve"> LivaNova PLC (Nasdaq: LIVN), a market-leading medical technology and innovation company, today reported results for the quarter and full year ended December 31, 2022 and issued guidance for 2023.</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Fourth-Quarter Financial Summary and Highlights</w:t>
      </w:r>
      <w:r>
        <w:rPr>
          <w:rFonts w:ascii="Arial" w:cs="Arial" w:eastAsia="Arial" w:hAnsi="Arial"/>
          <w:sz w:val="24"/>
          <w:szCs w:val="24"/>
          <w:color w:val="auto"/>
          <w:vertAlign w:val="superscript"/>
        </w:rPr>
        <w:t>1</w:t>
      </w:r>
    </w:p>
    <w:p>
      <w:pPr>
        <w:spacing w:after="0" w:line="145" w:lineRule="exact"/>
        <w:rPr>
          <w:sz w:val="20"/>
          <w:szCs w:val="20"/>
          <w:color w:val="auto"/>
        </w:rPr>
      </w:pPr>
    </w:p>
    <w:p>
      <w:pPr>
        <w:ind w:left="620" w:hanging="311"/>
        <w:spacing w:after="0" w:line="274" w:lineRule="auto"/>
        <w:tabs>
          <w:tab w:leader="none" w:pos="571" w:val="left"/>
        </w:tabs>
        <w:numPr>
          <w:ilvl w:val="0"/>
          <w:numId w:val="2"/>
        </w:numPr>
        <w:rPr>
          <w:rFonts w:ascii="Arial" w:cs="Arial" w:eastAsia="Arial" w:hAnsi="Arial"/>
          <w:sz w:val="19"/>
          <w:szCs w:val="19"/>
          <w:b w:val="1"/>
          <w:bCs w:val="1"/>
          <w:color w:val="auto"/>
        </w:rPr>
      </w:pPr>
      <w:r>
        <w:rPr>
          <w:rFonts w:ascii="Arial" w:cs="Arial" w:eastAsia="Arial" w:hAnsi="Arial"/>
          <w:sz w:val="19"/>
          <w:szCs w:val="19"/>
          <w:color w:val="auto"/>
        </w:rPr>
        <w:t>Fourth-quarter revenue of $274.9 million increased 1.8 percent on a reported basis and 6.2 percent on a constant-currency basis, as compared to the prior-year period</w:t>
      </w:r>
    </w:p>
    <w:p>
      <w:pPr>
        <w:spacing w:after="0" w:line="89" w:lineRule="exact"/>
        <w:rPr>
          <w:rFonts w:ascii="Arial" w:cs="Arial" w:eastAsia="Arial" w:hAnsi="Arial"/>
          <w:sz w:val="19"/>
          <w:szCs w:val="19"/>
          <w:b w:val="1"/>
          <w:bCs w:val="1"/>
          <w:color w:val="auto"/>
        </w:rPr>
      </w:pPr>
    </w:p>
    <w:p>
      <w:pPr>
        <w:ind w:left="560" w:hanging="251"/>
        <w:spacing w:after="0"/>
        <w:tabs>
          <w:tab w:leader="none" w:pos="560" w:val="left"/>
        </w:tabs>
        <w:numPr>
          <w:ilvl w:val="0"/>
          <w:numId w:val="2"/>
        </w:numPr>
        <w:rPr>
          <w:rFonts w:ascii="Arial" w:cs="Arial" w:eastAsia="Arial" w:hAnsi="Arial"/>
          <w:sz w:val="19"/>
          <w:szCs w:val="19"/>
          <w:color w:val="auto"/>
        </w:rPr>
      </w:pPr>
      <w:r>
        <w:rPr>
          <w:rFonts w:ascii="Arial" w:cs="Arial" w:eastAsia="Arial" w:hAnsi="Arial"/>
          <w:sz w:val="19"/>
          <w:szCs w:val="19"/>
          <w:color w:val="auto"/>
        </w:rPr>
        <w:t>Fourth-quarter U.S. GAAP diluted earnings per share was $0.03 and adjusted diluted earnings per share was $0.81</w:t>
      </w:r>
    </w:p>
    <w:p>
      <w:pPr>
        <w:spacing w:after="0" w:line="122" w:lineRule="exact"/>
        <w:rPr>
          <w:rFonts w:ascii="Arial" w:cs="Arial" w:eastAsia="Arial" w:hAnsi="Arial"/>
          <w:sz w:val="19"/>
          <w:szCs w:val="19"/>
          <w:color w:val="auto"/>
        </w:rPr>
      </w:pPr>
    </w:p>
    <w:p>
      <w:pPr>
        <w:ind w:left="560" w:hanging="251"/>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first clinical cases using Essenz</w:t>
      </w:r>
      <w:r>
        <w:rPr>
          <w:rFonts w:ascii="Arial" w:cs="Arial" w:eastAsia="Arial" w:hAnsi="Arial"/>
          <w:sz w:val="23"/>
          <w:szCs w:val="23"/>
          <w:color w:val="auto"/>
          <w:vertAlign w:val="superscript"/>
        </w:rPr>
        <w:t>TM</w:t>
      </w:r>
      <w:r>
        <w:rPr>
          <w:rFonts w:ascii="Arial" w:cs="Arial" w:eastAsia="Arial" w:hAnsi="Arial"/>
          <w:sz w:val="18"/>
          <w:szCs w:val="18"/>
          <w:color w:val="auto"/>
        </w:rPr>
        <w:t>, the Company's next-generation perfusion system, at two major centers in Europe</w:t>
      </w:r>
    </w:p>
    <w:p>
      <w:pPr>
        <w:spacing w:after="0" w:line="80" w:lineRule="exact"/>
        <w:rPr>
          <w:rFonts w:ascii="Arial" w:cs="Arial" w:eastAsia="Arial" w:hAnsi="Arial"/>
          <w:sz w:val="18"/>
          <w:szCs w:val="18"/>
          <w:color w:val="auto"/>
        </w:rPr>
      </w:pPr>
    </w:p>
    <w:p>
      <w:pPr>
        <w:ind w:left="560" w:hanging="251"/>
        <w:spacing w:after="0"/>
        <w:tabs>
          <w:tab w:leader="none" w:pos="560" w:val="left"/>
        </w:tabs>
        <w:numPr>
          <w:ilvl w:val="0"/>
          <w:numId w:val="2"/>
        </w:numPr>
        <w:rPr>
          <w:rFonts w:ascii="Arial" w:cs="Arial" w:eastAsia="Arial" w:hAnsi="Arial"/>
          <w:sz w:val="19"/>
          <w:szCs w:val="19"/>
          <w:color w:val="auto"/>
        </w:rPr>
      </w:pPr>
      <w:r>
        <w:rPr>
          <w:rFonts w:ascii="Arial" w:cs="Arial" w:eastAsia="Arial" w:hAnsi="Arial"/>
          <w:sz w:val="19"/>
          <w:szCs w:val="19"/>
          <w:color w:val="auto"/>
        </w:rPr>
        <w:t>Received ECMO indication 510(k) clearance for LifeSPARC</w:t>
      </w:r>
      <w:r>
        <w:rPr>
          <w:rFonts w:ascii="Arial" w:cs="Arial" w:eastAsia="Arial" w:hAnsi="Arial"/>
          <w:sz w:val="24"/>
          <w:szCs w:val="24"/>
          <w:color w:val="auto"/>
          <w:vertAlign w:val="superscript"/>
        </w:rPr>
        <w:t>TM</w:t>
      </w:r>
    </w:p>
    <w:p>
      <w:pPr>
        <w:spacing w:after="0" w:line="69" w:lineRule="exact"/>
        <w:rPr>
          <w:rFonts w:ascii="Arial" w:cs="Arial" w:eastAsia="Arial" w:hAnsi="Arial"/>
          <w:sz w:val="19"/>
          <w:szCs w:val="19"/>
          <w:color w:val="auto"/>
        </w:rPr>
      </w:pPr>
    </w:p>
    <w:p>
      <w:pPr>
        <w:ind w:left="560" w:hanging="251"/>
        <w:spacing w:after="0"/>
        <w:tabs>
          <w:tab w:leader="none" w:pos="560" w:val="left"/>
        </w:tabs>
        <w:numPr>
          <w:ilvl w:val="0"/>
          <w:numId w:val="2"/>
        </w:numPr>
        <w:rPr>
          <w:rFonts w:ascii="Arial" w:cs="Arial" w:eastAsia="Arial" w:hAnsi="Arial"/>
          <w:sz w:val="19"/>
          <w:szCs w:val="19"/>
          <w:color w:val="auto"/>
        </w:rPr>
      </w:pPr>
      <w:r>
        <w:rPr>
          <w:rFonts w:ascii="Arial" w:cs="Arial" w:eastAsia="Arial" w:hAnsi="Arial"/>
          <w:sz w:val="19"/>
          <w:szCs w:val="19"/>
          <w:color w:val="auto"/>
        </w:rPr>
        <w:t>Received close-out of FDA Warning Letter associated with the Munich facility and 3T Heater-Cooler</w:t>
      </w:r>
      <w:r>
        <w:rPr>
          <w:rFonts w:ascii="Arial" w:cs="Arial" w:eastAsia="Arial" w:hAnsi="Arial"/>
          <w:sz w:val="24"/>
          <w:szCs w:val="24"/>
          <w:color w:val="auto"/>
          <w:vertAlign w:val="superscript"/>
        </w:rPr>
        <w:t>TM</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Full-Year Financial Summary</w:t>
      </w:r>
      <w:r>
        <w:rPr>
          <w:rFonts w:ascii="Arial" w:cs="Arial" w:eastAsia="Arial" w:hAnsi="Arial"/>
          <w:sz w:val="24"/>
          <w:szCs w:val="24"/>
          <w:color w:val="auto"/>
          <w:vertAlign w:val="superscript"/>
        </w:rPr>
        <w:t>1</w:t>
      </w:r>
    </w:p>
    <w:p>
      <w:pPr>
        <w:spacing w:after="0" w:line="93" w:lineRule="exact"/>
        <w:rPr>
          <w:sz w:val="20"/>
          <w:szCs w:val="20"/>
          <w:color w:val="auto"/>
        </w:rPr>
      </w:pPr>
    </w:p>
    <w:p>
      <w:pPr>
        <w:ind w:left="620" w:hanging="311"/>
        <w:spacing w:after="0" w:line="274" w:lineRule="auto"/>
        <w:tabs>
          <w:tab w:leader="none" w:pos="571" w:val="left"/>
        </w:tabs>
        <w:numPr>
          <w:ilvl w:val="0"/>
          <w:numId w:val="3"/>
        </w:numPr>
        <w:rPr>
          <w:rFonts w:ascii="Arial" w:cs="Arial" w:eastAsia="Arial" w:hAnsi="Arial"/>
          <w:sz w:val="19"/>
          <w:szCs w:val="19"/>
          <w:color w:val="auto"/>
        </w:rPr>
      </w:pPr>
      <w:r>
        <w:rPr>
          <w:rFonts w:ascii="Arial" w:cs="Arial" w:eastAsia="Arial" w:hAnsi="Arial"/>
          <w:sz w:val="19"/>
          <w:szCs w:val="19"/>
          <w:color w:val="auto"/>
        </w:rPr>
        <w:t>Full-year 2022 revenue of $1.02 billion decreased 1.3 percent on a reported basis and increased 2.9 percent on a constant-currency basis, as compared to the prior year</w:t>
      </w:r>
    </w:p>
    <w:p>
      <w:pPr>
        <w:spacing w:after="0" w:line="102" w:lineRule="exact"/>
        <w:rPr>
          <w:rFonts w:ascii="Arial" w:cs="Arial" w:eastAsia="Arial" w:hAnsi="Arial"/>
          <w:sz w:val="19"/>
          <w:szCs w:val="19"/>
          <w:color w:val="auto"/>
        </w:rPr>
      </w:pPr>
    </w:p>
    <w:p>
      <w:pPr>
        <w:ind w:left="620" w:hanging="311"/>
        <w:spacing w:after="0" w:line="274" w:lineRule="auto"/>
        <w:tabs>
          <w:tab w:leader="none" w:pos="571" w:val="left"/>
        </w:tabs>
        <w:numPr>
          <w:ilvl w:val="0"/>
          <w:numId w:val="3"/>
        </w:numPr>
        <w:rPr>
          <w:rFonts w:ascii="Arial" w:cs="Arial" w:eastAsia="Arial" w:hAnsi="Arial"/>
          <w:sz w:val="19"/>
          <w:szCs w:val="19"/>
          <w:color w:val="auto"/>
        </w:rPr>
      </w:pPr>
      <w:r>
        <w:rPr>
          <w:rFonts w:ascii="Arial" w:cs="Arial" w:eastAsia="Arial" w:hAnsi="Arial"/>
          <w:sz w:val="19"/>
          <w:szCs w:val="19"/>
          <w:color w:val="auto"/>
        </w:rPr>
        <w:t>Full-year 2022 revenue, excluding revenue from the Heart Valve business which was divested effective June 1, 2021, increased 2.3 percent on a reported basis and 6.7 percent on a constant-currency basis, as compared to the prior year</w:t>
      </w:r>
    </w:p>
    <w:p>
      <w:pPr>
        <w:spacing w:after="0" w:line="89" w:lineRule="exact"/>
        <w:rPr>
          <w:rFonts w:ascii="Arial" w:cs="Arial" w:eastAsia="Arial" w:hAnsi="Arial"/>
          <w:sz w:val="19"/>
          <w:szCs w:val="19"/>
          <w:color w:val="auto"/>
        </w:rPr>
      </w:pPr>
    </w:p>
    <w:p>
      <w:pPr>
        <w:ind w:left="560" w:hanging="251"/>
        <w:spacing w:after="0"/>
        <w:tabs>
          <w:tab w:leader="none" w:pos="560" w:val="left"/>
        </w:tabs>
        <w:numPr>
          <w:ilvl w:val="0"/>
          <w:numId w:val="3"/>
        </w:numPr>
        <w:rPr>
          <w:rFonts w:ascii="Arial" w:cs="Arial" w:eastAsia="Arial" w:hAnsi="Arial"/>
          <w:sz w:val="19"/>
          <w:szCs w:val="19"/>
          <w:color w:val="auto"/>
        </w:rPr>
      </w:pPr>
      <w:r>
        <w:rPr>
          <w:rFonts w:ascii="Arial" w:cs="Arial" w:eastAsia="Arial" w:hAnsi="Arial"/>
          <w:sz w:val="19"/>
          <w:szCs w:val="19"/>
          <w:color w:val="auto"/>
        </w:rPr>
        <w:t>Full-year 2022 U.S. GAAP diluted loss per share was $1.61 and adjusted diluted earnings per share was $2.39</w:t>
      </w:r>
    </w:p>
    <w:p>
      <w:pPr>
        <w:spacing w:after="0" w:line="268" w:lineRule="exact"/>
        <w:rPr>
          <w:sz w:val="20"/>
          <w:szCs w:val="20"/>
          <w:color w:val="auto"/>
        </w:rPr>
      </w:pPr>
    </w:p>
    <w:p>
      <w:pPr>
        <w:jc w:val="both"/>
        <w:spacing w:after="0" w:line="358" w:lineRule="auto"/>
        <w:rPr>
          <w:sz w:val="20"/>
          <w:szCs w:val="20"/>
          <w:color w:val="auto"/>
        </w:rPr>
      </w:pPr>
      <w:r>
        <w:rPr>
          <w:rFonts w:ascii="Arial" w:cs="Arial" w:eastAsia="Arial" w:hAnsi="Arial"/>
          <w:sz w:val="19"/>
          <w:szCs w:val="19"/>
          <w:color w:val="auto"/>
        </w:rPr>
        <w:t>"We delivered revenue growth across all regions in the fourth quarter, excluding foreign currency impact, led by our Cardiopulmonary and Neuromodulation business units," said Damien McDonald, Chief Executive Officer of LivaNova. "In 2023, we remain committed to executing on our core growth drivers, delivering on clinical and product pipeline opportunities, and driving operating leverage to improve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100330</wp:posOffset>
            </wp:positionV>
            <wp:extent cx="1624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4330" cy="8255"/>
                    </a:xfrm>
                    <a:prstGeom prst="rect">
                      <a:avLst/>
                    </a:prstGeom>
                    <a:noFill/>
                  </pic:spPr>
                </pic:pic>
              </a:graphicData>
            </a:graphic>
          </wp:anchor>
        </w:drawing>
      </w:r>
    </w:p>
    <w:p>
      <w:pPr>
        <w:spacing w:after="0" w:line="250" w:lineRule="exact"/>
        <w:rPr>
          <w:sz w:val="20"/>
          <w:szCs w:val="20"/>
          <w:color w:val="auto"/>
        </w:rPr>
      </w:pPr>
    </w:p>
    <w:p>
      <w:pPr>
        <w:ind w:firstLine="2"/>
        <w:spacing w:after="0" w:line="190" w:lineRule="auto"/>
        <w:tabs>
          <w:tab w:leader="none" w:pos="76" w:val="left"/>
        </w:tabs>
        <w:numPr>
          <w:ilvl w:val="0"/>
          <w:numId w:val="4"/>
        </w:numPr>
        <w:rPr>
          <w:rFonts w:ascii="Arial" w:cs="Arial" w:eastAsia="Arial" w:hAnsi="Arial"/>
          <w:sz w:val="16"/>
          <w:szCs w:val="16"/>
          <w:color w:val="auto"/>
          <w:vertAlign w:val="superscript"/>
        </w:rPr>
      </w:pPr>
      <w:r>
        <w:rPr>
          <w:rFonts w:ascii="Arial" w:cs="Arial" w:eastAsia="Arial" w:hAnsi="Arial"/>
          <w:sz w:val="10"/>
          <w:szCs w:val="10"/>
          <w:color w:val="auto"/>
        </w:rPr>
        <w:t>Constant-currency percent change, revenue excluding revenue from the Heart Valve business, adjusted operating income, adjusted diluted earnings per share and adjusted free cash flow are non-GAAP measures. For an explanation of these and other non-GAAP measures used in this release, see the section entitled "Use of Non-GAAP Financial Measures." For reconciliations of certain non-GAAP measures, see the tables that accompany this press release.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340" w:right="339" w:bottom="1440" w:gutter="0" w:footer="0" w:header="0"/>
        </w:sectPr>
      </w:pPr>
    </w:p>
    <w:bookmarkStart w:id="4" w:name="page5"/>
    <w:bookmarkEnd w:id="4"/>
    <w:p>
      <w:pPr>
        <w:spacing w:after="0" w:line="6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Fourth-Quarter 2022 Results</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revenue for the fourth quarter of 2022 by segment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gridSpan w:val="4"/>
          </w:tcPr>
          <w:p>
            <w:pPr>
              <w:jc w:val="center"/>
              <w:ind w:left="515"/>
              <w:spacing w:after="0"/>
              <w:rPr>
                <w:sz w:val="20"/>
                <w:szCs w:val="20"/>
                <w:color w:val="auto"/>
              </w:rPr>
            </w:pPr>
            <w:r>
              <w:rPr>
                <w:rFonts w:ascii="Arial" w:cs="Arial" w:eastAsia="Arial" w:hAnsi="Arial"/>
                <w:sz w:val="17"/>
                <w:szCs w:val="17"/>
                <w:b w:val="1"/>
                <w:bCs w:val="1"/>
                <w:color w:val="auto"/>
                <w:w w:val="99"/>
              </w:rPr>
              <w:t>Three Months Ended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ind w:right="620"/>
              <w:spacing w:after="0"/>
              <w:rPr>
                <w:sz w:val="20"/>
                <w:szCs w:val="20"/>
                <w:color w:val="auto"/>
              </w:rPr>
            </w:pPr>
            <w:r>
              <w:rPr>
                <w:rFonts w:ascii="Arial" w:cs="Arial" w:eastAsia="Arial" w:hAnsi="Arial"/>
                <w:sz w:val="17"/>
                <w:szCs w:val="17"/>
                <w:b w:val="1"/>
                <w:bCs w:val="1"/>
                <w:color w:val="auto"/>
              </w:rPr>
              <w:t>December 31,</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9"/>
                <w:szCs w:val="19"/>
                <w:b w:val="1"/>
                <w:bCs w:val="1"/>
                <w:color w:val="auto"/>
                <w:w w:val="98"/>
              </w:rPr>
              <w:t>Constant-Currency</w:t>
            </w:r>
          </w:p>
        </w:tc>
      </w:tr>
      <w:tr>
        <w:trPr>
          <w:trHeight w:val="236"/>
        </w:trPr>
        <w:tc>
          <w:tcPr>
            <w:tcW w:w="4980" w:type="dxa"/>
            <w:vAlign w:val="bottom"/>
            <w:gridSpan w:val="3"/>
          </w:tcPr>
          <w:p>
            <w:pPr>
              <w:ind w:left="4480"/>
              <w:spacing w:after="0"/>
              <w:rPr>
                <w:sz w:val="20"/>
                <w:szCs w:val="20"/>
                <w:color w:val="auto"/>
              </w:rPr>
            </w:pPr>
            <w:r>
              <w:rPr>
                <w:rFonts w:ascii="Arial" w:cs="Arial" w:eastAsia="Arial" w:hAnsi="Arial"/>
                <w:sz w:val="17"/>
                <w:szCs w:val="17"/>
                <w:b w:val="1"/>
                <w:bCs w:val="1"/>
                <w:color w:val="auto"/>
              </w:rPr>
              <w:t>2022</w:t>
            </w:r>
          </w:p>
        </w:tc>
        <w:tc>
          <w:tcPr>
            <w:tcW w:w="198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rPr>
              <w:t>2021</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gridSpan w:val="2"/>
          </w:tcPr>
          <w:p>
            <w:pPr>
              <w:ind w:left="420"/>
              <w:spacing w:after="0"/>
              <w:rPr>
                <w:sz w:val="20"/>
                <w:szCs w:val="20"/>
                <w:color w:val="auto"/>
              </w:rPr>
            </w:pPr>
            <w:r>
              <w:rPr>
                <w:rFonts w:ascii="Arial" w:cs="Arial" w:eastAsia="Arial" w:hAnsi="Arial"/>
                <w:sz w:val="19"/>
                <w:szCs w:val="19"/>
                <w:b w:val="1"/>
                <w:bCs w:val="1"/>
                <w:color w:val="auto"/>
              </w:rPr>
              <w:t>% Change</w:t>
            </w:r>
          </w:p>
        </w:tc>
        <w:tc>
          <w:tcPr>
            <w:tcW w:w="1740" w:type="dxa"/>
            <w:vAlign w:val="bottom"/>
          </w:tcPr>
          <w:p>
            <w:pPr>
              <w:jc w:val="right"/>
              <w:ind w:right="332"/>
              <w:spacing w:after="0"/>
              <w:rPr>
                <w:sz w:val="20"/>
                <w:szCs w:val="20"/>
                <w:color w:val="auto"/>
              </w:rPr>
            </w:pPr>
            <w:r>
              <w:rPr>
                <w:rFonts w:ascii="Arial" w:cs="Arial" w:eastAsia="Arial" w:hAnsi="Arial"/>
                <w:sz w:val="19"/>
                <w:szCs w:val="19"/>
                <w:b w:val="1"/>
                <w:bCs w:val="1"/>
                <w:color w:val="auto"/>
              </w:rPr>
              <w:t>% Change</w:t>
            </w:r>
          </w:p>
        </w:tc>
      </w:tr>
      <w:tr>
        <w:trPr>
          <w:trHeight w:val="209"/>
        </w:trPr>
        <w:tc>
          <w:tcPr>
            <w:tcW w:w="3720" w:type="dxa"/>
            <w:vAlign w:val="bottom"/>
            <w:gridSpan w:val="2"/>
          </w:tcPr>
          <w:p>
            <w:pPr>
              <w:ind w:left="20"/>
              <w:spacing w:after="0"/>
              <w:rPr>
                <w:sz w:val="20"/>
                <w:szCs w:val="20"/>
                <w:color w:val="auto"/>
              </w:rPr>
            </w:pPr>
            <w:r>
              <w:rPr>
                <w:rFonts w:ascii="Arial" w:cs="Arial" w:eastAsia="Arial" w:hAnsi="Arial"/>
                <w:sz w:val="17"/>
                <w:szCs w:val="17"/>
                <w:color w:val="auto"/>
              </w:rPr>
              <w:t>Cardiopulmonary</w:t>
            </w:r>
          </w:p>
        </w:tc>
        <w:tc>
          <w:tcPr>
            <w:tcW w:w="1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$136.5</w:t>
            </w:r>
          </w:p>
        </w:tc>
        <w:tc>
          <w:tcPr>
            <w:tcW w:w="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$133.1</w:t>
            </w:r>
          </w:p>
        </w:tc>
        <w:tc>
          <w:tcPr>
            <w:tcW w:w="80" w:type="dxa"/>
            <w:vAlign w:val="bottom"/>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2.5 %</w:t>
            </w:r>
          </w:p>
        </w:tc>
        <w:tc>
          <w:tcPr>
            <w:tcW w:w="80" w:type="dxa"/>
            <w:vAlign w:val="bottom"/>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9.3 %</w:t>
            </w:r>
          </w:p>
        </w:tc>
      </w:tr>
      <w:tr>
        <w:trPr>
          <w:trHeight w:val="217"/>
        </w:trPr>
        <w:tc>
          <w:tcPr>
            <w:tcW w:w="4980" w:type="dxa"/>
            <w:vAlign w:val="bottom"/>
            <w:gridSpan w:val="3"/>
          </w:tcPr>
          <w:p>
            <w:pPr>
              <w:ind w:left="20"/>
              <w:spacing w:after="0"/>
              <w:rPr>
                <w:sz w:val="20"/>
                <w:szCs w:val="20"/>
                <w:color w:val="auto"/>
              </w:rPr>
            </w:pPr>
            <w:r>
              <w:rPr>
                <w:rFonts w:ascii="Arial" w:cs="Arial" w:eastAsia="Arial" w:hAnsi="Arial"/>
                <w:sz w:val="17"/>
                <w:szCs w:val="17"/>
                <w:color w:val="auto"/>
              </w:rPr>
              <w:t>Neuromodulation</w:t>
            </w:r>
          </w:p>
        </w:tc>
        <w:tc>
          <w:tcPr>
            <w:tcW w:w="640" w:type="dxa"/>
            <w:vAlign w:val="bottom"/>
          </w:tcPr>
          <w:p>
            <w:pPr>
              <w:jc w:val="right"/>
              <w:spacing w:after="0"/>
              <w:rPr>
                <w:sz w:val="20"/>
                <w:szCs w:val="20"/>
                <w:color w:val="auto"/>
              </w:rPr>
            </w:pPr>
            <w:r>
              <w:rPr>
                <w:rFonts w:ascii="Arial" w:cs="Arial" w:eastAsia="Arial" w:hAnsi="Arial"/>
                <w:sz w:val="17"/>
                <w:szCs w:val="17"/>
                <w:color w:val="auto"/>
              </w:rPr>
              <w:t>127.1</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121.6</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4.6 %</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6.7 %</w:t>
            </w:r>
          </w:p>
        </w:tc>
      </w:tr>
      <w:tr>
        <w:trPr>
          <w:trHeight w:val="217"/>
        </w:trPr>
        <w:tc>
          <w:tcPr>
            <w:tcW w:w="4980" w:type="dxa"/>
            <w:vAlign w:val="bottom"/>
            <w:gridSpan w:val="3"/>
          </w:tcPr>
          <w:p>
            <w:pPr>
              <w:ind w:left="20"/>
              <w:spacing w:after="0"/>
              <w:rPr>
                <w:sz w:val="20"/>
                <w:szCs w:val="20"/>
                <w:color w:val="auto"/>
              </w:rPr>
            </w:pPr>
            <w:r>
              <w:rPr>
                <w:rFonts w:ascii="Arial" w:cs="Arial" w:eastAsia="Arial" w:hAnsi="Arial"/>
                <w:sz w:val="17"/>
                <w:szCs w:val="17"/>
                <w:color w:val="auto"/>
              </w:rPr>
              <w:t>Advanced Circulatory Support</w:t>
            </w:r>
          </w:p>
        </w:tc>
        <w:tc>
          <w:tcPr>
            <w:tcW w:w="640" w:type="dxa"/>
            <w:vAlign w:val="bottom"/>
          </w:tcPr>
          <w:p>
            <w:pPr>
              <w:jc w:val="right"/>
              <w:spacing w:after="0"/>
              <w:rPr>
                <w:sz w:val="20"/>
                <w:szCs w:val="20"/>
                <w:color w:val="auto"/>
              </w:rPr>
            </w:pPr>
            <w:r>
              <w:rPr>
                <w:rFonts w:ascii="Arial" w:cs="Arial" w:eastAsia="Arial" w:hAnsi="Arial"/>
                <w:sz w:val="17"/>
                <w:szCs w:val="17"/>
                <w:color w:val="auto"/>
              </w:rPr>
              <w:t>9.6</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13.8</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(30.2)%</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(30.0)%</w:t>
            </w:r>
          </w:p>
        </w:tc>
      </w:tr>
      <w:tr>
        <w:trPr>
          <w:trHeight w:val="218"/>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4.8 %</w:t>
            </w:r>
          </w:p>
        </w:tc>
        <w:tc>
          <w:tcPr>
            <w:tcW w:w="8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15.8 %</w:t>
            </w:r>
          </w:p>
        </w:tc>
      </w:tr>
      <w:tr>
        <w:trPr>
          <w:trHeight w:val="211"/>
        </w:trPr>
        <w:tc>
          <w:tcPr>
            <w:tcW w:w="4980" w:type="dxa"/>
            <w:vAlign w:val="bottom"/>
            <w:gridSpan w:val="3"/>
          </w:tcPr>
          <w:p>
            <w:pPr>
              <w:ind w:left="20"/>
              <w:spacing w:after="0"/>
              <w:rPr>
                <w:sz w:val="20"/>
                <w:szCs w:val="20"/>
                <w:color w:val="auto"/>
              </w:rPr>
            </w:pPr>
            <w:r>
              <w:rPr>
                <w:rFonts w:ascii="Arial" w:cs="Arial" w:eastAsia="Arial" w:hAnsi="Arial"/>
                <w:sz w:val="17"/>
                <w:szCs w:val="17"/>
                <w:color w:val="auto"/>
              </w:rPr>
              <w:t>Total Net Revenue</w:t>
            </w:r>
          </w:p>
        </w:tc>
        <w:tc>
          <w:tcPr>
            <w:tcW w:w="640" w:type="dxa"/>
            <w:vAlign w:val="bottom"/>
          </w:tcPr>
          <w:p>
            <w:pPr>
              <w:jc w:val="right"/>
              <w:spacing w:after="0"/>
              <w:rPr>
                <w:sz w:val="20"/>
                <w:szCs w:val="20"/>
                <w:color w:val="auto"/>
              </w:rPr>
            </w:pPr>
            <w:r>
              <w:rPr>
                <w:rFonts w:ascii="Arial" w:cs="Arial" w:eastAsia="Arial" w:hAnsi="Arial"/>
                <w:sz w:val="17"/>
                <w:szCs w:val="17"/>
                <w:color w:val="auto"/>
              </w:rPr>
              <w:t>$274.9</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$270.1</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1.8 %</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6.2 %</w:t>
            </w:r>
          </w:p>
        </w:tc>
      </w:tr>
      <w:tr>
        <w:trPr>
          <w:trHeight w:val="20"/>
        </w:trPr>
        <w:tc>
          <w:tcPr>
            <w:tcW w:w="3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both"/>
        <w:ind w:left="240" w:hanging="238"/>
        <w:spacing w:after="0" w:line="257" w:lineRule="auto"/>
        <w:tabs>
          <w:tab w:leader="none" w:pos="191" w:val="left"/>
        </w:tabs>
        <w:numPr>
          <w:ilvl w:val="0"/>
          <w:numId w:val="5"/>
        </w:numPr>
        <w:rPr>
          <w:rFonts w:ascii="Arial" w:cs="Arial" w:eastAsia="Arial" w:hAnsi="Arial"/>
          <w:sz w:val="15"/>
          <w:szCs w:val="15"/>
          <w:color w:val="auto"/>
        </w:rPr>
      </w:pPr>
      <w:r>
        <w:rPr>
          <w:rFonts w:ascii="Arial" w:cs="Arial" w:eastAsia="Arial" w:hAnsi="Arial"/>
          <w:sz w:val="15"/>
          <w:szCs w:val="15"/>
          <w:color w:val="auto"/>
        </w:rPr>
        <w:t>Note: Constant-currency percent change excludes the impact from fluctuations in the various currencies in which the Company operates as compared to reported percent change. Constant-currency percent change is a non-GAAP metric. For an explanation of this and other non-GAAP metrics used in this release, see the section entitled "Use of Non-GAAP Financial Measures."</w:t>
      </w:r>
    </w:p>
    <w:p>
      <w:pPr>
        <w:spacing w:after="0" w:line="47" w:lineRule="exact"/>
        <w:rPr>
          <w:rFonts w:ascii="Arial" w:cs="Arial" w:eastAsia="Arial" w:hAnsi="Arial"/>
          <w:sz w:val="15"/>
          <w:szCs w:val="15"/>
          <w:color w:val="auto"/>
        </w:rPr>
      </w:pPr>
    </w:p>
    <w:p>
      <w:pPr>
        <w:ind w:left="180" w:hanging="178"/>
        <w:spacing w:after="0"/>
        <w:tabs>
          <w:tab w:leader="none" w:pos="180" w:val="left"/>
        </w:tabs>
        <w:numPr>
          <w:ilvl w:val="0"/>
          <w:numId w:val="5"/>
        </w:numPr>
        <w:rPr>
          <w:rFonts w:ascii="Arial" w:cs="Arial" w:eastAsia="Arial" w:hAnsi="Arial"/>
          <w:sz w:val="15"/>
          <w:szCs w:val="15"/>
          <w:color w:val="auto"/>
        </w:rPr>
      </w:pPr>
      <w:r>
        <w:rPr>
          <w:rFonts w:ascii="Arial" w:cs="Arial" w:eastAsia="Arial" w:hAnsi="Arial"/>
          <w:sz w:val="15"/>
          <w:szCs w:val="15"/>
          <w:color w:val="auto"/>
        </w:rPr>
        <w:t>Numbers may not add precisely due to rounding.</w:t>
      </w:r>
    </w:p>
    <w:p>
      <w:pPr>
        <w:spacing w:after="0" w:line="200" w:lineRule="exact"/>
        <w:rPr>
          <w:sz w:val="20"/>
          <w:szCs w:val="20"/>
          <w:color w:val="auto"/>
        </w:rPr>
      </w:pPr>
    </w:p>
    <w:p>
      <w:pPr>
        <w:spacing w:after="0" w:line="244" w:lineRule="exact"/>
        <w:rPr>
          <w:sz w:val="20"/>
          <w:szCs w:val="20"/>
          <w:color w:val="auto"/>
        </w:rPr>
      </w:pPr>
    </w:p>
    <w:p>
      <w:pPr>
        <w:jc w:val="both"/>
        <w:spacing w:after="0" w:line="334" w:lineRule="auto"/>
        <w:rPr>
          <w:sz w:val="20"/>
          <w:szCs w:val="20"/>
          <w:color w:val="auto"/>
        </w:rPr>
      </w:pPr>
      <w:r>
        <w:rPr>
          <w:rFonts w:ascii="Arial" w:cs="Arial" w:eastAsia="Arial" w:hAnsi="Arial"/>
          <w:sz w:val="19"/>
          <w:szCs w:val="19"/>
          <w:color w:val="auto"/>
        </w:rPr>
        <w:t>Cardiopulmonary revenue increased 9.3 percent</w:t>
      </w:r>
      <w:r>
        <w:rPr>
          <w:rFonts w:ascii="Arial" w:cs="Arial" w:eastAsia="Arial" w:hAnsi="Arial"/>
          <w:sz w:val="24"/>
          <w:szCs w:val="24"/>
          <w:color w:val="auto"/>
          <w:vertAlign w:val="superscript"/>
        </w:rPr>
        <w:t>2</w:t>
      </w:r>
      <w:r>
        <w:rPr>
          <w:rFonts w:ascii="Arial" w:cs="Arial" w:eastAsia="Arial" w:hAnsi="Arial"/>
          <w:sz w:val="19"/>
          <w:szCs w:val="19"/>
          <w:color w:val="auto"/>
        </w:rPr>
        <w:t xml:space="preserve"> versus the fourth quarter of 2021 with growth across all regions. This growth was primarily driven by oxygenator revenue due to an increase in cardiac surgery procedures across all regions and strength in heart-lung machine placements in the Rest of World region.</w:t>
      </w:r>
    </w:p>
    <w:p>
      <w:pPr>
        <w:spacing w:after="0" w:line="21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Neuromodulation revenue increased 6.7 percent</w:t>
      </w:r>
      <w:r>
        <w:rPr>
          <w:rFonts w:ascii="Arial" w:cs="Arial" w:eastAsia="Arial" w:hAnsi="Arial"/>
          <w:sz w:val="24"/>
          <w:szCs w:val="24"/>
          <w:color w:val="auto"/>
          <w:vertAlign w:val="superscript"/>
        </w:rPr>
        <w:t>2</w:t>
      </w:r>
      <w:r>
        <w:rPr>
          <w:rFonts w:ascii="Arial" w:cs="Arial" w:eastAsia="Arial" w:hAnsi="Arial"/>
          <w:sz w:val="19"/>
          <w:szCs w:val="19"/>
          <w:color w:val="auto"/>
        </w:rPr>
        <w:t xml:space="preserve"> versus the fourth quarter of 2021 with growth across all regions. This increase was driven by replacement implants in the U.S. and improving market dynamics in the Europe and Rest of World regions.</w:t>
      </w:r>
    </w:p>
    <w:p>
      <w:pPr>
        <w:spacing w:after="0" w:line="208" w:lineRule="exact"/>
        <w:rPr>
          <w:sz w:val="20"/>
          <w:szCs w:val="20"/>
          <w:color w:val="auto"/>
        </w:rPr>
      </w:pPr>
    </w:p>
    <w:p>
      <w:pPr>
        <w:jc w:val="both"/>
        <w:spacing w:after="0" w:line="322" w:lineRule="auto"/>
        <w:rPr>
          <w:sz w:val="20"/>
          <w:szCs w:val="20"/>
          <w:color w:val="auto"/>
        </w:rPr>
      </w:pPr>
      <w:r>
        <w:rPr>
          <w:rFonts w:ascii="Arial" w:cs="Arial" w:eastAsia="Arial" w:hAnsi="Arial"/>
          <w:sz w:val="19"/>
          <w:szCs w:val="19"/>
          <w:color w:val="auto"/>
        </w:rPr>
        <w:t>Advanced Circulatory Support (ACS) revenue decreased 30.0 percent</w:t>
      </w:r>
      <w:r>
        <w:rPr>
          <w:rFonts w:ascii="Arial" w:cs="Arial" w:eastAsia="Arial" w:hAnsi="Arial"/>
          <w:sz w:val="24"/>
          <w:szCs w:val="24"/>
          <w:color w:val="auto"/>
          <w:vertAlign w:val="superscript"/>
        </w:rPr>
        <w:t>2</w:t>
      </w:r>
      <w:r>
        <w:rPr>
          <w:rFonts w:ascii="Arial" w:cs="Arial" w:eastAsia="Arial" w:hAnsi="Arial"/>
          <w:sz w:val="19"/>
          <w:szCs w:val="19"/>
          <w:color w:val="auto"/>
        </w:rPr>
        <w:t xml:space="preserve"> compared to the fourth quarter of 2021 primarily due to a reduction in patients treated with extracorporeal membrane oxygenation (ECMO) as a result of fewer severe COVID cases and in part due to product mix. The decrease was partially offset by growth in non-COVID cases.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Financial Performance</w:t>
      </w:r>
    </w:p>
    <w:p>
      <w:pPr>
        <w:spacing w:after="0" w:line="330" w:lineRule="exact"/>
        <w:rPr>
          <w:sz w:val="20"/>
          <w:szCs w:val="20"/>
          <w:color w:val="auto"/>
        </w:rPr>
      </w:pPr>
    </w:p>
    <w:p>
      <w:pPr>
        <w:jc w:val="both"/>
        <w:spacing w:after="0" w:line="362" w:lineRule="auto"/>
        <w:rPr>
          <w:sz w:val="20"/>
          <w:szCs w:val="20"/>
          <w:color w:val="auto"/>
        </w:rPr>
      </w:pPr>
      <w:r>
        <w:rPr>
          <w:rFonts w:ascii="Arial" w:cs="Arial" w:eastAsia="Arial" w:hAnsi="Arial"/>
          <w:sz w:val="19"/>
          <w:szCs w:val="19"/>
          <w:color w:val="auto"/>
        </w:rPr>
        <w:t>On a U.S. GAAP basis, fourth-quarter 2022 operating income was $14.0 million as compared to $24.8 million for the fourth quarter of 2021. Adjusted operating income for the fourth quarter 2022 was $46.8 million, as compared to $40.2 million for the fourth quarter of 2021.</w:t>
      </w:r>
    </w:p>
    <w:p>
      <w:pPr>
        <w:spacing w:after="0" w:line="201" w:lineRule="exact"/>
        <w:rPr>
          <w:sz w:val="20"/>
          <w:szCs w:val="20"/>
          <w:color w:val="auto"/>
        </w:rPr>
      </w:pPr>
    </w:p>
    <w:p>
      <w:pPr>
        <w:jc w:val="both"/>
        <w:spacing w:after="0" w:line="362" w:lineRule="auto"/>
        <w:rPr>
          <w:sz w:val="20"/>
          <w:szCs w:val="20"/>
          <w:color w:val="auto"/>
        </w:rPr>
      </w:pPr>
      <w:r>
        <w:rPr>
          <w:rFonts w:ascii="Arial" w:cs="Arial" w:eastAsia="Arial" w:hAnsi="Arial"/>
          <w:sz w:val="19"/>
          <w:szCs w:val="19"/>
          <w:color w:val="auto"/>
        </w:rPr>
        <w:t>On a U.S. GAAP basis, fourth-quarter 2022 diluted earnings per share was $0.03, as compared to a diluted loss per share of $0.10 in the fourth quarter of 2021. Fourth-quarter 2022 adjusted diluted earnings per share was $0.81, as compared to $0.57 in the fourth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97155</wp:posOffset>
            </wp:positionV>
            <wp:extent cx="16243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24330" cy="8255"/>
                    </a:xfrm>
                    <a:prstGeom prst="rect">
                      <a:avLst/>
                    </a:prstGeom>
                    <a:noFill/>
                  </pic:spPr>
                </pic:pic>
              </a:graphicData>
            </a:graphic>
          </wp:anchor>
        </w:drawing>
      </w:r>
    </w:p>
    <w:p>
      <w:pPr>
        <w:spacing w:after="0" w:line="220" w:lineRule="exact"/>
        <w:rPr>
          <w:sz w:val="20"/>
          <w:szCs w:val="20"/>
          <w:color w:val="auto"/>
        </w:rPr>
      </w:pPr>
    </w:p>
    <w:p>
      <w:pPr>
        <w:ind w:left="60" w:hanging="58"/>
        <w:spacing w:after="0"/>
        <w:tabs>
          <w:tab w:leader="none" w:pos="60" w:val="left"/>
        </w:tabs>
        <w:numPr>
          <w:ilvl w:val="0"/>
          <w:numId w:val="6"/>
        </w:numPr>
        <w:rPr>
          <w:rFonts w:ascii="Arial" w:cs="Arial" w:eastAsia="Arial" w:hAnsi="Arial"/>
          <w:sz w:val="7"/>
          <w:szCs w:val="7"/>
          <w:color w:val="auto"/>
        </w:rPr>
      </w:pPr>
      <w:r>
        <w:rPr>
          <w:rFonts w:ascii="Arial" w:cs="Arial" w:eastAsia="Arial" w:hAnsi="Arial"/>
          <w:sz w:val="10"/>
          <w:szCs w:val="10"/>
          <w:color w:val="auto"/>
        </w:rPr>
        <w:t>Revenue growth rates reflect comparable, constant-currency growth.</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5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Full-Year 2022 Results</w:t>
      </w: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revenue for full year 2022 by segment (in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gridSpan w:val="3"/>
          </w:tcPr>
          <w:p>
            <w:pPr>
              <w:jc w:val="center"/>
              <w:ind w:left="1135"/>
              <w:spacing w:after="0"/>
              <w:rPr>
                <w:sz w:val="20"/>
                <w:szCs w:val="20"/>
                <w:color w:val="auto"/>
              </w:rPr>
            </w:pPr>
            <w:r>
              <w:rPr>
                <w:rFonts w:ascii="Arial" w:cs="Arial" w:eastAsia="Arial" w:hAnsi="Arial"/>
                <w:sz w:val="17"/>
                <w:szCs w:val="17"/>
                <w:b w:val="1"/>
                <w:bCs w:val="1"/>
                <w:color w:val="auto"/>
                <w:w w:val="98"/>
              </w:rPr>
              <w:t>Year Ended</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30"/>
        </w:trPr>
        <w:tc>
          <w:tcPr>
            <w:tcW w:w="3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tcBorders>
              <w:bottom w:val="single" w:sz="8" w:color="auto"/>
            </w:tcBorders>
            <w:gridSpan w:val="3"/>
          </w:tcPr>
          <w:p>
            <w:pPr>
              <w:jc w:val="center"/>
              <w:ind w:left="1175"/>
              <w:spacing w:after="0"/>
              <w:rPr>
                <w:sz w:val="20"/>
                <w:szCs w:val="20"/>
                <w:color w:val="auto"/>
              </w:rPr>
            </w:pPr>
            <w:r>
              <w:rPr>
                <w:rFonts w:ascii="Arial" w:cs="Arial" w:eastAsia="Arial" w:hAnsi="Arial"/>
                <w:sz w:val="17"/>
                <w:szCs w:val="17"/>
                <w:b w:val="1"/>
                <w:bCs w:val="1"/>
                <w:color w:val="auto"/>
              </w:rPr>
              <w:t>December 31,</w:t>
            </w: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9"/>
                <w:szCs w:val="19"/>
                <w:b w:val="1"/>
                <w:bCs w:val="1"/>
                <w:color w:val="auto"/>
                <w:w w:val="98"/>
              </w:rPr>
              <w:t>Constant-Currency</w:t>
            </w:r>
          </w:p>
        </w:tc>
      </w:tr>
      <w:tr>
        <w:trPr>
          <w:trHeight w:val="236"/>
        </w:trPr>
        <w:tc>
          <w:tcPr>
            <w:tcW w:w="3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jc w:val="right"/>
              <w:ind w:right="675"/>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jc w:val="right"/>
              <w:ind w:right="675"/>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20"/>
                <w:szCs w:val="20"/>
                <w:color w:val="auto"/>
              </w:rPr>
            </w:pPr>
          </w:p>
        </w:tc>
        <w:tc>
          <w:tcPr>
            <w:tcW w:w="1820" w:type="dxa"/>
            <w:vAlign w:val="bottom"/>
            <w:gridSpan w:val="2"/>
          </w:tcPr>
          <w:p>
            <w:pPr>
              <w:ind w:left="420"/>
              <w:spacing w:after="0"/>
              <w:rPr>
                <w:sz w:val="20"/>
                <w:szCs w:val="20"/>
                <w:color w:val="auto"/>
              </w:rPr>
            </w:pPr>
            <w:r>
              <w:rPr>
                <w:rFonts w:ascii="Arial" w:cs="Arial" w:eastAsia="Arial" w:hAnsi="Arial"/>
                <w:sz w:val="19"/>
                <w:szCs w:val="19"/>
                <w:b w:val="1"/>
                <w:bCs w:val="1"/>
                <w:color w:val="auto"/>
              </w:rPr>
              <w:t>% Change</w:t>
            </w:r>
          </w:p>
        </w:tc>
        <w:tc>
          <w:tcPr>
            <w:tcW w:w="1740" w:type="dxa"/>
            <w:vAlign w:val="bottom"/>
          </w:tcPr>
          <w:p>
            <w:pPr>
              <w:jc w:val="right"/>
              <w:ind w:right="333"/>
              <w:spacing w:after="0"/>
              <w:rPr>
                <w:sz w:val="20"/>
                <w:szCs w:val="20"/>
                <w:color w:val="auto"/>
              </w:rPr>
            </w:pPr>
            <w:r>
              <w:rPr>
                <w:rFonts w:ascii="Arial" w:cs="Arial" w:eastAsia="Arial" w:hAnsi="Arial"/>
                <w:sz w:val="19"/>
                <w:szCs w:val="19"/>
                <w:b w:val="1"/>
                <w:bCs w:val="1"/>
                <w:color w:val="auto"/>
              </w:rPr>
              <w:t>% Change</w:t>
            </w:r>
          </w:p>
        </w:tc>
      </w:tr>
      <w:tr>
        <w:trPr>
          <w:trHeight w:val="209"/>
        </w:trPr>
        <w:tc>
          <w:tcPr>
            <w:tcW w:w="3720" w:type="dxa"/>
            <w:vAlign w:val="bottom"/>
            <w:gridSpan w:val="2"/>
          </w:tcPr>
          <w:p>
            <w:pPr>
              <w:ind w:left="20"/>
              <w:spacing w:after="0"/>
              <w:rPr>
                <w:sz w:val="20"/>
                <w:szCs w:val="20"/>
                <w:color w:val="auto"/>
              </w:rPr>
            </w:pPr>
            <w:r>
              <w:rPr>
                <w:rFonts w:ascii="Arial" w:cs="Arial" w:eastAsia="Arial" w:hAnsi="Arial"/>
                <w:sz w:val="17"/>
                <w:szCs w:val="17"/>
                <w:color w:val="auto"/>
              </w:rPr>
              <w:t>Cardiopulmonary</w:t>
            </w: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$500.3</w:t>
            </w: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$483.0</w:t>
            </w:r>
          </w:p>
        </w:tc>
        <w:tc>
          <w:tcPr>
            <w:tcW w:w="80" w:type="dxa"/>
            <w:vAlign w:val="bottom"/>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3.6 %</w:t>
            </w:r>
          </w:p>
        </w:tc>
        <w:tc>
          <w:tcPr>
            <w:tcW w:w="80" w:type="dxa"/>
            <w:vAlign w:val="bottom"/>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10.5 %</w:t>
            </w:r>
          </w:p>
        </w:tc>
      </w:tr>
      <w:tr>
        <w:trPr>
          <w:trHeight w:val="217"/>
        </w:trPr>
        <w:tc>
          <w:tcPr>
            <w:tcW w:w="3720" w:type="dxa"/>
            <w:vAlign w:val="bottom"/>
            <w:gridSpan w:val="2"/>
          </w:tcPr>
          <w:p>
            <w:pPr>
              <w:ind w:left="20"/>
              <w:spacing w:after="0"/>
              <w:rPr>
                <w:sz w:val="20"/>
                <w:szCs w:val="20"/>
                <w:color w:val="auto"/>
              </w:rPr>
            </w:pPr>
            <w:r>
              <w:rPr>
                <w:rFonts w:ascii="Arial" w:cs="Arial" w:eastAsia="Arial" w:hAnsi="Arial"/>
                <w:sz w:val="17"/>
                <w:szCs w:val="17"/>
                <w:color w:val="auto"/>
              </w:rPr>
              <w:t>Neuromodulation</w:t>
            </w:r>
          </w:p>
        </w:tc>
        <w:tc>
          <w:tcPr>
            <w:tcW w:w="1900" w:type="dxa"/>
            <w:vAlign w:val="bottom"/>
          </w:tcPr>
          <w:p>
            <w:pPr>
              <w:jc w:val="right"/>
              <w:spacing w:after="0"/>
              <w:rPr>
                <w:sz w:val="20"/>
                <w:szCs w:val="20"/>
                <w:color w:val="auto"/>
              </w:rPr>
            </w:pPr>
            <w:r>
              <w:rPr>
                <w:rFonts w:ascii="Arial" w:cs="Arial" w:eastAsia="Arial" w:hAnsi="Arial"/>
                <w:sz w:val="17"/>
                <w:szCs w:val="17"/>
                <w:color w:val="auto"/>
              </w:rPr>
              <w:t>477.0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456.2</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4.6 %</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6.7 %</w:t>
            </w:r>
          </w:p>
        </w:tc>
      </w:tr>
      <w:tr>
        <w:trPr>
          <w:trHeight w:val="217"/>
        </w:trPr>
        <w:tc>
          <w:tcPr>
            <w:tcW w:w="3720" w:type="dxa"/>
            <w:vAlign w:val="bottom"/>
            <w:gridSpan w:val="2"/>
          </w:tcPr>
          <w:p>
            <w:pPr>
              <w:ind w:left="20"/>
              <w:spacing w:after="0"/>
              <w:rPr>
                <w:sz w:val="20"/>
                <w:szCs w:val="20"/>
                <w:color w:val="auto"/>
              </w:rPr>
            </w:pPr>
            <w:r>
              <w:rPr>
                <w:rFonts w:ascii="Arial" w:cs="Arial" w:eastAsia="Arial" w:hAnsi="Arial"/>
                <w:sz w:val="17"/>
                <w:szCs w:val="17"/>
                <w:color w:val="auto"/>
              </w:rPr>
              <w:t>Advanced Circulatory Support</w:t>
            </w:r>
          </w:p>
        </w:tc>
        <w:tc>
          <w:tcPr>
            <w:tcW w:w="1900" w:type="dxa"/>
            <w:vAlign w:val="bottom"/>
          </w:tcPr>
          <w:p>
            <w:pPr>
              <w:jc w:val="right"/>
              <w:spacing w:after="0"/>
              <w:rPr>
                <w:sz w:val="20"/>
                <w:szCs w:val="20"/>
                <w:color w:val="auto"/>
              </w:rPr>
            </w:pPr>
            <w:r>
              <w:rPr>
                <w:rFonts w:ascii="Arial" w:cs="Arial" w:eastAsia="Arial" w:hAnsi="Arial"/>
                <w:sz w:val="17"/>
                <w:szCs w:val="17"/>
                <w:color w:val="auto"/>
              </w:rPr>
              <w:t>39.3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55.5</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(29.1)%</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(28.8)%</w:t>
            </w:r>
          </w:p>
        </w:tc>
      </w:tr>
      <w:tr>
        <w:trPr>
          <w:trHeight w:val="219"/>
        </w:trPr>
        <w:tc>
          <w:tcPr>
            <w:tcW w:w="3640" w:type="dxa"/>
            <w:vAlign w:val="bottom"/>
            <w:tcBorders>
              <w:bottom w:val="single" w:sz="8" w:color="auto"/>
            </w:tcBorders>
          </w:tcPr>
          <w:p>
            <w:pPr>
              <w:ind w:left="20"/>
              <w:spacing w:after="0" w:line="219"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8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(87.2)%</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(85.7)%</w:t>
            </w:r>
          </w:p>
        </w:tc>
      </w:tr>
      <w:tr>
        <w:trPr>
          <w:trHeight w:val="209"/>
        </w:trPr>
        <w:tc>
          <w:tcPr>
            <w:tcW w:w="3720" w:type="dxa"/>
            <w:vAlign w:val="bottom"/>
            <w:gridSpan w:val="2"/>
          </w:tcPr>
          <w:p>
            <w:pPr>
              <w:ind w:left="20"/>
              <w:spacing w:after="0"/>
              <w:rPr>
                <w:sz w:val="20"/>
                <w:szCs w:val="20"/>
                <w:color w:val="auto"/>
              </w:rPr>
            </w:pPr>
            <w:r>
              <w:rPr>
                <w:rFonts w:ascii="Arial" w:cs="Arial" w:eastAsia="Arial" w:hAnsi="Arial"/>
                <w:sz w:val="17"/>
                <w:szCs w:val="17"/>
                <w:color w:val="auto"/>
              </w:rPr>
              <w:t>Total Net Revenue</w:t>
            </w:r>
          </w:p>
        </w:tc>
        <w:tc>
          <w:tcPr>
            <w:tcW w:w="1900" w:type="dxa"/>
            <w:vAlign w:val="bottom"/>
          </w:tcPr>
          <w:p>
            <w:pPr>
              <w:jc w:val="right"/>
              <w:spacing w:after="0"/>
              <w:rPr>
                <w:sz w:val="20"/>
                <w:szCs w:val="20"/>
                <w:color w:val="auto"/>
              </w:rPr>
            </w:pPr>
            <w:r>
              <w:rPr>
                <w:rFonts w:ascii="Arial" w:cs="Arial" w:eastAsia="Arial" w:hAnsi="Arial"/>
                <w:sz w:val="17"/>
                <w:szCs w:val="17"/>
                <w:color w:val="auto"/>
              </w:rPr>
              <w:t>1,021.8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1,035.4</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2.9 %</w:t>
            </w:r>
          </w:p>
        </w:tc>
      </w:tr>
      <w:tr>
        <w:trPr>
          <w:trHeight w:val="218"/>
        </w:trPr>
        <w:tc>
          <w:tcPr>
            <w:tcW w:w="364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Less: Heart Valves</w:t>
            </w:r>
          </w:p>
        </w:tc>
        <w:tc>
          <w:tcPr>
            <w:tcW w:w="80" w:type="dxa"/>
            <w:vAlign w:val="bottom"/>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w:t>
            </w:r>
          </w:p>
        </w:tc>
        <w:tc>
          <w:tcPr>
            <w:tcW w:w="8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c>
          <w:tcPr>
            <w:tcW w:w="8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N/A</w:t>
            </w:r>
          </w:p>
        </w:tc>
      </w:tr>
      <w:tr>
        <w:trPr>
          <w:trHeight w:val="211"/>
        </w:trPr>
        <w:tc>
          <w:tcPr>
            <w:tcW w:w="3720" w:type="dxa"/>
            <w:vAlign w:val="bottom"/>
            <w:gridSpan w:val="2"/>
          </w:tcPr>
          <w:p>
            <w:pPr>
              <w:ind w:left="20"/>
              <w:spacing w:after="0"/>
              <w:rPr>
                <w:sz w:val="20"/>
                <w:szCs w:val="20"/>
                <w:color w:val="auto"/>
              </w:rPr>
            </w:pPr>
            <w:r>
              <w:rPr>
                <w:rFonts w:ascii="Arial" w:cs="Arial" w:eastAsia="Arial" w:hAnsi="Arial"/>
                <w:sz w:val="17"/>
                <w:szCs w:val="17"/>
                <w:color w:val="auto"/>
              </w:rPr>
              <w:t>Total Net Revenue, Excluding Heart Valves</w:t>
            </w:r>
          </w:p>
        </w:tc>
        <w:tc>
          <w:tcPr>
            <w:tcW w:w="1900" w:type="dxa"/>
            <w:vAlign w:val="bottom"/>
          </w:tcPr>
          <w:p>
            <w:pPr>
              <w:jc w:val="right"/>
              <w:spacing w:after="0"/>
              <w:rPr>
                <w:sz w:val="20"/>
                <w:szCs w:val="20"/>
                <w:color w:val="auto"/>
              </w:rPr>
            </w:pPr>
            <w:r>
              <w:rPr>
                <w:rFonts w:ascii="Arial" w:cs="Arial" w:eastAsia="Arial" w:hAnsi="Arial"/>
                <w:sz w:val="17"/>
                <w:szCs w:val="17"/>
                <w:color w:val="auto"/>
              </w:rPr>
              <w:t>$1,021.8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$999.2</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2.3 %</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7"/>
                <w:szCs w:val="17"/>
                <w:color w:val="auto"/>
              </w:rPr>
              <w:t>6.7 %</w:t>
            </w:r>
          </w:p>
        </w:tc>
      </w:tr>
      <w:tr>
        <w:trPr>
          <w:trHeight w:val="20"/>
        </w:trPr>
        <w:tc>
          <w:tcPr>
            <w:tcW w:w="3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both"/>
        <w:ind w:left="240" w:hanging="238"/>
        <w:spacing w:after="0" w:line="226" w:lineRule="auto"/>
        <w:tabs>
          <w:tab w:leader="none" w:pos="211"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Note: Constant-currency percent change excludes the impact from fluctuations in the various currencies in which the Company operates as compared to reported percent change. Constant-currency percent change is a non-GAAP metric. For an explanation of this and other non-GAAP metrics used in this release, see the section entitled "Use of Non-GAAP Financial Measures."</w:t>
      </w:r>
    </w:p>
    <w:p>
      <w:pPr>
        <w:spacing w:after="0" w:line="59" w:lineRule="exact"/>
        <w:rPr>
          <w:rFonts w:ascii="Arial" w:cs="Arial" w:eastAsia="Arial" w:hAnsi="Arial"/>
          <w:sz w:val="20"/>
          <w:szCs w:val="20"/>
          <w:color w:val="auto"/>
          <w:vertAlign w:val="superscript"/>
        </w:rPr>
      </w:pPr>
    </w:p>
    <w:p>
      <w:pPr>
        <w:ind w:left="180" w:hanging="178"/>
        <w:spacing w:after="0"/>
        <w:tabs>
          <w:tab w:leader="none" w:pos="180" w:val="left"/>
        </w:tabs>
        <w:numPr>
          <w:ilvl w:val="0"/>
          <w:numId w:val="7"/>
        </w:numPr>
        <w:rPr>
          <w:rFonts w:ascii="Arial" w:cs="Arial" w:eastAsia="Arial" w:hAnsi="Arial"/>
          <w:sz w:val="15"/>
          <w:szCs w:val="15"/>
          <w:color w:val="auto"/>
        </w:rPr>
      </w:pPr>
      <w:r>
        <w:rPr>
          <w:rFonts w:ascii="Arial" w:cs="Arial" w:eastAsia="Arial" w:hAnsi="Arial"/>
          <w:sz w:val="15"/>
          <w:szCs w:val="15"/>
          <w:color w:val="auto"/>
        </w:rPr>
        <w:t>Numbers may not add precisely due to rounding.</w:t>
      </w:r>
    </w:p>
    <w:p>
      <w:pPr>
        <w:ind w:left="340" w:hanging="338"/>
        <w:spacing w:after="0"/>
        <w:tabs>
          <w:tab w:leader="none" w:pos="340"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Other for the year ended December 31, 2021, includes net revenue of the Heart Valve business, which was divested effective June 1, 2021.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334" w:lineRule="auto"/>
        <w:rPr>
          <w:sz w:val="20"/>
          <w:szCs w:val="20"/>
          <w:color w:val="auto"/>
        </w:rPr>
      </w:pPr>
      <w:r>
        <w:rPr>
          <w:rFonts w:ascii="Arial" w:cs="Arial" w:eastAsia="Arial" w:hAnsi="Arial"/>
          <w:sz w:val="19"/>
          <w:szCs w:val="19"/>
          <w:color w:val="auto"/>
        </w:rPr>
        <w:t>Cardiopulmonary revenue increased 10.5 percent</w:t>
      </w:r>
      <w:r>
        <w:rPr>
          <w:rFonts w:ascii="Arial" w:cs="Arial" w:eastAsia="Arial" w:hAnsi="Arial"/>
          <w:sz w:val="24"/>
          <w:szCs w:val="24"/>
          <w:color w:val="auto"/>
          <w:vertAlign w:val="superscript"/>
        </w:rPr>
        <w:t>2</w:t>
      </w:r>
      <w:r>
        <w:rPr>
          <w:rFonts w:ascii="Arial" w:cs="Arial" w:eastAsia="Arial" w:hAnsi="Arial"/>
          <w:sz w:val="19"/>
          <w:szCs w:val="19"/>
          <w:color w:val="auto"/>
        </w:rPr>
        <w:t xml:space="preserve"> versus full-year 2021 with growth across all regions. The growth was primarily driven by oxygenators due to an increase in cardiac surgery procedures across all regions and strength in heart-lung machine placements in the Rest of World region.</w:t>
      </w:r>
    </w:p>
    <w:p>
      <w:pPr>
        <w:spacing w:after="0" w:line="223" w:lineRule="exact"/>
        <w:rPr>
          <w:sz w:val="20"/>
          <w:szCs w:val="20"/>
          <w:color w:val="auto"/>
        </w:rPr>
      </w:pPr>
    </w:p>
    <w:p>
      <w:pPr>
        <w:jc w:val="both"/>
        <w:spacing w:after="0" w:line="329" w:lineRule="auto"/>
        <w:rPr>
          <w:sz w:val="20"/>
          <w:szCs w:val="20"/>
          <w:color w:val="auto"/>
        </w:rPr>
      </w:pPr>
      <w:r>
        <w:rPr>
          <w:rFonts w:ascii="Arial" w:cs="Arial" w:eastAsia="Arial" w:hAnsi="Arial"/>
          <w:sz w:val="19"/>
          <w:szCs w:val="19"/>
          <w:color w:val="auto"/>
        </w:rPr>
        <w:t>Neuromodulation revenue increased 6.7 percent</w:t>
      </w:r>
      <w:r>
        <w:rPr>
          <w:rFonts w:ascii="Arial" w:cs="Arial" w:eastAsia="Arial" w:hAnsi="Arial"/>
          <w:sz w:val="24"/>
          <w:szCs w:val="24"/>
          <w:color w:val="auto"/>
          <w:vertAlign w:val="superscript"/>
        </w:rPr>
        <w:t>2</w:t>
      </w:r>
      <w:r>
        <w:rPr>
          <w:rFonts w:ascii="Arial" w:cs="Arial" w:eastAsia="Arial" w:hAnsi="Arial"/>
          <w:sz w:val="19"/>
          <w:szCs w:val="19"/>
          <w:color w:val="auto"/>
        </w:rPr>
        <w:t xml:space="preserve"> versus 2021 with growth across all regions. This increase was driven by replacement implants in the U.S. as well as improving market dynamics in the Europe and Rest of World regions.</w:t>
      </w:r>
    </w:p>
    <w:p>
      <w:pPr>
        <w:spacing w:after="0" w:line="205" w:lineRule="exact"/>
        <w:rPr>
          <w:sz w:val="20"/>
          <w:szCs w:val="20"/>
          <w:color w:val="auto"/>
        </w:rPr>
      </w:pPr>
    </w:p>
    <w:p>
      <w:pPr>
        <w:jc w:val="both"/>
        <w:spacing w:after="0" w:line="360" w:lineRule="auto"/>
        <w:rPr>
          <w:sz w:val="20"/>
          <w:szCs w:val="20"/>
          <w:color w:val="auto"/>
        </w:rPr>
      </w:pPr>
      <w:r>
        <w:rPr>
          <w:rFonts w:ascii="Arial" w:cs="Arial" w:eastAsia="Arial" w:hAnsi="Arial"/>
          <w:sz w:val="18"/>
          <w:szCs w:val="18"/>
          <w:color w:val="auto"/>
        </w:rPr>
        <w:t>ACS revenue decreased 28.8 percent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compared to 2021 primarily due to a reduction in patients treated with ECMO related to fewer severe COVID cases, product mix and hospital resource challenges. The decrease was partially offset by growth in non-COVID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6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Financial Performance</w:t>
      </w:r>
    </w:p>
    <w:p>
      <w:pPr>
        <w:spacing w:after="0" w:line="330" w:lineRule="exact"/>
        <w:rPr>
          <w:sz w:val="20"/>
          <w:szCs w:val="20"/>
          <w:color w:val="auto"/>
        </w:rPr>
      </w:pPr>
    </w:p>
    <w:p>
      <w:pPr>
        <w:spacing w:after="0" w:line="373" w:lineRule="auto"/>
        <w:rPr>
          <w:sz w:val="20"/>
          <w:szCs w:val="20"/>
          <w:color w:val="auto"/>
        </w:rPr>
      </w:pPr>
      <w:r>
        <w:rPr>
          <w:rFonts w:ascii="Arial" w:cs="Arial" w:eastAsia="Arial" w:hAnsi="Arial"/>
          <w:sz w:val="19"/>
          <w:szCs w:val="19"/>
          <w:color w:val="auto"/>
        </w:rPr>
        <w:t>On a U.S. GAAP basis, full-year 2022 operating loss was $76.8 million, as compared to $0.8 million for full-year 2021. Adjusted operating income for full-year 2022 was $145.1 million, as compared to $154.8 million for full-year 2021.</w:t>
      </w:r>
    </w:p>
    <w:p>
      <w:pPr>
        <w:spacing w:after="0" w:line="178" w:lineRule="exact"/>
        <w:rPr>
          <w:sz w:val="20"/>
          <w:szCs w:val="20"/>
          <w:color w:val="auto"/>
        </w:rPr>
      </w:pPr>
    </w:p>
    <w:p>
      <w:pPr>
        <w:spacing w:after="0" w:line="373" w:lineRule="auto"/>
        <w:rPr>
          <w:sz w:val="20"/>
          <w:szCs w:val="20"/>
          <w:color w:val="auto"/>
        </w:rPr>
      </w:pPr>
      <w:r>
        <w:rPr>
          <w:rFonts w:ascii="Arial" w:cs="Arial" w:eastAsia="Arial" w:hAnsi="Arial"/>
          <w:sz w:val="19"/>
          <w:szCs w:val="19"/>
          <w:color w:val="auto"/>
        </w:rPr>
        <w:t>On a U.S. GAAP basis, full-year 2022 diluted loss per share was $1.61, as compared to $2.68 for full-year 2021. Full-year 2022 adjusted diluted earnings per share was $2.39, as compared to $2.07 for full-year 2021.</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Subsequent Event</w:t>
      </w:r>
    </w:p>
    <w:p>
      <w:pPr>
        <w:spacing w:after="0" w:line="343" w:lineRule="exact"/>
        <w:rPr>
          <w:sz w:val="20"/>
          <w:szCs w:val="20"/>
          <w:color w:val="auto"/>
        </w:rPr>
      </w:pPr>
    </w:p>
    <w:p>
      <w:pPr>
        <w:ind w:right="120"/>
        <w:spacing w:after="0" w:line="361" w:lineRule="auto"/>
        <w:rPr>
          <w:sz w:val="20"/>
          <w:szCs w:val="20"/>
          <w:color w:val="auto"/>
        </w:rPr>
      </w:pPr>
      <w:r>
        <w:rPr>
          <w:rFonts w:ascii="Arial" w:cs="Arial" w:eastAsia="Arial" w:hAnsi="Arial"/>
          <w:sz w:val="19"/>
          <w:szCs w:val="19"/>
          <w:color w:val="auto"/>
        </w:rPr>
        <w:t>Following the second interim analysis, which was conducted after enrolling 500 patients in the ANTHEM-HFrEF clinical study, the Company is stopping enrollment, beginning the process to close the clinical study and winding down the heart failure program. Further evaluation of the study data has not revealed a sufficiently strong positive impact on functional or mortality endpoints, and it is unlikely that the study would demonstrate such an impact. While it appears that there may be benefit for some patients, the magnitude of the expected benefit is insufficient to continue the study. It is important to note that the decision to stop enrolling was not associated with any safety concerns.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Full-Year 2023 Guidance</w:t>
      </w:r>
    </w:p>
    <w:p>
      <w:pPr>
        <w:spacing w:after="0" w:line="343" w:lineRule="exact"/>
        <w:rPr>
          <w:sz w:val="20"/>
          <w:szCs w:val="20"/>
          <w:color w:val="auto"/>
        </w:rPr>
      </w:pPr>
    </w:p>
    <w:p>
      <w:pPr>
        <w:spacing w:after="0" w:line="359" w:lineRule="auto"/>
        <w:rPr>
          <w:sz w:val="20"/>
          <w:szCs w:val="20"/>
          <w:color w:val="auto"/>
        </w:rPr>
      </w:pPr>
      <w:r>
        <w:rPr>
          <w:rFonts w:ascii="Arial" w:cs="Arial" w:eastAsia="Arial" w:hAnsi="Arial"/>
          <w:sz w:val="19"/>
          <w:szCs w:val="19"/>
          <w:color w:val="auto"/>
        </w:rPr>
        <w:t>LivaNova expects revenue for full-year 2023 to grow between 3 and 5 percent on a constant-currency basis. Foreign currency is expected to be a 1 percent tailwind.</w:t>
      </w:r>
    </w:p>
    <w:p>
      <w:pPr>
        <w:spacing w:after="0" w:line="203" w:lineRule="exact"/>
        <w:rPr>
          <w:sz w:val="20"/>
          <w:szCs w:val="20"/>
          <w:color w:val="auto"/>
        </w:rPr>
      </w:pPr>
    </w:p>
    <w:p>
      <w:pPr>
        <w:spacing w:after="0" w:line="359" w:lineRule="auto"/>
        <w:rPr>
          <w:sz w:val="20"/>
          <w:szCs w:val="20"/>
          <w:color w:val="auto"/>
        </w:rPr>
      </w:pPr>
      <w:r>
        <w:rPr>
          <w:rFonts w:ascii="Arial" w:cs="Arial" w:eastAsia="Arial" w:hAnsi="Arial"/>
          <w:sz w:val="19"/>
          <w:szCs w:val="19"/>
          <w:color w:val="auto"/>
        </w:rPr>
        <w:t>Adjusted diluted earnings per share for 2023 are expected to be in the range of $2.45 to $2.65, assuming a share count of 54 million for full-year 2023. In 2023, the Company estimates that adjusted free cash flow will be in the range of $80 to $100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u w:val="single" w:color="auto"/>
          <w:color w:val="auto"/>
        </w:rPr>
        <w:t>Webcast and Conference Call Instructions</w:t>
      </w:r>
    </w:p>
    <w:p>
      <w:pPr>
        <w:spacing w:after="0" w:line="189" w:lineRule="exact"/>
        <w:rPr>
          <w:sz w:val="20"/>
          <w:szCs w:val="20"/>
          <w:color w:val="auto"/>
        </w:rPr>
      </w:pPr>
    </w:p>
    <w:p>
      <w:pPr>
        <w:jc w:val="both"/>
        <w:spacing w:after="0" w:line="383" w:lineRule="auto"/>
        <w:rPr>
          <w:sz w:val="20"/>
          <w:szCs w:val="20"/>
          <w:color w:val="auto"/>
        </w:rPr>
      </w:pPr>
      <w:r>
        <w:rPr>
          <w:rFonts w:ascii="Arial" w:cs="Arial" w:eastAsia="Arial" w:hAnsi="Arial"/>
          <w:sz w:val="18"/>
          <w:szCs w:val="18"/>
          <w:color w:val="auto"/>
        </w:rPr>
        <w:t xml:space="preserve">The Company will host a live audiocast for interested parties commencing at 1 p.m. London time (8 a.m. Eastern Time) on Wednesday, February 22, 2023 that will be accessible at </w:t>
      </w:r>
      <w:r>
        <w:rPr>
          <w:rFonts w:ascii="Arial" w:cs="Arial" w:eastAsia="Arial" w:hAnsi="Arial"/>
          <w:sz w:val="18"/>
          <w:szCs w:val="18"/>
          <w:u w:val="single" w:color="auto"/>
          <w:color w:val="0E32E1"/>
        </w:rPr>
        <w:t>www.livanova.com/events</w:t>
      </w:r>
      <w:r>
        <w:rPr>
          <w:rFonts w:ascii="Arial" w:cs="Arial" w:eastAsia="Arial" w:hAnsi="Arial"/>
          <w:sz w:val="18"/>
          <w:szCs w:val="18"/>
          <w:color w:val="auto"/>
        </w:rPr>
        <w:t xml:space="preserve">. Listeners should register in advance and log on approximately 10 minutes early to ensure proper setup. To listen to the conference call by telephone, dial +1 844 200 6205 (if dialing from within the U.S.) or +1 929 526 1599 (if dialing from outside the U.S.). The conference call access code is 041577. Within 24 hours of the audiocast, a replay will be available at </w:t>
      </w:r>
      <w:r>
        <w:rPr>
          <w:rFonts w:ascii="Arial" w:cs="Arial" w:eastAsia="Arial" w:hAnsi="Arial"/>
          <w:sz w:val="18"/>
          <w:szCs w:val="18"/>
          <w:u w:val="single" w:color="auto"/>
          <w:color w:val="0E32E1"/>
        </w:rPr>
        <w:t>www.livanova.com/events</w:t>
      </w:r>
      <w:r>
        <w:rPr>
          <w:rFonts w:ascii="Arial" w:cs="Arial" w:eastAsia="Arial" w:hAnsi="Arial"/>
          <w:sz w:val="18"/>
          <w:szCs w:val="18"/>
          <w:color w:val="auto"/>
        </w:rPr>
        <w:t>, where it will be archived and accessible for approximately 90 days.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6D2077"/>
        </w:rPr>
        <w:t>About LivaNova</w:t>
      </w:r>
    </w:p>
    <w:p>
      <w:pPr>
        <w:spacing w:after="0" w:line="319" w:lineRule="exact"/>
        <w:rPr>
          <w:sz w:val="20"/>
          <w:szCs w:val="20"/>
          <w:color w:val="auto"/>
        </w:rPr>
      </w:pPr>
    </w:p>
    <w:p>
      <w:pPr>
        <w:jc w:val="both"/>
        <w:spacing w:after="0" w:line="360" w:lineRule="auto"/>
        <w:rPr>
          <w:sz w:val="20"/>
          <w:szCs w:val="20"/>
          <w:color w:val="auto"/>
        </w:rPr>
      </w:pPr>
      <w:r>
        <w:rPr>
          <w:rFonts w:ascii="Arial" w:cs="Arial" w:eastAsia="Arial" w:hAnsi="Arial"/>
          <w:sz w:val="19"/>
          <w:szCs w:val="19"/>
          <w:color w:val="auto"/>
        </w:rPr>
        <w:t xml:space="preserve">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2,900 employees and has a presence in more than 100 countries for the benefit of patients, healthcare professionals and healthcare systems worldwide. For more information, please visit </w:t>
      </w:r>
      <w:r>
        <w:rPr>
          <w:rFonts w:ascii="Arial" w:cs="Arial" w:eastAsia="Arial" w:hAnsi="Arial"/>
          <w:sz w:val="19"/>
          <w:szCs w:val="19"/>
          <w:u w:val="single" w:color="auto"/>
          <w:color w:val="0E32E1"/>
        </w:rPr>
        <w:t>www.livanova.com</w:t>
      </w:r>
      <w:r>
        <w:rPr>
          <w:rFonts w:ascii="Arial" w:cs="Arial" w:eastAsia="Arial" w:hAnsi="Arial"/>
          <w:sz w:val="19"/>
          <w:szCs w:val="19"/>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6D2077"/>
        </w:rPr>
        <w:t>Use of Non-GAAP Financial Measures</w:t>
      </w:r>
    </w:p>
    <w:p>
      <w:pPr>
        <w:spacing w:after="0" w:line="319" w:lineRule="exact"/>
        <w:rPr>
          <w:sz w:val="20"/>
          <w:szCs w:val="20"/>
          <w:color w:val="auto"/>
        </w:rPr>
      </w:pPr>
    </w:p>
    <w:p>
      <w:pPr>
        <w:jc w:val="both"/>
        <w:spacing w:after="0" w:line="358" w:lineRule="auto"/>
        <w:rPr>
          <w:sz w:val="20"/>
          <w:szCs w:val="20"/>
          <w:color w:val="auto"/>
        </w:rPr>
      </w:pPr>
      <w:r>
        <w:rPr>
          <w:rFonts w:ascii="Arial" w:cs="Arial" w:eastAsia="Arial" w:hAnsi="Arial"/>
          <w:sz w:val="19"/>
          <w:szCs w:val="19"/>
          <w:color w:val="auto"/>
        </w:rPr>
        <w:t>In this press release, management has disclosed financial measurements that present financial information not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operating performance measures as prescribed by GAAP.</w:t>
      </w:r>
    </w:p>
    <w:p>
      <w:pPr>
        <w:spacing w:after="0" w:line="206" w:lineRule="exact"/>
        <w:rPr>
          <w:sz w:val="20"/>
          <w:szCs w:val="20"/>
          <w:color w:val="auto"/>
        </w:rPr>
      </w:pPr>
    </w:p>
    <w:p>
      <w:pPr>
        <w:jc w:val="both"/>
        <w:spacing w:after="0" w:line="360" w:lineRule="auto"/>
        <w:rPr>
          <w:sz w:val="20"/>
          <w:szCs w:val="20"/>
          <w:color w:val="auto"/>
        </w:rPr>
      </w:pPr>
      <w:r>
        <w:rPr>
          <w:rFonts w:ascii="Arial" w:cs="Arial" w:eastAsia="Arial" w:hAnsi="Arial"/>
          <w:sz w:val="19"/>
          <w:szCs w:val="19"/>
          <w:color w:val="auto"/>
        </w:rPr>
        <w:t>Unless otherwise noted, all revenue growth rates in this release reflect comparable, constant-currency percent change. Management believes that referring to comparable, constant-currency percent change is the most useful way to evaluate the revenue performance of LivaNova and to compare the revenue performance of current periods to prior periods on a consistent basis. Constant-currency percent change, a non-GAAP financial measure, measures the change in revenue between current and prior-year periods using average exchange rates in effect during the applicable prior-year period.</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LivaNova calculates forward-looking non-GAAP financial measures based on internal forecasts that omit certain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340" w:right="339" w:bottom="1440" w:gutter="0" w:footer="0" w:header="0"/>
        </w:sectPr>
      </w:pPr>
    </w:p>
    <w:bookmarkStart w:id="8" w:name="page9"/>
    <w:bookmarkEnd w:id="8"/>
    <w:p>
      <w:pPr>
        <w:spacing w:after="0" w:line="78" w:lineRule="exact"/>
        <w:rPr>
          <w:sz w:val="20"/>
          <w:szCs w:val="20"/>
          <w:color w:val="auto"/>
        </w:rPr>
      </w:pPr>
    </w:p>
    <w:p>
      <w:pPr>
        <w:jc w:val="both"/>
        <w:spacing w:after="0" w:line="380" w:lineRule="auto"/>
        <w:rPr>
          <w:sz w:val="20"/>
          <w:szCs w:val="20"/>
          <w:color w:val="auto"/>
        </w:rPr>
      </w:pPr>
      <w:r>
        <w:rPr>
          <w:rFonts w:ascii="Arial" w:cs="Arial" w:eastAsia="Arial" w:hAnsi="Arial"/>
          <w:sz w:val="18"/>
          <w:szCs w:val="18"/>
          <w:color w:val="auto"/>
        </w:rPr>
        <w:t>amounts that would be included in GAAP financial measures. For example, forward-looking net revenue growth projections are estimated on a constant-currency basis and exclude the impact of foreign currency fluctuations. Forward-looking non-GAAP adjusted diluted earnings per share guidance exclude other items such as, but not limited to, changes in fair value of derivatives and contingent consideration arrangements and asset impairment charges that would be included in comparable GAAP financial measures. The most directly comparable GAAP measure for constant-currency net revenue, non-GAAP adjusted tax rate and adjusted diluted earnings per share are net revenue, the effective tax rate and earnings per share, respectively. The most directly comparable GAAP measure for adjusted free cash flow is net cash provided by operating activities.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the ultimate outcome of legal proceedings, gains or losses on the potential sale of businesses or other assets, restructuring costs, merger and integration activities, changes in fair value of derivatives and contingent consideration arrangements, asset impairment charges and the tax impact of the aforementioned items, tax law changes or other tax matters. Accordingly, forward-looking GAAP financial measures and reconciliations to the most directly comparable forward-looking GAAP financial measures are not available without unreasonable effort.</w:t>
      </w:r>
    </w:p>
    <w:p>
      <w:pPr>
        <w:spacing w:after="0" w:line="191" w:lineRule="exact"/>
        <w:rPr>
          <w:sz w:val="20"/>
          <w:szCs w:val="20"/>
          <w:color w:val="auto"/>
        </w:rPr>
      </w:pPr>
    </w:p>
    <w:p>
      <w:pPr>
        <w:jc w:val="both"/>
        <w:spacing w:after="0" w:line="380" w:lineRule="auto"/>
        <w:rPr>
          <w:sz w:val="20"/>
          <w:szCs w:val="20"/>
          <w:color w:val="auto"/>
        </w:rPr>
      </w:pPr>
      <w:r>
        <w:rPr>
          <w:rFonts w:ascii="Arial" w:cs="Arial" w:eastAsia="Arial" w:hAnsi="Arial"/>
          <w:sz w:val="18"/>
          <w:szCs w:val="18"/>
          <w:color w:val="auto"/>
        </w:rPr>
        <w:t>The Company also believes adjusted financial measures such as adjusted gross profit percentage, adjusted selling, general and administrative expense, adjusted research and development expense, adjusted other operating expenses, adjusted operating income, adjusted income tax expense, adjusted net income and adjusted diluted earnings per share, are measures by which LivaNova generally uses to facilitate management review of the operational performance of the company, to serve as a basis for strategic planning and to assist in the design of compensation incentive plans. Additionally, the Company also uses the non-GAAP liquidity measure adjusted free cash flow.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color w:val="6D2077"/>
        </w:rPr>
        <w:t>Safe Harbor Statement</w:t>
      </w:r>
    </w:p>
    <w:p>
      <w:pPr>
        <w:spacing w:after="0" w:line="306"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Certain statements in this press release, other than purely historical information, are “forward-looking statements” within the meaning of the Private Securities Litigation Reform Act of 1995, Section 27A of the Securities Act of 1933 and Section 21E of the Securities Exchange Act of 1934, as amended. These statements include, but are not limited, to LivaNova’s plans, objectives, strategies, financial performance and outlook, trends, prospects or future events and involve known and unknown risks that are difficult to predict. As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78" w:lineRule="exact"/>
        <w:rPr>
          <w:sz w:val="20"/>
          <w:szCs w:val="20"/>
          <w:color w:val="auto"/>
        </w:rPr>
      </w:pPr>
    </w:p>
    <w:p>
      <w:pPr>
        <w:jc w:val="both"/>
        <w:spacing w:after="0" w:line="358" w:lineRule="auto"/>
        <w:rPr>
          <w:sz w:val="20"/>
          <w:szCs w:val="20"/>
          <w:color w:val="auto"/>
        </w:rPr>
      </w:pPr>
      <w:r>
        <w:rPr>
          <w:rFonts w:ascii="Arial" w:cs="Arial" w:eastAsia="Arial" w:hAnsi="Arial"/>
          <w:sz w:val="19"/>
          <w:szCs w:val="19"/>
          <w:color w:val="auto"/>
        </w:rPr>
        <w:t>a result, our actual financial results, performance, achievements or prospects may differ materially from those expressed or implied by these forward-looking statements. Generally,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press release. Such risks, uncertainties and other important factors include, but are not limited to: risks related to reductions, interruptions or increasing costs related to the supply of raw materials and components and the distribution of finished products, including as a result of inflation and war; volatility in the global market and worldwide economic conditions, including as caused by the invasion of Ukraine, inflation, foreign exchange fluctuations, changes to existing trade agreements and relationships between the U.S. and other countries including the implementation of sanctions; changes in technology, including the development of superior or alternative technology or devices by competitors and/or competition from providers of alternative medical therapies; failure to obtain approvals or reimbursement in relation to our products; failure to establish, expand or maintain market acceptance of our products for the treatment of our approved indications; failure to develop and commercialize new products and the rate and degree of market acceptance of such products; unfavorable results from clinical studies or failure to meet milestones; failure to comply with, or changes in, laws, regulations or administrative practices affecting government regulation of our products; risks relating to recalls, enforcement actions or product liability claims; changes or reductions in reimbursement for our products or failure to comply with rules relating to reimbursement of healthcare goods and services; cyber-attacks or other disruptions to our information technology systems; costs of complying with privacy and security of personal information requirements and laws; failure to comply with anti-bribery laws; risks associated with environmental laws and regulations as well as environmental liabilities, violations, protest voting and litigation; losses or costs from pending or future lawsuits and governmental investigations, including in the case of our 3T and SNIA litigations; product liability, intellectual property, shareholder-related, environmental-related, income tax and other litigation, disputes, losses and costs; failure to retain key personnel, prevent labor shortages, or manage labor costs; the impact of climate change and the risk of environmental, social and governance pressures from internal and external stakeholders; the risk of quality concerns and the impacts thereof; the failure of our R&amp;D efforts to keep up with the rapid pace of technological development in the medical device industry; failure to</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78" w:lineRule="exact"/>
        <w:rPr>
          <w:sz w:val="20"/>
          <w:szCs w:val="20"/>
          <w:color w:val="auto"/>
        </w:rPr>
      </w:pPr>
    </w:p>
    <w:p>
      <w:pPr>
        <w:jc w:val="both"/>
        <w:spacing w:after="0" w:line="360" w:lineRule="auto"/>
        <w:rPr>
          <w:sz w:val="20"/>
          <w:szCs w:val="20"/>
          <w:color w:val="auto"/>
        </w:rPr>
      </w:pPr>
      <w:r>
        <w:rPr>
          <w:rFonts w:ascii="Arial" w:cs="Arial" w:eastAsia="Arial" w:hAnsi="Arial"/>
          <w:sz w:val="19"/>
          <w:szCs w:val="19"/>
          <w:color w:val="auto"/>
        </w:rPr>
        <w:t>protect our proprietary intellectual property; COVID-19’s reverberating impacts on the economy, employment, patient behaviors and supply chain, among others; failure of new acquisitions to further our strategic objectives or strengthen our existing businesses; the potential for impairments of intangible assets and goodwill; changes in our common stock price; activist investors causing disruptions to the business; risks relating to our indebtedness under the exchangeable senior notes, our revolving credit facility and our 2022 term facilities; effectiveness of our internal controls over financial reporting; changes in our profitability and/or failure to manage costs and expenses; fluctuations in future quarterly operating results and/or variations in revenue and operating expenses relative to estimates; changes in tax laws and regulations, including exposure to additional income tax liabilities; and other unknown or unpredictable factors that could harm our financial performance.</w:t>
      </w:r>
    </w:p>
    <w:p>
      <w:pPr>
        <w:spacing w:after="0" w:line="192" w:lineRule="exact"/>
        <w:rPr>
          <w:sz w:val="20"/>
          <w:szCs w:val="20"/>
          <w:color w:val="auto"/>
        </w:rPr>
      </w:pPr>
    </w:p>
    <w:p>
      <w:pPr>
        <w:jc w:val="both"/>
        <w:spacing w:after="0" w:line="363" w:lineRule="auto"/>
        <w:rPr>
          <w:sz w:val="20"/>
          <w:szCs w:val="20"/>
          <w:color w:val="auto"/>
        </w:rPr>
      </w:pPr>
      <w:r>
        <w:rPr>
          <w:rFonts w:ascii="Arial" w:cs="Arial" w:eastAsia="Arial" w:hAnsi="Arial"/>
          <w:sz w:val="19"/>
          <w:szCs w:val="19"/>
          <w:color w:val="auto"/>
        </w:rPr>
        <w:t>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and other documents filed from time to time with the United States Securities and Exchange Commission by LivaNova.</w:t>
      </w:r>
    </w:p>
    <w:p>
      <w:pPr>
        <w:spacing w:after="0" w:line="187" w:lineRule="exact"/>
        <w:rPr>
          <w:sz w:val="20"/>
          <w:szCs w:val="20"/>
          <w:color w:val="auto"/>
        </w:rPr>
      </w:pPr>
    </w:p>
    <w:p>
      <w:pPr>
        <w:jc w:val="both"/>
        <w:spacing w:after="0" w:line="360" w:lineRule="auto"/>
        <w:rPr>
          <w:sz w:val="20"/>
          <w:szCs w:val="20"/>
          <w:color w:val="auto"/>
        </w:rPr>
      </w:pPr>
      <w:r>
        <w:rPr>
          <w:rFonts w:ascii="Arial" w:cs="Arial" w:eastAsia="Arial" w:hAnsi="Arial"/>
          <w:sz w:val="19"/>
          <w:szCs w:val="19"/>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Essenz, LifeSPARC and 3T Heater-Cooler are trademarks of LivaNova USA, Inc.</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Briana Gotlin</w:t>
      </w:r>
    </w:p>
    <w:p>
      <w:pPr>
        <w:spacing w:after="0" w:line="272" w:lineRule="exact"/>
        <w:rPr>
          <w:sz w:val="20"/>
          <w:szCs w:val="20"/>
          <w:color w:val="auto"/>
        </w:rPr>
      </w:pPr>
    </w:p>
    <w:p>
      <w:pPr>
        <w:ind w:left="80"/>
        <w:spacing w:after="0"/>
        <w:rPr>
          <w:sz w:val="20"/>
          <w:szCs w:val="20"/>
          <w:color w:val="auto"/>
        </w:rPr>
      </w:pPr>
      <w:r>
        <w:rPr>
          <w:rFonts w:ascii="Arial" w:cs="Arial" w:eastAsia="Arial" w:hAnsi="Arial"/>
          <w:sz w:val="19"/>
          <w:szCs w:val="19"/>
          <w:color w:val="auto"/>
        </w:rPr>
        <w:t>Director, Investor Relations</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9"/>
          <w:szCs w:val="19"/>
          <w:color w:val="auto"/>
        </w:rPr>
        <w:t>Phone: +1 281 895 2382</w:t>
      </w:r>
    </w:p>
    <w:p>
      <w:pPr>
        <w:ind w:left="80"/>
        <w:spacing w:after="0"/>
        <w:rPr>
          <w:sz w:val="20"/>
          <w:szCs w:val="20"/>
          <w:color w:val="auto"/>
        </w:rPr>
      </w:pPr>
      <w:r>
        <w:rPr>
          <w:rFonts w:ascii="Arial" w:cs="Arial" w:eastAsia="Arial" w:hAnsi="Arial"/>
          <w:sz w:val="19"/>
          <w:szCs w:val="19"/>
          <w:color w:val="auto"/>
        </w:rPr>
        <w:t>e-mail: InvestorRelations@livanova.com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11" w:name="page12"/>
    <w:bookmarkEnd w:id="11"/>
    <w:tbl>
      <w:tblPr>
        <w:tblLayout w:type="fixed"/>
        <w:tblInd w:w="1" w:type="dxa"/>
        <w:tblCellMar>
          <w:top w:w="0" w:type="dxa"/>
          <w:left w:w="0" w:type="dxa"/>
          <w:bottom w:w="0" w:type="dxa"/>
          <w:right w:w="0" w:type="dxa"/>
        </w:tblCellMar>
      </w:tblPr>
      <w:tr>
        <w:trPr>
          <w:trHeight w:val="217"/>
        </w:trPr>
        <w:tc>
          <w:tcPr>
            <w:tcW w:w="4540" w:type="dxa"/>
            <w:vAlign w:val="bottom"/>
          </w:tcPr>
          <w:p>
            <w:pPr>
              <w:spacing w:after="0"/>
              <w:rPr>
                <w:sz w:val="20"/>
                <w:szCs w:val="20"/>
                <w:color w:val="auto"/>
              </w:rPr>
            </w:pPr>
            <w:r>
              <w:rPr>
                <w:rFonts w:ascii="Arial" w:cs="Arial" w:eastAsia="Arial" w:hAnsi="Arial"/>
                <w:sz w:val="17"/>
                <w:szCs w:val="17"/>
                <w:b w:val="1"/>
                <w:bCs w:val="1"/>
                <w:color w:val="auto"/>
              </w:rPr>
              <w:t>LIVANOVA PLC</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tcPr>
          <w:p>
            <w:pPr>
              <w:spacing w:after="0"/>
              <w:rPr>
                <w:sz w:val="20"/>
                <w:szCs w:val="20"/>
                <w:color w:val="auto"/>
              </w:rPr>
            </w:pPr>
            <w:r>
              <w:rPr>
                <w:rFonts w:ascii="Arial" w:cs="Arial" w:eastAsia="Arial" w:hAnsi="Arial"/>
                <w:sz w:val="17"/>
                <w:szCs w:val="17"/>
                <w:b w:val="1"/>
                <w:bCs w:val="1"/>
                <w:color w:val="auto"/>
              </w:rPr>
              <w:t>NET REVENUE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40" w:type="dxa"/>
            <w:vAlign w:val="bottom"/>
          </w:tcPr>
          <w:p>
            <w:pPr>
              <w:spacing w:after="0"/>
              <w:rPr>
                <w:sz w:val="20"/>
                <w:szCs w:val="20"/>
                <w:color w:val="auto"/>
              </w:rPr>
            </w:pPr>
            <w:r>
              <w:rPr>
                <w:rFonts w:ascii="Arial" w:cs="Arial" w:eastAsia="Arial" w:hAnsi="Arial"/>
                <w:sz w:val="17"/>
                <w:szCs w:val="17"/>
                <w:b w:val="1"/>
                <w:bCs w:val="1"/>
                <w:color w:val="auto"/>
              </w:rPr>
              <w:t>(U.S. dollars in millions)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gridSpan w:val="4"/>
            <w:vMerge w:val="restart"/>
          </w:tcPr>
          <w:p>
            <w:pPr>
              <w:ind w:left="500"/>
              <w:spacing w:after="0"/>
              <w:rPr>
                <w:sz w:val="20"/>
                <w:szCs w:val="20"/>
                <w:color w:val="auto"/>
              </w:rPr>
            </w:pPr>
            <w:r>
              <w:rPr>
                <w:rFonts w:ascii="Arial" w:cs="Arial" w:eastAsia="Arial" w:hAnsi="Arial"/>
                <w:sz w:val="17"/>
                <w:szCs w:val="17"/>
                <w:b w:val="1"/>
                <w:bCs w:val="1"/>
                <w:color w:val="auto"/>
              </w:rPr>
              <w:t>Three Months Ended December 31,</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vMerge w:val="continue"/>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7"/>
                <w:szCs w:val="17"/>
                <w:b w:val="1"/>
                <w:bCs w:val="1"/>
                <w:color w:val="auto"/>
              </w:rPr>
              <w:t>% Change at Actual</w:t>
            </w:r>
          </w:p>
        </w:tc>
        <w:tc>
          <w:tcPr>
            <w:tcW w:w="188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rPr>
              <w:t>% Change at</w:t>
            </w:r>
          </w:p>
        </w:tc>
        <w:tc>
          <w:tcPr>
            <w:tcW w:w="0" w:type="dxa"/>
            <w:vAlign w:val="bottom"/>
          </w:tcPr>
          <w:p>
            <w:pPr>
              <w:spacing w:after="0"/>
              <w:rPr>
                <w:sz w:val="1"/>
                <w:szCs w:val="1"/>
                <w:color w:val="auto"/>
              </w:rPr>
            </w:pPr>
          </w:p>
        </w:tc>
      </w:tr>
      <w:tr>
        <w:trPr>
          <w:trHeight w:val="166"/>
        </w:trPr>
        <w:tc>
          <w:tcPr>
            <w:tcW w:w="4540" w:type="dxa"/>
            <w:vAlign w:val="bottom"/>
          </w:tcPr>
          <w:p>
            <w:pPr>
              <w:spacing w:after="0"/>
              <w:rPr>
                <w:sz w:val="14"/>
                <w:szCs w:val="14"/>
                <w:color w:val="auto"/>
              </w:rPr>
            </w:pPr>
          </w:p>
        </w:tc>
        <w:tc>
          <w:tcPr>
            <w:tcW w:w="132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4"/>
                <w:szCs w:val="14"/>
                <w:color w:val="auto"/>
              </w:rPr>
            </w:pPr>
          </w:p>
        </w:tc>
        <w:tc>
          <w:tcPr>
            <w:tcW w:w="132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8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rPr>
              <w:t>Constant-Currency</w:t>
            </w:r>
          </w:p>
        </w:tc>
        <w:tc>
          <w:tcPr>
            <w:tcW w:w="0" w:type="dxa"/>
            <w:vAlign w:val="bottom"/>
          </w:tcPr>
          <w:p>
            <w:pPr>
              <w:spacing w:after="0"/>
              <w:rPr>
                <w:sz w:val="1"/>
                <w:szCs w:val="1"/>
                <w:color w:val="auto"/>
              </w:rPr>
            </w:pPr>
          </w:p>
        </w:tc>
      </w:tr>
      <w:tr>
        <w:trPr>
          <w:trHeight w:val="230"/>
        </w:trPr>
        <w:tc>
          <w:tcPr>
            <w:tcW w:w="4540" w:type="dxa"/>
            <w:vAlign w:val="bottom"/>
            <w:vMerge w:val="restart"/>
          </w:tcPr>
          <w:p>
            <w:pPr>
              <w:spacing w:after="0"/>
              <w:rPr>
                <w:sz w:val="20"/>
                <w:szCs w:val="20"/>
                <w:color w:val="auto"/>
              </w:rPr>
            </w:pPr>
            <w:r>
              <w:rPr>
                <w:rFonts w:ascii="Arial" w:cs="Arial" w:eastAsia="Arial" w:hAnsi="Arial"/>
                <w:sz w:val="17"/>
                <w:szCs w:val="17"/>
                <w:b w:val="1"/>
                <w:bCs w:val="1"/>
                <w:color w:val="auto"/>
              </w:rPr>
              <w:t>Cardiopulmonary</w:t>
            </w: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Currency Rates</w:t>
            </w:r>
          </w:p>
        </w:tc>
        <w:tc>
          <w:tcPr>
            <w:tcW w:w="1880" w:type="dxa"/>
            <w:vAlign w:val="bottom"/>
          </w:tcPr>
          <w:p>
            <w:pPr>
              <w:jc w:val="center"/>
              <w:spacing w:after="0" w:line="230" w:lineRule="exact"/>
              <w:rPr>
                <w:sz w:val="20"/>
                <w:szCs w:val="20"/>
                <w:color w:val="auto"/>
              </w:rPr>
            </w:pPr>
            <w:r>
              <w:rPr>
                <w:rFonts w:ascii="Arial" w:cs="Arial" w:eastAsia="Arial" w:hAnsi="Arial"/>
                <w:sz w:val="17"/>
                <w:szCs w:val="17"/>
                <w:b w:val="1"/>
                <w:bCs w:val="1"/>
                <w:color w:val="auto"/>
                <w:w w:val="92"/>
              </w:rPr>
              <w:t xml:space="preserve">Rates </w:t>
            </w:r>
            <w:r>
              <w:rPr>
                <w:rFonts w:ascii="Arial" w:cs="Arial" w:eastAsia="Arial" w:hAnsi="Arial"/>
                <w:sz w:val="22"/>
                <w:szCs w:val="22"/>
                <w:b w:val="1"/>
                <w:bCs w:val="1"/>
                <w:color w:val="auto"/>
                <w:w w:val="92"/>
                <w:vertAlign w:val="superscript"/>
              </w:rPr>
              <w:t>(1)</w:t>
            </w:r>
          </w:p>
        </w:tc>
        <w:tc>
          <w:tcPr>
            <w:tcW w:w="0" w:type="dxa"/>
            <w:vAlign w:val="bottom"/>
          </w:tcPr>
          <w:p>
            <w:pPr>
              <w:spacing w:after="0"/>
              <w:rPr>
                <w:sz w:val="1"/>
                <w:szCs w:val="1"/>
                <w:color w:val="auto"/>
              </w:rPr>
            </w:pPr>
          </w:p>
        </w:tc>
      </w:tr>
      <w:tr>
        <w:trPr>
          <w:trHeight w:val="196"/>
        </w:trPr>
        <w:tc>
          <w:tcPr>
            <w:tcW w:w="4540" w:type="dxa"/>
            <w:vAlign w:val="bottom"/>
            <w:vMerge w:val="continue"/>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$45.1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$40.8</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10.5 %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10.5 %</w:t>
            </w:r>
          </w:p>
        </w:tc>
        <w:tc>
          <w:tcPr>
            <w:tcW w:w="0" w:type="dxa"/>
            <w:vAlign w:val="bottom"/>
          </w:tcPr>
          <w:p>
            <w:pPr>
              <w:spacing w:after="0"/>
              <w:rPr>
                <w:sz w:val="1"/>
                <w:szCs w:val="1"/>
                <w:color w:val="auto"/>
              </w:rPr>
            </w:pPr>
          </w:p>
        </w:tc>
      </w:tr>
      <w:tr>
        <w:trPr>
          <w:trHeight w:val="231"/>
        </w:trPr>
        <w:tc>
          <w:tcPr>
            <w:tcW w:w="4540" w:type="dxa"/>
            <w:vAlign w:val="bottom"/>
          </w:tcPr>
          <w:p>
            <w:pPr>
              <w:ind w:left="100"/>
              <w:spacing w:after="0" w:line="230" w:lineRule="exact"/>
              <w:rPr>
                <w:sz w:val="20"/>
                <w:szCs w:val="20"/>
                <w:color w:val="auto"/>
              </w:rPr>
            </w:pPr>
            <w:r>
              <w:rPr>
                <w:rFonts w:ascii="Arial" w:cs="Arial" w:eastAsia="Arial" w:hAnsi="Arial"/>
                <w:sz w:val="17"/>
                <w:szCs w:val="17"/>
                <w:color w:val="auto"/>
              </w:rPr>
              <w:t xml:space="preserve">Europe </w:t>
            </w:r>
            <w:r>
              <w:rPr>
                <w:rFonts w:ascii="Arial" w:cs="Arial" w:eastAsia="Arial" w:hAnsi="Arial"/>
                <w:sz w:val="22"/>
                <w:szCs w:val="22"/>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7"/>
                <w:szCs w:val="17"/>
                <w:color w:val="auto"/>
              </w:rPr>
              <w:t>33.1</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36.0</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3.3 %</w:t>
            </w:r>
          </w:p>
        </w:tc>
        <w:tc>
          <w:tcPr>
            <w:tcW w:w="0" w:type="dxa"/>
            <w:vAlign w:val="bottom"/>
          </w:tcPr>
          <w:p>
            <w:pPr>
              <w:spacing w:after="0"/>
              <w:rPr>
                <w:sz w:val="1"/>
                <w:szCs w:val="1"/>
                <w:color w:val="auto"/>
              </w:rPr>
            </w:pPr>
          </w:p>
        </w:tc>
      </w:tr>
      <w:tr>
        <w:trPr>
          <w:trHeight w:val="205"/>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3.4 %</w:t>
            </w:r>
          </w:p>
        </w:tc>
        <w:tc>
          <w:tcPr>
            <w:tcW w:w="1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12.2 %</w:t>
            </w:r>
          </w:p>
        </w:tc>
        <w:tc>
          <w:tcPr>
            <w:tcW w:w="0" w:type="dxa"/>
            <w:vAlign w:val="bottom"/>
          </w:tcPr>
          <w:p>
            <w:pPr>
              <w:spacing w:after="0"/>
              <w:rPr>
                <w:sz w:val="1"/>
                <w:szCs w:val="1"/>
                <w:color w:val="auto"/>
              </w:rPr>
            </w:pPr>
          </w:p>
        </w:tc>
      </w:tr>
      <w:tr>
        <w:trPr>
          <w:trHeight w:val="210"/>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136.5</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2.5 %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9.3 %</w:t>
            </w:r>
          </w:p>
        </w:tc>
        <w:tc>
          <w:tcPr>
            <w:tcW w:w="0" w:type="dxa"/>
            <w:vAlign w:val="bottom"/>
          </w:tcPr>
          <w:p>
            <w:pPr>
              <w:spacing w:after="0"/>
              <w:rPr>
                <w:sz w:val="1"/>
                <w:szCs w:val="1"/>
                <w:color w:val="auto"/>
              </w:rPr>
            </w:pPr>
          </w:p>
        </w:tc>
      </w:tr>
      <w:tr>
        <w:trPr>
          <w:trHeight w:val="204"/>
        </w:trPr>
        <w:tc>
          <w:tcPr>
            <w:tcW w:w="4540" w:type="dxa"/>
            <w:vAlign w:val="bottom"/>
          </w:tcPr>
          <w:p>
            <w:pPr>
              <w:spacing w:after="0"/>
              <w:rPr>
                <w:sz w:val="20"/>
                <w:szCs w:val="20"/>
                <w:color w:val="auto"/>
              </w:rPr>
            </w:pPr>
            <w:r>
              <w:rPr>
                <w:rFonts w:ascii="Arial" w:cs="Arial" w:eastAsia="Arial" w:hAnsi="Arial"/>
                <w:sz w:val="17"/>
                <w:szCs w:val="17"/>
                <w:b w:val="1"/>
                <w:bCs w:val="1"/>
                <w:color w:val="auto"/>
              </w:rPr>
              <w:t>Neuromodulation</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99.4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95.7</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3.9 %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3.9 %</w:t>
            </w:r>
          </w:p>
        </w:tc>
        <w:tc>
          <w:tcPr>
            <w:tcW w:w="0" w:type="dxa"/>
            <w:vAlign w:val="bottom"/>
          </w:tcPr>
          <w:p>
            <w:pPr>
              <w:spacing w:after="0"/>
              <w:rPr>
                <w:sz w:val="1"/>
                <w:szCs w:val="1"/>
                <w:color w:val="auto"/>
              </w:rPr>
            </w:pPr>
          </w:p>
        </w:tc>
      </w:tr>
      <w:tr>
        <w:trPr>
          <w:trHeight w:val="231"/>
        </w:trPr>
        <w:tc>
          <w:tcPr>
            <w:tcW w:w="4540" w:type="dxa"/>
            <w:vAlign w:val="bottom"/>
          </w:tcPr>
          <w:p>
            <w:pPr>
              <w:ind w:left="100"/>
              <w:spacing w:after="0" w:line="230" w:lineRule="exact"/>
              <w:rPr>
                <w:sz w:val="20"/>
                <w:szCs w:val="20"/>
                <w:color w:val="auto"/>
              </w:rPr>
            </w:pPr>
            <w:r>
              <w:rPr>
                <w:rFonts w:ascii="Arial" w:cs="Arial" w:eastAsia="Arial" w:hAnsi="Arial"/>
                <w:sz w:val="17"/>
                <w:szCs w:val="17"/>
                <w:color w:val="auto"/>
              </w:rPr>
              <w:t xml:space="preserve">Europe </w:t>
            </w:r>
            <w:r>
              <w:rPr>
                <w:rFonts w:ascii="Arial" w:cs="Arial" w:eastAsia="Arial" w:hAnsi="Arial"/>
                <w:sz w:val="22"/>
                <w:szCs w:val="22"/>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12.6</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2.8 %</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16.0 %</w:t>
            </w:r>
          </w:p>
        </w:tc>
        <w:tc>
          <w:tcPr>
            <w:tcW w:w="0" w:type="dxa"/>
            <w:vAlign w:val="bottom"/>
          </w:tcPr>
          <w:p>
            <w:pPr>
              <w:spacing w:after="0"/>
              <w:rPr>
                <w:sz w:val="1"/>
                <w:szCs w:val="1"/>
                <w:color w:val="auto"/>
              </w:rPr>
            </w:pPr>
          </w:p>
        </w:tc>
      </w:tr>
      <w:tr>
        <w:trPr>
          <w:trHeight w:val="205"/>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11.4 %</w:t>
            </w:r>
          </w:p>
        </w:tc>
        <w:tc>
          <w:tcPr>
            <w:tcW w:w="1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18.2 %</w:t>
            </w:r>
          </w:p>
        </w:tc>
        <w:tc>
          <w:tcPr>
            <w:tcW w:w="0" w:type="dxa"/>
            <w:vAlign w:val="bottom"/>
          </w:tcPr>
          <w:p>
            <w:pPr>
              <w:spacing w:after="0"/>
              <w:rPr>
                <w:sz w:val="1"/>
                <w:szCs w:val="1"/>
                <w:color w:val="auto"/>
              </w:rPr>
            </w:pPr>
          </w:p>
        </w:tc>
      </w:tr>
      <w:tr>
        <w:trPr>
          <w:trHeight w:val="210"/>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121.6</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4.6 %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6.7 %</w:t>
            </w:r>
          </w:p>
        </w:tc>
        <w:tc>
          <w:tcPr>
            <w:tcW w:w="0" w:type="dxa"/>
            <w:vAlign w:val="bottom"/>
          </w:tcPr>
          <w:p>
            <w:pPr>
              <w:spacing w:after="0"/>
              <w:rPr>
                <w:sz w:val="1"/>
                <w:szCs w:val="1"/>
                <w:color w:val="auto"/>
              </w:rPr>
            </w:pPr>
          </w:p>
        </w:tc>
      </w:tr>
      <w:tr>
        <w:trPr>
          <w:trHeight w:val="204"/>
        </w:trPr>
        <w:tc>
          <w:tcPr>
            <w:tcW w:w="4540" w:type="dxa"/>
            <w:vAlign w:val="bottom"/>
          </w:tcPr>
          <w:p>
            <w:pPr>
              <w:spacing w:after="0"/>
              <w:rPr>
                <w:sz w:val="20"/>
                <w:szCs w:val="20"/>
                <w:color w:val="auto"/>
              </w:rPr>
            </w:pPr>
            <w:r>
              <w:rPr>
                <w:rFonts w:ascii="Arial" w:cs="Arial" w:eastAsia="Arial" w:hAnsi="Arial"/>
                <w:sz w:val="17"/>
                <w:szCs w:val="17"/>
                <w:b w:val="1"/>
                <w:bCs w:val="1"/>
                <w:color w:val="auto"/>
              </w:rPr>
              <w:t>Advanced Circulatory Support</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13.4</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(30.1)%</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31"/>
        </w:trPr>
        <w:tc>
          <w:tcPr>
            <w:tcW w:w="4540" w:type="dxa"/>
            <w:vAlign w:val="bottom"/>
          </w:tcPr>
          <w:p>
            <w:pPr>
              <w:ind w:left="100"/>
              <w:spacing w:after="0" w:line="230" w:lineRule="exact"/>
              <w:rPr>
                <w:sz w:val="20"/>
                <w:szCs w:val="20"/>
                <w:color w:val="auto"/>
              </w:rPr>
            </w:pPr>
            <w:r>
              <w:rPr>
                <w:rFonts w:ascii="Arial" w:cs="Arial" w:eastAsia="Arial" w:hAnsi="Arial"/>
                <w:sz w:val="17"/>
                <w:szCs w:val="17"/>
                <w:color w:val="auto"/>
              </w:rPr>
              <w:t xml:space="preserve">Europe </w:t>
            </w:r>
            <w:r>
              <w:rPr>
                <w:rFonts w:ascii="Arial" w:cs="Arial" w:eastAsia="Arial" w:hAnsi="Arial"/>
                <w:sz w:val="22"/>
                <w:szCs w:val="22"/>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7"/>
                <w:szCs w:val="17"/>
                <w:color w:val="auto"/>
              </w:rPr>
              <w:t>NM</w:t>
            </w:r>
          </w:p>
        </w:tc>
        <w:tc>
          <w:tcPr>
            <w:tcW w:w="188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5"/>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7"/>
                <w:szCs w:val="17"/>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7"/>
                <w:szCs w:val="17"/>
                <w:color w:val="auto"/>
              </w:rPr>
              <w:t>NM</w:t>
            </w:r>
          </w:p>
        </w:tc>
        <w:tc>
          <w:tcPr>
            <w:tcW w:w="188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0"/>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(30.2)%</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04"/>
        </w:trPr>
        <w:tc>
          <w:tcPr>
            <w:tcW w:w="4540" w:type="dxa"/>
            <w:vAlign w:val="bottom"/>
          </w:tcPr>
          <w:p>
            <w:pPr>
              <w:spacing w:after="0"/>
              <w:rPr>
                <w:sz w:val="20"/>
                <w:szCs w:val="20"/>
                <w:color w:val="auto"/>
              </w:rPr>
            </w:pPr>
            <w:r>
              <w:rPr>
                <w:rFonts w:ascii="Arial" w:cs="Arial" w:eastAsia="Arial" w:hAnsi="Arial"/>
                <w:sz w:val="17"/>
                <w:szCs w:val="17"/>
                <w:b w:val="1"/>
                <w:bCs w:val="1"/>
                <w:color w:val="auto"/>
              </w:rPr>
              <w:t>Other</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188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31"/>
        </w:trPr>
        <w:tc>
          <w:tcPr>
            <w:tcW w:w="4540" w:type="dxa"/>
            <w:vAlign w:val="bottom"/>
          </w:tcPr>
          <w:p>
            <w:pPr>
              <w:ind w:left="100"/>
              <w:spacing w:after="0" w:line="230" w:lineRule="exact"/>
              <w:rPr>
                <w:sz w:val="20"/>
                <w:szCs w:val="20"/>
                <w:color w:val="auto"/>
              </w:rPr>
            </w:pPr>
            <w:r>
              <w:rPr>
                <w:rFonts w:ascii="Arial" w:cs="Arial" w:eastAsia="Arial" w:hAnsi="Arial"/>
                <w:sz w:val="17"/>
                <w:szCs w:val="17"/>
                <w:color w:val="auto"/>
              </w:rPr>
              <w:t xml:space="preserve">Europe </w:t>
            </w:r>
            <w:r>
              <w:rPr>
                <w:rFonts w:ascii="Arial" w:cs="Arial" w:eastAsia="Arial" w:hAnsi="Arial"/>
                <w:sz w:val="22"/>
                <w:szCs w:val="22"/>
                <w:color w:val="auto"/>
                <w:vertAlign w:val="superscript"/>
              </w:rPr>
              <w:t>(2)</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188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5"/>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4.8 %</w:t>
            </w:r>
          </w:p>
        </w:tc>
        <w:tc>
          <w:tcPr>
            <w:tcW w:w="1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15.8 %</w:t>
            </w:r>
          </w:p>
        </w:tc>
        <w:tc>
          <w:tcPr>
            <w:tcW w:w="0" w:type="dxa"/>
            <w:vAlign w:val="bottom"/>
          </w:tcPr>
          <w:p>
            <w:pPr>
              <w:spacing w:after="0"/>
              <w:rPr>
                <w:sz w:val="1"/>
                <w:szCs w:val="1"/>
                <w:color w:val="auto"/>
              </w:rPr>
            </w:pPr>
          </w:p>
        </w:tc>
      </w:tr>
      <w:tr>
        <w:trPr>
          <w:trHeight w:val="210"/>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4.8 %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15.8 %</w:t>
            </w:r>
          </w:p>
        </w:tc>
        <w:tc>
          <w:tcPr>
            <w:tcW w:w="0" w:type="dxa"/>
            <w:vAlign w:val="bottom"/>
          </w:tcPr>
          <w:p>
            <w:pPr>
              <w:spacing w:after="0"/>
              <w:rPr>
                <w:sz w:val="1"/>
                <w:szCs w:val="1"/>
                <w:color w:val="auto"/>
              </w:rPr>
            </w:pPr>
          </w:p>
        </w:tc>
      </w:tr>
      <w:tr>
        <w:trPr>
          <w:trHeight w:val="204"/>
        </w:trPr>
        <w:tc>
          <w:tcPr>
            <w:tcW w:w="4540" w:type="dxa"/>
            <w:vAlign w:val="bottom"/>
          </w:tcPr>
          <w:p>
            <w:pPr>
              <w:spacing w:after="0"/>
              <w:rPr>
                <w:sz w:val="20"/>
                <w:szCs w:val="20"/>
                <w:color w:val="auto"/>
              </w:rPr>
            </w:pPr>
            <w:r>
              <w:rPr>
                <w:rFonts w:ascii="Arial" w:cs="Arial" w:eastAsia="Arial" w:hAnsi="Arial"/>
                <w:sz w:val="17"/>
                <w:szCs w:val="17"/>
                <w:b w:val="1"/>
                <w:bCs w:val="1"/>
                <w:color w:val="auto"/>
              </w:rPr>
              <w:t>Totals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153.8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149.8</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2.6 %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r>
        <w:trPr>
          <w:trHeight w:val="231"/>
        </w:trPr>
        <w:tc>
          <w:tcPr>
            <w:tcW w:w="4540" w:type="dxa"/>
            <w:vAlign w:val="bottom"/>
          </w:tcPr>
          <w:p>
            <w:pPr>
              <w:ind w:left="100"/>
              <w:spacing w:after="0" w:line="230" w:lineRule="exact"/>
              <w:rPr>
                <w:sz w:val="20"/>
                <w:szCs w:val="20"/>
                <w:color w:val="auto"/>
              </w:rPr>
            </w:pPr>
            <w:r>
              <w:rPr>
                <w:rFonts w:ascii="Arial" w:cs="Arial" w:eastAsia="Arial" w:hAnsi="Arial"/>
                <w:sz w:val="17"/>
                <w:szCs w:val="17"/>
                <w:color w:val="auto"/>
              </w:rPr>
              <w:t xml:space="preserve">Europe </w:t>
            </w:r>
            <w:r>
              <w:rPr>
                <w:rFonts w:ascii="Arial" w:cs="Arial" w:eastAsia="Arial" w:hAnsi="Arial"/>
                <w:sz w:val="22"/>
                <w:szCs w:val="22"/>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7"/>
                <w:szCs w:val="17"/>
                <w:color w:val="auto"/>
              </w:rPr>
              <w:t>46.3</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48.9</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6.4 %</w:t>
            </w:r>
          </w:p>
        </w:tc>
        <w:tc>
          <w:tcPr>
            <w:tcW w:w="0" w:type="dxa"/>
            <w:vAlign w:val="bottom"/>
          </w:tcPr>
          <w:p>
            <w:pPr>
              <w:spacing w:after="0"/>
              <w:rPr>
                <w:sz w:val="1"/>
                <w:szCs w:val="1"/>
                <w:color w:val="auto"/>
              </w:rPr>
            </w:pPr>
          </w:p>
        </w:tc>
      </w:tr>
      <w:tr>
        <w:trPr>
          <w:trHeight w:val="205"/>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4.9 %</w:t>
            </w:r>
          </w:p>
        </w:tc>
        <w:tc>
          <w:tcPr>
            <w:tcW w:w="1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13.4 %</w:t>
            </w:r>
          </w:p>
        </w:tc>
        <w:tc>
          <w:tcPr>
            <w:tcW w:w="0" w:type="dxa"/>
            <w:vAlign w:val="bottom"/>
          </w:tcPr>
          <w:p>
            <w:pPr>
              <w:spacing w:after="0"/>
              <w:rPr>
                <w:sz w:val="1"/>
                <w:szCs w:val="1"/>
                <w:color w:val="auto"/>
              </w:rPr>
            </w:pPr>
          </w:p>
        </w:tc>
      </w:tr>
      <w:tr>
        <w:trPr>
          <w:trHeight w:val="211"/>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$274.9</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$270.1</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6.2 %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401" w:right="240" w:hanging="401"/>
        <w:spacing w:after="0" w:line="235" w:lineRule="auto"/>
        <w:tabs>
          <w:tab w:leader="none" w:pos="401" w:val="left"/>
        </w:tabs>
        <w:numPr>
          <w:ilvl w:val="0"/>
          <w:numId w:val="9"/>
        </w:numPr>
        <w:rPr>
          <w:rFonts w:ascii="Arial" w:cs="Arial" w:eastAsia="Arial" w:hAnsi="Arial"/>
          <w:sz w:val="15"/>
          <w:szCs w:val="15"/>
          <w:color w:val="auto"/>
        </w:rPr>
      </w:pPr>
      <w:r>
        <w:rPr>
          <w:rFonts w:ascii="Arial" w:cs="Arial" w:eastAsia="Arial" w:hAnsi="Arial"/>
          <w:sz w:val="15"/>
          <w:szCs w:val="15"/>
          <w:color w:val="auto"/>
        </w:rPr>
        <w:t>Constant-currency percent change, a non-GAAP financial measure, measures the change in revenue between current and prior-year periods using average exchange rates in effect during the applicable prior-year period.</w:t>
      </w:r>
    </w:p>
    <w:p>
      <w:pPr>
        <w:spacing w:after="0" w:line="20" w:lineRule="exact"/>
        <w:rPr>
          <w:rFonts w:ascii="Arial" w:cs="Arial" w:eastAsia="Arial" w:hAnsi="Arial"/>
          <w:sz w:val="15"/>
          <w:szCs w:val="15"/>
          <w:color w:val="auto"/>
        </w:rPr>
      </w:pPr>
    </w:p>
    <w:p>
      <w:pPr>
        <w:ind w:left="401" w:right="900" w:hanging="401"/>
        <w:spacing w:after="0" w:line="235" w:lineRule="auto"/>
        <w:tabs>
          <w:tab w:leader="none" w:pos="401"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countries in Europe where we have a direct sales presence. Countries where sales are made through distributors are included in “Rest of World.”</w:t>
      </w:r>
    </w:p>
    <w:p>
      <w:pPr>
        <w:spacing w:after="0" w:line="20" w:lineRule="exact"/>
        <w:rPr>
          <w:sz w:val="20"/>
          <w:szCs w:val="20"/>
          <w:color w:val="auto"/>
        </w:rPr>
      </w:pPr>
    </w:p>
    <w:p>
      <w:pPr>
        <w:ind w:left="1"/>
        <w:spacing w:after="0"/>
        <w:tabs>
          <w:tab w:leader="none" w:pos="380" w:val="left"/>
        </w:tabs>
        <w:rPr>
          <w:sz w:val="20"/>
          <w:szCs w:val="20"/>
          <w:color w:val="auto"/>
        </w:rPr>
      </w:pPr>
      <w:r>
        <w:rPr>
          <w:rFonts w:ascii="Arial" w:cs="Arial" w:eastAsia="Arial" w:hAnsi="Arial"/>
          <w:sz w:val="15"/>
          <w:szCs w:val="15"/>
          <w:color w:val="auto"/>
        </w:rPr>
        <w:t>NM</w:t>
        <w:tab/>
        <w:t>Indicates that variance as a percentage is not meaningful.</w:t>
      </w:r>
    </w:p>
    <w:p>
      <w:pPr>
        <w:spacing w:after="0" w:line="32" w:lineRule="exact"/>
        <w:rPr>
          <w:sz w:val="20"/>
          <w:szCs w:val="20"/>
          <w:color w:val="auto"/>
        </w:rPr>
      </w:pPr>
    </w:p>
    <w:p>
      <w:pPr>
        <w:ind w:left="401" w:hanging="401"/>
        <w:spacing w:after="0"/>
        <w:tabs>
          <w:tab w:leader="none" w:pos="401"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revenue results presented are unaudited. Numbers may not add precisely due to rounding.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21"/>
          </w:cols>
          <w:pgMar w:left="339" w:top="1385" w:right="339" w:bottom="1440" w:gutter="0" w:footer="0" w:header="0"/>
        </w:sectPr>
      </w:pPr>
    </w:p>
    <w:bookmarkStart w:id="12" w:name="page13"/>
    <w:bookmarkEnd w:id="12"/>
    <w:tbl>
      <w:tblPr>
        <w:tblLayout w:type="fixed"/>
        <w:tblInd w:w="1" w:type="dxa"/>
        <w:tblCellMar>
          <w:top w:w="0" w:type="dxa"/>
          <w:left w:w="0" w:type="dxa"/>
          <w:bottom w:w="0" w:type="dxa"/>
          <w:right w:w="0" w:type="dxa"/>
        </w:tblCellMar>
      </w:tblPr>
      <w:tr>
        <w:trPr>
          <w:trHeight w:val="217"/>
        </w:trPr>
        <w:tc>
          <w:tcPr>
            <w:tcW w:w="4540" w:type="dxa"/>
            <w:vAlign w:val="bottom"/>
          </w:tcPr>
          <w:p>
            <w:pPr>
              <w:spacing w:after="0"/>
              <w:rPr>
                <w:sz w:val="20"/>
                <w:szCs w:val="20"/>
                <w:color w:val="auto"/>
              </w:rPr>
            </w:pPr>
            <w:r>
              <w:rPr>
                <w:rFonts w:ascii="Arial" w:cs="Arial" w:eastAsia="Arial" w:hAnsi="Arial"/>
                <w:sz w:val="17"/>
                <w:szCs w:val="17"/>
                <w:b w:val="1"/>
                <w:bCs w:val="1"/>
                <w:color w:val="auto"/>
              </w:rPr>
              <w:t>LIVANOVA PLC</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40" w:type="dxa"/>
            <w:vAlign w:val="bottom"/>
          </w:tcPr>
          <w:p>
            <w:pPr>
              <w:spacing w:after="0"/>
              <w:rPr>
                <w:sz w:val="20"/>
                <w:szCs w:val="20"/>
                <w:color w:val="auto"/>
              </w:rPr>
            </w:pPr>
            <w:r>
              <w:rPr>
                <w:rFonts w:ascii="Arial" w:cs="Arial" w:eastAsia="Arial" w:hAnsi="Arial"/>
                <w:sz w:val="17"/>
                <w:szCs w:val="17"/>
                <w:b w:val="1"/>
                <w:bCs w:val="1"/>
                <w:color w:val="auto"/>
              </w:rPr>
              <w:t>NET REVENUE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40" w:type="dxa"/>
            <w:vAlign w:val="bottom"/>
          </w:tcPr>
          <w:p>
            <w:pPr>
              <w:spacing w:after="0"/>
              <w:rPr>
                <w:sz w:val="20"/>
                <w:szCs w:val="20"/>
                <w:color w:val="auto"/>
              </w:rPr>
            </w:pPr>
            <w:r>
              <w:rPr>
                <w:rFonts w:ascii="Arial" w:cs="Arial" w:eastAsia="Arial" w:hAnsi="Arial"/>
                <w:sz w:val="17"/>
                <w:szCs w:val="17"/>
                <w:b w:val="1"/>
                <w:bCs w:val="1"/>
                <w:color w:val="auto"/>
              </w:rPr>
              <w:t>(U.S. dollars in millions)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gridSpan w:val="4"/>
            <w:vMerge w:val="restart"/>
          </w:tcPr>
          <w:p>
            <w:pPr>
              <w:ind w:left="880"/>
              <w:spacing w:after="0"/>
              <w:rPr>
                <w:sz w:val="20"/>
                <w:szCs w:val="20"/>
                <w:color w:val="auto"/>
              </w:rPr>
            </w:pPr>
            <w:r>
              <w:rPr>
                <w:rFonts w:ascii="Arial" w:cs="Arial" w:eastAsia="Arial" w:hAnsi="Arial"/>
                <w:sz w:val="17"/>
                <w:szCs w:val="17"/>
                <w:b w:val="1"/>
                <w:bCs w:val="1"/>
                <w:color w:val="auto"/>
              </w:rPr>
              <w:t>Year Ended December 31,</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vMerge w:val="continue"/>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2"/>
            <w:vMerge w:val="restart"/>
          </w:tcPr>
          <w:p>
            <w:pPr>
              <w:jc w:val="center"/>
              <w:ind w:right="80"/>
              <w:spacing w:after="0"/>
              <w:rPr>
                <w:sz w:val="20"/>
                <w:szCs w:val="20"/>
                <w:color w:val="auto"/>
              </w:rPr>
            </w:pPr>
            <w:r>
              <w:rPr>
                <w:rFonts w:ascii="Arial" w:cs="Arial" w:eastAsia="Arial" w:hAnsi="Arial"/>
                <w:sz w:val="17"/>
                <w:szCs w:val="17"/>
                <w:b w:val="1"/>
                <w:bCs w:val="1"/>
                <w:color w:val="auto"/>
              </w:rPr>
              <w:t>% Change at Actual</w:t>
            </w:r>
          </w:p>
        </w:tc>
        <w:tc>
          <w:tcPr>
            <w:tcW w:w="1880" w:type="dxa"/>
            <w:vAlign w:val="bottom"/>
          </w:tcPr>
          <w:p>
            <w:pPr>
              <w:jc w:val="center"/>
              <w:spacing w:after="0" w:line="160" w:lineRule="exact"/>
              <w:rPr>
                <w:sz w:val="20"/>
                <w:szCs w:val="20"/>
                <w:color w:val="auto"/>
              </w:rPr>
            </w:pPr>
            <w:r>
              <w:rPr>
                <w:rFonts w:ascii="Arial" w:cs="Arial" w:eastAsia="Arial" w:hAnsi="Arial"/>
                <w:sz w:val="17"/>
                <w:szCs w:val="17"/>
                <w:b w:val="1"/>
                <w:bCs w:val="1"/>
                <w:color w:val="auto"/>
                <w:w w:val="99"/>
              </w:rPr>
              <w:t>% Change at</w:t>
            </w:r>
          </w:p>
        </w:tc>
        <w:tc>
          <w:tcPr>
            <w:tcW w:w="0" w:type="dxa"/>
            <w:vAlign w:val="bottom"/>
          </w:tcPr>
          <w:p>
            <w:pPr>
              <w:spacing w:after="0"/>
              <w:rPr>
                <w:sz w:val="1"/>
                <w:szCs w:val="1"/>
                <w:color w:val="auto"/>
              </w:rPr>
            </w:pPr>
          </w:p>
        </w:tc>
      </w:tr>
      <w:tr>
        <w:trPr>
          <w:trHeight w:val="166"/>
        </w:trPr>
        <w:tc>
          <w:tcPr>
            <w:tcW w:w="4540" w:type="dxa"/>
            <w:vAlign w:val="bottom"/>
          </w:tcPr>
          <w:p>
            <w:pPr>
              <w:spacing w:after="0"/>
              <w:rPr>
                <w:sz w:val="14"/>
                <w:szCs w:val="14"/>
                <w:color w:val="auto"/>
              </w:rPr>
            </w:pPr>
          </w:p>
        </w:tc>
        <w:tc>
          <w:tcPr>
            <w:tcW w:w="132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4"/>
                <w:szCs w:val="14"/>
                <w:color w:val="auto"/>
              </w:rPr>
            </w:pPr>
          </w:p>
        </w:tc>
        <w:tc>
          <w:tcPr>
            <w:tcW w:w="1320" w:type="dxa"/>
            <w:vAlign w:val="bottom"/>
            <w:vMerge w:val="restart"/>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8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9"/>
              </w:rPr>
              <w:t>Constant-Currency</w:t>
            </w:r>
          </w:p>
        </w:tc>
        <w:tc>
          <w:tcPr>
            <w:tcW w:w="0" w:type="dxa"/>
            <w:vAlign w:val="bottom"/>
          </w:tcPr>
          <w:p>
            <w:pPr>
              <w:spacing w:after="0"/>
              <w:rPr>
                <w:sz w:val="1"/>
                <w:szCs w:val="1"/>
                <w:color w:val="auto"/>
              </w:rPr>
            </w:pPr>
          </w:p>
        </w:tc>
      </w:tr>
      <w:tr>
        <w:trPr>
          <w:trHeight w:val="230"/>
        </w:trPr>
        <w:tc>
          <w:tcPr>
            <w:tcW w:w="4540" w:type="dxa"/>
            <w:vAlign w:val="bottom"/>
            <w:vMerge w:val="restart"/>
          </w:tcPr>
          <w:p>
            <w:pPr>
              <w:spacing w:after="0"/>
              <w:rPr>
                <w:sz w:val="20"/>
                <w:szCs w:val="20"/>
                <w:color w:val="auto"/>
              </w:rPr>
            </w:pPr>
            <w:r>
              <w:rPr>
                <w:rFonts w:ascii="Arial" w:cs="Arial" w:eastAsia="Arial" w:hAnsi="Arial"/>
                <w:sz w:val="17"/>
                <w:szCs w:val="17"/>
                <w:b w:val="1"/>
                <w:bCs w:val="1"/>
                <w:color w:val="auto"/>
              </w:rPr>
              <w:t>Cardiopulmonary</w:t>
            </w: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Currency Rates</w:t>
            </w:r>
          </w:p>
        </w:tc>
        <w:tc>
          <w:tcPr>
            <w:tcW w:w="1880" w:type="dxa"/>
            <w:vAlign w:val="bottom"/>
          </w:tcPr>
          <w:p>
            <w:pPr>
              <w:jc w:val="center"/>
              <w:spacing w:after="0" w:line="230" w:lineRule="exact"/>
              <w:rPr>
                <w:sz w:val="20"/>
                <w:szCs w:val="20"/>
                <w:color w:val="auto"/>
              </w:rPr>
            </w:pPr>
            <w:r>
              <w:rPr>
                <w:rFonts w:ascii="Arial" w:cs="Arial" w:eastAsia="Arial" w:hAnsi="Arial"/>
                <w:sz w:val="17"/>
                <w:szCs w:val="17"/>
                <w:b w:val="1"/>
                <w:bCs w:val="1"/>
                <w:color w:val="auto"/>
                <w:w w:val="92"/>
              </w:rPr>
              <w:t xml:space="preserve">Rates </w:t>
            </w:r>
            <w:r>
              <w:rPr>
                <w:rFonts w:ascii="Arial" w:cs="Arial" w:eastAsia="Arial" w:hAnsi="Arial"/>
                <w:sz w:val="22"/>
                <w:szCs w:val="22"/>
                <w:b w:val="1"/>
                <w:bCs w:val="1"/>
                <w:color w:val="auto"/>
                <w:w w:val="92"/>
                <w:vertAlign w:val="superscript"/>
              </w:rPr>
              <w:t>(1)</w:t>
            </w:r>
          </w:p>
        </w:tc>
        <w:tc>
          <w:tcPr>
            <w:tcW w:w="0" w:type="dxa"/>
            <w:vAlign w:val="bottom"/>
          </w:tcPr>
          <w:p>
            <w:pPr>
              <w:spacing w:after="0"/>
              <w:rPr>
                <w:sz w:val="1"/>
                <w:szCs w:val="1"/>
                <w:color w:val="auto"/>
              </w:rPr>
            </w:pPr>
          </w:p>
        </w:tc>
      </w:tr>
      <w:tr>
        <w:trPr>
          <w:trHeight w:val="196"/>
        </w:trPr>
        <w:tc>
          <w:tcPr>
            <w:tcW w:w="4540" w:type="dxa"/>
            <w:vAlign w:val="bottom"/>
            <w:vMerge w:val="continue"/>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$159.5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$154.1</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3.5 %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3.5 %</w:t>
            </w:r>
          </w:p>
        </w:tc>
        <w:tc>
          <w:tcPr>
            <w:tcW w:w="0" w:type="dxa"/>
            <w:vAlign w:val="bottom"/>
          </w:tcPr>
          <w:p>
            <w:pPr>
              <w:spacing w:after="0"/>
              <w:rPr>
                <w:sz w:val="1"/>
                <w:szCs w:val="1"/>
                <w:color w:val="auto"/>
              </w:rPr>
            </w:pPr>
          </w:p>
        </w:tc>
      </w:tr>
      <w:tr>
        <w:trPr>
          <w:trHeight w:val="231"/>
        </w:trPr>
        <w:tc>
          <w:tcPr>
            <w:tcW w:w="4540" w:type="dxa"/>
            <w:vAlign w:val="bottom"/>
          </w:tcPr>
          <w:p>
            <w:pPr>
              <w:ind w:left="100"/>
              <w:spacing w:after="0" w:line="230" w:lineRule="exact"/>
              <w:rPr>
                <w:sz w:val="20"/>
                <w:szCs w:val="20"/>
                <w:color w:val="auto"/>
              </w:rPr>
            </w:pPr>
            <w:r>
              <w:rPr>
                <w:rFonts w:ascii="Arial" w:cs="Arial" w:eastAsia="Arial" w:hAnsi="Arial"/>
                <w:sz w:val="17"/>
                <w:szCs w:val="17"/>
                <w:color w:val="auto"/>
              </w:rPr>
              <w:t xml:space="preserve">Europe </w:t>
            </w:r>
            <w:r>
              <w:rPr>
                <w:rFonts w:ascii="Arial" w:cs="Arial" w:eastAsia="Arial" w:hAnsi="Arial"/>
                <w:sz w:val="22"/>
                <w:szCs w:val="22"/>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7"/>
                <w:szCs w:val="17"/>
                <w:color w:val="auto"/>
              </w:rPr>
              <w:t>127.1</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134.6</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6.1 %</w:t>
            </w:r>
          </w:p>
        </w:tc>
        <w:tc>
          <w:tcPr>
            <w:tcW w:w="0" w:type="dxa"/>
            <w:vAlign w:val="bottom"/>
          </w:tcPr>
          <w:p>
            <w:pPr>
              <w:spacing w:after="0"/>
              <w:rPr>
                <w:sz w:val="1"/>
                <w:szCs w:val="1"/>
                <w:color w:val="auto"/>
              </w:rPr>
            </w:pPr>
          </w:p>
        </w:tc>
      </w:tr>
      <w:tr>
        <w:trPr>
          <w:trHeight w:val="205"/>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213.8</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194.3</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19.2 %</w:t>
            </w:r>
          </w:p>
        </w:tc>
        <w:tc>
          <w:tcPr>
            <w:tcW w:w="0" w:type="dxa"/>
            <w:vAlign w:val="bottom"/>
          </w:tcPr>
          <w:p>
            <w:pPr>
              <w:spacing w:after="0"/>
              <w:rPr>
                <w:sz w:val="1"/>
                <w:szCs w:val="1"/>
                <w:color w:val="auto"/>
              </w:rPr>
            </w:pPr>
          </w:p>
        </w:tc>
      </w:tr>
      <w:tr>
        <w:trPr>
          <w:trHeight w:val="210"/>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500.3</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483.0</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3.6 %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10.5 %</w:t>
            </w:r>
          </w:p>
        </w:tc>
        <w:tc>
          <w:tcPr>
            <w:tcW w:w="0" w:type="dxa"/>
            <w:vAlign w:val="bottom"/>
          </w:tcPr>
          <w:p>
            <w:pPr>
              <w:spacing w:after="0"/>
              <w:rPr>
                <w:sz w:val="1"/>
                <w:szCs w:val="1"/>
                <w:color w:val="auto"/>
              </w:rPr>
            </w:pPr>
          </w:p>
        </w:tc>
      </w:tr>
      <w:tr>
        <w:trPr>
          <w:trHeight w:val="204"/>
        </w:trPr>
        <w:tc>
          <w:tcPr>
            <w:tcW w:w="4540" w:type="dxa"/>
            <w:vAlign w:val="bottom"/>
          </w:tcPr>
          <w:p>
            <w:pPr>
              <w:spacing w:after="0"/>
              <w:rPr>
                <w:sz w:val="20"/>
                <w:szCs w:val="20"/>
                <w:color w:val="auto"/>
              </w:rPr>
            </w:pPr>
            <w:r>
              <w:rPr>
                <w:rFonts w:ascii="Arial" w:cs="Arial" w:eastAsia="Arial" w:hAnsi="Arial"/>
                <w:sz w:val="17"/>
                <w:szCs w:val="17"/>
                <w:b w:val="1"/>
                <w:bCs w:val="1"/>
                <w:color w:val="auto"/>
              </w:rPr>
              <w:t>Neuromodulation</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374.5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358.5</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4.5 %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4.5 %</w:t>
            </w:r>
          </w:p>
        </w:tc>
        <w:tc>
          <w:tcPr>
            <w:tcW w:w="0" w:type="dxa"/>
            <w:vAlign w:val="bottom"/>
          </w:tcPr>
          <w:p>
            <w:pPr>
              <w:spacing w:after="0"/>
              <w:rPr>
                <w:sz w:val="1"/>
                <w:szCs w:val="1"/>
                <w:color w:val="auto"/>
              </w:rPr>
            </w:pPr>
          </w:p>
        </w:tc>
      </w:tr>
      <w:tr>
        <w:trPr>
          <w:trHeight w:val="231"/>
        </w:trPr>
        <w:tc>
          <w:tcPr>
            <w:tcW w:w="4540" w:type="dxa"/>
            <w:vAlign w:val="bottom"/>
          </w:tcPr>
          <w:p>
            <w:pPr>
              <w:ind w:left="100"/>
              <w:spacing w:after="0" w:line="230" w:lineRule="exact"/>
              <w:rPr>
                <w:sz w:val="20"/>
                <w:szCs w:val="20"/>
                <w:color w:val="auto"/>
              </w:rPr>
            </w:pPr>
            <w:r>
              <w:rPr>
                <w:rFonts w:ascii="Arial" w:cs="Arial" w:eastAsia="Arial" w:hAnsi="Arial"/>
                <w:sz w:val="17"/>
                <w:szCs w:val="17"/>
                <w:color w:val="auto"/>
              </w:rPr>
              <w:t xml:space="preserve">Europe </w:t>
            </w:r>
            <w:r>
              <w:rPr>
                <w:rFonts w:ascii="Arial" w:cs="Arial" w:eastAsia="Arial" w:hAnsi="Arial"/>
                <w:sz w:val="22"/>
                <w:szCs w:val="22"/>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7"/>
                <w:szCs w:val="17"/>
                <w:color w:val="auto"/>
              </w:rPr>
              <w:t>50.3</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51.4</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9.9 %</w:t>
            </w:r>
          </w:p>
        </w:tc>
        <w:tc>
          <w:tcPr>
            <w:tcW w:w="0" w:type="dxa"/>
            <w:vAlign w:val="bottom"/>
          </w:tcPr>
          <w:p>
            <w:pPr>
              <w:spacing w:after="0"/>
              <w:rPr>
                <w:sz w:val="1"/>
                <w:szCs w:val="1"/>
                <w:color w:val="auto"/>
              </w:rPr>
            </w:pPr>
          </w:p>
        </w:tc>
      </w:tr>
      <w:tr>
        <w:trPr>
          <w:trHeight w:val="205"/>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52.2</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12.8 %</w:t>
            </w:r>
          </w:p>
        </w:tc>
        <w:tc>
          <w:tcPr>
            <w:tcW w:w="1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20.2 %</w:t>
            </w:r>
          </w:p>
        </w:tc>
        <w:tc>
          <w:tcPr>
            <w:tcW w:w="0" w:type="dxa"/>
            <w:vAlign w:val="bottom"/>
          </w:tcPr>
          <w:p>
            <w:pPr>
              <w:spacing w:after="0"/>
              <w:rPr>
                <w:sz w:val="1"/>
                <w:szCs w:val="1"/>
                <w:color w:val="auto"/>
              </w:rPr>
            </w:pPr>
          </w:p>
        </w:tc>
      </w:tr>
      <w:tr>
        <w:trPr>
          <w:trHeight w:val="210"/>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477.0</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456.2</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4.6 %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6.7 %</w:t>
            </w:r>
          </w:p>
        </w:tc>
        <w:tc>
          <w:tcPr>
            <w:tcW w:w="0" w:type="dxa"/>
            <w:vAlign w:val="bottom"/>
          </w:tcPr>
          <w:p>
            <w:pPr>
              <w:spacing w:after="0"/>
              <w:rPr>
                <w:sz w:val="1"/>
                <w:szCs w:val="1"/>
                <w:color w:val="auto"/>
              </w:rPr>
            </w:pPr>
          </w:p>
        </w:tc>
      </w:tr>
      <w:tr>
        <w:trPr>
          <w:trHeight w:val="204"/>
        </w:trPr>
        <w:tc>
          <w:tcPr>
            <w:tcW w:w="4540" w:type="dxa"/>
            <w:vAlign w:val="bottom"/>
          </w:tcPr>
          <w:p>
            <w:pPr>
              <w:spacing w:after="0"/>
              <w:rPr>
                <w:sz w:val="20"/>
                <w:szCs w:val="20"/>
                <w:color w:val="auto"/>
              </w:rPr>
            </w:pPr>
            <w:r>
              <w:rPr>
                <w:rFonts w:ascii="Arial" w:cs="Arial" w:eastAsia="Arial" w:hAnsi="Arial"/>
                <w:sz w:val="17"/>
                <w:szCs w:val="17"/>
                <w:b w:val="1"/>
                <w:bCs w:val="1"/>
                <w:color w:val="auto"/>
              </w:rPr>
              <w:t>Advanced Circulatory Support</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53.8</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231"/>
        </w:trPr>
        <w:tc>
          <w:tcPr>
            <w:tcW w:w="4540" w:type="dxa"/>
            <w:vAlign w:val="bottom"/>
          </w:tcPr>
          <w:p>
            <w:pPr>
              <w:ind w:left="100"/>
              <w:spacing w:after="0" w:line="230" w:lineRule="exact"/>
              <w:rPr>
                <w:sz w:val="20"/>
                <w:szCs w:val="20"/>
                <w:color w:val="auto"/>
              </w:rPr>
            </w:pPr>
            <w:r>
              <w:rPr>
                <w:rFonts w:ascii="Arial" w:cs="Arial" w:eastAsia="Arial" w:hAnsi="Arial"/>
                <w:sz w:val="17"/>
                <w:szCs w:val="17"/>
                <w:color w:val="auto"/>
              </w:rPr>
              <w:t xml:space="preserve">Europe </w:t>
            </w:r>
            <w:r>
              <w:rPr>
                <w:rFonts w:ascii="Arial" w:cs="Arial" w:eastAsia="Arial" w:hAnsi="Arial"/>
                <w:sz w:val="22"/>
                <w:szCs w:val="22"/>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0"/>
                <w:szCs w:val="20"/>
                <w:color w:val="auto"/>
              </w:rPr>
            </w:pPr>
          </w:p>
        </w:tc>
        <w:tc>
          <w:tcPr>
            <w:tcW w:w="1960" w:type="dxa"/>
            <w:vAlign w:val="bottom"/>
            <w:gridSpan w:val="2"/>
          </w:tcPr>
          <w:p>
            <w:pPr>
              <w:ind w:left="1580"/>
              <w:spacing w:after="0"/>
              <w:rPr>
                <w:sz w:val="20"/>
                <w:szCs w:val="20"/>
                <w:color w:val="auto"/>
              </w:rPr>
            </w:pPr>
            <w:r>
              <w:rPr>
                <w:rFonts w:ascii="Arial" w:cs="Arial" w:eastAsia="Arial" w:hAnsi="Arial"/>
                <w:sz w:val="17"/>
                <w:szCs w:val="17"/>
                <w:color w:val="auto"/>
              </w:rPr>
              <w:t>NM</w:t>
            </w:r>
          </w:p>
        </w:tc>
        <w:tc>
          <w:tcPr>
            <w:tcW w:w="188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5"/>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7"/>
                <w:szCs w:val="17"/>
                <w:color w:val="auto"/>
              </w:rPr>
            </w:pPr>
          </w:p>
        </w:tc>
        <w:tc>
          <w:tcPr>
            <w:tcW w:w="1960" w:type="dxa"/>
            <w:vAlign w:val="bottom"/>
            <w:gridSpan w:val="2"/>
          </w:tcPr>
          <w:p>
            <w:pPr>
              <w:ind w:left="1580"/>
              <w:spacing w:after="0"/>
              <w:rPr>
                <w:sz w:val="20"/>
                <w:szCs w:val="20"/>
                <w:color w:val="auto"/>
              </w:rPr>
            </w:pPr>
            <w:r>
              <w:rPr>
                <w:rFonts w:ascii="Arial" w:cs="Arial" w:eastAsia="Arial" w:hAnsi="Arial"/>
                <w:sz w:val="17"/>
                <w:szCs w:val="17"/>
                <w:color w:val="auto"/>
              </w:rPr>
              <w:t>NM</w:t>
            </w:r>
          </w:p>
        </w:tc>
        <w:tc>
          <w:tcPr>
            <w:tcW w:w="188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0"/>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(28.8)%</w:t>
            </w:r>
          </w:p>
        </w:tc>
        <w:tc>
          <w:tcPr>
            <w:tcW w:w="0" w:type="dxa"/>
            <w:vAlign w:val="bottom"/>
          </w:tcPr>
          <w:p>
            <w:pPr>
              <w:spacing w:after="0"/>
              <w:rPr>
                <w:sz w:val="1"/>
                <w:szCs w:val="1"/>
                <w:color w:val="auto"/>
              </w:rPr>
            </w:pPr>
          </w:p>
        </w:tc>
      </w:tr>
      <w:tr>
        <w:trPr>
          <w:trHeight w:val="211"/>
        </w:trPr>
        <w:tc>
          <w:tcPr>
            <w:tcW w:w="4540" w:type="dxa"/>
            <w:vAlign w:val="bottom"/>
          </w:tcPr>
          <w:p>
            <w:pPr>
              <w:spacing w:after="0" w:line="210" w:lineRule="exact"/>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22"/>
                <w:szCs w:val="22"/>
                <w:b w:val="1"/>
                <w:bCs w:val="1"/>
                <w:color w:val="auto"/>
                <w:vertAlign w:val="superscript"/>
              </w:rPr>
              <w:t>(3)</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4.9</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31"/>
        </w:trPr>
        <w:tc>
          <w:tcPr>
            <w:tcW w:w="4540" w:type="dxa"/>
            <w:vAlign w:val="bottom"/>
          </w:tcPr>
          <w:p>
            <w:pPr>
              <w:ind w:left="100"/>
              <w:spacing w:after="0" w:line="230" w:lineRule="exact"/>
              <w:rPr>
                <w:sz w:val="20"/>
                <w:szCs w:val="20"/>
                <w:color w:val="auto"/>
              </w:rPr>
            </w:pPr>
            <w:r>
              <w:rPr>
                <w:rFonts w:ascii="Arial" w:cs="Arial" w:eastAsia="Arial" w:hAnsi="Arial"/>
                <w:sz w:val="17"/>
                <w:szCs w:val="17"/>
                <w:color w:val="auto"/>
              </w:rPr>
              <w:t xml:space="preserve">Europe </w:t>
            </w:r>
            <w:r>
              <w:rPr>
                <w:rFonts w:ascii="Arial" w:cs="Arial" w:eastAsia="Arial" w:hAnsi="Arial"/>
                <w:sz w:val="22"/>
                <w:szCs w:val="22"/>
                <w:color w:val="auto"/>
                <w:vertAlign w:val="superscript"/>
              </w:rPr>
              <w:t>(2)</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14.4</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5"/>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(75.7)%</w:t>
            </w:r>
          </w:p>
        </w:tc>
        <w:tc>
          <w:tcPr>
            <w:tcW w:w="1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(72.8)%</w:t>
            </w:r>
          </w:p>
        </w:tc>
        <w:tc>
          <w:tcPr>
            <w:tcW w:w="0" w:type="dxa"/>
            <w:vAlign w:val="bottom"/>
          </w:tcPr>
          <w:p>
            <w:pPr>
              <w:spacing w:after="0"/>
              <w:rPr>
                <w:sz w:val="1"/>
                <w:szCs w:val="1"/>
                <w:color w:val="auto"/>
              </w:rPr>
            </w:pPr>
          </w:p>
        </w:tc>
      </w:tr>
      <w:tr>
        <w:trPr>
          <w:trHeight w:val="210"/>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(87.2)%</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(85.7)%</w:t>
            </w:r>
          </w:p>
        </w:tc>
        <w:tc>
          <w:tcPr>
            <w:tcW w:w="0" w:type="dxa"/>
            <w:vAlign w:val="bottom"/>
          </w:tcPr>
          <w:p>
            <w:pPr>
              <w:spacing w:after="0"/>
              <w:rPr>
                <w:sz w:val="1"/>
                <w:szCs w:val="1"/>
                <w:color w:val="auto"/>
              </w:rPr>
            </w:pPr>
          </w:p>
        </w:tc>
      </w:tr>
      <w:tr>
        <w:trPr>
          <w:trHeight w:val="204"/>
        </w:trPr>
        <w:tc>
          <w:tcPr>
            <w:tcW w:w="4540" w:type="dxa"/>
            <w:vAlign w:val="bottom"/>
          </w:tcPr>
          <w:p>
            <w:pPr>
              <w:spacing w:after="0"/>
              <w:rPr>
                <w:sz w:val="20"/>
                <w:szCs w:val="20"/>
                <w:color w:val="auto"/>
              </w:rPr>
            </w:pPr>
            <w:r>
              <w:rPr>
                <w:rFonts w:ascii="Arial" w:cs="Arial" w:eastAsia="Arial" w:hAnsi="Arial"/>
                <w:sz w:val="17"/>
                <w:szCs w:val="17"/>
                <w:b w:val="1"/>
                <w:bCs w:val="1"/>
                <w:color w:val="auto"/>
              </w:rPr>
              <w:t>Totals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571.6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571.3</w:t>
            </w:r>
          </w:p>
        </w:tc>
        <w:tc>
          <w:tcPr>
            <w:tcW w:w="10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88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31"/>
        </w:trPr>
        <w:tc>
          <w:tcPr>
            <w:tcW w:w="4540" w:type="dxa"/>
            <w:vAlign w:val="bottom"/>
          </w:tcPr>
          <w:p>
            <w:pPr>
              <w:ind w:left="100"/>
              <w:spacing w:after="0" w:line="230" w:lineRule="exact"/>
              <w:rPr>
                <w:sz w:val="20"/>
                <w:szCs w:val="20"/>
                <w:color w:val="auto"/>
              </w:rPr>
            </w:pPr>
            <w:r>
              <w:rPr>
                <w:rFonts w:ascii="Arial" w:cs="Arial" w:eastAsia="Arial" w:hAnsi="Arial"/>
                <w:sz w:val="17"/>
                <w:szCs w:val="17"/>
                <w:color w:val="auto"/>
              </w:rPr>
              <w:t xml:space="preserve">Europe </w:t>
            </w:r>
            <w:r>
              <w:rPr>
                <w:rFonts w:ascii="Arial" w:cs="Arial" w:eastAsia="Arial" w:hAnsi="Arial"/>
                <w:sz w:val="22"/>
                <w:szCs w:val="22"/>
                <w:color w:val="auto"/>
                <w:vertAlign w:val="superscript"/>
              </w:rPr>
              <w:t>(2)</w:t>
            </w:r>
          </w:p>
        </w:tc>
        <w:tc>
          <w:tcPr>
            <w:tcW w:w="1320" w:type="dxa"/>
            <w:vAlign w:val="bottom"/>
          </w:tcPr>
          <w:p>
            <w:pPr>
              <w:jc w:val="right"/>
              <w:spacing w:after="0"/>
              <w:rPr>
                <w:sz w:val="20"/>
                <w:szCs w:val="20"/>
                <w:color w:val="auto"/>
              </w:rPr>
            </w:pPr>
            <w:r>
              <w:rPr>
                <w:rFonts w:ascii="Arial" w:cs="Arial" w:eastAsia="Arial" w:hAnsi="Arial"/>
                <w:sz w:val="17"/>
                <w:szCs w:val="17"/>
                <w:color w:val="auto"/>
              </w:rPr>
              <w:t>178.8</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201.5</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5"/>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271.4</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262.5</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3.4 %</w:t>
            </w:r>
          </w:p>
        </w:tc>
        <w:tc>
          <w:tcPr>
            <w:tcW w:w="10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11.7 %</w:t>
            </w:r>
          </w:p>
        </w:tc>
        <w:tc>
          <w:tcPr>
            <w:tcW w:w="0" w:type="dxa"/>
            <w:vAlign w:val="bottom"/>
          </w:tcPr>
          <w:p>
            <w:pPr>
              <w:spacing w:after="0"/>
              <w:rPr>
                <w:sz w:val="1"/>
                <w:szCs w:val="1"/>
                <w:color w:val="auto"/>
              </w:rPr>
            </w:pPr>
          </w:p>
        </w:tc>
      </w:tr>
      <w:tr>
        <w:trPr>
          <w:trHeight w:val="210"/>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$1,021.8</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$1,035.4</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2.9 %</w:t>
            </w:r>
          </w:p>
        </w:tc>
        <w:tc>
          <w:tcPr>
            <w:tcW w:w="0" w:type="dxa"/>
            <w:vAlign w:val="bottom"/>
          </w:tcPr>
          <w:p>
            <w:pPr>
              <w:spacing w:after="0"/>
              <w:rPr>
                <w:sz w:val="1"/>
                <w:szCs w:val="1"/>
                <w:color w:val="auto"/>
              </w:rPr>
            </w:pPr>
          </w:p>
        </w:tc>
      </w:tr>
      <w:tr>
        <w:trPr>
          <w:trHeight w:val="211"/>
        </w:trPr>
        <w:tc>
          <w:tcPr>
            <w:tcW w:w="4540" w:type="dxa"/>
            <w:vAlign w:val="bottom"/>
          </w:tcPr>
          <w:p>
            <w:pPr>
              <w:ind w:left="400"/>
              <w:spacing w:after="0" w:line="211" w:lineRule="exact"/>
              <w:rPr>
                <w:sz w:val="20"/>
                <w:szCs w:val="20"/>
                <w:color w:val="auto"/>
              </w:rPr>
            </w:pPr>
            <w:r>
              <w:rPr>
                <w:rFonts w:ascii="Arial" w:cs="Arial" w:eastAsia="Arial" w:hAnsi="Arial"/>
                <w:sz w:val="17"/>
                <w:szCs w:val="17"/>
                <w:color w:val="auto"/>
              </w:rPr>
              <w:t xml:space="preserve">Less: Heart Valves </w:t>
            </w:r>
            <w:r>
              <w:rPr>
                <w:rFonts w:ascii="Arial" w:cs="Arial" w:eastAsia="Arial" w:hAnsi="Arial"/>
                <w:sz w:val="22"/>
                <w:szCs w:val="22"/>
                <w:color w:val="auto"/>
                <w:vertAlign w:val="superscript"/>
              </w:rPr>
              <w:t>(3)</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36.2</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7"/>
                <w:szCs w:val="17"/>
                <w:b w:val="1"/>
                <w:bCs w:val="1"/>
                <w:color w:val="auto"/>
              </w:rPr>
              <w:t>Total, Excluding Heart Valves</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$1,021.8</w:t>
            </w:r>
          </w:p>
        </w:tc>
        <w:tc>
          <w:tcPr>
            <w:tcW w:w="1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$999.2</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2.3 %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6.7 %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ind w:left="401" w:right="440" w:hanging="401"/>
        <w:spacing w:after="0" w:line="235" w:lineRule="auto"/>
        <w:tabs>
          <w:tab w:leader="none" w:pos="401"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Constant-currency percent change, a non-GAAP financial measure, measures the change in sales between current and prior-year periods using average exchange rates in effect during the applicable prior-year period.</w:t>
      </w:r>
    </w:p>
    <w:p>
      <w:pPr>
        <w:spacing w:after="0" w:line="20" w:lineRule="exact"/>
        <w:rPr>
          <w:rFonts w:ascii="Arial" w:cs="Arial" w:eastAsia="Arial" w:hAnsi="Arial"/>
          <w:sz w:val="15"/>
          <w:szCs w:val="15"/>
          <w:color w:val="auto"/>
        </w:rPr>
      </w:pPr>
    </w:p>
    <w:p>
      <w:pPr>
        <w:ind w:left="401" w:right="900" w:hanging="401"/>
        <w:spacing w:after="0" w:line="235" w:lineRule="auto"/>
        <w:tabs>
          <w:tab w:leader="none" w:pos="401"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Includes countries in Europe where we have a direct sales presence. Countries where sales are made through distributors are included in “Rest of World.”</w:t>
      </w:r>
    </w:p>
    <w:p>
      <w:pPr>
        <w:spacing w:after="0" w:line="20" w:lineRule="exact"/>
        <w:rPr>
          <w:rFonts w:ascii="Arial" w:cs="Arial" w:eastAsia="Arial" w:hAnsi="Arial"/>
          <w:sz w:val="15"/>
          <w:szCs w:val="15"/>
          <w:color w:val="auto"/>
        </w:rPr>
      </w:pPr>
    </w:p>
    <w:p>
      <w:pPr>
        <w:ind w:left="401" w:hanging="401"/>
        <w:spacing w:after="0"/>
        <w:tabs>
          <w:tab w:leader="none" w:pos="401" w:val="left"/>
        </w:tabs>
        <w:numPr>
          <w:ilvl w:val="0"/>
          <w:numId w:val="11"/>
        </w:numPr>
        <w:rPr>
          <w:rFonts w:ascii="Arial" w:cs="Arial" w:eastAsia="Arial" w:hAnsi="Arial"/>
          <w:sz w:val="15"/>
          <w:szCs w:val="15"/>
          <w:color w:val="auto"/>
        </w:rPr>
      </w:pPr>
      <w:r>
        <w:rPr>
          <w:rFonts w:ascii="Arial" w:cs="Arial" w:eastAsia="Arial" w:hAnsi="Arial"/>
          <w:sz w:val="15"/>
          <w:szCs w:val="15"/>
          <w:color w:val="auto"/>
        </w:rPr>
        <w:t>Other for the year ended December 31, 2021 includes net revenues of the Heart Valve business, which was divested effective June 1, 2021.</w:t>
      </w:r>
    </w:p>
    <w:p>
      <w:pPr>
        <w:spacing w:after="0" w:line="32" w:lineRule="exact"/>
        <w:rPr>
          <w:sz w:val="20"/>
          <w:szCs w:val="20"/>
          <w:color w:val="auto"/>
        </w:rPr>
      </w:pPr>
    </w:p>
    <w:p>
      <w:pPr>
        <w:ind w:left="1"/>
        <w:spacing w:after="0"/>
        <w:tabs>
          <w:tab w:leader="none" w:pos="380" w:val="left"/>
        </w:tabs>
        <w:rPr>
          <w:sz w:val="20"/>
          <w:szCs w:val="20"/>
          <w:color w:val="auto"/>
        </w:rPr>
      </w:pPr>
      <w:r>
        <w:rPr>
          <w:rFonts w:ascii="Arial" w:cs="Arial" w:eastAsia="Arial" w:hAnsi="Arial"/>
          <w:sz w:val="15"/>
          <w:szCs w:val="15"/>
          <w:color w:val="auto"/>
        </w:rPr>
        <w:t>NM</w:t>
        <w:tab/>
        <w:t>Indicates that variance as a percentage is not meaningful.</w:t>
      </w:r>
    </w:p>
    <w:p>
      <w:pPr>
        <w:spacing w:after="0" w:line="32" w:lineRule="exact"/>
        <w:rPr>
          <w:sz w:val="20"/>
          <w:szCs w:val="20"/>
          <w:color w:val="auto"/>
        </w:rPr>
      </w:pPr>
    </w:p>
    <w:p>
      <w:pPr>
        <w:ind w:left="401" w:hanging="401"/>
        <w:spacing w:after="0"/>
        <w:tabs>
          <w:tab w:leader="none" w:pos="401"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revenue results presented are unaudited. Numbers may not add precisely due to rounding.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21"/>
          </w:cols>
          <w:pgMar w:left="339" w:top="1385"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LIVANOVA PLC AND SUBSIDIARIES</w:t>
      </w:r>
    </w:p>
    <w:p>
      <w:pPr>
        <w:spacing w:after="0" w:line="29" w:lineRule="exact"/>
        <w:rPr>
          <w:sz w:val="20"/>
          <w:szCs w:val="20"/>
          <w:color w:val="auto"/>
        </w:rPr>
      </w:pPr>
    </w:p>
    <w:p>
      <w:pPr>
        <w:ind w:right="5380"/>
        <w:spacing w:after="0" w:line="293" w:lineRule="auto"/>
        <w:rPr>
          <w:sz w:val="20"/>
          <w:szCs w:val="20"/>
          <w:color w:val="auto"/>
        </w:rPr>
      </w:pPr>
      <w:r>
        <w:rPr>
          <w:rFonts w:ascii="Arial" w:cs="Arial" w:eastAsia="Arial" w:hAnsi="Arial"/>
          <w:sz w:val="17"/>
          <w:szCs w:val="17"/>
          <w:b w:val="1"/>
          <w:bCs w:val="1"/>
          <w:color w:val="auto"/>
        </w:rPr>
        <w:t>CONDENSED CONSOLIDATED STATEMENTS OF INCOME - UNAUDITED (U.S. dollars in millions, except per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60" w:type="dxa"/>
            <w:vAlign w:val="bottom"/>
          </w:tcPr>
          <w:p>
            <w:pPr>
              <w:spacing w:after="0"/>
              <w:rPr>
                <w:sz w:val="19"/>
                <w:szCs w:val="19"/>
                <w:color w:val="auto"/>
              </w:rPr>
            </w:pPr>
          </w:p>
        </w:tc>
        <w:tc>
          <w:tcPr>
            <w:tcW w:w="3880" w:type="dxa"/>
            <w:vAlign w:val="bottom"/>
            <w:gridSpan w:val="6"/>
          </w:tcPr>
          <w:p>
            <w:pPr>
              <w:ind w:left="460"/>
              <w:spacing w:after="0"/>
              <w:rPr>
                <w:sz w:val="20"/>
                <w:szCs w:val="20"/>
                <w:color w:val="auto"/>
              </w:rPr>
            </w:pPr>
            <w:r>
              <w:rPr>
                <w:rFonts w:ascii="Arial" w:cs="Arial" w:eastAsia="Arial" w:hAnsi="Arial"/>
                <w:sz w:val="17"/>
                <w:szCs w:val="17"/>
                <w:b w:val="1"/>
                <w:bCs w:val="1"/>
                <w:color w:val="auto"/>
              </w:rPr>
              <w:t>Three Months Ended December 31,</w:t>
            </w:r>
          </w:p>
        </w:tc>
        <w:tc>
          <w:tcPr>
            <w:tcW w:w="1880" w:type="dxa"/>
            <w:vAlign w:val="bottom"/>
          </w:tcPr>
          <w:p>
            <w:pPr>
              <w:spacing w:after="0"/>
              <w:rPr>
                <w:sz w:val="19"/>
                <w:szCs w:val="19"/>
                <w:color w:val="auto"/>
              </w:rPr>
            </w:pPr>
          </w:p>
        </w:tc>
      </w:tr>
      <w:tr>
        <w:trPr>
          <w:trHeight w:val="211"/>
        </w:trPr>
        <w:tc>
          <w:tcPr>
            <w:tcW w:w="54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 Change</w:t>
            </w:r>
          </w:p>
        </w:tc>
      </w:tr>
      <w:tr>
        <w:trPr>
          <w:trHeight w:val="209"/>
        </w:trPr>
        <w:tc>
          <w:tcPr>
            <w:tcW w:w="6640" w:type="dxa"/>
            <w:vAlign w:val="bottom"/>
            <w:gridSpan w:val="2"/>
          </w:tcPr>
          <w:p>
            <w:pPr>
              <w:spacing w:after="0"/>
              <w:rPr>
                <w:sz w:val="20"/>
                <w:szCs w:val="20"/>
                <w:color w:val="auto"/>
              </w:rPr>
            </w:pPr>
            <w:r>
              <w:rPr>
                <w:rFonts w:ascii="Arial" w:cs="Arial" w:eastAsia="Arial" w:hAnsi="Arial"/>
                <w:sz w:val="17"/>
                <w:szCs w:val="17"/>
                <w:color w:val="auto"/>
              </w:rPr>
              <w:t>Net revenue</w:t>
            </w:r>
          </w:p>
        </w:tc>
        <w:tc>
          <w:tcPr>
            <w:tcW w:w="660" w:type="dxa"/>
            <w:vAlign w:val="bottom"/>
          </w:tcPr>
          <w:p>
            <w:pPr>
              <w:jc w:val="right"/>
              <w:spacing w:after="0"/>
              <w:rPr>
                <w:sz w:val="20"/>
                <w:szCs w:val="20"/>
                <w:color w:val="auto"/>
              </w:rPr>
            </w:pPr>
            <w:r>
              <w:rPr>
                <w:rFonts w:ascii="Arial" w:cs="Arial" w:eastAsia="Arial" w:hAnsi="Arial"/>
                <w:sz w:val="17"/>
                <w:szCs w:val="17"/>
                <w:color w:val="auto"/>
              </w:rPr>
              <w:t>$274.9</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$270.1</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8"/>
        </w:trPr>
        <w:tc>
          <w:tcPr>
            <w:tcW w:w="5460" w:type="dxa"/>
            <w:vAlign w:val="bottom"/>
          </w:tcPr>
          <w:p>
            <w:pPr>
              <w:spacing w:after="0"/>
              <w:rPr>
                <w:sz w:val="20"/>
                <w:szCs w:val="20"/>
                <w:color w:val="auto"/>
              </w:rPr>
            </w:pPr>
            <w:r>
              <w:rPr>
                <w:rFonts w:ascii="Arial" w:cs="Arial" w:eastAsia="Arial" w:hAnsi="Arial"/>
                <w:sz w:val="17"/>
                <w:szCs w:val="17"/>
                <w:color w:val="auto"/>
              </w:rPr>
              <w:t>Cost of sales</w:t>
            </w: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91.4</w:t>
            </w:r>
          </w:p>
        </w:tc>
        <w:tc>
          <w:tcPr>
            <w:tcW w:w="1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68.4</w:t>
            </w:r>
          </w:p>
        </w:tc>
        <w:tc>
          <w:tcPr>
            <w:tcW w:w="10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r>
      <w:tr>
        <w:trPr>
          <w:trHeight w:val="210"/>
        </w:trPr>
        <w:tc>
          <w:tcPr>
            <w:tcW w:w="6640" w:type="dxa"/>
            <w:vAlign w:val="bottom"/>
            <w:gridSpan w:val="2"/>
          </w:tcPr>
          <w:p>
            <w:pPr>
              <w:ind w:left="100"/>
              <w:spacing w:after="0"/>
              <w:rPr>
                <w:sz w:val="20"/>
                <w:szCs w:val="20"/>
                <w:color w:val="auto"/>
              </w:rPr>
            </w:pPr>
            <w:r>
              <w:rPr>
                <w:rFonts w:ascii="Arial" w:cs="Arial" w:eastAsia="Arial" w:hAnsi="Arial"/>
                <w:sz w:val="17"/>
                <w:szCs w:val="17"/>
                <w:color w:val="auto"/>
              </w:rPr>
              <w:t>Gross profit</w:t>
            </w:r>
          </w:p>
        </w:tc>
        <w:tc>
          <w:tcPr>
            <w:tcW w:w="660" w:type="dxa"/>
            <w:vAlign w:val="bottom"/>
          </w:tcPr>
          <w:p>
            <w:pPr>
              <w:jc w:val="right"/>
              <w:spacing w:after="0"/>
              <w:rPr>
                <w:sz w:val="20"/>
                <w:szCs w:val="20"/>
                <w:color w:val="auto"/>
              </w:rPr>
            </w:pPr>
            <w:r>
              <w:rPr>
                <w:rFonts w:ascii="Arial" w:cs="Arial" w:eastAsia="Arial" w:hAnsi="Arial"/>
                <w:sz w:val="17"/>
                <w:szCs w:val="17"/>
                <w:color w:val="auto"/>
              </w:rPr>
              <w:t>183.5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197"/>
        </w:trPr>
        <w:tc>
          <w:tcPr>
            <w:tcW w:w="5460" w:type="dxa"/>
            <w:vAlign w:val="bottom"/>
          </w:tcPr>
          <w:p>
            <w:pPr>
              <w:spacing w:after="0"/>
              <w:rPr>
                <w:sz w:val="20"/>
                <w:szCs w:val="20"/>
                <w:color w:val="auto"/>
              </w:rPr>
            </w:pPr>
            <w:r>
              <w:rPr>
                <w:rFonts w:ascii="Arial" w:cs="Arial" w:eastAsia="Arial" w:hAnsi="Arial"/>
                <w:sz w:val="17"/>
                <w:szCs w:val="17"/>
                <w:color w:val="auto"/>
              </w:rPr>
              <w:t>Operating expenses:</w:t>
            </w:r>
          </w:p>
        </w:tc>
        <w:tc>
          <w:tcPr>
            <w:tcW w:w="1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r>
      <w:tr>
        <w:trPr>
          <w:trHeight w:val="217"/>
        </w:trPr>
        <w:tc>
          <w:tcPr>
            <w:tcW w:w="6640" w:type="dxa"/>
            <w:vAlign w:val="bottom"/>
            <w:gridSpan w:val="2"/>
          </w:tcPr>
          <w:p>
            <w:pPr>
              <w:ind w:left="100"/>
              <w:spacing w:after="0"/>
              <w:rPr>
                <w:sz w:val="20"/>
                <w:szCs w:val="20"/>
                <w:color w:val="auto"/>
              </w:rPr>
            </w:pPr>
            <w:r>
              <w:rPr>
                <w:rFonts w:ascii="Arial" w:cs="Arial" w:eastAsia="Arial" w:hAnsi="Arial"/>
                <w:sz w:val="17"/>
                <w:szCs w:val="17"/>
                <w:color w:val="auto"/>
              </w:rPr>
              <w:t>Selling, general and administrative</w:t>
            </w:r>
          </w:p>
        </w:tc>
        <w:tc>
          <w:tcPr>
            <w:tcW w:w="660" w:type="dxa"/>
            <w:vAlign w:val="bottom"/>
          </w:tcPr>
          <w:p>
            <w:pPr>
              <w:jc w:val="right"/>
              <w:spacing w:after="0"/>
              <w:rPr>
                <w:sz w:val="20"/>
                <w:szCs w:val="20"/>
                <w:color w:val="auto"/>
              </w:rPr>
            </w:pPr>
            <w:r>
              <w:rPr>
                <w:rFonts w:ascii="Arial" w:cs="Arial" w:eastAsia="Arial" w:hAnsi="Arial"/>
                <w:sz w:val="17"/>
                <w:szCs w:val="17"/>
                <w:color w:val="auto"/>
              </w:rPr>
              <w:t>119.6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124.4</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7"/>
        </w:trPr>
        <w:tc>
          <w:tcPr>
            <w:tcW w:w="6640" w:type="dxa"/>
            <w:vAlign w:val="bottom"/>
            <w:gridSpan w:val="2"/>
          </w:tcPr>
          <w:p>
            <w:pPr>
              <w:ind w:left="100"/>
              <w:spacing w:after="0"/>
              <w:rPr>
                <w:sz w:val="20"/>
                <w:szCs w:val="20"/>
                <w:color w:val="auto"/>
              </w:rPr>
            </w:pPr>
            <w:r>
              <w:rPr>
                <w:rFonts w:ascii="Arial" w:cs="Arial" w:eastAsia="Arial" w:hAnsi="Arial"/>
                <w:sz w:val="17"/>
                <w:szCs w:val="17"/>
                <w:color w:val="auto"/>
              </w:rPr>
              <w:t>Research and development</w:t>
            </w:r>
          </w:p>
        </w:tc>
        <w:tc>
          <w:tcPr>
            <w:tcW w:w="660" w:type="dxa"/>
            <w:vAlign w:val="bottom"/>
          </w:tcPr>
          <w:p>
            <w:pPr>
              <w:jc w:val="right"/>
              <w:spacing w:after="0"/>
              <w:rPr>
                <w:sz w:val="20"/>
                <w:szCs w:val="20"/>
                <w:color w:val="auto"/>
              </w:rPr>
            </w:pPr>
            <w:r>
              <w:rPr>
                <w:rFonts w:ascii="Arial" w:cs="Arial" w:eastAsia="Arial" w:hAnsi="Arial"/>
                <w:sz w:val="17"/>
                <w:szCs w:val="17"/>
                <w:color w:val="auto"/>
              </w:rPr>
              <w:t>44.9</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44.1</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8"/>
        </w:trPr>
        <w:tc>
          <w:tcPr>
            <w:tcW w:w="5460" w:type="dxa"/>
            <w:vAlign w:val="bottom"/>
          </w:tcPr>
          <w:p>
            <w:pPr>
              <w:ind w:left="100"/>
              <w:spacing w:after="0"/>
              <w:rPr>
                <w:sz w:val="20"/>
                <w:szCs w:val="20"/>
                <w:color w:val="auto"/>
              </w:rPr>
            </w:pPr>
            <w:r>
              <w:rPr>
                <w:rFonts w:ascii="Arial" w:cs="Arial" w:eastAsia="Arial" w:hAnsi="Arial"/>
                <w:sz w:val="17"/>
                <w:szCs w:val="17"/>
                <w:color w:val="auto"/>
              </w:rPr>
              <w:t>Other operating expenses</w:t>
            </w: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7"/>
                <w:szCs w:val="17"/>
                <w:color w:val="auto"/>
              </w:rPr>
              <w:t>Operating income</w:t>
            </w: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w:t>
            </w: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w:t>
            </w:r>
          </w:p>
        </w:tc>
      </w:tr>
      <w:tr>
        <w:trPr>
          <w:trHeight w:val="210"/>
        </w:trPr>
        <w:tc>
          <w:tcPr>
            <w:tcW w:w="6640" w:type="dxa"/>
            <w:vAlign w:val="bottom"/>
            <w:gridSpan w:val="2"/>
          </w:tcPr>
          <w:p>
            <w:pPr>
              <w:ind w:left="100"/>
              <w:spacing w:after="0"/>
              <w:rPr>
                <w:sz w:val="20"/>
                <w:szCs w:val="20"/>
                <w:color w:val="auto"/>
              </w:rPr>
            </w:pPr>
            <w:r>
              <w:rPr>
                <w:rFonts w:ascii="Arial" w:cs="Arial" w:eastAsia="Arial" w:hAnsi="Arial"/>
                <w:sz w:val="17"/>
                <w:szCs w:val="17"/>
                <w:color w:val="auto"/>
              </w:rPr>
              <w:t>Interest expense</w:t>
            </w:r>
          </w:p>
        </w:tc>
        <w:tc>
          <w:tcPr>
            <w:tcW w:w="660" w:type="dxa"/>
            <w:vAlign w:val="bottom"/>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8"/>
        </w:trPr>
        <w:tc>
          <w:tcPr>
            <w:tcW w:w="5460" w:type="dxa"/>
            <w:vAlign w:val="bottom"/>
          </w:tcPr>
          <w:p>
            <w:pPr>
              <w:ind w:left="100"/>
              <w:spacing w:after="0"/>
              <w:rPr>
                <w:sz w:val="20"/>
                <w:szCs w:val="20"/>
                <w:color w:val="auto"/>
              </w:rPr>
            </w:pPr>
            <w:r>
              <w:rPr>
                <w:rFonts w:ascii="Arial" w:cs="Arial" w:eastAsia="Arial" w:hAnsi="Arial"/>
                <w:sz w:val="17"/>
                <w:szCs w:val="17"/>
                <w:color w:val="auto"/>
              </w:rPr>
              <w:t>Foreign exchange and other income/(expense)</w:t>
            </w: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w:t>
            </w:r>
          </w:p>
        </w:tc>
        <w:tc>
          <w:tcPr>
            <w:tcW w:w="10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7"/>
                <w:szCs w:val="17"/>
                <w:color w:val="auto"/>
              </w:rPr>
              <w:t>Income (loss) from continuing operations before tax</w:t>
            </w: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NM</w:t>
            </w:r>
          </w:p>
        </w:tc>
      </w:tr>
      <w:tr>
        <w:trPr>
          <w:trHeight w:val="210"/>
        </w:trPr>
        <w:tc>
          <w:tcPr>
            <w:tcW w:w="5460" w:type="dxa"/>
            <w:vAlign w:val="bottom"/>
          </w:tcPr>
          <w:p>
            <w:pPr>
              <w:ind w:left="100"/>
              <w:spacing w:after="0"/>
              <w:rPr>
                <w:sz w:val="20"/>
                <w:szCs w:val="20"/>
                <w:color w:val="auto"/>
              </w:rPr>
            </w:pPr>
            <w:r>
              <w:rPr>
                <w:rFonts w:ascii="Arial" w:cs="Arial" w:eastAsia="Arial" w:hAnsi="Arial"/>
                <w:sz w:val="17"/>
                <w:szCs w:val="17"/>
                <w:color w:val="auto"/>
              </w:rPr>
              <w:t>Income tax expense</w:t>
            </w: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r>
      <w:tr>
        <w:trPr>
          <w:trHeight w:val="211"/>
        </w:trPr>
        <w:tc>
          <w:tcPr>
            <w:tcW w:w="6640" w:type="dxa"/>
            <w:vAlign w:val="bottom"/>
            <w:gridSpan w:val="2"/>
          </w:tcPr>
          <w:p>
            <w:pPr>
              <w:spacing w:after="0"/>
              <w:rPr>
                <w:sz w:val="20"/>
                <w:szCs w:val="20"/>
                <w:color w:val="auto"/>
              </w:rPr>
            </w:pPr>
            <w:r>
              <w:rPr>
                <w:rFonts w:ascii="Arial" w:cs="Arial" w:eastAsia="Arial" w:hAnsi="Arial"/>
                <w:sz w:val="17"/>
                <w:szCs w:val="17"/>
                <w:color w:val="auto"/>
              </w:rPr>
              <w:t>Net income (loss)</w:t>
            </w:r>
          </w:p>
        </w:tc>
        <w:tc>
          <w:tcPr>
            <w:tcW w:w="66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0"/>
        </w:trPr>
        <w:tc>
          <w:tcPr>
            <w:tcW w:w="54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387"/>
        </w:trPr>
        <w:tc>
          <w:tcPr>
            <w:tcW w:w="6640" w:type="dxa"/>
            <w:vAlign w:val="bottom"/>
            <w:gridSpan w:val="2"/>
          </w:tcPr>
          <w:p>
            <w:pPr>
              <w:spacing w:after="0"/>
              <w:rPr>
                <w:sz w:val="20"/>
                <w:szCs w:val="20"/>
                <w:color w:val="auto"/>
              </w:rPr>
            </w:pPr>
            <w:r>
              <w:rPr>
                <w:rFonts w:ascii="Arial" w:cs="Arial" w:eastAsia="Arial" w:hAnsi="Arial"/>
                <w:sz w:val="17"/>
                <w:szCs w:val="17"/>
                <w:color w:val="auto"/>
              </w:rPr>
              <w:t>Basic income (loss) per share</w:t>
            </w:r>
          </w:p>
        </w:tc>
        <w:tc>
          <w:tcPr>
            <w:tcW w:w="660" w:type="dxa"/>
            <w:vAlign w:val="bottom"/>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($0.10)</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7"/>
        </w:trPr>
        <w:tc>
          <w:tcPr>
            <w:tcW w:w="6640" w:type="dxa"/>
            <w:vAlign w:val="bottom"/>
            <w:gridSpan w:val="2"/>
          </w:tcPr>
          <w:p>
            <w:pPr>
              <w:spacing w:after="0"/>
              <w:rPr>
                <w:sz w:val="20"/>
                <w:szCs w:val="20"/>
                <w:color w:val="auto"/>
              </w:rPr>
            </w:pPr>
            <w:r>
              <w:rPr>
                <w:rFonts w:ascii="Arial" w:cs="Arial" w:eastAsia="Arial" w:hAnsi="Arial"/>
                <w:sz w:val="17"/>
                <w:szCs w:val="17"/>
                <w:color w:val="auto"/>
              </w:rPr>
              <w:t>Diluted income (loss) per share</w:t>
            </w:r>
          </w:p>
        </w:tc>
        <w:tc>
          <w:tcPr>
            <w:tcW w:w="660" w:type="dxa"/>
            <w:vAlign w:val="bottom"/>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($0.10)</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422"/>
        </w:trPr>
        <w:tc>
          <w:tcPr>
            <w:tcW w:w="6640" w:type="dxa"/>
            <w:vAlign w:val="bottom"/>
            <w:gridSpan w:val="2"/>
          </w:tcPr>
          <w:p>
            <w:pPr>
              <w:spacing w:after="0"/>
              <w:rPr>
                <w:sz w:val="20"/>
                <w:szCs w:val="20"/>
                <w:color w:val="auto"/>
              </w:rPr>
            </w:pPr>
            <w:r>
              <w:rPr>
                <w:rFonts w:ascii="Arial" w:cs="Arial" w:eastAsia="Arial" w:hAnsi="Arial"/>
                <w:sz w:val="17"/>
                <w:szCs w:val="17"/>
                <w:color w:val="auto"/>
              </w:rPr>
              <w:t>Weighted average common shares outstanding:</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7"/>
        </w:trPr>
        <w:tc>
          <w:tcPr>
            <w:tcW w:w="6640" w:type="dxa"/>
            <w:vAlign w:val="bottom"/>
            <w:gridSpan w:val="2"/>
          </w:tcPr>
          <w:p>
            <w:pPr>
              <w:ind w:left="100"/>
              <w:spacing w:after="0"/>
              <w:rPr>
                <w:sz w:val="20"/>
                <w:szCs w:val="20"/>
                <w:color w:val="auto"/>
              </w:rPr>
            </w:pPr>
            <w:r>
              <w:rPr>
                <w:rFonts w:ascii="Arial" w:cs="Arial" w:eastAsia="Arial" w:hAnsi="Arial"/>
                <w:sz w:val="17"/>
                <w:szCs w:val="17"/>
                <w:color w:val="auto"/>
              </w:rPr>
              <w:t>Basic</w:t>
            </w:r>
          </w:p>
        </w:tc>
        <w:tc>
          <w:tcPr>
            <w:tcW w:w="660" w:type="dxa"/>
            <w:vAlign w:val="bottom"/>
          </w:tcPr>
          <w:p>
            <w:pPr>
              <w:jc w:val="right"/>
              <w:spacing w:after="0"/>
              <w:rPr>
                <w:sz w:val="20"/>
                <w:szCs w:val="20"/>
                <w:color w:val="auto"/>
              </w:rPr>
            </w:pPr>
            <w:r>
              <w:rPr>
                <w:rFonts w:ascii="Arial" w:cs="Arial" w:eastAsia="Arial" w:hAnsi="Arial"/>
                <w:sz w:val="17"/>
                <w:szCs w:val="17"/>
                <w:color w:val="auto"/>
              </w:rPr>
              <w:t>53.5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53.3</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7"/>
        </w:trPr>
        <w:tc>
          <w:tcPr>
            <w:tcW w:w="6640" w:type="dxa"/>
            <w:vAlign w:val="bottom"/>
            <w:gridSpan w:val="2"/>
          </w:tcPr>
          <w:p>
            <w:pPr>
              <w:ind w:left="100"/>
              <w:spacing w:after="0"/>
              <w:rPr>
                <w:sz w:val="20"/>
                <w:szCs w:val="20"/>
                <w:color w:val="auto"/>
              </w:rPr>
            </w:pPr>
            <w:r>
              <w:rPr>
                <w:rFonts w:ascii="Arial" w:cs="Arial" w:eastAsia="Arial" w:hAnsi="Arial"/>
                <w:sz w:val="17"/>
                <w:szCs w:val="17"/>
                <w:color w:val="auto"/>
              </w:rPr>
              <w:t>Diluted</w:t>
            </w:r>
          </w:p>
        </w:tc>
        <w:tc>
          <w:tcPr>
            <w:tcW w:w="660" w:type="dxa"/>
            <w:vAlign w:val="bottom"/>
          </w:tcPr>
          <w:p>
            <w:pPr>
              <w:jc w:val="right"/>
              <w:spacing w:after="0"/>
              <w:rPr>
                <w:sz w:val="20"/>
                <w:szCs w:val="20"/>
                <w:color w:val="auto"/>
              </w:rPr>
            </w:pPr>
            <w:r>
              <w:rPr>
                <w:rFonts w:ascii="Arial" w:cs="Arial" w:eastAsia="Arial" w:hAnsi="Arial"/>
                <w:sz w:val="17"/>
                <w:szCs w:val="17"/>
                <w:color w:val="auto"/>
              </w:rPr>
              <w:t>53.8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53.3</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20"/>
          </w:cols>
          <w:pgMar w:left="340" w:top="138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4"/>
        </w:trPr>
        <w:tc>
          <w:tcPr>
            <w:tcW w:w="7160" w:type="dxa"/>
            <w:vAlign w:val="bottom"/>
            <w:gridSpan w:val="2"/>
          </w:tcPr>
          <w:p>
            <w:pPr>
              <w:spacing w:after="0"/>
              <w:rPr>
                <w:sz w:val="20"/>
                <w:szCs w:val="20"/>
                <w:color w:val="auto"/>
              </w:rPr>
            </w:pPr>
            <w:r>
              <w:rPr>
                <w:rFonts w:ascii="Arial" w:cs="Arial" w:eastAsia="Arial" w:hAnsi="Arial"/>
                <w:sz w:val="17"/>
                <w:szCs w:val="17"/>
                <w:b w:val="1"/>
                <w:bCs w:val="1"/>
                <w:color w:val="auto"/>
              </w:rPr>
              <w:t>Adjusted Financial Measures (U.S. dollars in millions, except per share amounts)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8"/>
        </w:trPr>
        <w:tc>
          <w:tcPr>
            <w:tcW w:w="6040" w:type="dxa"/>
            <w:vAlign w:val="bottom"/>
          </w:tcPr>
          <w:p>
            <w:pPr>
              <w:spacing w:after="0"/>
              <w:rPr>
                <w:sz w:val="24"/>
                <w:szCs w:val="24"/>
                <w:color w:val="auto"/>
              </w:rPr>
            </w:pPr>
          </w:p>
        </w:tc>
        <w:tc>
          <w:tcPr>
            <w:tcW w:w="35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7"/>
                <w:szCs w:val="17"/>
                <w:b w:val="1"/>
                <w:bCs w:val="1"/>
                <w:color w:val="auto"/>
              </w:rPr>
              <w:t>Three Months Ended December 31,</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4"/>
        </w:trPr>
        <w:tc>
          <w:tcPr>
            <w:tcW w:w="60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ind w:right="195"/>
              <w:spacing w:after="0" w:line="224" w:lineRule="exact"/>
              <w:rPr>
                <w:sz w:val="20"/>
                <w:szCs w:val="20"/>
                <w:color w:val="auto"/>
              </w:rPr>
            </w:pPr>
            <w:r>
              <w:rPr>
                <w:rFonts w:ascii="Arial" w:cs="Arial" w:eastAsia="Arial" w:hAnsi="Arial"/>
                <w:sz w:val="17"/>
                <w:szCs w:val="17"/>
                <w:b w:val="1"/>
                <w:bCs w:val="1"/>
                <w:color w:val="auto"/>
              </w:rPr>
              <w:t xml:space="preserve">% Change </w:t>
            </w:r>
            <w:r>
              <w:rPr>
                <w:rFonts w:ascii="Arial" w:cs="Arial" w:eastAsia="Arial" w:hAnsi="Arial"/>
                <w:sz w:val="22"/>
                <w:szCs w:val="22"/>
                <w:b w:val="1"/>
                <w:bCs w:val="1"/>
                <w:color w:val="auto"/>
                <w:vertAlign w:val="superscript"/>
              </w:rPr>
              <w:t>(1)</w:t>
            </w:r>
          </w:p>
        </w:tc>
      </w:tr>
      <w:tr>
        <w:trPr>
          <w:trHeight w:val="212"/>
        </w:trPr>
        <w:tc>
          <w:tcPr>
            <w:tcW w:w="7160" w:type="dxa"/>
            <w:vAlign w:val="bottom"/>
            <w:gridSpan w:val="2"/>
          </w:tcPr>
          <w:p>
            <w:pPr>
              <w:spacing w:after="0" w:line="212" w:lineRule="exact"/>
              <w:rPr>
                <w:sz w:val="20"/>
                <w:szCs w:val="20"/>
                <w:color w:val="auto"/>
              </w:rPr>
            </w:pPr>
            <w:r>
              <w:rPr>
                <w:rFonts w:ascii="Arial" w:cs="Arial" w:eastAsia="Arial" w:hAnsi="Arial"/>
                <w:sz w:val="17"/>
                <w:szCs w:val="17"/>
                <w:color w:val="auto"/>
              </w:rPr>
              <w:t xml:space="preserve">Adjusted SG&amp;A </w:t>
            </w:r>
            <w:r>
              <w:rPr>
                <w:rFonts w:ascii="Arial" w:cs="Arial" w:eastAsia="Arial" w:hAnsi="Arial"/>
                <w:sz w:val="22"/>
                <w:szCs w:val="22"/>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7"/>
                <w:szCs w:val="17"/>
                <w:color w:val="auto"/>
              </w:rPr>
              <w:t>$99.8</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$107.4</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(7.0)%</w:t>
            </w:r>
          </w:p>
        </w:tc>
      </w:tr>
      <w:tr>
        <w:trPr>
          <w:trHeight w:val="217"/>
        </w:trPr>
        <w:tc>
          <w:tcPr>
            <w:tcW w:w="7160" w:type="dxa"/>
            <w:vAlign w:val="bottom"/>
            <w:gridSpan w:val="2"/>
          </w:tcPr>
          <w:p>
            <w:pPr>
              <w:spacing w:after="0" w:line="218" w:lineRule="exact"/>
              <w:rPr>
                <w:sz w:val="20"/>
                <w:szCs w:val="20"/>
                <w:color w:val="auto"/>
              </w:rPr>
            </w:pPr>
            <w:r>
              <w:rPr>
                <w:rFonts w:ascii="Arial" w:cs="Arial" w:eastAsia="Arial" w:hAnsi="Arial"/>
                <w:sz w:val="17"/>
                <w:szCs w:val="17"/>
                <w:color w:val="auto"/>
              </w:rPr>
              <w:t xml:space="preserve">Adjusted R&amp;D </w:t>
            </w:r>
            <w:r>
              <w:rPr>
                <w:rFonts w:ascii="Arial" w:cs="Arial" w:eastAsia="Arial" w:hAnsi="Arial"/>
                <w:sz w:val="22"/>
                <w:szCs w:val="22"/>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7"/>
                <w:szCs w:val="17"/>
                <w:color w:val="auto"/>
              </w:rPr>
              <w:t>42.9</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40.8</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5.0 %</w:t>
            </w:r>
          </w:p>
        </w:tc>
      </w:tr>
      <w:tr>
        <w:trPr>
          <w:trHeight w:val="217"/>
        </w:trPr>
        <w:tc>
          <w:tcPr>
            <w:tcW w:w="7160" w:type="dxa"/>
            <w:vAlign w:val="bottom"/>
            <w:gridSpan w:val="2"/>
          </w:tcPr>
          <w:p>
            <w:pPr>
              <w:spacing w:after="0" w:line="218" w:lineRule="exact"/>
              <w:rPr>
                <w:sz w:val="20"/>
                <w:szCs w:val="20"/>
                <w:color w:val="auto"/>
              </w:rPr>
            </w:pPr>
            <w:r>
              <w:rPr>
                <w:rFonts w:ascii="Arial" w:cs="Arial" w:eastAsia="Arial" w:hAnsi="Arial"/>
                <w:sz w:val="17"/>
                <w:szCs w:val="17"/>
                <w:color w:val="auto"/>
              </w:rPr>
              <w:t xml:space="preserve">Adjusted operating income </w:t>
            </w:r>
            <w:r>
              <w:rPr>
                <w:rFonts w:ascii="Arial" w:cs="Arial" w:eastAsia="Arial" w:hAnsi="Arial"/>
                <w:sz w:val="22"/>
                <w:szCs w:val="22"/>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7"/>
                <w:szCs w:val="17"/>
                <w:color w:val="auto"/>
              </w:rPr>
              <w:t>46.8</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40.2</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16.5 %</w:t>
            </w:r>
          </w:p>
        </w:tc>
      </w:tr>
      <w:tr>
        <w:trPr>
          <w:trHeight w:val="217"/>
        </w:trPr>
        <w:tc>
          <w:tcPr>
            <w:tcW w:w="7160" w:type="dxa"/>
            <w:vAlign w:val="bottom"/>
            <w:gridSpan w:val="2"/>
          </w:tcPr>
          <w:p>
            <w:pPr>
              <w:spacing w:after="0" w:line="218" w:lineRule="exact"/>
              <w:rPr>
                <w:sz w:val="20"/>
                <w:szCs w:val="20"/>
                <w:color w:val="auto"/>
              </w:rPr>
            </w:pPr>
            <w:r>
              <w:rPr>
                <w:rFonts w:ascii="Arial" w:cs="Arial" w:eastAsia="Arial" w:hAnsi="Arial"/>
                <w:sz w:val="17"/>
                <w:szCs w:val="17"/>
                <w:color w:val="auto"/>
              </w:rPr>
              <w:t xml:space="preserve">Adjusted net income </w:t>
            </w:r>
            <w:r>
              <w:rPr>
                <w:rFonts w:ascii="Arial" w:cs="Arial" w:eastAsia="Arial" w:hAnsi="Arial"/>
                <w:sz w:val="22"/>
                <w:szCs w:val="22"/>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7"/>
                <w:szCs w:val="17"/>
                <w:color w:val="auto"/>
              </w:rPr>
              <w:t>43.6</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30.7</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42.2 %</w:t>
            </w:r>
          </w:p>
        </w:tc>
      </w:tr>
      <w:tr>
        <w:trPr>
          <w:trHeight w:val="283"/>
        </w:trPr>
        <w:tc>
          <w:tcPr>
            <w:tcW w:w="7160" w:type="dxa"/>
            <w:vAlign w:val="bottom"/>
            <w:gridSpan w:val="2"/>
          </w:tcPr>
          <w:p>
            <w:pPr>
              <w:spacing w:after="0"/>
              <w:rPr>
                <w:sz w:val="20"/>
                <w:szCs w:val="20"/>
                <w:color w:val="auto"/>
              </w:rPr>
            </w:pPr>
            <w:r>
              <w:rPr>
                <w:rFonts w:ascii="Arial" w:cs="Arial" w:eastAsia="Arial" w:hAnsi="Arial"/>
                <w:sz w:val="17"/>
                <w:szCs w:val="17"/>
                <w:color w:val="auto"/>
              </w:rPr>
              <w:t xml:space="preserve">Adjusted diluted earnings per share </w:t>
            </w:r>
            <w:r>
              <w:rPr>
                <w:rFonts w:ascii="Arial" w:cs="Arial" w:eastAsia="Arial" w:hAnsi="Arial"/>
                <w:sz w:val="22"/>
                <w:szCs w:val="22"/>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7"/>
                <w:szCs w:val="17"/>
                <w:color w:val="auto"/>
              </w:rPr>
              <w:t>$0.81</w:t>
            </w:r>
          </w:p>
        </w:tc>
        <w:tc>
          <w:tcPr>
            <w:tcW w:w="10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$0.57</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43.3 %</w:t>
            </w:r>
          </w:p>
        </w:tc>
      </w:tr>
    </w:tbl>
    <w:p>
      <w:pPr>
        <w:spacing w:after="0" w:line="50" w:lineRule="exact"/>
        <w:rPr>
          <w:sz w:val="20"/>
          <w:szCs w:val="20"/>
          <w:color w:val="auto"/>
        </w:rPr>
      </w:pPr>
    </w:p>
    <w:p>
      <w:pPr>
        <w:ind w:left="480" w:right="20" w:hanging="355"/>
        <w:spacing w:after="0" w:line="235" w:lineRule="auto"/>
        <w:tabs>
          <w:tab w:leader="none" w:pos="4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Adjusted financial measures are non-GAAP measures and exclude specified items as described and reconciled in the "Reconciliation of GAAP to non-GAAP Financial Measures" contained in the press release.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Statistics (as a % of net revenue, except for income tax rate)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0" w:type="dxa"/>
            <w:vAlign w:val="bottom"/>
          </w:tcPr>
          <w:p>
            <w:pPr>
              <w:spacing w:after="0"/>
              <w:rPr>
                <w:sz w:val="21"/>
                <w:szCs w:val="21"/>
                <w:color w:val="auto"/>
              </w:rPr>
            </w:pPr>
          </w:p>
        </w:tc>
        <w:tc>
          <w:tcPr>
            <w:tcW w:w="4360" w:type="dxa"/>
            <w:vAlign w:val="bottom"/>
            <w:gridSpan w:val="5"/>
          </w:tcPr>
          <w:p>
            <w:pPr>
              <w:ind w:left="440"/>
              <w:spacing w:after="0"/>
              <w:rPr>
                <w:sz w:val="20"/>
                <w:szCs w:val="20"/>
                <w:color w:val="auto"/>
              </w:rPr>
            </w:pPr>
            <w:r>
              <w:rPr>
                <w:rFonts w:ascii="Arial" w:cs="Arial" w:eastAsia="Arial" w:hAnsi="Arial"/>
                <w:sz w:val="17"/>
                <w:szCs w:val="17"/>
                <w:b w:val="1"/>
                <w:bCs w:val="1"/>
                <w:color w:val="auto"/>
              </w:rPr>
              <w:t>GAAP Three Months Ended December 31,</w:t>
            </w:r>
          </w:p>
        </w:tc>
        <w:tc>
          <w:tcPr>
            <w:tcW w:w="4660" w:type="dxa"/>
            <w:vAlign w:val="bottom"/>
            <w:gridSpan w:val="3"/>
          </w:tcPr>
          <w:p>
            <w:pPr>
              <w:jc w:val="right"/>
              <w:ind w:right="335"/>
              <w:spacing w:after="0"/>
              <w:rPr>
                <w:sz w:val="20"/>
                <w:szCs w:val="20"/>
                <w:color w:val="auto"/>
              </w:rPr>
            </w:pPr>
            <w:r>
              <w:rPr>
                <w:rFonts w:ascii="Arial" w:cs="Arial" w:eastAsia="Arial" w:hAnsi="Arial"/>
                <w:sz w:val="17"/>
                <w:szCs w:val="17"/>
                <w:b w:val="1"/>
                <w:bCs w:val="1"/>
                <w:color w:val="auto"/>
              </w:rPr>
              <w:t xml:space="preserve">Adjusted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 xml:space="preserve"> Three Months Ended December 31,</w:t>
            </w:r>
          </w:p>
        </w:tc>
      </w:tr>
      <w:tr>
        <w:trPr>
          <w:trHeight w:val="210"/>
        </w:trPr>
        <w:tc>
          <w:tcPr>
            <w:tcW w:w="22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2022</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10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8"/>
                <w:szCs w:val="18"/>
                <w:color w:val="auto"/>
              </w:rPr>
            </w:pPr>
          </w:p>
        </w:tc>
        <w:tc>
          <w:tcPr>
            <w:tcW w:w="2280" w:type="dxa"/>
            <w:vAlign w:val="bottom"/>
            <w:tcBorders>
              <w:top w:val="single" w:sz="8" w:color="auto"/>
              <w:bottom w:val="single" w:sz="8" w:color="auto"/>
            </w:tcBorders>
          </w:tcPr>
          <w:p>
            <w:pPr>
              <w:jc w:val="right"/>
              <w:ind w:right="87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tcBorders>
          </w:tcPr>
          <w:p>
            <w:pPr>
              <w:spacing w:after="0"/>
              <w:rPr>
                <w:sz w:val="18"/>
                <w:szCs w:val="18"/>
                <w:color w:val="auto"/>
              </w:rPr>
            </w:pPr>
          </w:p>
        </w:tc>
        <w:tc>
          <w:tcPr>
            <w:tcW w:w="2280" w:type="dxa"/>
            <w:vAlign w:val="bottom"/>
            <w:tcBorders>
              <w:top w:val="single" w:sz="8" w:color="auto"/>
              <w:bottom w:val="single" w:sz="8" w:color="auto"/>
            </w:tcBorders>
          </w:tcPr>
          <w:p>
            <w:pPr>
              <w:jc w:val="right"/>
              <w:ind w:right="855"/>
              <w:spacing w:after="0"/>
              <w:rPr>
                <w:sz w:val="20"/>
                <w:szCs w:val="20"/>
                <w:color w:val="auto"/>
              </w:rPr>
            </w:pPr>
            <w:r>
              <w:rPr>
                <w:rFonts w:ascii="Arial" w:cs="Arial" w:eastAsia="Arial" w:hAnsi="Arial"/>
                <w:sz w:val="17"/>
                <w:szCs w:val="17"/>
                <w:b w:val="1"/>
                <w:bCs w:val="1"/>
                <w:color w:val="auto"/>
              </w:rPr>
              <w:t>2021</w:t>
            </w:r>
          </w:p>
        </w:tc>
      </w:tr>
      <w:tr>
        <w:trPr>
          <w:trHeight w:val="209"/>
        </w:trPr>
        <w:tc>
          <w:tcPr>
            <w:tcW w:w="356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700" w:type="dxa"/>
            <w:vAlign w:val="bottom"/>
          </w:tcPr>
          <w:p>
            <w:pPr>
              <w:jc w:val="right"/>
              <w:spacing w:after="0"/>
              <w:rPr>
                <w:sz w:val="20"/>
                <w:szCs w:val="20"/>
                <w:color w:val="auto"/>
              </w:rPr>
            </w:pPr>
            <w:r>
              <w:rPr>
                <w:rFonts w:ascii="Arial" w:cs="Arial" w:eastAsia="Arial" w:hAnsi="Arial"/>
                <w:sz w:val="17"/>
                <w:szCs w:val="17"/>
                <w:color w:val="auto"/>
              </w:rPr>
              <w:t>66.8 %</w:t>
            </w:r>
          </w:p>
        </w:tc>
        <w:tc>
          <w:tcPr>
            <w:tcW w:w="1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74.7 %</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68.9 %</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69.8 %</w:t>
            </w:r>
          </w:p>
        </w:tc>
      </w:tr>
      <w:tr>
        <w:trPr>
          <w:trHeight w:val="217"/>
        </w:trPr>
        <w:tc>
          <w:tcPr>
            <w:tcW w:w="3560" w:type="dxa"/>
            <w:vAlign w:val="bottom"/>
            <w:gridSpan w:val="2"/>
          </w:tcPr>
          <w:p>
            <w:pPr>
              <w:spacing w:after="0"/>
              <w:rPr>
                <w:sz w:val="20"/>
                <w:szCs w:val="20"/>
                <w:color w:val="auto"/>
              </w:rPr>
            </w:pPr>
            <w:r>
              <w:rPr>
                <w:rFonts w:ascii="Arial" w:cs="Arial" w:eastAsia="Arial" w:hAnsi="Arial"/>
                <w:sz w:val="17"/>
                <w:szCs w:val="17"/>
                <w:color w:val="auto"/>
              </w:rPr>
              <w:t>SG&amp;A</w:t>
            </w:r>
          </w:p>
        </w:tc>
        <w:tc>
          <w:tcPr>
            <w:tcW w:w="700" w:type="dxa"/>
            <w:vAlign w:val="bottom"/>
          </w:tcPr>
          <w:p>
            <w:pPr>
              <w:jc w:val="right"/>
              <w:spacing w:after="0"/>
              <w:rPr>
                <w:sz w:val="20"/>
                <w:szCs w:val="20"/>
                <w:color w:val="auto"/>
              </w:rPr>
            </w:pPr>
            <w:r>
              <w:rPr>
                <w:rFonts w:ascii="Arial" w:cs="Arial" w:eastAsia="Arial" w:hAnsi="Arial"/>
                <w:sz w:val="17"/>
                <w:szCs w:val="17"/>
                <w:color w:val="auto"/>
              </w:rPr>
              <w:t>43.5 %</w:t>
            </w:r>
          </w:p>
        </w:tc>
        <w:tc>
          <w:tcPr>
            <w:tcW w:w="1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46.1 %</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36.3 %</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39.8 %</w:t>
            </w:r>
          </w:p>
        </w:tc>
      </w:tr>
      <w:tr>
        <w:trPr>
          <w:trHeight w:val="217"/>
        </w:trPr>
        <w:tc>
          <w:tcPr>
            <w:tcW w:w="3560" w:type="dxa"/>
            <w:vAlign w:val="bottom"/>
            <w:gridSpan w:val="2"/>
          </w:tcPr>
          <w:p>
            <w:pPr>
              <w:spacing w:after="0"/>
              <w:rPr>
                <w:sz w:val="20"/>
                <w:szCs w:val="20"/>
                <w:color w:val="auto"/>
              </w:rPr>
            </w:pPr>
            <w:r>
              <w:rPr>
                <w:rFonts w:ascii="Arial" w:cs="Arial" w:eastAsia="Arial" w:hAnsi="Arial"/>
                <w:sz w:val="17"/>
                <w:szCs w:val="17"/>
                <w:color w:val="auto"/>
              </w:rPr>
              <w:t>R&amp;D</w:t>
            </w:r>
          </w:p>
        </w:tc>
        <w:tc>
          <w:tcPr>
            <w:tcW w:w="700" w:type="dxa"/>
            <w:vAlign w:val="bottom"/>
          </w:tcPr>
          <w:p>
            <w:pPr>
              <w:jc w:val="right"/>
              <w:spacing w:after="0"/>
              <w:rPr>
                <w:sz w:val="20"/>
                <w:szCs w:val="20"/>
                <w:color w:val="auto"/>
              </w:rPr>
            </w:pPr>
            <w:r>
              <w:rPr>
                <w:rFonts w:ascii="Arial" w:cs="Arial" w:eastAsia="Arial" w:hAnsi="Arial"/>
                <w:sz w:val="17"/>
                <w:szCs w:val="17"/>
                <w:color w:val="auto"/>
              </w:rPr>
              <w:t>16.3 %</w:t>
            </w:r>
          </w:p>
        </w:tc>
        <w:tc>
          <w:tcPr>
            <w:tcW w:w="1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16.3 %</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15.6 %</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15.1 %</w:t>
            </w:r>
          </w:p>
        </w:tc>
      </w:tr>
      <w:tr>
        <w:trPr>
          <w:trHeight w:val="217"/>
        </w:trPr>
        <w:tc>
          <w:tcPr>
            <w:tcW w:w="3560" w:type="dxa"/>
            <w:vAlign w:val="bottom"/>
            <w:gridSpan w:val="2"/>
          </w:tcPr>
          <w:p>
            <w:pPr>
              <w:spacing w:after="0"/>
              <w:rPr>
                <w:sz w:val="20"/>
                <w:szCs w:val="20"/>
                <w:color w:val="auto"/>
              </w:rPr>
            </w:pPr>
            <w:r>
              <w:rPr>
                <w:rFonts w:ascii="Arial" w:cs="Arial" w:eastAsia="Arial" w:hAnsi="Arial"/>
                <w:sz w:val="17"/>
                <w:szCs w:val="17"/>
                <w:color w:val="auto"/>
              </w:rPr>
              <w:t>Operating income</w:t>
            </w:r>
          </w:p>
        </w:tc>
        <w:tc>
          <w:tcPr>
            <w:tcW w:w="700" w:type="dxa"/>
            <w:vAlign w:val="bottom"/>
          </w:tcPr>
          <w:p>
            <w:pPr>
              <w:jc w:val="right"/>
              <w:spacing w:after="0"/>
              <w:rPr>
                <w:sz w:val="20"/>
                <w:szCs w:val="20"/>
                <w:color w:val="auto"/>
              </w:rPr>
            </w:pPr>
            <w:r>
              <w:rPr>
                <w:rFonts w:ascii="Arial" w:cs="Arial" w:eastAsia="Arial" w:hAnsi="Arial"/>
                <w:sz w:val="17"/>
                <w:szCs w:val="17"/>
                <w:color w:val="auto"/>
              </w:rPr>
              <w:t>5.1 %</w:t>
            </w:r>
          </w:p>
        </w:tc>
        <w:tc>
          <w:tcPr>
            <w:tcW w:w="1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9.2 %</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17.0 %</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14.9 %</w:t>
            </w:r>
          </w:p>
        </w:tc>
      </w:tr>
      <w:tr>
        <w:trPr>
          <w:trHeight w:val="217"/>
        </w:trPr>
        <w:tc>
          <w:tcPr>
            <w:tcW w:w="3560" w:type="dxa"/>
            <w:vAlign w:val="bottom"/>
            <w:gridSpan w:val="2"/>
          </w:tcPr>
          <w:p>
            <w:pPr>
              <w:spacing w:after="0"/>
              <w:rPr>
                <w:sz w:val="20"/>
                <w:szCs w:val="20"/>
                <w:color w:val="auto"/>
              </w:rPr>
            </w:pPr>
            <w:r>
              <w:rPr>
                <w:rFonts w:ascii="Arial" w:cs="Arial" w:eastAsia="Arial" w:hAnsi="Arial"/>
                <w:sz w:val="17"/>
                <w:szCs w:val="17"/>
                <w:color w:val="auto"/>
              </w:rPr>
              <w:t>Net income (loss)</w:t>
            </w:r>
          </w:p>
        </w:tc>
        <w:tc>
          <w:tcPr>
            <w:tcW w:w="700" w:type="dxa"/>
            <w:vAlign w:val="bottom"/>
          </w:tcPr>
          <w:p>
            <w:pPr>
              <w:jc w:val="right"/>
              <w:spacing w:after="0"/>
              <w:rPr>
                <w:sz w:val="20"/>
                <w:szCs w:val="20"/>
                <w:color w:val="auto"/>
              </w:rPr>
            </w:pPr>
            <w:r>
              <w:rPr>
                <w:rFonts w:ascii="Arial" w:cs="Arial" w:eastAsia="Arial" w:hAnsi="Arial"/>
                <w:sz w:val="17"/>
                <w:szCs w:val="17"/>
                <w:color w:val="auto"/>
              </w:rPr>
              <w:t>0.6 %</w:t>
            </w:r>
          </w:p>
        </w:tc>
        <w:tc>
          <w:tcPr>
            <w:tcW w:w="1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15.9 %</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11.4 %</w:t>
            </w:r>
          </w:p>
        </w:tc>
      </w:tr>
      <w:tr>
        <w:trPr>
          <w:trHeight w:val="217"/>
        </w:trPr>
        <w:tc>
          <w:tcPr>
            <w:tcW w:w="3560" w:type="dxa"/>
            <w:vAlign w:val="bottom"/>
            <w:gridSpan w:val="2"/>
          </w:tcPr>
          <w:p>
            <w:pPr>
              <w:spacing w:after="0"/>
              <w:rPr>
                <w:sz w:val="20"/>
                <w:szCs w:val="20"/>
                <w:color w:val="auto"/>
              </w:rPr>
            </w:pPr>
            <w:r>
              <w:rPr>
                <w:rFonts w:ascii="Arial" w:cs="Arial" w:eastAsia="Arial" w:hAnsi="Arial"/>
                <w:sz w:val="17"/>
                <w:szCs w:val="17"/>
                <w:color w:val="auto"/>
              </w:rPr>
              <w:t>Income tax rate</w:t>
            </w:r>
          </w:p>
        </w:tc>
        <w:tc>
          <w:tcPr>
            <w:tcW w:w="700" w:type="dxa"/>
            <w:vAlign w:val="bottom"/>
          </w:tcPr>
          <w:p>
            <w:pPr>
              <w:jc w:val="right"/>
              <w:spacing w:after="0"/>
              <w:rPr>
                <w:sz w:val="20"/>
                <w:szCs w:val="20"/>
                <w:color w:val="auto"/>
              </w:rPr>
            </w:pPr>
            <w:r>
              <w:rPr>
                <w:rFonts w:ascii="Arial" w:cs="Arial" w:eastAsia="Arial" w:hAnsi="Arial"/>
                <w:sz w:val="17"/>
                <w:szCs w:val="17"/>
                <w:color w:val="auto"/>
              </w:rPr>
              <w:t>73.6 %</w:t>
            </w:r>
          </w:p>
        </w:tc>
        <w:tc>
          <w:tcPr>
            <w:tcW w:w="10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(121.2)%</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13.9 %</w:t>
            </w:r>
          </w:p>
        </w:tc>
      </w:tr>
    </w:tbl>
    <w:p>
      <w:pPr>
        <w:spacing w:after="0" w:line="118" w:lineRule="exact"/>
        <w:rPr>
          <w:sz w:val="20"/>
          <w:szCs w:val="20"/>
          <w:color w:val="auto"/>
        </w:rPr>
      </w:pPr>
    </w:p>
    <w:p>
      <w:pPr>
        <w:ind w:left="440" w:right="20" w:hanging="328"/>
        <w:spacing w:after="0" w:line="235" w:lineRule="auto"/>
        <w:tabs>
          <w:tab w:leader="none" w:pos="4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Adjusted financial measures are non-GAAP measures and exclude specified items as described and reconciled in the "Reconciliation of GAAP to non-GAAP Financial Measures" contained in the press release.</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20"/>
          </w:cols>
          <w:pgMar w:left="340" w:top="1385"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LIVANOVA PLC AND SUBSIDIARIES</w:t>
      </w:r>
    </w:p>
    <w:p>
      <w:pPr>
        <w:spacing w:after="0" w:line="29" w:lineRule="exact"/>
        <w:rPr>
          <w:sz w:val="20"/>
          <w:szCs w:val="20"/>
          <w:color w:val="auto"/>
        </w:rPr>
      </w:pPr>
    </w:p>
    <w:p>
      <w:pPr>
        <w:ind w:right="5380"/>
        <w:spacing w:after="0" w:line="293" w:lineRule="auto"/>
        <w:rPr>
          <w:sz w:val="20"/>
          <w:szCs w:val="20"/>
          <w:color w:val="auto"/>
        </w:rPr>
      </w:pPr>
      <w:r>
        <w:rPr>
          <w:rFonts w:ascii="Arial" w:cs="Arial" w:eastAsia="Arial" w:hAnsi="Arial"/>
          <w:sz w:val="17"/>
          <w:szCs w:val="17"/>
          <w:b w:val="1"/>
          <w:bCs w:val="1"/>
          <w:color w:val="auto"/>
        </w:rPr>
        <w:t>CONDENSED CONSOLIDATED STATEMENTS OF INCOME - UNAUDITED (U.S. dollars in millions, except per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400" w:type="dxa"/>
            <w:vAlign w:val="bottom"/>
          </w:tcPr>
          <w:p>
            <w:pPr>
              <w:spacing w:after="0"/>
              <w:rPr>
                <w:sz w:val="19"/>
                <w:szCs w:val="19"/>
                <w:color w:val="auto"/>
              </w:rPr>
            </w:pPr>
          </w:p>
        </w:tc>
        <w:tc>
          <w:tcPr>
            <w:tcW w:w="310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7"/>
                <w:szCs w:val="17"/>
                <w:b w:val="1"/>
                <w:bCs w:val="1"/>
                <w:color w:val="auto"/>
              </w:rPr>
              <w:t>Year Ended December 31,</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11"/>
        </w:trPr>
        <w:tc>
          <w:tcPr>
            <w:tcW w:w="54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 Change</w:t>
            </w:r>
          </w:p>
        </w:tc>
      </w:tr>
      <w:tr>
        <w:trPr>
          <w:trHeight w:val="209"/>
        </w:trPr>
        <w:tc>
          <w:tcPr>
            <w:tcW w:w="6540" w:type="dxa"/>
            <w:vAlign w:val="bottom"/>
            <w:gridSpan w:val="2"/>
          </w:tcPr>
          <w:p>
            <w:pPr>
              <w:spacing w:after="0"/>
              <w:rPr>
                <w:sz w:val="20"/>
                <w:szCs w:val="20"/>
                <w:color w:val="auto"/>
              </w:rPr>
            </w:pPr>
            <w:r>
              <w:rPr>
                <w:rFonts w:ascii="Arial" w:cs="Arial" w:eastAsia="Arial" w:hAnsi="Arial"/>
                <w:sz w:val="17"/>
                <w:szCs w:val="17"/>
                <w:color w:val="auto"/>
              </w:rPr>
              <w:t>Net revenue</w:t>
            </w:r>
          </w:p>
        </w:tc>
        <w:tc>
          <w:tcPr>
            <w:tcW w:w="740" w:type="dxa"/>
            <w:vAlign w:val="bottom"/>
          </w:tcPr>
          <w:p>
            <w:pPr>
              <w:jc w:val="right"/>
              <w:spacing w:after="0"/>
              <w:rPr>
                <w:sz w:val="20"/>
                <w:szCs w:val="20"/>
                <w:color w:val="auto"/>
              </w:rPr>
            </w:pPr>
            <w:r>
              <w:rPr>
                <w:rFonts w:ascii="Arial" w:cs="Arial" w:eastAsia="Arial" w:hAnsi="Arial"/>
                <w:sz w:val="17"/>
                <w:szCs w:val="17"/>
                <w:color w:val="auto"/>
                <w:w w:val="96"/>
              </w:rPr>
              <w:t>$1,021.8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9"/>
              </w:rPr>
              <w:t>$1,035.4</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8"/>
        </w:trPr>
        <w:tc>
          <w:tcPr>
            <w:tcW w:w="5400" w:type="dxa"/>
            <w:vAlign w:val="bottom"/>
          </w:tcPr>
          <w:p>
            <w:pPr>
              <w:spacing w:after="0"/>
              <w:rPr>
                <w:sz w:val="20"/>
                <w:szCs w:val="20"/>
                <w:color w:val="auto"/>
              </w:rPr>
            </w:pPr>
            <w:r>
              <w:rPr>
                <w:rFonts w:ascii="Arial" w:cs="Arial" w:eastAsia="Arial" w:hAnsi="Arial"/>
                <w:sz w:val="17"/>
                <w:szCs w:val="17"/>
                <w:color w:val="auto"/>
              </w:rPr>
              <w:t>Cost of sales</w:t>
            </w:r>
          </w:p>
        </w:tc>
        <w:tc>
          <w:tcPr>
            <w:tcW w:w="1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314.6</w:t>
            </w: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329.4</w:t>
            </w:r>
          </w:p>
        </w:tc>
        <w:tc>
          <w:tcPr>
            <w:tcW w:w="10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r>
      <w:tr>
        <w:trPr>
          <w:trHeight w:val="210"/>
        </w:trPr>
        <w:tc>
          <w:tcPr>
            <w:tcW w:w="6540" w:type="dxa"/>
            <w:vAlign w:val="bottom"/>
            <w:gridSpan w:val="2"/>
          </w:tcPr>
          <w:p>
            <w:pPr>
              <w:ind w:left="100"/>
              <w:spacing w:after="0"/>
              <w:rPr>
                <w:sz w:val="20"/>
                <w:szCs w:val="20"/>
                <w:color w:val="auto"/>
              </w:rPr>
            </w:pPr>
            <w:r>
              <w:rPr>
                <w:rFonts w:ascii="Arial" w:cs="Arial" w:eastAsia="Arial" w:hAnsi="Arial"/>
                <w:sz w:val="17"/>
                <w:szCs w:val="17"/>
                <w:color w:val="auto"/>
              </w:rPr>
              <w:t>Gross profit</w:t>
            </w:r>
          </w:p>
        </w:tc>
        <w:tc>
          <w:tcPr>
            <w:tcW w:w="740" w:type="dxa"/>
            <w:vAlign w:val="bottom"/>
          </w:tcPr>
          <w:p>
            <w:pPr>
              <w:jc w:val="right"/>
              <w:spacing w:after="0"/>
              <w:rPr>
                <w:sz w:val="20"/>
                <w:szCs w:val="20"/>
                <w:color w:val="auto"/>
              </w:rPr>
            </w:pPr>
            <w:r>
              <w:rPr>
                <w:rFonts w:ascii="Arial" w:cs="Arial" w:eastAsia="Arial" w:hAnsi="Arial"/>
                <w:sz w:val="17"/>
                <w:szCs w:val="17"/>
                <w:color w:val="auto"/>
              </w:rPr>
              <w:t>707.2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706.0</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0.2 %</w:t>
            </w:r>
          </w:p>
        </w:tc>
      </w:tr>
      <w:tr>
        <w:trPr>
          <w:trHeight w:val="197"/>
        </w:trPr>
        <w:tc>
          <w:tcPr>
            <w:tcW w:w="5400" w:type="dxa"/>
            <w:vAlign w:val="bottom"/>
          </w:tcPr>
          <w:p>
            <w:pPr>
              <w:spacing w:after="0"/>
              <w:rPr>
                <w:sz w:val="20"/>
                <w:szCs w:val="20"/>
                <w:color w:val="auto"/>
              </w:rPr>
            </w:pPr>
            <w:r>
              <w:rPr>
                <w:rFonts w:ascii="Arial" w:cs="Arial" w:eastAsia="Arial" w:hAnsi="Arial"/>
                <w:sz w:val="17"/>
                <w:szCs w:val="17"/>
                <w:color w:val="auto"/>
              </w:rPr>
              <w:t>Operating expenses:</w:t>
            </w:r>
          </w:p>
        </w:tc>
        <w:tc>
          <w:tcPr>
            <w:tcW w:w="1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r>
      <w:tr>
        <w:trPr>
          <w:trHeight w:val="217"/>
        </w:trPr>
        <w:tc>
          <w:tcPr>
            <w:tcW w:w="6540" w:type="dxa"/>
            <w:vAlign w:val="bottom"/>
            <w:gridSpan w:val="2"/>
          </w:tcPr>
          <w:p>
            <w:pPr>
              <w:ind w:left="100"/>
              <w:spacing w:after="0"/>
              <w:rPr>
                <w:sz w:val="20"/>
                <w:szCs w:val="20"/>
                <w:color w:val="auto"/>
              </w:rPr>
            </w:pPr>
            <w:r>
              <w:rPr>
                <w:rFonts w:ascii="Arial" w:cs="Arial" w:eastAsia="Arial" w:hAnsi="Arial"/>
                <w:sz w:val="17"/>
                <w:szCs w:val="17"/>
                <w:color w:val="auto"/>
              </w:rPr>
              <w:t>Selling, general and administrative</w:t>
            </w:r>
          </w:p>
        </w:tc>
        <w:tc>
          <w:tcPr>
            <w:tcW w:w="740" w:type="dxa"/>
            <w:vAlign w:val="bottom"/>
          </w:tcPr>
          <w:p>
            <w:pPr>
              <w:jc w:val="right"/>
              <w:spacing w:after="0"/>
              <w:rPr>
                <w:sz w:val="20"/>
                <w:szCs w:val="20"/>
                <w:color w:val="auto"/>
              </w:rPr>
            </w:pPr>
            <w:r>
              <w:rPr>
                <w:rFonts w:ascii="Arial" w:cs="Arial" w:eastAsia="Arial" w:hAnsi="Arial"/>
                <w:sz w:val="17"/>
                <w:szCs w:val="17"/>
                <w:color w:val="auto"/>
              </w:rPr>
              <w:t>469.2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471.9</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7"/>
        </w:trPr>
        <w:tc>
          <w:tcPr>
            <w:tcW w:w="6540" w:type="dxa"/>
            <w:vAlign w:val="bottom"/>
            <w:gridSpan w:val="2"/>
          </w:tcPr>
          <w:p>
            <w:pPr>
              <w:ind w:left="100"/>
              <w:spacing w:after="0"/>
              <w:rPr>
                <w:sz w:val="20"/>
                <w:szCs w:val="20"/>
                <w:color w:val="auto"/>
              </w:rPr>
            </w:pPr>
            <w:r>
              <w:rPr>
                <w:rFonts w:ascii="Arial" w:cs="Arial" w:eastAsia="Arial" w:hAnsi="Arial"/>
                <w:sz w:val="17"/>
                <w:szCs w:val="17"/>
                <w:color w:val="auto"/>
              </w:rPr>
              <w:t>Research and development</w:t>
            </w:r>
          </w:p>
        </w:tc>
        <w:tc>
          <w:tcPr>
            <w:tcW w:w="740" w:type="dxa"/>
            <w:vAlign w:val="bottom"/>
          </w:tcPr>
          <w:p>
            <w:pPr>
              <w:jc w:val="right"/>
              <w:spacing w:after="0"/>
              <w:rPr>
                <w:sz w:val="20"/>
                <w:szCs w:val="20"/>
                <w:color w:val="auto"/>
              </w:rPr>
            </w:pPr>
            <w:r>
              <w:rPr>
                <w:rFonts w:ascii="Arial" w:cs="Arial" w:eastAsia="Arial" w:hAnsi="Arial"/>
                <w:sz w:val="17"/>
                <w:szCs w:val="17"/>
                <w:color w:val="auto"/>
              </w:rPr>
              <w:t>155.8</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183.4</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7"/>
        </w:trPr>
        <w:tc>
          <w:tcPr>
            <w:tcW w:w="6540" w:type="dxa"/>
            <w:vAlign w:val="bottom"/>
            <w:gridSpan w:val="2"/>
          </w:tcPr>
          <w:p>
            <w:pPr>
              <w:ind w:left="100"/>
              <w:spacing w:after="0"/>
              <w:rPr>
                <w:sz w:val="20"/>
                <w:szCs w:val="20"/>
                <w:color w:val="auto"/>
              </w:rPr>
            </w:pPr>
            <w:r>
              <w:rPr>
                <w:rFonts w:ascii="Arial" w:cs="Arial" w:eastAsia="Arial" w:hAnsi="Arial"/>
                <w:sz w:val="17"/>
                <w:szCs w:val="17"/>
                <w:color w:val="auto"/>
              </w:rPr>
              <w:t>Impairment of goodwill</w:t>
            </w:r>
          </w:p>
        </w:tc>
        <w:tc>
          <w:tcPr>
            <w:tcW w:w="740" w:type="dxa"/>
            <w:vAlign w:val="bottom"/>
          </w:tcPr>
          <w:p>
            <w:pPr>
              <w:jc w:val="right"/>
              <w:spacing w:after="0"/>
              <w:rPr>
                <w:sz w:val="20"/>
                <w:szCs w:val="20"/>
                <w:color w:val="auto"/>
              </w:rPr>
            </w:pPr>
            <w:r>
              <w:rPr>
                <w:rFonts w:ascii="Arial" w:cs="Arial" w:eastAsia="Arial" w:hAnsi="Arial"/>
                <w:sz w:val="17"/>
                <w:szCs w:val="17"/>
                <w:color w:val="auto"/>
              </w:rPr>
              <w:t>129.4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80" w:type="dxa"/>
            <w:vAlign w:val="bottom"/>
          </w:tcPr>
          <w:p>
            <w:pPr>
              <w:spacing w:after="0"/>
              <w:rPr>
                <w:sz w:val="18"/>
                <w:szCs w:val="18"/>
                <w:color w:val="auto"/>
              </w:rPr>
            </w:pPr>
          </w:p>
        </w:tc>
      </w:tr>
      <w:tr>
        <w:trPr>
          <w:trHeight w:val="218"/>
        </w:trPr>
        <w:tc>
          <w:tcPr>
            <w:tcW w:w="5400" w:type="dxa"/>
            <w:vAlign w:val="bottom"/>
          </w:tcPr>
          <w:p>
            <w:pPr>
              <w:ind w:left="100"/>
              <w:spacing w:after="0"/>
              <w:rPr>
                <w:sz w:val="20"/>
                <w:szCs w:val="20"/>
                <w:color w:val="auto"/>
              </w:rPr>
            </w:pPr>
            <w:r>
              <w:rPr>
                <w:rFonts w:ascii="Arial" w:cs="Arial" w:eastAsia="Arial" w:hAnsi="Arial"/>
                <w:sz w:val="17"/>
                <w:szCs w:val="17"/>
                <w:color w:val="auto"/>
              </w:rPr>
              <w:t>Other operating expenses</w:t>
            </w:r>
          </w:p>
        </w:tc>
        <w:tc>
          <w:tcPr>
            <w:tcW w:w="1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51.5</w:t>
            </w:r>
          </w:p>
        </w:tc>
        <w:tc>
          <w:tcPr>
            <w:tcW w:w="10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7"/>
                <w:szCs w:val="17"/>
                <w:color w:val="auto"/>
              </w:rPr>
              <w:t>Operating loss</w:t>
            </w:r>
          </w:p>
        </w:tc>
        <w:tc>
          <w:tcPr>
            <w:tcW w:w="1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(76.8)</w:t>
            </w: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NM</w:t>
            </w:r>
          </w:p>
        </w:tc>
      </w:tr>
      <w:tr>
        <w:trPr>
          <w:trHeight w:val="210"/>
        </w:trPr>
        <w:tc>
          <w:tcPr>
            <w:tcW w:w="6540" w:type="dxa"/>
            <w:vAlign w:val="bottom"/>
            <w:gridSpan w:val="2"/>
          </w:tcPr>
          <w:p>
            <w:pPr>
              <w:ind w:left="100"/>
              <w:spacing w:after="0"/>
              <w:rPr>
                <w:sz w:val="20"/>
                <w:szCs w:val="20"/>
                <w:color w:val="auto"/>
              </w:rPr>
            </w:pPr>
            <w:r>
              <w:rPr>
                <w:rFonts w:ascii="Arial" w:cs="Arial" w:eastAsia="Arial" w:hAnsi="Arial"/>
                <w:sz w:val="17"/>
                <w:szCs w:val="17"/>
                <w:color w:val="auto"/>
              </w:rPr>
              <w:t>Interest expense</w:t>
            </w:r>
          </w:p>
        </w:tc>
        <w:tc>
          <w:tcPr>
            <w:tcW w:w="740" w:type="dxa"/>
            <w:vAlign w:val="bottom"/>
          </w:tcPr>
          <w:p>
            <w:pPr>
              <w:jc w:val="right"/>
              <w:spacing w:after="0"/>
              <w:rPr>
                <w:sz w:val="20"/>
                <w:szCs w:val="20"/>
                <w:color w:val="auto"/>
              </w:rPr>
            </w:pPr>
            <w:r>
              <w:rPr>
                <w:rFonts w:ascii="Arial" w:cs="Arial" w:eastAsia="Arial" w:hAnsi="Arial"/>
                <w:sz w:val="17"/>
                <w:szCs w:val="17"/>
                <w:color w:val="auto"/>
              </w:rPr>
              <w:t>(48.3)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(50.2)</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7"/>
        </w:trPr>
        <w:tc>
          <w:tcPr>
            <w:tcW w:w="6540" w:type="dxa"/>
            <w:vAlign w:val="bottom"/>
            <w:gridSpan w:val="2"/>
          </w:tcPr>
          <w:p>
            <w:pPr>
              <w:ind w:left="100"/>
              <w:spacing w:after="0"/>
              <w:rPr>
                <w:sz w:val="20"/>
                <w:szCs w:val="20"/>
                <w:color w:val="auto"/>
              </w:rPr>
            </w:pPr>
            <w:r>
              <w:rPr>
                <w:rFonts w:ascii="Arial" w:cs="Arial" w:eastAsia="Arial" w:hAnsi="Arial"/>
                <w:sz w:val="17"/>
                <w:szCs w:val="17"/>
                <w:color w:val="auto"/>
              </w:rPr>
              <w:t>Loss on debt extinguishment</w:t>
            </w:r>
          </w:p>
        </w:tc>
        <w:tc>
          <w:tcPr>
            <w:tcW w:w="1960" w:type="dxa"/>
            <w:vAlign w:val="bottom"/>
            <w:gridSpan w:val="3"/>
          </w:tcPr>
          <w:p>
            <w:pPr>
              <w:jc w:val="right"/>
              <w:ind w:right="121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(60.2)</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8"/>
        </w:trPr>
        <w:tc>
          <w:tcPr>
            <w:tcW w:w="5400" w:type="dxa"/>
            <w:vAlign w:val="bottom"/>
          </w:tcPr>
          <w:p>
            <w:pPr>
              <w:ind w:left="100"/>
              <w:spacing w:after="0"/>
              <w:rPr>
                <w:sz w:val="20"/>
                <w:szCs w:val="20"/>
                <w:color w:val="auto"/>
              </w:rPr>
            </w:pPr>
            <w:r>
              <w:rPr>
                <w:rFonts w:ascii="Arial" w:cs="Arial" w:eastAsia="Arial" w:hAnsi="Arial"/>
                <w:sz w:val="17"/>
                <w:szCs w:val="17"/>
                <w:color w:val="auto"/>
              </w:rPr>
              <w:t>Foreign exchange and other income/(expense)</w:t>
            </w:r>
          </w:p>
        </w:tc>
        <w:tc>
          <w:tcPr>
            <w:tcW w:w="1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w:t>
            </w: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7"/>
                <w:szCs w:val="17"/>
                <w:color w:val="auto"/>
              </w:rPr>
              <w:t>Loss from continuing operations before tax</w:t>
            </w:r>
          </w:p>
        </w:tc>
        <w:tc>
          <w:tcPr>
            <w:tcW w:w="1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w:t>
            </w: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(124.5)</w:t>
            </w: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NM</w:t>
            </w:r>
          </w:p>
        </w:tc>
      </w:tr>
      <w:tr>
        <w:trPr>
          <w:trHeight w:val="210"/>
        </w:trPr>
        <w:tc>
          <w:tcPr>
            <w:tcW w:w="6540" w:type="dxa"/>
            <w:vAlign w:val="bottom"/>
            <w:gridSpan w:val="2"/>
          </w:tcPr>
          <w:p>
            <w:pPr>
              <w:ind w:left="100"/>
              <w:spacing w:after="0"/>
              <w:rPr>
                <w:sz w:val="20"/>
                <w:szCs w:val="20"/>
                <w:color w:val="auto"/>
              </w:rPr>
            </w:pPr>
            <w:r>
              <w:rPr>
                <w:rFonts w:ascii="Arial" w:cs="Arial" w:eastAsia="Arial" w:hAnsi="Arial"/>
                <w:sz w:val="17"/>
                <w:szCs w:val="17"/>
                <w:color w:val="auto"/>
              </w:rPr>
              <w:t>Income tax expense</w:t>
            </w:r>
          </w:p>
        </w:tc>
        <w:tc>
          <w:tcPr>
            <w:tcW w:w="740" w:type="dxa"/>
            <w:vAlign w:val="bottom"/>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8"/>
        </w:trPr>
        <w:tc>
          <w:tcPr>
            <w:tcW w:w="5400" w:type="dxa"/>
            <w:vAlign w:val="bottom"/>
          </w:tcPr>
          <w:p>
            <w:pPr>
              <w:ind w:left="100"/>
              <w:spacing w:after="0"/>
              <w:rPr>
                <w:sz w:val="20"/>
                <w:szCs w:val="20"/>
                <w:color w:val="auto"/>
              </w:rPr>
            </w:pPr>
            <w:r>
              <w:rPr>
                <w:rFonts w:ascii="Arial" w:cs="Arial" w:eastAsia="Arial" w:hAnsi="Arial"/>
                <w:sz w:val="17"/>
                <w:szCs w:val="17"/>
                <w:color w:val="auto"/>
              </w:rPr>
              <w:t>Losses from equity method investments</w:t>
            </w:r>
          </w:p>
        </w:tc>
        <w:tc>
          <w:tcPr>
            <w:tcW w:w="1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r>
      <w:tr>
        <w:trPr>
          <w:trHeight w:val="211"/>
        </w:trPr>
        <w:tc>
          <w:tcPr>
            <w:tcW w:w="654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740" w:type="dxa"/>
            <w:vAlign w:val="bottom"/>
          </w:tcPr>
          <w:p>
            <w:pPr>
              <w:jc w:val="right"/>
              <w:spacing w:after="0"/>
              <w:rPr>
                <w:sz w:val="20"/>
                <w:szCs w:val="20"/>
                <w:color w:val="auto"/>
              </w:rPr>
            </w:pPr>
            <w:r>
              <w:rPr>
                <w:rFonts w:ascii="Arial" w:cs="Arial" w:eastAsia="Arial" w:hAnsi="Arial"/>
                <w:sz w:val="17"/>
                <w:szCs w:val="17"/>
                <w:color w:val="auto"/>
              </w:rPr>
              <w:t>($86.2)</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($135.8)</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NM</w:t>
            </w:r>
          </w:p>
        </w:tc>
      </w:tr>
      <w:tr>
        <w:trPr>
          <w:trHeight w:val="20"/>
        </w:trPr>
        <w:tc>
          <w:tcPr>
            <w:tcW w:w="5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387"/>
        </w:trPr>
        <w:tc>
          <w:tcPr>
            <w:tcW w:w="6540" w:type="dxa"/>
            <w:vAlign w:val="bottom"/>
            <w:gridSpan w:val="2"/>
          </w:tcPr>
          <w:p>
            <w:pPr>
              <w:spacing w:after="0"/>
              <w:rPr>
                <w:sz w:val="20"/>
                <w:szCs w:val="20"/>
                <w:color w:val="auto"/>
              </w:rPr>
            </w:pPr>
            <w:r>
              <w:rPr>
                <w:rFonts w:ascii="Arial" w:cs="Arial" w:eastAsia="Arial" w:hAnsi="Arial"/>
                <w:sz w:val="17"/>
                <w:szCs w:val="17"/>
                <w:color w:val="auto"/>
              </w:rPr>
              <w:t>Basic loss per share</w:t>
            </w:r>
          </w:p>
        </w:tc>
        <w:tc>
          <w:tcPr>
            <w:tcW w:w="74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($2.68)</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7"/>
        </w:trPr>
        <w:tc>
          <w:tcPr>
            <w:tcW w:w="6540" w:type="dxa"/>
            <w:vAlign w:val="bottom"/>
            <w:gridSpan w:val="2"/>
          </w:tcPr>
          <w:p>
            <w:pPr>
              <w:spacing w:after="0"/>
              <w:rPr>
                <w:sz w:val="20"/>
                <w:szCs w:val="20"/>
                <w:color w:val="auto"/>
              </w:rPr>
            </w:pPr>
            <w:r>
              <w:rPr>
                <w:rFonts w:ascii="Arial" w:cs="Arial" w:eastAsia="Arial" w:hAnsi="Arial"/>
                <w:sz w:val="17"/>
                <w:szCs w:val="17"/>
                <w:color w:val="auto"/>
              </w:rPr>
              <w:t>Diluted loss per share</w:t>
            </w:r>
          </w:p>
        </w:tc>
        <w:tc>
          <w:tcPr>
            <w:tcW w:w="74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($2.68)</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422"/>
        </w:trPr>
        <w:tc>
          <w:tcPr>
            <w:tcW w:w="6540" w:type="dxa"/>
            <w:vAlign w:val="bottom"/>
            <w:gridSpan w:val="2"/>
          </w:tcPr>
          <w:p>
            <w:pPr>
              <w:spacing w:after="0"/>
              <w:rPr>
                <w:sz w:val="20"/>
                <w:szCs w:val="20"/>
                <w:color w:val="auto"/>
              </w:rPr>
            </w:pPr>
            <w:r>
              <w:rPr>
                <w:rFonts w:ascii="Arial" w:cs="Arial" w:eastAsia="Arial" w:hAnsi="Arial"/>
                <w:sz w:val="17"/>
                <w:szCs w:val="17"/>
                <w:color w:val="auto"/>
              </w:rPr>
              <w:t>Weighted average common shares outstanding:</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7"/>
        </w:trPr>
        <w:tc>
          <w:tcPr>
            <w:tcW w:w="6540" w:type="dxa"/>
            <w:vAlign w:val="bottom"/>
            <w:gridSpan w:val="2"/>
          </w:tcPr>
          <w:p>
            <w:pPr>
              <w:ind w:left="100"/>
              <w:spacing w:after="0"/>
              <w:rPr>
                <w:sz w:val="20"/>
                <w:szCs w:val="20"/>
                <w:color w:val="auto"/>
              </w:rPr>
            </w:pPr>
            <w:r>
              <w:rPr>
                <w:rFonts w:ascii="Arial" w:cs="Arial" w:eastAsia="Arial" w:hAnsi="Arial"/>
                <w:sz w:val="17"/>
                <w:szCs w:val="17"/>
                <w:color w:val="auto"/>
              </w:rPr>
              <w:t>Basic</w:t>
            </w:r>
          </w:p>
        </w:tc>
        <w:tc>
          <w:tcPr>
            <w:tcW w:w="740" w:type="dxa"/>
            <w:vAlign w:val="bottom"/>
          </w:tcPr>
          <w:p>
            <w:pPr>
              <w:jc w:val="right"/>
              <w:spacing w:after="0"/>
              <w:rPr>
                <w:sz w:val="20"/>
                <w:szCs w:val="20"/>
                <w:color w:val="auto"/>
              </w:rPr>
            </w:pPr>
            <w:r>
              <w:rPr>
                <w:rFonts w:ascii="Arial" w:cs="Arial" w:eastAsia="Arial" w:hAnsi="Arial"/>
                <w:sz w:val="17"/>
                <w:szCs w:val="17"/>
                <w:color w:val="auto"/>
              </w:rPr>
              <w:t>53.5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50.6</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7"/>
        </w:trPr>
        <w:tc>
          <w:tcPr>
            <w:tcW w:w="6540" w:type="dxa"/>
            <w:vAlign w:val="bottom"/>
            <w:gridSpan w:val="2"/>
          </w:tcPr>
          <w:p>
            <w:pPr>
              <w:ind w:left="100"/>
              <w:spacing w:after="0"/>
              <w:rPr>
                <w:sz w:val="20"/>
                <w:szCs w:val="20"/>
                <w:color w:val="auto"/>
              </w:rPr>
            </w:pPr>
            <w:r>
              <w:rPr>
                <w:rFonts w:ascii="Arial" w:cs="Arial" w:eastAsia="Arial" w:hAnsi="Arial"/>
                <w:sz w:val="17"/>
                <w:szCs w:val="17"/>
                <w:color w:val="auto"/>
              </w:rPr>
              <w:t>Diluted</w:t>
            </w:r>
          </w:p>
        </w:tc>
        <w:tc>
          <w:tcPr>
            <w:tcW w:w="740" w:type="dxa"/>
            <w:vAlign w:val="bottom"/>
          </w:tcPr>
          <w:p>
            <w:pPr>
              <w:jc w:val="right"/>
              <w:spacing w:after="0"/>
              <w:rPr>
                <w:sz w:val="20"/>
                <w:szCs w:val="20"/>
                <w:color w:val="auto"/>
              </w:rPr>
            </w:pPr>
            <w:r>
              <w:rPr>
                <w:rFonts w:ascii="Arial" w:cs="Arial" w:eastAsia="Arial" w:hAnsi="Arial"/>
                <w:sz w:val="17"/>
                <w:szCs w:val="17"/>
                <w:color w:val="auto"/>
              </w:rPr>
              <w:t>53.5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50.6</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 Numbers may not add precisely due to rounding.</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20"/>
          </w:cols>
          <w:pgMar w:left="340" w:top="1385"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4"/>
        </w:trPr>
        <w:tc>
          <w:tcPr>
            <w:tcW w:w="7140" w:type="dxa"/>
            <w:vAlign w:val="bottom"/>
            <w:gridSpan w:val="2"/>
          </w:tcPr>
          <w:p>
            <w:pPr>
              <w:spacing w:after="0"/>
              <w:rPr>
                <w:sz w:val="20"/>
                <w:szCs w:val="20"/>
                <w:color w:val="auto"/>
              </w:rPr>
            </w:pPr>
            <w:r>
              <w:rPr>
                <w:rFonts w:ascii="Arial" w:cs="Arial" w:eastAsia="Arial" w:hAnsi="Arial"/>
                <w:sz w:val="17"/>
                <w:szCs w:val="17"/>
                <w:b w:val="1"/>
                <w:bCs w:val="1"/>
                <w:color w:val="auto"/>
              </w:rPr>
              <w:t>Adjusted Financial Measures (U.S. dollars in millions, except per share amounts)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22"/>
        </w:trPr>
        <w:tc>
          <w:tcPr>
            <w:tcW w:w="6060" w:type="dxa"/>
            <w:vAlign w:val="bottom"/>
          </w:tcPr>
          <w:p>
            <w:pPr>
              <w:spacing w:after="0"/>
              <w:rPr>
                <w:sz w:val="24"/>
                <w:szCs w:val="24"/>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1"/>
        </w:trPr>
        <w:tc>
          <w:tcPr>
            <w:tcW w:w="60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195"/>
              <w:spacing w:after="0" w:line="211" w:lineRule="exact"/>
              <w:rPr>
                <w:sz w:val="20"/>
                <w:szCs w:val="20"/>
                <w:color w:val="auto"/>
              </w:rPr>
            </w:pPr>
            <w:r>
              <w:rPr>
                <w:rFonts w:ascii="Arial" w:cs="Arial" w:eastAsia="Arial" w:hAnsi="Arial"/>
                <w:sz w:val="17"/>
                <w:szCs w:val="17"/>
                <w:b w:val="1"/>
                <w:bCs w:val="1"/>
                <w:color w:val="auto"/>
              </w:rPr>
              <w:t xml:space="preserve">% Change </w:t>
            </w:r>
            <w:r>
              <w:rPr>
                <w:rFonts w:ascii="Arial" w:cs="Arial" w:eastAsia="Arial" w:hAnsi="Arial"/>
                <w:sz w:val="22"/>
                <w:szCs w:val="22"/>
                <w:b w:val="1"/>
                <w:bCs w:val="1"/>
                <w:color w:val="auto"/>
                <w:vertAlign w:val="superscript"/>
              </w:rPr>
              <w:t>(1)</w:t>
            </w:r>
          </w:p>
        </w:tc>
      </w:tr>
      <w:tr>
        <w:trPr>
          <w:trHeight w:val="212"/>
        </w:trPr>
        <w:tc>
          <w:tcPr>
            <w:tcW w:w="7140" w:type="dxa"/>
            <w:vAlign w:val="bottom"/>
            <w:gridSpan w:val="2"/>
          </w:tcPr>
          <w:p>
            <w:pPr>
              <w:spacing w:after="0" w:line="212" w:lineRule="exact"/>
              <w:rPr>
                <w:sz w:val="20"/>
                <w:szCs w:val="20"/>
                <w:color w:val="auto"/>
              </w:rPr>
            </w:pPr>
            <w:r>
              <w:rPr>
                <w:rFonts w:ascii="Arial" w:cs="Arial" w:eastAsia="Arial" w:hAnsi="Arial"/>
                <w:sz w:val="17"/>
                <w:szCs w:val="17"/>
                <w:color w:val="auto"/>
              </w:rPr>
              <w:t xml:space="preserve">Adjusted SG&amp;A </w:t>
            </w:r>
            <w:r>
              <w:rPr>
                <w:rFonts w:ascii="Arial" w:cs="Arial" w:eastAsia="Arial" w:hAnsi="Arial"/>
                <w:sz w:val="22"/>
                <w:szCs w:val="22"/>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7"/>
                <w:szCs w:val="17"/>
                <w:color w:val="auto"/>
                <w:w w:val="99"/>
              </w:rPr>
              <w:t>$401.4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$397.8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0.9 %</w:t>
            </w:r>
          </w:p>
        </w:tc>
      </w:tr>
      <w:tr>
        <w:trPr>
          <w:trHeight w:val="217"/>
        </w:trPr>
        <w:tc>
          <w:tcPr>
            <w:tcW w:w="7140" w:type="dxa"/>
            <w:vAlign w:val="bottom"/>
            <w:gridSpan w:val="2"/>
          </w:tcPr>
          <w:p>
            <w:pPr>
              <w:spacing w:after="0" w:line="218" w:lineRule="exact"/>
              <w:rPr>
                <w:sz w:val="20"/>
                <w:szCs w:val="20"/>
                <w:color w:val="auto"/>
              </w:rPr>
            </w:pPr>
            <w:r>
              <w:rPr>
                <w:rFonts w:ascii="Arial" w:cs="Arial" w:eastAsia="Arial" w:hAnsi="Arial"/>
                <w:sz w:val="17"/>
                <w:szCs w:val="17"/>
                <w:color w:val="auto"/>
              </w:rPr>
              <w:t xml:space="preserve">Adjusted R&amp;D </w:t>
            </w:r>
            <w:r>
              <w:rPr>
                <w:rFonts w:ascii="Arial" w:cs="Arial" w:eastAsia="Arial" w:hAnsi="Arial"/>
                <w:sz w:val="22"/>
                <w:szCs w:val="22"/>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7"/>
                <w:szCs w:val="17"/>
                <w:color w:val="auto"/>
              </w:rPr>
              <w:t>166.2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163.7</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1.6 %</w:t>
            </w:r>
          </w:p>
        </w:tc>
      </w:tr>
      <w:tr>
        <w:trPr>
          <w:trHeight w:val="217"/>
        </w:trPr>
        <w:tc>
          <w:tcPr>
            <w:tcW w:w="7140" w:type="dxa"/>
            <w:vAlign w:val="bottom"/>
            <w:gridSpan w:val="2"/>
          </w:tcPr>
          <w:p>
            <w:pPr>
              <w:spacing w:after="0" w:line="218" w:lineRule="exact"/>
              <w:rPr>
                <w:sz w:val="20"/>
                <w:szCs w:val="20"/>
                <w:color w:val="auto"/>
              </w:rPr>
            </w:pPr>
            <w:r>
              <w:rPr>
                <w:rFonts w:ascii="Arial" w:cs="Arial" w:eastAsia="Arial" w:hAnsi="Arial"/>
                <w:sz w:val="17"/>
                <w:szCs w:val="17"/>
                <w:color w:val="auto"/>
              </w:rPr>
              <w:t xml:space="preserve">Adjusted operating income </w:t>
            </w:r>
            <w:r>
              <w:rPr>
                <w:rFonts w:ascii="Arial" w:cs="Arial" w:eastAsia="Arial" w:hAnsi="Arial"/>
                <w:sz w:val="22"/>
                <w:szCs w:val="22"/>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7"/>
                <w:szCs w:val="17"/>
                <w:color w:val="auto"/>
              </w:rPr>
              <w:t>145.1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154.8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17"/>
        </w:trPr>
        <w:tc>
          <w:tcPr>
            <w:tcW w:w="7140" w:type="dxa"/>
            <w:vAlign w:val="bottom"/>
            <w:gridSpan w:val="2"/>
          </w:tcPr>
          <w:p>
            <w:pPr>
              <w:spacing w:after="0" w:line="218" w:lineRule="exact"/>
              <w:rPr>
                <w:sz w:val="20"/>
                <w:szCs w:val="20"/>
                <w:color w:val="auto"/>
              </w:rPr>
            </w:pPr>
            <w:r>
              <w:rPr>
                <w:rFonts w:ascii="Arial" w:cs="Arial" w:eastAsia="Arial" w:hAnsi="Arial"/>
                <w:sz w:val="17"/>
                <w:szCs w:val="17"/>
                <w:color w:val="auto"/>
              </w:rPr>
              <w:t xml:space="preserve">Adjusted net income </w:t>
            </w:r>
            <w:r>
              <w:rPr>
                <w:rFonts w:ascii="Arial" w:cs="Arial" w:eastAsia="Arial" w:hAnsi="Arial"/>
                <w:sz w:val="22"/>
                <w:szCs w:val="22"/>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7"/>
                <w:szCs w:val="17"/>
                <w:color w:val="auto"/>
              </w:rPr>
              <w:t>129.2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106.7</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21.0 %</w:t>
            </w:r>
          </w:p>
        </w:tc>
      </w:tr>
      <w:tr>
        <w:trPr>
          <w:trHeight w:val="283"/>
        </w:trPr>
        <w:tc>
          <w:tcPr>
            <w:tcW w:w="7140" w:type="dxa"/>
            <w:vAlign w:val="bottom"/>
            <w:gridSpan w:val="2"/>
          </w:tcPr>
          <w:p>
            <w:pPr>
              <w:spacing w:after="0"/>
              <w:rPr>
                <w:sz w:val="20"/>
                <w:szCs w:val="20"/>
                <w:color w:val="auto"/>
              </w:rPr>
            </w:pPr>
            <w:r>
              <w:rPr>
                <w:rFonts w:ascii="Arial" w:cs="Arial" w:eastAsia="Arial" w:hAnsi="Arial"/>
                <w:sz w:val="17"/>
                <w:szCs w:val="17"/>
                <w:color w:val="auto"/>
              </w:rPr>
              <w:t xml:space="preserve">Adjusted diluted earnings per share </w:t>
            </w:r>
            <w:r>
              <w:rPr>
                <w:rFonts w:ascii="Arial" w:cs="Arial" w:eastAsia="Arial" w:hAnsi="Arial"/>
                <w:sz w:val="22"/>
                <w:szCs w:val="22"/>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$2.07</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15.5 %</w:t>
            </w:r>
          </w:p>
        </w:tc>
      </w:tr>
    </w:tbl>
    <w:p>
      <w:pPr>
        <w:spacing w:after="0" w:line="50" w:lineRule="exact"/>
        <w:rPr>
          <w:sz w:val="20"/>
          <w:szCs w:val="20"/>
          <w:color w:val="auto"/>
        </w:rPr>
      </w:pPr>
    </w:p>
    <w:p>
      <w:pPr>
        <w:ind w:left="480" w:right="20" w:hanging="355"/>
        <w:spacing w:after="0" w:line="235" w:lineRule="auto"/>
        <w:tabs>
          <w:tab w:leader="none" w:pos="4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Adjusted financial measures are non-GAAP measures and exclude specified items as described and reconciled in the "Reconciliation of GAAP to non-GAAP Financial Measures" contained in the press release.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Statistics (as a % of net revenue, except for income tax rate)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00" w:type="dxa"/>
            <w:vAlign w:val="bottom"/>
          </w:tcPr>
          <w:p>
            <w:pPr>
              <w:spacing w:after="0"/>
              <w:rPr>
                <w:sz w:val="21"/>
                <w:szCs w:val="21"/>
                <w:color w:val="auto"/>
              </w:rPr>
            </w:pPr>
          </w:p>
        </w:tc>
        <w:tc>
          <w:tcPr>
            <w:tcW w:w="352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7"/>
                <w:szCs w:val="17"/>
                <w:b w:val="1"/>
                <w:bCs w:val="1"/>
                <w:color w:val="auto"/>
              </w:rPr>
              <w:t>GAAP Year Ended December 31,</w:t>
            </w:r>
          </w:p>
        </w:tc>
        <w:tc>
          <w:tcPr>
            <w:tcW w:w="7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680" w:type="dxa"/>
            <w:vAlign w:val="bottom"/>
            <w:tcBorders>
              <w:bottom w:val="single" w:sz="8" w:color="auto"/>
            </w:tcBorders>
            <w:gridSpan w:val="3"/>
          </w:tcPr>
          <w:p>
            <w:pPr>
              <w:jc w:val="right"/>
              <w:ind w:right="735"/>
              <w:spacing w:after="0"/>
              <w:rPr>
                <w:sz w:val="20"/>
                <w:szCs w:val="20"/>
                <w:color w:val="auto"/>
              </w:rPr>
            </w:pPr>
            <w:r>
              <w:rPr>
                <w:rFonts w:ascii="Arial" w:cs="Arial" w:eastAsia="Arial" w:hAnsi="Arial"/>
                <w:sz w:val="17"/>
                <w:szCs w:val="17"/>
                <w:b w:val="1"/>
                <w:bCs w:val="1"/>
                <w:color w:val="auto"/>
              </w:rPr>
              <w:t xml:space="preserve">Adjusted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 xml:space="preserve"> Year Ended December 31,</w:t>
            </w:r>
          </w:p>
        </w:tc>
      </w:tr>
      <w:tr>
        <w:trPr>
          <w:trHeight w:val="210"/>
        </w:trPr>
        <w:tc>
          <w:tcPr>
            <w:tcW w:w="2200" w:type="dxa"/>
            <w:vAlign w:val="bottom"/>
          </w:tcPr>
          <w:p>
            <w:pPr>
              <w:spacing w:after="0"/>
              <w:rPr>
                <w:sz w:val="18"/>
                <w:szCs w:val="18"/>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2022</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bottom w:val="single" w:sz="8" w:color="auto"/>
            </w:tcBorders>
          </w:tcPr>
          <w:p>
            <w:pPr>
              <w:jc w:val="right"/>
              <w:ind w:right="87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2300" w:type="dxa"/>
            <w:vAlign w:val="bottom"/>
            <w:tcBorders>
              <w:bottom w:val="single" w:sz="8" w:color="auto"/>
            </w:tcBorders>
          </w:tcPr>
          <w:p>
            <w:pPr>
              <w:jc w:val="right"/>
              <w:ind w:right="875"/>
              <w:spacing w:after="0"/>
              <w:rPr>
                <w:sz w:val="20"/>
                <w:szCs w:val="20"/>
                <w:color w:val="auto"/>
              </w:rPr>
            </w:pPr>
            <w:r>
              <w:rPr>
                <w:rFonts w:ascii="Arial" w:cs="Arial" w:eastAsia="Arial" w:hAnsi="Arial"/>
                <w:sz w:val="17"/>
                <w:szCs w:val="17"/>
                <w:b w:val="1"/>
                <w:bCs w:val="1"/>
                <w:color w:val="auto"/>
              </w:rPr>
              <w:t>2021</w:t>
            </w:r>
          </w:p>
        </w:tc>
      </w:tr>
      <w:tr>
        <w:trPr>
          <w:trHeight w:val="209"/>
        </w:trPr>
        <w:tc>
          <w:tcPr>
            <w:tcW w:w="352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740" w:type="dxa"/>
            <w:vAlign w:val="bottom"/>
          </w:tcPr>
          <w:p>
            <w:pPr>
              <w:jc w:val="right"/>
              <w:spacing w:after="0"/>
              <w:rPr>
                <w:sz w:val="20"/>
                <w:szCs w:val="20"/>
                <w:color w:val="auto"/>
              </w:rPr>
            </w:pPr>
            <w:r>
              <w:rPr>
                <w:rFonts w:ascii="Arial" w:cs="Arial" w:eastAsia="Arial" w:hAnsi="Arial"/>
                <w:sz w:val="17"/>
                <w:szCs w:val="17"/>
                <w:color w:val="auto"/>
              </w:rPr>
              <w:t>69.2 %</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68.2 %</w:t>
            </w:r>
          </w:p>
        </w:tc>
        <w:tc>
          <w:tcPr>
            <w:tcW w:w="1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69.8 %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69.3 %</w:t>
            </w:r>
          </w:p>
        </w:tc>
      </w:tr>
      <w:tr>
        <w:trPr>
          <w:trHeight w:val="217"/>
        </w:trPr>
        <w:tc>
          <w:tcPr>
            <w:tcW w:w="3520" w:type="dxa"/>
            <w:vAlign w:val="bottom"/>
            <w:gridSpan w:val="2"/>
          </w:tcPr>
          <w:p>
            <w:pPr>
              <w:spacing w:after="0"/>
              <w:rPr>
                <w:sz w:val="20"/>
                <w:szCs w:val="20"/>
                <w:color w:val="auto"/>
              </w:rPr>
            </w:pPr>
            <w:r>
              <w:rPr>
                <w:rFonts w:ascii="Arial" w:cs="Arial" w:eastAsia="Arial" w:hAnsi="Arial"/>
                <w:sz w:val="17"/>
                <w:szCs w:val="17"/>
                <w:color w:val="auto"/>
              </w:rPr>
              <w:t>SG&amp;A</w:t>
            </w:r>
          </w:p>
        </w:tc>
        <w:tc>
          <w:tcPr>
            <w:tcW w:w="740" w:type="dxa"/>
            <w:vAlign w:val="bottom"/>
          </w:tcPr>
          <w:p>
            <w:pPr>
              <w:jc w:val="right"/>
              <w:spacing w:after="0"/>
              <w:rPr>
                <w:sz w:val="20"/>
                <w:szCs w:val="20"/>
                <w:color w:val="auto"/>
              </w:rPr>
            </w:pPr>
            <w:r>
              <w:rPr>
                <w:rFonts w:ascii="Arial" w:cs="Arial" w:eastAsia="Arial" w:hAnsi="Arial"/>
                <w:sz w:val="17"/>
                <w:szCs w:val="17"/>
                <w:color w:val="auto"/>
              </w:rPr>
              <w:t>45.9 %</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45.6 %</w:t>
            </w:r>
          </w:p>
        </w:tc>
        <w:tc>
          <w:tcPr>
            <w:tcW w:w="1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39.3 %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38.4 %</w:t>
            </w:r>
          </w:p>
        </w:tc>
      </w:tr>
      <w:tr>
        <w:trPr>
          <w:trHeight w:val="217"/>
        </w:trPr>
        <w:tc>
          <w:tcPr>
            <w:tcW w:w="3520" w:type="dxa"/>
            <w:vAlign w:val="bottom"/>
            <w:gridSpan w:val="2"/>
          </w:tcPr>
          <w:p>
            <w:pPr>
              <w:spacing w:after="0"/>
              <w:rPr>
                <w:sz w:val="20"/>
                <w:szCs w:val="20"/>
                <w:color w:val="auto"/>
              </w:rPr>
            </w:pPr>
            <w:r>
              <w:rPr>
                <w:rFonts w:ascii="Arial" w:cs="Arial" w:eastAsia="Arial" w:hAnsi="Arial"/>
                <w:sz w:val="17"/>
                <w:szCs w:val="17"/>
                <w:color w:val="auto"/>
              </w:rPr>
              <w:t>R&amp;D</w:t>
            </w:r>
          </w:p>
        </w:tc>
        <w:tc>
          <w:tcPr>
            <w:tcW w:w="740" w:type="dxa"/>
            <w:vAlign w:val="bottom"/>
          </w:tcPr>
          <w:p>
            <w:pPr>
              <w:jc w:val="right"/>
              <w:spacing w:after="0"/>
              <w:rPr>
                <w:sz w:val="20"/>
                <w:szCs w:val="20"/>
                <w:color w:val="auto"/>
              </w:rPr>
            </w:pPr>
            <w:r>
              <w:rPr>
                <w:rFonts w:ascii="Arial" w:cs="Arial" w:eastAsia="Arial" w:hAnsi="Arial"/>
                <w:sz w:val="17"/>
                <w:szCs w:val="17"/>
                <w:color w:val="auto"/>
              </w:rPr>
              <w:t>15.2 %</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17.7 %</w:t>
            </w:r>
          </w:p>
        </w:tc>
        <w:tc>
          <w:tcPr>
            <w:tcW w:w="1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16.3 %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15.8 %</w:t>
            </w:r>
          </w:p>
        </w:tc>
      </w:tr>
      <w:tr>
        <w:trPr>
          <w:trHeight w:val="217"/>
        </w:trPr>
        <w:tc>
          <w:tcPr>
            <w:tcW w:w="3520" w:type="dxa"/>
            <w:vAlign w:val="bottom"/>
            <w:gridSpan w:val="2"/>
          </w:tcPr>
          <w:p>
            <w:pPr>
              <w:spacing w:after="0"/>
              <w:rPr>
                <w:sz w:val="20"/>
                <w:szCs w:val="20"/>
                <w:color w:val="auto"/>
              </w:rPr>
            </w:pPr>
            <w:r>
              <w:rPr>
                <w:rFonts w:ascii="Arial" w:cs="Arial" w:eastAsia="Arial" w:hAnsi="Arial"/>
                <w:sz w:val="17"/>
                <w:szCs w:val="17"/>
                <w:color w:val="auto"/>
              </w:rPr>
              <w:t>Operating (loss) income</w:t>
            </w:r>
          </w:p>
        </w:tc>
        <w:tc>
          <w:tcPr>
            <w:tcW w:w="74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14.2 %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15.0 %</w:t>
            </w:r>
          </w:p>
        </w:tc>
      </w:tr>
      <w:tr>
        <w:trPr>
          <w:trHeight w:val="217"/>
        </w:trPr>
        <w:tc>
          <w:tcPr>
            <w:tcW w:w="3520" w:type="dxa"/>
            <w:vAlign w:val="bottom"/>
            <w:gridSpan w:val="2"/>
          </w:tcPr>
          <w:p>
            <w:pPr>
              <w:spacing w:after="0"/>
              <w:rPr>
                <w:sz w:val="20"/>
                <w:szCs w:val="20"/>
                <w:color w:val="auto"/>
              </w:rPr>
            </w:pPr>
            <w:r>
              <w:rPr>
                <w:rFonts w:ascii="Arial" w:cs="Arial" w:eastAsia="Arial" w:hAnsi="Arial"/>
                <w:sz w:val="17"/>
                <w:szCs w:val="17"/>
                <w:color w:val="auto"/>
              </w:rPr>
              <w:t>Net (loss) income</w:t>
            </w:r>
          </w:p>
        </w:tc>
        <w:tc>
          <w:tcPr>
            <w:tcW w:w="74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(13.1)%</w:t>
            </w:r>
          </w:p>
        </w:tc>
        <w:tc>
          <w:tcPr>
            <w:tcW w:w="1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12.6 %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10.3 %</w:t>
            </w:r>
          </w:p>
        </w:tc>
      </w:tr>
      <w:tr>
        <w:trPr>
          <w:trHeight w:val="217"/>
        </w:trPr>
        <w:tc>
          <w:tcPr>
            <w:tcW w:w="3520" w:type="dxa"/>
            <w:vAlign w:val="bottom"/>
            <w:gridSpan w:val="2"/>
          </w:tcPr>
          <w:p>
            <w:pPr>
              <w:spacing w:after="0"/>
              <w:rPr>
                <w:sz w:val="20"/>
                <w:szCs w:val="20"/>
                <w:color w:val="auto"/>
              </w:rPr>
            </w:pPr>
            <w:r>
              <w:rPr>
                <w:rFonts w:ascii="Arial" w:cs="Arial" w:eastAsia="Arial" w:hAnsi="Arial"/>
                <w:sz w:val="17"/>
                <w:szCs w:val="17"/>
                <w:color w:val="auto"/>
              </w:rPr>
              <w:t>Income tax rate</w:t>
            </w:r>
          </w:p>
        </w:tc>
        <w:tc>
          <w:tcPr>
            <w:tcW w:w="740" w:type="dxa"/>
            <w:vAlign w:val="bottom"/>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3.8 %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12.0 %</w:t>
            </w:r>
          </w:p>
        </w:tc>
      </w:tr>
    </w:tbl>
    <w:p>
      <w:pPr>
        <w:spacing w:after="0" w:line="118" w:lineRule="exact"/>
        <w:rPr>
          <w:sz w:val="20"/>
          <w:szCs w:val="20"/>
          <w:color w:val="auto"/>
        </w:rPr>
      </w:pPr>
    </w:p>
    <w:p>
      <w:pPr>
        <w:ind w:left="440" w:right="20" w:hanging="328"/>
        <w:spacing w:after="0" w:line="235" w:lineRule="auto"/>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Adjusted financial measures are non-GAAP measures and exclude specified items as described and reconciled in the "Reconciliation of GAAP to non-GAAP Financial Measures" contained in the press release.</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20"/>
          </w:cols>
          <w:pgMar w:left="340" w:top="1385"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12"/>
          <w:szCs w:val="12"/>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2"/>
          <w:szCs w:val="12"/>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71393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1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rPr>
              <w:t>Depreciation</w:t>
            </w:r>
          </w:p>
        </w:tc>
        <w:tc>
          <w:tcPr>
            <w:tcW w:w="8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00" w:type="dxa"/>
            <w:vAlign w:val="bottom"/>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GAAP</w:t>
            </w: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8"/>
              </w:rPr>
              <w:t>Merger and</w:t>
            </w: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Restructuring</w:t>
            </w:r>
          </w:p>
        </w:tc>
        <w:tc>
          <w:tcPr>
            <w:tcW w:w="8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rPr>
              <w:t>and</w:t>
            </w:r>
          </w:p>
        </w:tc>
        <w:tc>
          <w:tcPr>
            <w:tcW w:w="880" w:type="dxa"/>
            <w:vAlign w:val="bottom"/>
            <w:vMerge w:val="restart"/>
          </w:tcPr>
          <w:p>
            <w:pPr>
              <w:jc w:val="center"/>
              <w:ind w:right="20"/>
              <w:spacing w:after="0"/>
              <w:rPr>
                <w:sz w:val="20"/>
                <w:szCs w:val="20"/>
                <w:color w:val="auto"/>
              </w:rPr>
            </w:pPr>
            <w:r>
              <w:rPr>
                <w:rFonts w:ascii="Arial" w:cs="Arial" w:eastAsia="Arial" w:hAnsi="Arial"/>
                <w:sz w:val="12"/>
                <w:szCs w:val="12"/>
                <w:b w:val="1"/>
                <w:bCs w:val="1"/>
                <w:color w:val="auto"/>
                <w:w w:val="98"/>
              </w:rPr>
              <w:t>Financing</w:t>
            </w: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Contingent</w:t>
            </w: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Certain Legal</w:t>
            </w:r>
          </w:p>
        </w:tc>
        <w:tc>
          <w:tcPr>
            <w:tcW w:w="9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rPr>
              <w:t>Stock-based</w:t>
            </w: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Certain Tax</w:t>
            </w: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6"/>
              </w:rPr>
              <w:t>Certain</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5"/>
        </w:trPr>
        <w:tc>
          <w:tcPr>
            <w:tcW w:w="18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Integration</w:t>
            </w:r>
          </w:p>
        </w:tc>
        <w:tc>
          <w:tcPr>
            <w:tcW w:w="920" w:type="dxa"/>
            <w:vAlign w:val="bottom"/>
            <w:vMerge w:val="continue"/>
          </w:tcPr>
          <w:p>
            <w:pPr>
              <w:spacing w:after="0"/>
              <w:rPr>
                <w:sz w:val="10"/>
                <w:szCs w:val="10"/>
                <w:color w:val="auto"/>
              </w:rPr>
            </w:pPr>
          </w:p>
        </w:tc>
        <w:tc>
          <w:tcPr>
            <w:tcW w:w="8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rPr>
              <w:t>Amortization</w:t>
            </w:r>
          </w:p>
        </w:tc>
        <w:tc>
          <w:tcPr>
            <w:tcW w:w="8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&amp; Regulatory</w:t>
            </w:r>
          </w:p>
        </w:tc>
        <w:tc>
          <w:tcPr>
            <w:tcW w:w="9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8"/>
              </w:rPr>
              <w:t>Compensation</w:t>
            </w:r>
          </w:p>
        </w:tc>
        <w:tc>
          <w:tcPr>
            <w:tcW w:w="880" w:type="dxa"/>
            <w:vAlign w:val="bottom"/>
            <w:vMerge w:val="continue"/>
          </w:tcPr>
          <w:p>
            <w:pPr>
              <w:spacing w:after="0"/>
              <w:rPr>
                <w:sz w:val="10"/>
                <w:szCs w:val="10"/>
                <w:color w:val="auto"/>
              </w:rPr>
            </w:pPr>
          </w:p>
        </w:tc>
        <w:tc>
          <w:tcPr>
            <w:tcW w:w="8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rPr>
              <w:t>Interest</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8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Three Months Ended</w:t>
            </w: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Financial</w:t>
            </w: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Expenses</w:t>
            </w:r>
          </w:p>
        </w:tc>
        <w:tc>
          <w:tcPr>
            <w:tcW w:w="920" w:type="dxa"/>
            <w:vAlign w:val="bottom"/>
          </w:tcPr>
          <w:p>
            <w:pPr>
              <w:jc w:val="center"/>
              <w:ind w:right="20"/>
              <w:spacing w:after="0" w:line="128" w:lineRule="exact"/>
              <w:rPr>
                <w:sz w:val="20"/>
                <w:szCs w:val="20"/>
                <w:color w:val="auto"/>
              </w:rPr>
            </w:pPr>
            <w:r>
              <w:rPr>
                <w:rFonts w:ascii="Arial" w:cs="Arial" w:eastAsia="Arial" w:hAnsi="Arial"/>
                <w:sz w:val="12"/>
                <w:szCs w:val="12"/>
                <w:b w:val="1"/>
                <w:bCs w:val="1"/>
                <w:color w:val="auto"/>
                <w:w w:val="99"/>
              </w:rPr>
              <w:t>Expenses</w:t>
            </w:r>
          </w:p>
        </w:tc>
        <w:tc>
          <w:tcPr>
            <w:tcW w:w="880" w:type="dxa"/>
            <w:vAlign w:val="bottom"/>
          </w:tcPr>
          <w:p>
            <w:pPr>
              <w:jc w:val="center"/>
              <w:ind w:right="20"/>
              <w:spacing w:after="0" w:line="128" w:lineRule="exact"/>
              <w:rPr>
                <w:sz w:val="20"/>
                <w:szCs w:val="20"/>
                <w:color w:val="auto"/>
              </w:rPr>
            </w:pPr>
            <w:r>
              <w:rPr>
                <w:rFonts w:ascii="Arial" w:cs="Arial" w:eastAsia="Arial" w:hAnsi="Arial"/>
                <w:sz w:val="12"/>
                <w:szCs w:val="12"/>
                <w:b w:val="1"/>
                <w:bCs w:val="1"/>
                <w:color w:val="auto"/>
                <w:w w:val="99"/>
              </w:rPr>
              <w:t>Expenses</w:t>
            </w:r>
          </w:p>
        </w:tc>
        <w:tc>
          <w:tcPr>
            <w:tcW w:w="8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9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Consideration</w:t>
            </w: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Costs</w:t>
            </w:r>
          </w:p>
        </w:tc>
        <w:tc>
          <w:tcPr>
            <w:tcW w:w="980" w:type="dxa"/>
            <w:vAlign w:val="bottom"/>
          </w:tcPr>
          <w:p>
            <w:pPr>
              <w:jc w:val="center"/>
              <w:ind w:right="20"/>
              <w:spacing w:after="0" w:line="128" w:lineRule="exact"/>
              <w:rPr>
                <w:sz w:val="20"/>
                <w:szCs w:val="20"/>
                <w:color w:val="auto"/>
              </w:rPr>
            </w:pPr>
            <w:r>
              <w:rPr>
                <w:rFonts w:ascii="Arial" w:cs="Arial" w:eastAsia="Arial" w:hAnsi="Arial"/>
                <w:sz w:val="12"/>
                <w:szCs w:val="12"/>
                <w:b w:val="1"/>
                <w:bCs w:val="1"/>
                <w:color w:val="auto"/>
              </w:rPr>
              <w:t>Costs</w:t>
            </w:r>
          </w:p>
        </w:tc>
        <w:tc>
          <w:tcPr>
            <w:tcW w:w="880" w:type="dxa"/>
            <w:vAlign w:val="bottom"/>
          </w:tcPr>
          <w:p>
            <w:pPr>
              <w:jc w:val="center"/>
              <w:ind w:right="20"/>
              <w:spacing w:after="0" w:line="128" w:lineRule="exact"/>
              <w:rPr>
                <w:sz w:val="20"/>
                <w:szCs w:val="20"/>
                <w:color w:val="auto"/>
              </w:rPr>
            </w:pPr>
            <w:r>
              <w:rPr>
                <w:rFonts w:ascii="Arial" w:cs="Arial" w:eastAsia="Arial" w:hAnsi="Arial"/>
                <w:sz w:val="12"/>
                <w:szCs w:val="12"/>
                <w:b w:val="1"/>
                <w:bCs w:val="1"/>
                <w:color w:val="auto"/>
                <w:w w:val="99"/>
              </w:rPr>
              <w:t>Adjustments</w:t>
            </w: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Adjustments</w:t>
            </w: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62"/>
        </w:trPr>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December 31, 2022</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Measures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(B)</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(H)</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48"/>
        </w:trPr>
        <w:tc>
          <w:tcPr>
            <w:tcW w:w="1800" w:type="dxa"/>
            <w:vAlign w:val="bottom"/>
          </w:tcPr>
          <w:p>
            <w:pPr>
              <w:ind w:left="20"/>
              <w:spacing w:after="0"/>
              <w:rPr>
                <w:sz w:val="20"/>
                <w:szCs w:val="20"/>
                <w:color w:val="auto"/>
              </w:rPr>
            </w:pPr>
            <w:r>
              <w:rPr>
                <w:rFonts w:ascii="Arial" w:cs="Arial" w:eastAsia="Arial" w:hAnsi="Arial"/>
                <w:sz w:val="12"/>
                <w:szCs w:val="12"/>
                <w:color w:val="auto"/>
              </w:rPr>
              <w:t>Cost of sales</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$91.4</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00"/>
              <w:spacing w:after="0"/>
              <w:rPr>
                <w:sz w:val="20"/>
                <w:szCs w:val="20"/>
                <w:color w:val="auto"/>
              </w:rPr>
            </w:pPr>
            <w:r>
              <w:rPr>
                <w:rFonts w:ascii="Arial" w:cs="Arial" w:eastAsia="Arial" w:hAnsi="Arial"/>
                <w:sz w:val="12"/>
                <w:szCs w:val="12"/>
                <w:color w:val="auto"/>
              </w:rPr>
              <w:t>($3.6)</w:t>
            </w:r>
          </w:p>
        </w:tc>
        <w:tc>
          <w:tcPr>
            <w:tcW w:w="88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00"/>
              <w:spacing w:after="0"/>
              <w:rPr>
                <w:sz w:val="20"/>
                <w:szCs w:val="20"/>
                <w:color w:val="auto"/>
              </w:rPr>
            </w:pPr>
            <w:r>
              <w:rPr>
                <w:rFonts w:ascii="Arial" w:cs="Arial" w:eastAsia="Arial" w:hAnsi="Arial"/>
                <w:sz w:val="12"/>
                <w:szCs w:val="12"/>
                <w:color w:val="auto"/>
              </w:rPr>
              <w:t>($2.1)</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($0.3)</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$85.4</w:t>
            </w:r>
          </w:p>
        </w:tc>
        <w:tc>
          <w:tcPr>
            <w:tcW w:w="0" w:type="dxa"/>
            <w:vAlign w:val="bottom"/>
          </w:tcPr>
          <w:p>
            <w:pPr>
              <w:spacing w:after="0"/>
              <w:rPr>
                <w:sz w:val="1"/>
                <w:szCs w:val="1"/>
                <w:color w:val="auto"/>
              </w:rPr>
            </w:pPr>
          </w:p>
        </w:tc>
      </w:tr>
      <w:tr>
        <w:trPr>
          <w:trHeight w:val="166"/>
        </w:trPr>
        <w:tc>
          <w:tcPr>
            <w:tcW w:w="1800" w:type="dxa"/>
            <w:vAlign w:val="bottom"/>
          </w:tcPr>
          <w:p>
            <w:pPr>
              <w:ind w:left="20"/>
              <w:spacing w:after="0"/>
              <w:rPr>
                <w:sz w:val="20"/>
                <w:szCs w:val="20"/>
                <w:color w:val="auto"/>
              </w:rPr>
            </w:pPr>
            <w:r>
              <w:rPr>
                <w:rFonts w:ascii="Arial" w:cs="Arial" w:eastAsia="Arial" w:hAnsi="Arial"/>
                <w:sz w:val="12"/>
                <w:szCs w:val="12"/>
                <w:color w:val="auto"/>
              </w:rPr>
              <w:t>Gross profit percent</w:t>
            </w:r>
          </w:p>
        </w:tc>
        <w:tc>
          <w:tcPr>
            <w:tcW w:w="680" w:type="dxa"/>
            <w:vAlign w:val="bottom"/>
          </w:tcPr>
          <w:p>
            <w:pPr>
              <w:jc w:val="right"/>
              <w:spacing w:after="0"/>
              <w:rPr>
                <w:sz w:val="20"/>
                <w:szCs w:val="20"/>
                <w:color w:val="auto"/>
              </w:rPr>
            </w:pPr>
            <w:r>
              <w:rPr>
                <w:rFonts w:ascii="Arial" w:cs="Arial" w:eastAsia="Arial" w:hAnsi="Arial"/>
                <w:sz w:val="12"/>
                <w:szCs w:val="12"/>
                <w:color w:val="auto"/>
              </w:rPr>
              <w:t>66.8 %</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w:t>
            </w:r>
          </w:p>
        </w:tc>
        <w:tc>
          <w:tcPr>
            <w:tcW w:w="880" w:type="dxa"/>
            <w:vAlign w:val="bottom"/>
          </w:tcPr>
          <w:p>
            <w:pPr>
              <w:jc w:val="right"/>
              <w:spacing w:after="0"/>
              <w:rPr>
                <w:sz w:val="20"/>
                <w:szCs w:val="20"/>
                <w:color w:val="auto"/>
              </w:rPr>
            </w:pPr>
            <w:r>
              <w:rPr>
                <w:rFonts w:ascii="Arial" w:cs="Arial" w:eastAsia="Arial" w:hAnsi="Arial"/>
                <w:sz w:val="12"/>
                <w:szCs w:val="12"/>
                <w:color w:val="auto"/>
              </w:rPr>
              <w:t>1.3 %</w:t>
            </w:r>
          </w:p>
        </w:tc>
        <w:tc>
          <w:tcPr>
            <w:tcW w:w="880" w:type="dxa"/>
            <w:vAlign w:val="bottom"/>
          </w:tcPr>
          <w:p>
            <w:pPr>
              <w:ind w:left="560"/>
              <w:spacing w:after="0"/>
              <w:rPr>
                <w:sz w:val="20"/>
                <w:szCs w:val="20"/>
                <w:color w:val="auto"/>
              </w:rPr>
            </w:pPr>
            <w:r>
              <w:rPr>
                <w:rFonts w:ascii="Arial" w:cs="Arial" w:eastAsia="Arial" w:hAnsi="Arial"/>
                <w:sz w:val="12"/>
                <w:szCs w:val="12"/>
                <w:color w:val="auto"/>
              </w:rPr>
              <w:t>— %</w:t>
            </w:r>
          </w:p>
        </w:tc>
        <w:tc>
          <w:tcPr>
            <w:tcW w:w="940" w:type="dxa"/>
            <w:vAlign w:val="bottom"/>
          </w:tcPr>
          <w:p>
            <w:pPr>
              <w:jc w:val="right"/>
              <w:spacing w:after="0"/>
              <w:rPr>
                <w:sz w:val="20"/>
                <w:szCs w:val="20"/>
                <w:color w:val="auto"/>
              </w:rPr>
            </w:pPr>
            <w:r>
              <w:rPr>
                <w:rFonts w:ascii="Arial" w:cs="Arial" w:eastAsia="Arial" w:hAnsi="Arial"/>
                <w:sz w:val="12"/>
                <w:szCs w:val="12"/>
                <w:color w:val="auto"/>
              </w:rPr>
              <w:t>0.8 %</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980" w:type="dxa"/>
            <w:vAlign w:val="bottom"/>
          </w:tcPr>
          <w:p>
            <w:pPr>
              <w:jc w:val="right"/>
              <w:spacing w:after="0"/>
              <w:rPr>
                <w:sz w:val="20"/>
                <w:szCs w:val="20"/>
                <w:color w:val="auto"/>
              </w:rPr>
            </w:pPr>
            <w:r>
              <w:rPr>
                <w:rFonts w:ascii="Arial" w:cs="Arial" w:eastAsia="Arial" w:hAnsi="Arial"/>
                <w:sz w:val="12"/>
                <w:szCs w:val="12"/>
                <w:color w:val="auto"/>
              </w:rPr>
              <w:t>0.1 %</w:t>
            </w:r>
          </w:p>
        </w:tc>
        <w:tc>
          <w:tcPr>
            <w:tcW w:w="88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80"/>
              <w:spacing w:after="0"/>
              <w:rPr>
                <w:sz w:val="20"/>
                <w:szCs w:val="20"/>
                <w:color w:val="auto"/>
              </w:rPr>
            </w:pPr>
            <w:r>
              <w:rPr>
                <w:rFonts w:ascii="Arial" w:cs="Arial" w:eastAsia="Arial" w:hAnsi="Arial"/>
                <w:sz w:val="12"/>
                <w:szCs w:val="12"/>
                <w:color w:val="auto"/>
                <w:w w:val="99"/>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68.9 %</w:t>
            </w:r>
          </w:p>
        </w:tc>
        <w:tc>
          <w:tcPr>
            <w:tcW w:w="0" w:type="dxa"/>
            <w:vAlign w:val="bottom"/>
          </w:tcPr>
          <w:p>
            <w:pPr>
              <w:spacing w:after="0"/>
              <w:rPr>
                <w:sz w:val="1"/>
                <w:szCs w:val="1"/>
                <w:color w:val="auto"/>
              </w:rPr>
            </w:pPr>
          </w:p>
        </w:tc>
      </w:tr>
      <w:tr>
        <w:trPr>
          <w:trHeight w:val="137"/>
        </w:trPr>
        <w:tc>
          <w:tcPr>
            <w:tcW w:w="1800" w:type="dxa"/>
            <w:vAlign w:val="bottom"/>
          </w:tcPr>
          <w:p>
            <w:pPr>
              <w:ind w:left="20"/>
              <w:spacing w:after="0"/>
              <w:rPr>
                <w:sz w:val="20"/>
                <w:szCs w:val="20"/>
                <w:color w:val="auto"/>
              </w:rPr>
            </w:pPr>
            <w:r>
              <w:rPr>
                <w:rFonts w:ascii="Arial" w:cs="Arial" w:eastAsia="Arial" w:hAnsi="Arial"/>
                <w:sz w:val="12"/>
                <w:szCs w:val="12"/>
                <w:color w:val="auto"/>
              </w:rPr>
              <w:t>Selling, general and</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0" w:type="dxa"/>
            <w:vAlign w:val="bottom"/>
          </w:tcPr>
          <w:p>
            <w:pPr>
              <w:ind w:left="20"/>
              <w:spacing w:after="0"/>
              <w:rPr>
                <w:sz w:val="20"/>
                <w:szCs w:val="20"/>
                <w:color w:val="auto"/>
              </w:rPr>
            </w:pPr>
            <w:r>
              <w:rPr>
                <w:rFonts w:ascii="Arial" w:cs="Arial" w:eastAsia="Arial" w:hAnsi="Arial"/>
                <w:sz w:val="12"/>
                <w:szCs w:val="12"/>
                <w:color w:val="auto"/>
              </w:rPr>
              <w:t>administrative</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119.6</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00"/>
              <w:spacing w:after="0"/>
              <w:rPr>
                <w:sz w:val="20"/>
                <w:szCs w:val="20"/>
                <w:color w:val="auto"/>
              </w:rPr>
            </w:pPr>
            <w:r>
              <w:rPr>
                <w:rFonts w:ascii="Arial" w:cs="Arial" w:eastAsia="Arial" w:hAnsi="Arial"/>
                <w:sz w:val="12"/>
                <w:szCs w:val="12"/>
                <w:color w:val="auto"/>
              </w:rPr>
              <w:t>(2.8)</w:t>
            </w:r>
          </w:p>
        </w:tc>
        <w:tc>
          <w:tcPr>
            <w:tcW w:w="880" w:type="dxa"/>
            <w:vAlign w:val="bottom"/>
          </w:tcPr>
          <w:p>
            <w:pPr>
              <w:ind w:left="56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00"/>
              <w:spacing w:after="0"/>
              <w:rPr>
                <w:sz w:val="20"/>
                <w:szCs w:val="20"/>
                <w:color w:val="auto"/>
              </w:rPr>
            </w:pPr>
            <w:r>
              <w:rPr>
                <w:rFonts w:ascii="Arial" w:cs="Arial" w:eastAsia="Arial" w:hAnsi="Arial"/>
                <w:sz w:val="12"/>
                <w:szCs w:val="12"/>
                <w:color w:val="auto"/>
              </w:rPr>
              <w:t>(5.6)</w:t>
            </w: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(11.4)</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ind w:left="58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99.8</w:t>
            </w:r>
          </w:p>
        </w:tc>
        <w:tc>
          <w:tcPr>
            <w:tcW w:w="0" w:type="dxa"/>
            <w:vAlign w:val="bottom"/>
          </w:tcPr>
          <w:p>
            <w:pPr>
              <w:spacing w:after="0"/>
              <w:rPr>
                <w:sz w:val="1"/>
                <w:szCs w:val="1"/>
                <w:color w:val="auto"/>
              </w:rPr>
            </w:pPr>
          </w:p>
        </w:tc>
      </w:tr>
      <w:tr>
        <w:trPr>
          <w:trHeight w:val="137"/>
        </w:trPr>
        <w:tc>
          <w:tcPr>
            <w:tcW w:w="1800" w:type="dxa"/>
            <w:vAlign w:val="bottom"/>
          </w:tcPr>
          <w:p>
            <w:pPr>
              <w:ind w:left="20"/>
              <w:spacing w:after="0"/>
              <w:rPr>
                <w:sz w:val="20"/>
                <w:szCs w:val="20"/>
                <w:color w:val="auto"/>
              </w:rPr>
            </w:pPr>
            <w:r>
              <w:rPr>
                <w:rFonts w:ascii="Arial" w:cs="Arial" w:eastAsia="Arial" w:hAnsi="Arial"/>
                <w:sz w:val="12"/>
                <w:szCs w:val="12"/>
                <w:color w:val="auto"/>
              </w:rPr>
              <w:t>Selling, general and</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00" w:type="dxa"/>
            <w:vAlign w:val="bottom"/>
          </w:tcPr>
          <w:p>
            <w:pPr>
              <w:ind w:left="20"/>
              <w:spacing w:after="0" w:line="128" w:lineRule="exact"/>
              <w:rPr>
                <w:sz w:val="20"/>
                <w:szCs w:val="20"/>
                <w:color w:val="auto"/>
              </w:rPr>
            </w:pPr>
            <w:r>
              <w:rPr>
                <w:rFonts w:ascii="Arial" w:cs="Arial" w:eastAsia="Arial" w:hAnsi="Arial"/>
                <w:sz w:val="12"/>
                <w:szCs w:val="12"/>
                <w:color w:val="auto"/>
              </w:rPr>
              <w:t>administrative as a percent of</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800" w:type="dxa"/>
            <w:vAlign w:val="bottom"/>
          </w:tcPr>
          <w:p>
            <w:pPr>
              <w:ind w:left="20"/>
              <w:spacing w:after="0"/>
              <w:rPr>
                <w:sz w:val="20"/>
                <w:szCs w:val="20"/>
                <w:color w:val="auto"/>
              </w:rPr>
            </w:pPr>
            <w:r>
              <w:rPr>
                <w:rFonts w:ascii="Arial" w:cs="Arial" w:eastAsia="Arial" w:hAnsi="Arial"/>
                <w:sz w:val="12"/>
                <w:szCs w:val="12"/>
                <w:color w:val="auto"/>
              </w:rPr>
              <w:t>net revenue</w:t>
            </w:r>
          </w:p>
        </w:tc>
        <w:tc>
          <w:tcPr>
            <w:tcW w:w="680" w:type="dxa"/>
            <w:vAlign w:val="bottom"/>
          </w:tcPr>
          <w:p>
            <w:pPr>
              <w:jc w:val="right"/>
              <w:spacing w:after="0"/>
              <w:rPr>
                <w:sz w:val="20"/>
                <w:szCs w:val="20"/>
                <w:color w:val="auto"/>
              </w:rPr>
            </w:pPr>
            <w:r>
              <w:rPr>
                <w:rFonts w:ascii="Arial" w:cs="Arial" w:eastAsia="Arial" w:hAnsi="Arial"/>
                <w:sz w:val="12"/>
                <w:szCs w:val="12"/>
                <w:color w:val="auto"/>
              </w:rPr>
              <w:t>43.5 %</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w:t>
            </w:r>
          </w:p>
        </w:tc>
        <w:tc>
          <w:tcPr>
            <w:tcW w:w="880" w:type="dxa"/>
            <w:vAlign w:val="bottom"/>
          </w:tcPr>
          <w:p>
            <w:pPr>
              <w:jc w:val="right"/>
              <w:spacing w:after="0"/>
              <w:rPr>
                <w:sz w:val="20"/>
                <w:szCs w:val="20"/>
                <w:color w:val="auto"/>
              </w:rPr>
            </w:pPr>
            <w:r>
              <w:rPr>
                <w:rFonts w:ascii="Arial" w:cs="Arial" w:eastAsia="Arial" w:hAnsi="Arial"/>
                <w:sz w:val="12"/>
                <w:szCs w:val="12"/>
                <w:color w:val="auto"/>
              </w:rPr>
              <w:t>(1.0)%</w:t>
            </w:r>
          </w:p>
        </w:tc>
        <w:tc>
          <w:tcPr>
            <w:tcW w:w="880" w:type="dxa"/>
            <w:vAlign w:val="bottom"/>
          </w:tcPr>
          <w:p>
            <w:pPr>
              <w:ind w:left="560"/>
              <w:spacing w:after="0"/>
              <w:rPr>
                <w:sz w:val="20"/>
                <w:szCs w:val="20"/>
                <w:color w:val="auto"/>
              </w:rPr>
            </w:pPr>
            <w:r>
              <w:rPr>
                <w:rFonts w:ascii="Arial" w:cs="Arial" w:eastAsia="Arial" w:hAnsi="Arial"/>
                <w:sz w:val="12"/>
                <w:szCs w:val="12"/>
                <w:color w:val="auto"/>
              </w:rPr>
              <w:t>— %</w:t>
            </w:r>
          </w:p>
        </w:tc>
        <w:tc>
          <w:tcPr>
            <w:tcW w:w="94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jc w:val="right"/>
              <w:spacing w:after="0"/>
              <w:rPr>
                <w:sz w:val="20"/>
                <w:szCs w:val="20"/>
                <w:color w:val="auto"/>
              </w:rPr>
            </w:pPr>
            <w:r>
              <w:rPr>
                <w:rFonts w:ascii="Arial" w:cs="Arial" w:eastAsia="Arial" w:hAnsi="Arial"/>
                <w:sz w:val="12"/>
                <w:szCs w:val="12"/>
                <w:color w:val="auto"/>
              </w:rPr>
              <w:t>(2.0)%</w:t>
            </w:r>
          </w:p>
        </w:tc>
        <w:tc>
          <w:tcPr>
            <w:tcW w:w="980" w:type="dxa"/>
            <w:vAlign w:val="bottom"/>
          </w:tcPr>
          <w:p>
            <w:pPr>
              <w:jc w:val="right"/>
              <w:spacing w:after="0"/>
              <w:rPr>
                <w:sz w:val="20"/>
                <w:szCs w:val="20"/>
                <w:color w:val="auto"/>
              </w:rPr>
            </w:pPr>
            <w:r>
              <w:rPr>
                <w:rFonts w:ascii="Arial" w:cs="Arial" w:eastAsia="Arial" w:hAnsi="Arial"/>
                <w:sz w:val="12"/>
                <w:szCs w:val="12"/>
                <w:color w:val="auto"/>
              </w:rPr>
              <w:t>(4.2)%</w:t>
            </w:r>
          </w:p>
        </w:tc>
        <w:tc>
          <w:tcPr>
            <w:tcW w:w="88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80"/>
              <w:spacing w:after="0"/>
              <w:rPr>
                <w:sz w:val="20"/>
                <w:szCs w:val="20"/>
                <w:color w:val="auto"/>
              </w:rPr>
            </w:pPr>
            <w:r>
              <w:rPr>
                <w:rFonts w:ascii="Arial" w:cs="Arial" w:eastAsia="Arial" w:hAnsi="Arial"/>
                <w:sz w:val="12"/>
                <w:szCs w:val="12"/>
                <w:color w:val="auto"/>
                <w:w w:val="99"/>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36.3 %</w:t>
            </w:r>
          </w:p>
        </w:tc>
        <w:tc>
          <w:tcPr>
            <w:tcW w:w="0" w:type="dxa"/>
            <w:vAlign w:val="bottom"/>
          </w:tcPr>
          <w:p>
            <w:pPr>
              <w:spacing w:after="0"/>
              <w:rPr>
                <w:sz w:val="1"/>
                <w:szCs w:val="1"/>
                <w:color w:val="auto"/>
              </w:rPr>
            </w:pPr>
          </w:p>
        </w:tc>
      </w:tr>
      <w:tr>
        <w:trPr>
          <w:trHeight w:val="166"/>
        </w:trPr>
        <w:tc>
          <w:tcPr>
            <w:tcW w:w="1800" w:type="dxa"/>
            <w:vAlign w:val="bottom"/>
          </w:tcPr>
          <w:p>
            <w:pPr>
              <w:ind w:left="20"/>
              <w:spacing w:after="0"/>
              <w:rPr>
                <w:sz w:val="20"/>
                <w:szCs w:val="20"/>
                <w:color w:val="auto"/>
              </w:rPr>
            </w:pPr>
            <w:r>
              <w:rPr>
                <w:rFonts w:ascii="Arial" w:cs="Arial" w:eastAsia="Arial" w:hAnsi="Arial"/>
                <w:sz w:val="12"/>
                <w:szCs w:val="12"/>
                <w:color w:val="auto"/>
              </w:rPr>
              <w:t>Research and development</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44.9</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40"/>
              <w:spacing w:after="0"/>
              <w:rPr>
                <w:sz w:val="20"/>
                <w:szCs w:val="20"/>
                <w:color w:val="auto"/>
              </w:rPr>
            </w:pPr>
            <w:r>
              <w:rPr>
                <w:rFonts w:ascii="Arial" w:cs="Arial" w:eastAsia="Arial" w:hAnsi="Arial"/>
                <w:sz w:val="12"/>
                <w:szCs w:val="12"/>
                <w:color w:val="auto"/>
              </w:rPr>
              <w:t>0.1</w:t>
            </w:r>
          </w:p>
        </w:tc>
        <w:tc>
          <w:tcPr>
            <w:tcW w:w="880" w:type="dxa"/>
            <w:vAlign w:val="bottom"/>
          </w:tcPr>
          <w:p>
            <w:pPr>
              <w:ind w:left="56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00"/>
              <w:spacing w:after="0"/>
              <w:rPr>
                <w:sz w:val="20"/>
                <w:szCs w:val="20"/>
                <w:color w:val="auto"/>
              </w:rPr>
            </w:pPr>
            <w:r>
              <w:rPr>
                <w:rFonts w:ascii="Arial" w:cs="Arial" w:eastAsia="Arial" w:hAnsi="Arial"/>
                <w:sz w:val="12"/>
                <w:szCs w:val="12"/>
                <w:color w:val="auto"/>
              </w:rPr>
              <w:t>(1.4)</w:t>
            </w:r>
          </w:p>
        </w:tc>
        <w:tc>
          <w:tcPr>
            <w:tcW w:w="860" w:type="dxa"/>
            <w:vAlign w:val="bottom"/>
          </w:tcPr>
          <w:p>
            <w:pPr>
              <w:jc w:val="right"/>
              <w:ind w:right="100"/>
              <w:spacing w:after="0"/>
              <w:rPr>
                <w:sz w:val="20"/>
                <w:szCs w:val="20"/>
                <w:color w:val="auto"/>
              </w:rPr>
            </w:pPr>
            <w:r>
              <w:rPr>
                <w:rFonts w:ascii="Arial" w:cs="Arial" w:eastAsia="Arial" w:hAnsi="Arial"/>
                <w:sz w:val="12"/>
                <w:szCs w:val="12"/>
                <w:color w:val="auto"/>
              </w:rPr>
              <w:t>(0.1)</w:t>
            </w:r>
          </w:p>
        </w:tc>
        <w:tc>
          <w:tcPr>
            <w:tcW w:w="980" w:type="dxa"/>
            <w:vAlign w:val="bottom"/>
          </w:tcPr>
          <w:p>
            <w:pPr>
              <w:jc w:val="right"/>
              <w:ind w:right="100"/>
              <w:spacing w:after="0"/>
              <w:rPr>
                <w:sz w:val="20"/>
                <w:szCs w:val="20"/>
                <w:color w:val="auto"/>
              </w:rPr>
            </w:pPr>
            <w:r>
              <w:rPr>
                <w:rFonts w:ascii="Arial" w:cs="Arial" w:eastAsia="Arial" w:hAnsi="Arial"/>
                <w:sz w:val="12"/>
                <w:szCs w:val="12"/>
                <w:color w:val="auto"/>
              </w:rPr>
              <w:t>(0.6)</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ind w:left="58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42.9</w:t>
            </w:r>
          </w:p>
        </w:tc>
        <w:tc>
          <w:tcPr>
            <w:tcW w:w="0" w:type="dxa"/>
            <w:vAlign w:val="bottom"/>
          </w:tcPr>
          <w:p>
            <w:pPr>
              <w:spacing w:after="0"/>
              <w:rPr>
                <w:sz w:val="1"/>
                <w:szCs w:val="1"/>
                <w:color w:val="auto"/>
              </w:rPr>
            </w:pPr>
          </w:p>
        </w:tc>
      </w:tr>
      <w:tr>
        <w:trPr>
          <w:trHeight w:val="137"/>
        </w:trPr>
        <w:tc>
          <w:tcPr>
            <w:tcW w:w="1800" w:type="dxa"/>
            <w:vAlign w:val="bottom"/>
          </w:tcPr>
          <w:p>
            <w:pPr>
              <w:ind w:left="20"/>
              <w:spacing w:after="0"/>
              <w:rPr>
                <w:sz w:val="20"/>
                <w:szCs w:val="20"/>
                <w:color w:val="auto"/>
              </w:rPr>
            </w:pPr>
            <w:r>
              <w:rPr>
                <w:rFonts w:ascii="Arial" w:cs="Arial" w:eastAsia="Arial" w:hAnsi="Arial"/>
                <w:sz w:val="12"/>
                <w:szCs w:val="12"/>
                <w:color w:val="auto"/>
              </w:rPr>
              <w:t>Research and development as a</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0" w:type="dxa"/>
            <w:vAlign w:val="bottom"/>
          </w:tcPr>
          <w:p>
            <w:pPr>
              <w:ind w:left="20"/>
              <w:spacing w:after="0"/>
              <w:rPr>
                <w:sz w:val="20"/>
                <w:szCs w:val="20"/>
                <w:color w:val="auto"/>
              </w:rPr>
            </w:pPr>
            <w:r>
              <w:rPr>
                <w:rFonts w:ascii="Arial" w:cs="Arial" w:eastAsia="Arial" w:hAnsi="Arial"/>
                <w:sz w:val="12"/>
                <w:szCs w:val="12"/>
                <w:color w:val="auto"/>
              </w:rPr>
              <w:t>percent of net revenue</w:t>
            </w:r>
          </w:p>
        </w:tc>
        <w:tc>
          <w:tcPr>
            <w:tcW w:w="680" w:type="dxa"/>
            <w:vAlign w:val="bottom"/>
          </w:tcPr>
          <w:p>
            <w:pPr>
              <w:jc w:val="right"/>
              <w:spacing w:after="0"/>
              <w:rPr>
                <w:sz w:val="20"/>
                <w:szCs w:val="20"/>
                <w:color w:val="auto"/>
              </w:rPr>
            </w:pPr>
            <w:r>
              <w:rPr>
                <w:rFonts w:ascii="Arial" w:cs="Arial" w:eastAsia="Arial" w:hAnsi="Arial"/>
                <w:sz w:val="12"/>
                <w:szCs w:val="12"/>
                <w:color w:val="auto"/>
              </w:rPr>
              <w:t>16.3 %</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w:t>
            </w:r>
          </w:p>
        </w:tc>
        <w:tc>
          <w:tcPr>
            <w:tcW w:w="880" w:type="dxa"/>
            <w:vAlign w:val="bottom"/>
          </w:tcPr>
          <w:p>
            <w:pPr>
              <w:jc w:val="right"/>
              <w:spacing w:after="0"/>
              <w:rPr>
                <w:sz w:val="20"/>
                <w:szCs w:val="20"/>
                <w:color w:val="auto"/>
              </w:rPr>
            </w:pPr>
            <w:r>
              <w:rPr>
                <w:rFonts w:ascii="Arial" w:cs="Arial" w:eastAsia="Arial" w:hAnsi="Arial"/>
                <w:sz w:val="12"/>
                <w:szCs w:val="12"/>
                <w:color w:val="auto"/>
              </w:rPr>
              <w:t>— %</w:t>
            </w:r>
          </w:p>
        </w:tc>
        <w:tc>
          <w:tcPr>
            <w:tcW w:w="880" w:type="dxa"/>
            <w:vAlign w:val="bottom"/>
          </w:tcPr>
          <w:p>
            <w:pPr>
              <w:ind w:left="560"/>
              <w:spacing w:after="0"/>
              <w:rPr>
                <w:sz w:val="20"/>
                <w:szCs w:val="20"/>
                <w:color w:val="auto"/>
              </w:rPr>
            </w:pPr>
            <w:r>
              <w:rPr>
                <w:rFonts w:ascii="Arial" w:cs="Arial" w:eastAsia="Arial" w:hAnsi="Arial"/>
                <w:sz w:val="12"/>
                <w:szCs w:val="12"/>
                <w:color w:val="auto"/>
              </w:rPr>
              <w:t>— %</w:t>
            </w:r>
          </w:p>
        </w:tc>
        <w:tc>
          <w:tcPr>
            <w:tcW w:w="940" w:type="dxa"/>
            <w:vAlign w:val="bottom"/>
          </w:tcPr>
          <w:p>
            <w:pPr>
              <w:jc w:val="right"/>
              <w:spacing w:after="0"/>
              <w:rPr>
                <w:sz w:val="20"/>
                <w:szCs w:val="20"/>
                <w:color w:val="auto"/>
              </w:rPr>
            </w:pPr>
            <w:r>
              <w:rPr>
                <w:rFonts w:ascii="Arial" w:cs="Arial" w:eastAsia="Arial" w:hAnsi="Arial"/>
                <w:sz w:val="12"/>
                <w:szCs w:val="12"/>
                <w:color w:val="auto"/>
              </w:rPr>
              <w:t>(0.5)%</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980" w:type="dxa"/>
            <w:vAlign w:val="bottom"/>
          </w:tcPr>
          <w:p>
            <w:pPr>
              <w:jc w:val="right"/>
              <w:spacing w:after="0"/>
              <w:rPr>
                <w:sz w:val="20"/>
                <w:szCs w:val="20"/>
                <w:color w:val="auto"/>
              </w:rPr>
            </w:pPr>
            <w:r>
              <w:rPr>
                <w:rFonts w:ascii="Arial" w:cs="Arial" w:eastAsia="Arial" w:hAnsi="Arial"/>
                <w:sz w:val="12"/>
                <w:szCs w:val="12"/>
                <w:color w:val="auto"/>
              </w:rPr>
              <w:t>(0.2)%</w:t>
            </w:r>
          </w:p>
        </w:tc>
        <w:tc>
          <w:tcPr>
            <w:tcW w:w="88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80"/>
              <w:spacing w:after="0"/>
              <w:rPr>
                <w:sz w:val="20"/>
                <w:szCs w:val="20"/>
                <w:color w:val="auto"/>
              </w:rPr>
            </w:pPr>
            <w:r>
              <w:rPr>
                <w:rFonts w:ascii="Arial" w:cs="Arial" w:eastAsia="Arial" w:hAnsi="Arial"/>
                <w:sz w:val="12"/>
                <w:szCs w:val="12"/>
                <w:color w:val="auto"/>
                <w:w w:val="99"/>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15.6 %</w:t>
            </w:r>
          </w:p>
        </w:tc>
        <w:tc>
          <w:tcPr>
            <w:tcW w:w="0" w:type="dxa"/>
            <w:vAlign w:val="bottom"/>
          </w:tcPr>
          <w:p>
            <w:pPr>
              <w:spacing w:after="0"/>
              <w:rPr>
                <w:sz w:val="1"/>
                <w:szCs w:val="1"/>
                <w:color w:val="auto"/>
              </w:rPr>
            </w:pPr>
          </w:p>
        </w:tc>
      </w:tr>
      <w:tr>
        <w:trPr>
          <w:trHeight w:val="166"/>
        </w:trPr>
        <w:tc>
          <w:tcPr>
            <w:tcW w:w="1800" w:type="dxa"/>
            <w:vAlign w:val="bottom"/>
          </w:tcPr>
          <w:p>
            <w:pPr>
              <w:ind w:left="20"/>
              <w:spacing w:after="0"/>
              <w:rPr>
                <w:sz w:val="20"/>
                <w:szCs w:val="20"/>
                <w:color w:val="auto"/>
              </w:rPr>
            </w:pPr>
            <w:r>
              <w:rPr>
                <w:rFonts w:ascii="Arial" w:cs="Arial" w:eastAsia="Arial" w:hAnsi="Arial"/>
                <w:sz w:val="12"/>
                <w:szCs w:val="12"/>
                <w:color w:val="auto"/>
              </w:rPr>
              <w:t>Other operating expenses</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5.0</w:t>
            </w:r>
          </w:p>
        </w:tc>
        <w:tc>
          <w:tcPr>
            <w:tcW w:w="860" w:type="dxa"/>
            <w:vAlign w:val="bottom"/>
          </w:tcPr>
          <w:p>
            <w:pPr>
              <w:jc w:val="right"/>
              <w:ind w:right="100"/>
              <w:spacing w:after="0"/>
              <w:rPr>
                <w:sz w:val="20"/>
                <w:szCs w:val="20"/>
                <w:color w:val="auto"/>
              </w:rPr>
            </w:pPr>
            <w:r>
              <w:rPr>
                <w:rFonts w:ascii="Arial" w:cs="Arial" w:eastAsia="Arial" w:hAnsi="Arial"/>
                <w:sz w:val="12"/>
                <w:szCs w:val="12"/>
                <w:color w:val="auto"/>
              </w:rPr>
              <w:t>(0.7)</w:t>
            </w: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(2.0)</w:t>
            </w:r>
          </w:p>
        </w:tc>
        <w:tc>
          <w:tcPr>
            <w:tcW w:w="88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tcPr>
          <w:p>
            <w:pPr>
              <w:ind w:left="56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00"/>
              <w:spacing w:after="0"/>
              <w:rPr>
                <w:sz w:val="20"/>
                <w:szCs w:val="20"/>
                <w:color w:val="auto"/>
              </w:rPr>
            </w:pPr>
            <w:r>
              <w:rPr>
                <w:rFonts w:ascii="Arial" w:cs="Arial" w:eastAsia="Arial" w:hAnsi="Arial"/>
                <w:sz w:val="12"/>
                <w:szCs w:val="12"/>
                <w:color w:val="auto"/>
              </w:rPr>
              <w:t>(2.3)</w:t>
            </w: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ind w:left="58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1800" w:type="dxa"/>
            <w:vAlign w:val="bottom"/>
          </w:tcPr>
          <w:p>
            <w:pPr>
              <w:ind w:left="20"/>
              <w:spacing w:after="0"/>
              <w:rPr>
                <w:sz w:val="20"/>
                <w:szCs w:val="20"/>
                <w:color w:val="auto"/>
              </w:rPr>
            </w:pPr>
            <w:r>
              <w:rPr>
                <w:rFonts w:ascii="Arial" w:cs="Arial" w:eastAsia="Arial" w:hAnsi="Arial"/>
                <w:sz w:val="12"/>
                <w:szCs w:val="12"/>
                <w:color w:val="auto"/>
              </w:rPr>
              <w:t>Operating income from</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0" w:type="dxa"/>
            <w:vAlign w:val="bottom"/>
          </w:tcPr>
          <w:p>
            <w:pPr>
              <w:ind w:left="20"/>
              <w:spacing w:after="0"/>
              <w:rPr>
                <w:sz w:val="20"/>
                <w:szCs w:val="20"/>
                <w:color w:val="auto"/>
              </w:rPr>
            </w:pPr>
            <w:r>
              <w:rPr>
                <w:rFonts w:ascii="Arial" w:cs="Arial" w:eastAsia="Arial" w:hAnsi="Arial"/>
                <w:sz w:val="12"/>
                <w:szCs w:val="12"/>
                <w:color w:val="auto"/>
              </w:rPr>
              <w:t>continuing operations</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14.0</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0.7</w:t>
            </w:r>
          </w:p>
        </w:tc>
        <w:tc>
          <w:tcPr>
            <w:tcW w:w="920" w:type="dxa"/>
            <w:vAlign w:val="bottom"/>
          </w:tcPr>
          <w:p>
            <w:pPr>
              <w:jc w:val="right"/>
              <w:ind w:right="120"/>
              <w:spacing w:after="0"/>
              <w:rPr>
                <w:sz w:val="20"/>
                <w:szCs w:val="20"/>
                <w:color w:val="auto"/>
              </w:rPr>
            </w:pPr>
            <w:r>
              <w:rPr>
                <w:rFonts w:ascii="Arial" w:cs="Arial" w:eastAsia="Arial" w:hAnsi="Arial"/>
                <w:sz w:val="12"/>
                <w:szCs w:val="12"/>
                <w:color w:val="auto"/>
              </w:rPr>
              <w:t>2.0</w:t>
            </w:r>
          </w:p>
        </w:tc>
        <w:tc>
          <w:tcPr>
            <w:tcW w:w="880" w:type="dxa"/>
            <w:vAlign w:val="bottom"/>
          </w:tcPr>
          <w:p>
            <w:pPr>
              <w:jc w:val="right"/>
              <w:ind w:right="140"/>
              <w:spacing w:after="0"/>
              <w:rPr>
                <w:sz w:val="20"/>
                <w:szCs w:val="20"/>
                <w:color w:val="auto"/>
              </w:rPr>
            </w:pPr>
            <w:r>
              <w:rPr>
                <w:rFonts w:ascii="Arial" w:cs="Arial" w:eastAsia="Arial" w:hAnsi="Arial"/>
                <w:sz w:val="12"/>
                <w:szCs w:val="12"/>
                <w:color w:val="auto"/>
              </w:rPr>
              <w:t>6.3</w:t>
            </w:r>
          </w:p>
        </w:tc>
        <w:tc>
          <w:tcPr>
            <w:tcW w:w="880" w:type="dxa"/>
            <w:vAlign w:val="bottom"/>
          </w:tcPr>
          <w:p>
            <w:pPr>
              <w:ind w:left="56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20"/>
              <w:spacing w:after="0"/>
              <w:rPr>
                <w:sz w:val="20"/>
                <w:szCs w:val="20"/>
                <w:color w:val="auto"/>
              </w:rPr>
            </w:pPr>
            <w:r>
              <w:rPr>
                <w:rFonts w:ascii="Arial" w:cs="Arial" w:eastAsia="Arial" w:hAnsi="Arial"/>
                <w:sz w:val="12"/>
                <w:szCs w:val="12"/>
                <w:color w:val="auto"/>
              </w:rPr>
              <w:t>3.5</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8.0</w:t>
            </w: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12.3</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ind w:left="58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46.8</w:t>
            </w:r>
          </w:p>
        </w:tc>
        <w:tc>
          <w:tcPr>
            <w:tcW w:w="0" w:type="dxa"/>
            <w:vAlign w:val="bottom"/>
          </w:tcPr>
          <w:p>
            <w:pPr>
              <w:spacing w:after="0"/>
              <w:rPr>
                <w:sz w:val="1"/>
                <w:szCs w:val="1"/>
                <w:color w:val="auto"/>
              </w:rPr>
            </w:pPr>
          </w:p>
        </w:tc>
      </w:tr>
      <w:tr>
        <w:trPr>
          <w:trHeight w:val="166"/>
        </w:trPr>
        <w:tc>
          <w:tcPr>
            <w:tcW w:w="1800" w:type="dxa"/>
            <w:vAlign w:val="bottom"/>
          </w:tcPr>
          <w:p>
            <w:pPr>
              <w:ind w:left="20"/>
              <w:spacing w:after="0"/>
              <w:rPr>
                <w:sz w:val="20"/>
                <w:szCs w:val="20"/>
                <w:color w:val="auto"/>
              </w:rPr>
            </w:pPr>
            <w:r>
              <w:rPr>
                <w:rFonts w:ascii="Arial" w:cs="Arial" w:eastAsia="Arial" w:hAnsi="Arial"/>
                <w:sz w:val="12"/>
                <w:szCs w:val="12"/>
                <w:color w:val="auto"/>
              </w:rPr>
              <w:t>Operating margin percent</w:t>
            </w:r>
          </w:p>
        </w:tc>
        <w:tc>
          <w:tcPr>
            <w:tcW w:w="680" w:type="dxa"/>
            <w:vAlign w:val="bottom"/>
          </w:tcPr>
          <w:p>
            <w:pPr>
              <w:jc w:val="right"/>
              <w:spacing w:after="0"/>
              <w:rPr>
                <w:sz w:val="20"/>
                <w:szCs w:val="20"/>
                <w:color w:val="auto"/>
              </w:rPr>
            </w:pPr>
            <w:r>
              <w:rPr>
                <w:rFonts w:ascii="Arial" w:cs="Arial" w:eastAsia="Arial" w:hAnsi="Arial"/>
                <w:sz w:val="12"/>
                <w:szCs w:val="12"/>
                <w:color w:val="auto"/>
              </w:rPr>
              <w:t>5.1 %</w:t>
            </w:r>
          </w:p>
        </w:tc>
        <w:tc>
          <w:tcPr>
            <w:tcW w:w="860" w:type="dxa"/>
            <w:vAlign w:val="bottom"/>
          </w:tcPr>
          <w:p>
            <w:pPr>
              <w:jc w:val="right"/>
              <w:spacing w:after="0"/>
              <w:rPr>
                <w:sz w:val="20"/>
                <w:szCs w:val="20"/>
                <w:color w:val="auto"/>
              </w:rPr>
            </w:pPr>
            <w:r>
              <w:rPr>
                <w:rFonts w:ascii="Arial" w:cs="Arial" w:eastAsia="Arial" w:hAnsi="Arial"/>
                <w:sz w:val="12"/>
                <w:szCs w:val="12"/>
                <w:color w:val="auto"/>
              </w:rPr>
              <w:t>0.2 %</w:t>
            </w:r>
          </w:p>
        </w:tc>
        <w:tc>
          <w:tcPr>
            <w:tcW w:w="920" w:type="dxa"/>
            <w:vAlign w:val="bottom"/>
          </w:tcPr>
          <w:p>
            <w:pPr>
              <w:jc w:val="right"/>
              <w:spacing w:after="0"/>
              <w:rPr>
                <w:sz w:val="20"/>
                <w:szCs w:val="20"/>
                <w:color w:val="auto"/>
              </w:rPr>
            </w:pPr>
            <w:r>
              <w:rPr>
                <w:rFonts w:ascii="Arial" w:cs="Arial" w:eastAsia="Arial" w:hAnsi="Arial"/>
                <w:sz w:val="12"/>
                <w:szCs w:val="12"/>
                <w:color w:val="auto"/>
              </w:rPr>
              <w:t>0.7 %</w:t>
            </w:r>
          </w:p>
        </w:tc>
        <w:tc>
          <w:tcPr>
            <w:tcW w:w="880" w:type="dxa"/>
            <w:vAlign w:val="bottom"/>
          </w:tcPr>
          <w:p>
            <w:pPr>
              <w:jc w:val="right"/>
              <w:spacing w:after="0"/>
              <w:rPr>
                <w:sz w:val="20"/>
                <w:szCs w:val="20"/>
                <w:color w:val="auto"/>
              </w:rPr>
            </w:pPr>
            <w:r>
              <w:rPr>
                <w:rFonts w:ascii="Arial" w:cs="Arial" w:eastAsia="Arial" w:hAnsi="Arial"/>
                <w:sz w:val="12"/>
                <w:szCs w:val="12"/>
                <w:color w:val="auto"/>
              </w:rPr>
              <w:t>2.3 %</w:t>
            </w:r>
          </w:p>
        </w:tc>
        <w:tc>
          <w:tcPr>
            <w:tcW w:w="880" w:type="dxa"/>
            <w:vAlign w:val="bottom"/>
          </w:tcPr>
          <w:p>
            <w:pPr>
              <w:ind w:left="560"/>
              <w:spacing w:after="0"/>
              <w:rPr>
                <w:sz w:val="20"/>
                <w:szCs w:val="20"/>
                <w:color w:val="auto"/>
              </w:rPr>
            </w:pPr>
            <w:r>
              <w:rPr>
                <w:rFonts w:ascii="Arial" w:cs="Arial" w:eastAsia="Arial" w:hAnsi="Arial"/>
                <w:sz w:val="12"/>
                <w:szCs w:val="12"/>
                <w:color w:val="auto"/>
              </w:rPr>
              <w:t>— %</w:t>
            </w:r>
          </w:p>
        </w:tc>
        <w:tc>
          <w:tcPr>
            <w:tcW w:w="940" w:type="dxa"/>
            <w:vAlign w:val="bottom"/>
          </w:tcPr>
          <w:p>
            <w:pPr>
              <w:jc w:val="right"/>
              <w:spacing w:after="0"/>
              <w:rPr>
                <w:sz w:val="20"/>
                <w:szCs w:val="20"/>
                <w:color w:val="auto"/>
              </w:rPr>
            </w:pPr>
            <w:r>
              <w:rPr>
                <w:rFonts w:ascii="Arial" w:cs="Arial" w:eastAsia="Arial" w:hAnsi="Arial"/>
                <w:sz w:val="12"/>
                <w:szCs w:val="12"/>
                <w:color w:val="auto"/>
              </w:rPr>
              <w:t>1.3 %</w:t>
            </w:r>
          </w:p>
        </w:tc>
        <w:tc>
          <w:tcPr>
            <w:tcW w:w="860" w:type="dxa"/>
            <w:vAlign w:val="bottom"/>
          </w:tcPr>
          <w:p>
            <w:pPr>
              <w:jc w:val="right"/>
              <w:spacing w:after="0"/>
              <w:rPr>
                <w:sz w:val="20"/>
                <w:szCs w:val="20"/>
                <w:color w:val="auto"/>
              </w:rPr>
            </w:pPr>
            <w:r>
              <w:rPr>
                <w:rFonts w:ascii="Arial" w:cs="Arial" w:eastAsia="Arial" w:hAnsi="Arial"/>
                <w:sz w:val="12"/>
                <w:szCs w:val="12"/>
                <w:color w:val="auto"/>
              </w:rPr>
              <w:t>2.9 %</w:t>
            </w:r>
          </w:p>
        </w:tc>
        <w:tc>
          <w:tcPr>
            <w:tcW w:w="980" w:type="dxa"/>
            <w:vAlign w:val="bottom"/>
          </w:tcPr>
          <w:p>
            <w:pPr>
              <w:jc w:val="right"/>
              <w:spacing w:after="0"/>
              <w:rPr>
                <w:sz w:val="20"/>
                <w:szCs w:val="20"/>
                <w:color w:val="auto"/>
              </w:rPr>
            </w:pPr>
            <w:r>
              <w:rPr>
                <w:rFonts w:ascii="Arial" w:cs="Arial" w:eastAsia="Arial" w:hAnsi="Arial"/>
                <w:sz w:val="12"/>
                <w:szCs w:val="12"/>
                <w:color w:val="auto"/>
              </w:rPr>
              <w:t>4.5 %</w:t>
            </w:r>
          </w:p>
        </w:tc>
        <w:tc>
          <w:tcPr>
            <w:tcW w:w="88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80"/>
              <w:spacing w:after="0"/>
              <w:rPr>
                <w:sz w:val="20"/>
                <w:szCs w:val="20"/>
                <w:color w:val="auto"/>
              </w:rPr>
            </w:pPr>
            <w:r>
              <w:rPr>
                <w:rFonts w:ascii="Arial" w:cs="Arial" w:eastAsia="Arial" w:hAnsi="Arial"/>
                <w:sz w:val="12"/>
                <w:szCs w:val="12"/>
                <w:color w:val="auto"/>
                <w:w w:val="99"/>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17.0 %</w:t>
            </w:r>
          </w:p>
        </w:tc>
        <w:tc>
          <w:tcPr>
            <w:tcW w:w="0" w:type="dxa"/>
            <w:vAlign w:val="bottom"/>
          </w:tcPr>
          <w:p>
            <w:pPr>
              <w:spacing w:after="0"/>
              <w:rPr>
                <w:sz w:val="1"/>
                <w:szCs w:val="1"/>
                <w:color w:val="auto"/>
              </w:rPr>
            </w:pPr>
          </w:p>
        </w:tc>
      </w:tr>
      <w:tr>
        <w:trPr>
          <w:trHeight w:val="166"/>
        </w:trPr>
        <w:tc>
          <w:tcPr>
            <w:tcW w:w="1800" w:type="dxa"/>
            <w:vAlign w:val="bottom"/>
          </w:tcPr>
          <w:p>
            <w:pPr>
              <w:ind w:left="20"/>
              <w:spacing w:after="0"/>
              <w:rPr>
                <w:sz w:val="20"/>
                <w:szCs w:val="20"/>
                <w:color w:val="auto"/>
              </w:rPr>
            </w:pPr>
            <w:r>
              <w:rPr>
                <w:rFonts w:ascii="Arial" w:cs="Arial" w:eastAsia="Arial" w:hAnsi="Arial"/>
                <w:sz w:val="12"/>
                <w:szCs w:val="12"/>
                <w:color w:val="auto"/>
              </w:rPr>
              <w:t>Income tax expense</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4.7</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40"/>
              <w:spacing w:after="0"/>
              <w:rPr>
                <w:sz w:val="20"/>
                <w:szCs w:val="20"/>
                <w:color w:val="auto"/>
              </w:rPr>
            </w:pPr>
            <w:r>
              <w:rPr>
                <w:rFonts w:ascii="Arial" w:cs="Arial" w:eastAsia="Arial" w:hAnsi="Arial"/>
                <w:sz w:val="12"/>
                <w:szCs w:val="12"/>
                <w:color w:val="auto"/>
              </w:rPr>
              <w:t>0.5</w:t>
            </w:r>
          </w:p>
        </w:tc>
        <w:tc>
          <w:tcPr>
            <w:tcW w:w="880" w:type="dxa"/>
            <w:vAlign w:val="bottom"/>
          </w:tcPr>
          <w:p>
            <w:pPr>
              <w:ind w:left="56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0.3</w:t>
            </w: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0.1</w:t>
            </w:r>
          </w:p>
        </w:tc>
        <w:tc>
          <w:tcPr>
            <w:tcW w:w="880" w:type="dxa"/>
            <w:vAlign w:val="bottom"/>
          </w:tcPr>
          <w:p>
            <w:pPr>
              <w:jc w:val="right"/>
              <w:ind w:right="80"/>
              <w:spacing w:after="0"/>
              <w:rPr>
                <w:sz w:val="20"/>
                <w:szCs w:val="20"/>
                <w:color w:val="auto"/>
              </w:rPr>
            </w:pPr>
            <w:r>
              <w:rPr>
                <w:rFonts w:ascii="Arial" w:cs="Arial" w:eastAsia="Arial" w:hAnsi="Arial"/>
                <w:sz w:val="12"/>
                <w:szCs w:val="12"/>
                <w:color w:val="auto"/>
              </w:rPr>
              <w:t>(6.8)</w:t>
            </w:r>
          </w:p>
        </w:tc>
        <w:tc>
          <w:tcPr>
            <w:tcW w:w="860" w:type="dxa"/>
            <w:vAlign w:val="bottom"/>
          </w:tcPr>
          <w:p>
            <w:pPr>
              <w:ind w:left="58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66"/>
        </w:trPr>
        <w:tc>
          <w:tcPr>
            <w:tcW w:w="1800" w:type="dxa"/>
            <w:vAlign w:val="bottom"/>
          </w:tcPr>
          <w:p>
            <w:pPr>
              <w:ind w:left="20"/>
              <w:spacing w:after="0"/>
              <w:rPr>
                <w:sz w:val="20"/>
                <w:szCs w:val="20"/>
                <w:color w:val="auto"/>
              </w:rPr>
            </w:pPr>
            <w:r>
              <w:rPr>
                <w:rFonts w:ascii="Arial" w:cs="Arial" w:eastAsia="Arial" w:hAnsi="Arial"/>
                <w:sz w:val="12"/>
                <w:szCs w:val="12"/>
                <w:color w:val="auto"/>
              </w:rPr>
              <w:t>Income tax rate</w:t>
            </w:r>
          </w:p>
        </w:tc>
        <w:tc>
          <w:tcPr>
            <w:tcW w:w="680" w:type="dxa"/>
            <w:vAlign w:val="bottom"/>
          </w:tcPr>
          <w:p>
            <w:pPr>
              <w:jc w:val="right"/>
              <w:spacing w:after="0"/>
              <w:rPr>
                <w:sz w:val="20"/>
                <w:szCs w:val="20"/>
                <w:color w:val="auto"/>
              </w:rPr>
            </w:pPr>
            <w:r>
              <w:rPr>
                <w:rFonts w:ascii="Arial" w:cs="Arial" w:eastAsia="Arial" w:hAnsi="Arial"/>
                <w:sz w:val="12"/>
                <w:szCs w:val="12"/>
                <w:color w:val="auto"/>
              </w:rPr>
              <w:t>73.6 %</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w:t>
            </w:r>
          </w:p>
        </w:tc>
        <w:tc>
          <w:tcPr>
            <w:tcW w:w="880" w:type="dxa"/>
            <w:vAlign w:val="bottom"/>
          </w:tcPr>
          <w:p>
            <w:pPr>
              <w:jc w:val="right"/>
              <w:spacing w:after="0"/>
              <w:rPr>
                <w:sz w:val="20"/>
                <w:szCs w:val="20"/>
                <w:color w:val="auto"/>
              </w:rPr>
            </w:pPr>
            <w:r>
              <w:rPr>
                <w:rFonts w:ascii="Arial" w:cs="Arial" w:eastAsia="Arial" w:hAnsi="Arial"/>
                <w:sz w:val="12"/>
                <w:szCs w:val="12"/>
                <w:color w:val="auto"/>
              </w:rPr>
              <w:t>7.9 %</w:t>
            </w:r>
          </w:p>
        </w:tc>
        <w:tc>
          <w:tcPr>
            <w:tcW w:w="880" w:type="dxa"/>
            <w:vAlign w:val="bottom"/>
          </w:tcPr>
          <w:p>
            <w:pPr>
              <w:ind w:left="560"/>
              <w:spacing w:after="0"/>
              <w:rPr>
                <w:sz w:val="20"/>
                <w:szCs w:val="20"/>
                <w:color w:val="auto"/>
              </w:rPr>
            </w:pPr>
            <w:r>
              <w:rPr>
                <w:rFonts w:ascii="Arial" w:cs="Arial" w:eastAsia="Arial" w:hAnsi="Arial"/>
                <w:sz w:val="12"/>
                <w:szCs w:val="12"/>
                <w:color w:val="auto"/>
              </w:rPr>
              <w:t>— %</w:t>
            </w:r>
          </w:p>
        </w:tc>
        <w:tc>
          <w:tcPr>
            <w:tcW w:w="94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jc w:val="right"/>
              <w:spacing w:after="0"/>
              <w:rPr>
                <w:sz w:val="20"/>
                <w:szCs w:val="20"/>
                <w:color w:val="auto"/>
              </w:rPr>
            </w:pPr>
            <w:r>
              <w:rPr>
                <w:rFonts w:ascii="Arial" w:cs="Arial" w:eastAsia="Arial" w:hAnsi="Arial"/>
                <w:sz w:val="12"/>
                <w:szCs w:val="12"/>
                <w:color w:val="auto"/>
              </w:rPr>
              <w:t>4.3 %</w:t>
            </w:r>
          </w:p>
        </w:tc>
        <w:tc>
          <w:tcPr>
            <w:tcW w:w="980" w:type="dxa"/>
            <w:vAlign w:val="bottom"/>
          </w:tcPr>
          <w:p>
            <w:pPr>
              <w:jc w:val="right"/>
              <w:spacing w:after="0"/>
              <w:rPr>
                <w:sz w:val="20"/>
                <w:szCs w:val="20"/>
                <w:color w:val="auto"/>
              </w:rPr>
            </w:pPr>
            <w:r>
              <w:rPr>
                <w:rFonts w:ascii="Arial" w:cs="Arial" w:eastAsia="Arial" w:hAnsi="Arial"/>
                <w:sz w:val="12"/>
                <w:szCs w:val="12"/>
                <w:color w:val="auto"/>
              </w:rPr>
              <w:t>0.9 %</w:t>
            </w:r>
          </w:p>
        </w:tc>
        <w:tc>
          <w:tcPr>
            <w:tcW w:w="880" w:type="dxa"/>
            <w:vAlign w:val="bottom"/>
          </w:tcPr>
          <w:p>
            <w:pPr>
              <w:jc w:val="right"/>
              <w:spacing w:after="0"/>
              <w:rPr>
                <w:sz w:val="20"/>
                <w:szCs w:val="20"/>
                <w:color w:val="auto"/>
              </w:rPr>
            </w:pPr>
            <w:r>
              <w:rPr>
                <w:rFonts w:ascii="Arial" w:cs="Arial" w:eastAsia="Arial" w:hAnsi="Arial"/>
                <w:sz w:val="12"/>
                <w:szCs w:val="12"/>
                <w:color w:val="auto"/>
              </w:rPr>
              <w:t>N/A</w:t>
            </w:r>
          </w:p>
        </w:tc>
        <w:tc>
          <w:tcPr>
            <w:tcW w:w="860" w:type="dxa"/>
            <w:vAlign w:val="bottom"/>
          </w:tcPr>
          <w:p>
            <w:pPr>
              <w:ind w:left="580"/>
              <w:spacing w:after="0"/>
              <w:rPr>
                <w:sz w:val="20"/>
                <w:szCs w:val="20"/>
                <w:color w:val="auto"/>
              </w:rPr>
            </w:pPr>
            <w:r>
              <w:rPr>
                <w:rFonts w:ascii="Arial" w:cs="Arial" w:eastAsia="Arial" w:hAnsi="Arial"/>
                <w:sz w:val="12"/>
                <w:szCs w:val="12"/>
                <w:color w:val="auto"/>
                <w:w w:val="99"/>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37"/>
        </w:trPr>
        <w:tc>
          <w:tcPr>
            <w:tcW w:w="1800" w:type="dxa"/>
            <w:vAlign w:val="bottom"/>
          </w:tcPr>
          <w:p>
            <w:pPr>
              <w:ind w:left="20"/>
              <w:spacing w:after="0"/>
              <w:rPr>
                <w:sz w:val="20"/>
                <w:szCs w:val="20"/>
                <w:color w:val="auto"/>
              </w:rPr>
            </w:pPr>
            <w:r>
              <w:rPr>
                <w:rFonts w:ascii="Arial" w:cs="Arial" w:eastAsia="Arial" w:hAnsi="Arial"/>
                <w:sz w:val="12"/>
                <w:szCs w:val="12"/>
                <w:color w:val="auto"/>
              </w:rPr>
              <w:t>Net income from continuing</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0" w:type="dxa"/>
            <w:vAlign w:val="bottom"/>
          </w:tcPr>
          <w:p>
            <w:pPr>
              <w:ind w:left="20"/>
              <w:spacing w:after="0"/>
              <w:rPr>
                <w:sz w:val="20"/>
                <w:szCs w:val="20"/>
                <w:color w:val="auto"/>
              </w:rPr>
            </w:pPr>
            <w:r>
              <w:rPr>
                <w:rFonts w:ascii="Arial" w:cs="Arial" w:eastAsia="Arial" w:hAnsi="Arial"/>
                <w:sz w:val="12"/>
                <w:szCs w:val="12"/>
                <w:color w:val="auto"/>
              </w:rPr>
              <w:t>operations</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1.7</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0.7</w:t>
            </w:r>
          </w:p>
        </w:tc>
        <w:tc>
          <w:tcPr>
            <w:tcW w:w="920" w:type="dxa"/>
            <w:vAlign w:val="bottom"/>
          </w:tcPr>
          <w:p>
            <w:pPr>
              <w:jc w:val="right"/>
              <w:ind w:right="120"/>
              <w:spacing w:after="0"/>
              <w:rPr>
                <w:sz w:val="20"/>
                <w:szCs w:val="20"/>
                <w:color w:val="auto"/>
              </w:rPr>
            </w:pPr>
            <w:r>
              <w:rPr>
                <w:rFonts w:ascii="Arial" w:cs="Arial" w:eastAsia="Arial" w:hAnsi="Arial"/>
                <w:sz w:val="12"/>
                <w:szCs w:val="12"/>
                <w:color w:val="auto"/>
              </w:rPr>
              <w:t>2.0</w:t>
            </w:r>
          </w:p>
        </w:tc>
        <w:tc>
          <w:tcPr>
            <w:tcW w:w="880" w:type="dxa"/>
            <w:vAlign w:val="bottom"/>
          </w:tcPr>
          <w:p>
            <w:pPr>
              <w:jc w:val="right"/>
              <w:ind w:right="140"/>
              <w:spacing w:after="0"/>
              <w:rPr>
                <w:sz w:val="20"/>
                <w:szCs w:val="20"/>
                <w:color w:val="auto"/>
              </w:rPr>
            </w:pPr>
            <w:r>
              <w:rPr>
                <w:rFonts w:ascii="Arial" w:cs="Arial" w:eastAsia="Arial" w:hAnsi="Arial"/>
                <w:sz w:val="12"/>
                <w:szCs w:val="12"/>
                <w:color w:val="auto"/>
              </w:rPr>
              <w:t>5.8</w:t>
            </w:r>
          </w:p>
        </w:tc>
        <w:tc>
          <w:tcPr>
            <w:tcW w:w="880" w:type="dxa"/>
            <w:vAlign w:val="bottom"/>
          </w:tcPr>
          <w:p>
            <w:pPr>
              <w:jc w:val="right"/>
              <w:ind w:right="100"/>
              <w:spacing w:after="0"/>
              <w:rPr>
                <w:sz w:val="20"/>
                <w:szCs w:val="20"/>
                <w:color w:val="auto"/>
              </w:rPr>
            </w:pPr>
            <w:r>
              <w:rPr>
                <w:rFonts w:ascii="Arial" w:cs="Arial" w:eastAsia="Arial" w:hAnsi="Arial"/>
                <w:sz w:val="12"/>
                <w:szCs w:val="12"/>
                <w:color w:val="auto"/>
              </w:rPr>
              <w:t>(3.6)</w:t>
            </w:r>
          </w:p>
        </w:tc>
        <w:tc>
          <w:tcPr>
            <w:tcW w:w="940" w:type="dxa"/>
            <w:vAlign w:val="bottom"/>
          </w:tcPr>
          <w:p>
            <w:pPr>
              <w:jc w:val="right"/>
              <w:ind w:right="120"/>
              <w:spacing w:after="0"/>
              <w:rPr>
                <w:sz w:val="20"/>
                <w:szCs w:val="20"/>
                <w:color w:val="auto"/>
              </w:rPr>
            </w:pPr>
            <w:r>
              <w:rPr>
                <w:rFonts w:ascii="Arial" w:cs="Arial" w:eastAsia="Arial" w:hAnsi="Arial"/>
                <w:sz w:val="12"/>
                <w:szCs w:val="12"/>
                <w:color w:val="auto"/>
              </w:rPr>
              <w:t>3.5</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7.6</w:t>
            </w: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12.2</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6.8</w:t>
            </w:r>
          </w:p>
        </w:tc>
        <w:tc>
          <w:tcPr>
            <w:tcW w:w="860" w:type="dxa"/>
            <w:vAlign w:val="bottom"/>
          </w:tcPr>
          <w:p>
            <w:pPr>
              <w:jc w:val="right"/>
              <w:ind w:right="100"/>
              <w:spacing w:after="0"/>
              <w:rPr>
                <w:sz w:val="20"/>
                <w:szCs w:val="20"/>
                <w:color w:val="auto"/>
              </w:rPr>
            </w:pPr>
            <w:r>
              <w:rPr>
                <w:rFonts w:ascii="Arial" w:cs="Arial" w:eastAsia="Arial" w:hAnsi="Arial"/>
                <w:sz w:val="12"/>
                <w:szCs w:val="12"/>
                <w:color w:val="auto"/>
              </w:rPr>
              <w:t>6.9</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43.6</w:t>
            </w:r>
          </w:p>
        </w:tc>
        <w:tc>
          <w:tcPr>
            <w:tcW w:w="0" w:type="dxa"/>
            <w:vAlign w:val="bottom"/>
          </w:tcPr>
          <w:p>
            <w:pPr>
              <w:spacing w:after="0"/>
              <w:rPr>
                <w:sz w:val="1"/>
                <w:szCs w:val="1"/>
                <w:color w:val="auto"/>
              </w:rPr>
            </w:pPr>
          </w:p>
        </w:tc>
      </w:tr>
      <w:tr>
        <w:trPr>
          <w:trHeight w:val="137"/>
        </w:trPr>
        <w:tc>
          <w:tcPr>
            <w:tcW w:w="1800" w:type="dxa"/>
            <w:vAlign w:val="bottom"/>
          </w:tcPr>
          <w:p>
            <w:pPr>
              <w:ind w:left="20"/>
              <w:spacing w:after="0"/>
              <w:rPr>
                <w:sz w:val="20"/>
                <w:szCs w:val="20"/>
                <w:color w:val="auto"/>
              </w:rPr>
            </w:pPr>
            <w:r>
              <w:rPr>
                <w:rFonts w:ascii="Arial" w:cs="Arial" w:eastAsia="Arial" w:hAnsi="Arial"/>
                <w:sz w:val="12"/>
                <w:szCs w:val="12"/>
                <w:color w:val="auto"/>
              </w:rPr>
              <w:t>Net income as a percent of net</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0" w:type="dxa"/>
            <w:vAlign w:val="bottom"/>
          </w:tcPr>
          <w:p>
            <w:pPr>
              <w:ind w:left="20"/>
              <w:spacing w:after="0"/>
              <w:rPr>
                <w:sz w:val="20"/>
                <w:szCs w:val="20"/>
                <w:color w:val="auto"/>
              </w:rPr>
            </w:pPr>
            <w:r>
              <w:rPr>
                <w:rFonts w:ascii="Arial" w:cs="Arial" w:eastAsia="Arial" w:hAnsi="Arial"/>
                <w:sz w:val="12"/>
                <w:szCs w:val="12"/>
                <w:color w:val="auto"/>
              </w:rPr>
              <w:t>revenue</w:t>
            </w:r>
          </w:p>
        </w:tc>
        <w:tc>
          <w:tcPr>
            <w:tcW w:w="680" w:type="dxa"/>
            <w:vAlign w:val="bottom"/>
          </w:tcPr>
          <w:p>
            <w:pPr>
              <w:jc w:val="right"/>
              <w:spacing w:after="0"/>
              <w:rPr>
                <w:sz w:val="20"/>
                <w:szCs w:val="20"/>
                <w:color w:val="auto"/>
              </w:rPr>
            </w:pPr>
            <w:r>
              <w:rPr>
                <w:rFonts w:ascii="Arial" w:cs="Arial" w:eastAsia="Arial" w:hAnsi="Arial"/>
                <w:sz w:val="12"/>
                <w:szCs w:val="12"/>
                <w:color w:val="auto"/>
              </w:rPr>
              <w:t>0.6 %</w:t>
            </w:r>
          </w:p>
        </w:tc>
        <w:tc>
          <w:tcPr>
            <w:tcW w:w="860" w:type="dxa"/>
            <w:vAlign w:val="bottom"/>
          </w:tcPr>
          <w:p>
            <w:pPr>
              <w:jc w:val="right"/>
              <w:spacing w:after="0"/>
              <w:rPr>
                <w:sz w:val="20"/>
                <w:szCs w:val="20"/>
                <w:color w:val="auto"/>
              </w:rPr>
            </w:pPr>
            <w:r>
              <w:rPr>
                <w:rFonts w:ascii="Arial" w:cs="Arial" w:eastAsia="Arial" w:hAnsi="Arial"/>
                <w:sz w:val="12"/>
                <w:szCs w:val="12"/>
                <w:color w:val="auto"/>
              </w:rPr>
              <w:t>0.2 %</w:t>
            </w:r>
          </w:p>
        </w:tc>
        <w:tc>
          <w:tcPr>
            <w:tcW w:w="920" w:type="dxa"/>
            <w:vAlign w:val="bottom"/>
          </w:tcPr>
          <w:p>
            <w:pPr>
              <w:jc w:val="right"/>
              <w:spacing w:after="0"/>
              <w:rPr>
                <w:sz w:val="20"/>
                <w:szCs w:val="20"/>
                <w:color w:val="auto"/>
              </w:rPr>
            </w:pPr>
            <w:r>
              <w:rPr>
                <w:rFonts w:ascii="Arial" w:cs="Arial" w:eastAsia="Arial" w:hAnsi="Arial"/>
                <w:sz w:val="12"/>
                <w:szCs w:val="12"/>
                <w:color w:val="auto"/>
              </w:rPr>
              <w:t>0.7 %</w:t>
            </w:r>
          </w:p>
        </w:tc>
        <w:tc>
          <w:tcPr>
            <w:tcW w:w="880" w:type="dxa"/>
            <w:vAlign w:val="bottom"/>
          </w:tcPr>
          <w:p>
            <w:pPr>
              <w:jc w:val="right"/>
              <w:spacing w:after="0"/>
              <w:rPr>
                <w:sz w:val="20"/>
                <w:szCs w:val="20"/>
                <w:color w:val="auto"/>
              </w:rPr>
            </w:pPr>
            <w:r>
              <w:rPr>
                <w:rFonts w:ascii="Arial" w:cs="Arial" w:eastAsia="Arial" w:hAnsi="Arial"/>
                <w:sz w:val="12"/>
                <w:szCs w:val="12"/>
                <w:color w:val="auto"/>
              </w:rPr>
              <w:t>2.1 %</w:t>
            </w:r>
          </w:p>
        </w:tc>
        <w:tc>
          <w:tcPr>
            <w:tcW w:w="880" w:type="dxa"/>
            <w:vAlign w:val="bottom"/>
          </w:tcPr>
          <w:p>
            <w:pPr>
              <w:jc w:val="right"/>
              <w:spacing w:after="0"/>
              <w:rPr>
                <w:sz w:val="20"/>
                <w:szCs w:val="20"/>
                <w:color w:val="auto"/>
              </w:rPr>
            </w:pPr>
            <w:r>
              <w:rPr>
                <w:rFonts w:ascii="Arial" w:cs="Arial" w:eastAsia="Arial" w:hAnsi="Arial"/>
                <w:sz w:val="12"/>
                <w:szCs w:val="12"/>
                <w:color w:val="auto"/>
              </w:rPr>
              <w:t>(1.3)%</w:t>
            </w:r>
          </w:p>
        </w:tc>
        <w:tc>
          <w:tcPr>
            <w:tcW w:w="940" w:type="dxa"/>
            <w:vAlign w:val="bottom"/>
          </w:tcPr>
          <w:p>
            <w:pPr>
              <w:jc w:val="right"/>
              <w:spacing w:after="0"/>
              <w:rPr>
                <w:sz w:val="20"/>
                <w:szCs w:val="20"/>
                <w:color w:val="auto"/>
              </w:rPr>
            </w:pPr>
            <w:r>
              <w:rPr>
                <w:rFonts w:ascii="Arial" w:cs="Arial" w:eastAsia="Arial" w:hAnsi="Arial"/>
                <w:sz w:val="12"/>
                <w:szCs w:val="12"/>
                <w:color w:val="auto"/>
              </w:rPr>
              <w:t>1.3 %</w:t>
            </w:r>
          </w:p>
        </w:tc>
        <w:tc>
          <w:tcPr>
            <w:tcW w:w="860" w:type="dxa"/>
            <w:vAlign w:val="bottom"/>
          </w:tcPr>
          <w:p>
            <w:pPr>
              <w:jc w:val="right"/>
              <w:spacing w:after="0"/>
              <w:rPr>
                <w:sz w:val="20"/>
                <w:szCs w:val="20"/>
                <w:color w:val="auto"/>
              </w:rPr>
            </w:pPr>
            <w:r>
              <w:rPr>
                <w:rFonts w:ascii="Arial" w:cs="Arial" w:eastAsia="Arial" w:hAnsi="Arial"/>
                <w:sz w:val="12"/>
                <w:szCs w:val="12"/>
                <w:color w:val="auto"/>
              </w:rPr>
              <w:t>2.8 %</w:t>
            </w:r>
          </w:p>
        </w:tc>
        <w:tc>
          <w:tcPr>
            <w:tcW w:w="980" w:type="dxa"/>
            <w:vAlign w:val="bottom"/>
          </w:tcPr>
          <w:p>
            <w:pPr>
              <w:jc w:val="right"/>
              <w:spacing w:after="0"/>
              <w:rPr>
                <w:sz w:val="20"/>
                <w:szCs w:val="20"/>
                <w:color w:val="auto"/>
              </w:rPr>
            </w:pPr>
            <w:r>
              <w:rPr>
                <w:rFonts w:ascii="Arial" w:cs="Arial" w:eastAsia="Arial" w:hAnsi="Arial"/>
                <w:sz w:val="12"/>
                <w:szCs w:val="12"/>
                <w:color w:val="auto"/>
              </w:rPr>
              <w:t>4.4 %</w:t>
            </w:r>
          </w:p>
        </w:tc>
        <w:tc>
          <w:tcPr>
            <w:tcW w:w="880" w:type="dxa"/>
            <w:vAlign w:val="bottom"/>
          </w:tcPr>
          <w:p>
            <w:pPr>
              <w:jc w:val="right"/>
              <w:spacing w:after="0"/>
              <w:rPr>
                <w:sz w:val="20"/>
                <w:szCs w:val="20"/>
                <w:color w:val="auto"/>
              </w:rPr>
            </w:pPr>
            <w:r>
              <w:rPr>
                <w:rFonts w:ascii="Arial" w:cs="Arial" w:eastAsia="Arial" w:hAnsi="Arial"/>
                <w:sz w:val="12"/>
                <w:szCs w:val="12"/>
                <w:color w:val="auto"/>
              </w:rPr>
              <w:t>2.5 %</w:t>
            </w:r>
          </w:p>
        </w:tc>
        <w:tc>
          <w:tcPr>
            <w:tcW w:w="860" w:type="dxa"/>
            <w:vAlign w:val="bottom"/>
          </w:tcPr>
          <w:p>
            <w:pPr>
              <w:jc w:val="right"/>
              <w:spacing w:after="0"/>
              <w:rPr>
                <w:sz w:val="20"/>
                <w:szCs w:val="20"/>
                <w:color w:val="auto"/>
              </w:rPr>
            </w:pPr>
            <w:r>
              <w:rPr>
                <w:rFonts w:ascii="Arial" w:cs="Arial" w:eastAsia="Arial" w:hAnsi="Arial"/>
                <w:sz w:val="12"/>
                <w:szCs w:val="12"/>
                <w:color w:val="auto"/>
              </w:rPr>
              <w:t>2.5 %</w:t>
            </w:r>
          </w:p>
        </w:tc>
        <w:tc>
          <w:tcPr>
            <w:tcW w:w="700" w:type="dxa"/>
            <w:vAlign w:val="bottom"/>
          </w:tcPr>
          <w:p>
            <w:pPr>
              <w:jc w:val="right"/>
              <w:spacing w:after="0"/>
              <w:rPr>
                <w:sz w:val="20"/>
                <w:szCs w:val="20"/>
                <w:color w:val="auto"/>
              </w:rPr>
            </w:pPr>
            <w:r>
              <w:rPr>
                <w:rFonts w:ascii="Arial" w:cs="Arial" w:eastAsia="Arial" w:hAnsi="Arial"/>
                <w:sz w:val="12"/>
                <w:szCs w:val="12"/>
                <w:color w:val="auto"/>
              </w:rPr>
              <w:t>15.9 %</w:t>
            </w:r>
          </w:p>
        </w:tc>
        <w:tc>
          <w:tcPr>
            <w:tcW w:w="0" w:type="dxa"/>
            <w:vAlign w:val="bottom"/>
          </w:tcPr>
          <w:p>
            <w:pPr>
              <w:spacing w:after="0"/>
              <w:rPr>
                <w:sz w:val="1"/>
                <w:szCs w:val="1"/>
                <w:color w:val="auto"/>
              </w:rPr>
            </w:pPr>
          </w:p>
        </w:tc>
      </w:tr>
      <w:tr>
        <w:trPr>
          <w:trHeight w:val="137"/>
        </w:trPr>
        <w:tc>
          <w:tcPr>
            <w:tcW w:w="1800" w:type="dxa"/>
            <w:vAlign w:val="bottom"/>
          </w:tcPr>
          <w:p>
            <w:pPr>
              <w:ind w:left="20"/>
              <w:spacing w:after="0"/>
              <w:rPr>
                <w:sz w:val="20"/>
                <w:szCs w:val="20"/>
                <w:color w:val="auto"/>
              </w:rPr>
            </w:pPr>
            <w:r>
              <w:rPr>
                <w:rFonts w:ascii="Arial" w:cs="Arial" w:eastAsia="Arial" w:hAnsi="Arial"/>
                <w:sz w:val="12"/>
                <w:szCs w:val="12"/>
                <w:color w:val="auto"/>
              </w:rPr>
              <w:t>Diluted EPS - Continuing</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800" w:type="dxa"/>
            <w:vAlign w:val="bottom"/>
          </w:tcPr>
          <w:p>
            <w:pPr>
              <w:ind w:left="20"/>
              <w:spacing w:after="0"/>
              <w:rPr>
                <w:sz w:val="20"/>
                <w:szCs w:val="20"/>
                <w:color w:val="auto"/>
              </w:rPr>
            </w:pPr>
            <w:r>
              <w:rPr>
                <w:rFonts w:ascii="Arial" w:cs="Arial" w:eastAsia="Arial" w:hAnsi="Arial"/>
                <w:sz w:val="12"/>
                <w:szCs w:val="12"/>
                <w:color w:val="auto"/>
              </w:rPr>
              <w:t>Operations</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$0.03</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$0.01</w:t>
            </w:r>
          </w:p>
        </w:tc>
        <w:tc>
          <w:tcPr>
            <w:tcW w:w="920" w:type="dxa"/>
            <w:vAlign w:val="bottom"/>
          </w:tcPr>
          <w:p>
            <w:pPr>
              <w:jc w:val="right"/>
              <w:ind w:right="120"/>
              <w:spacing w:after="0"/>
              <w:rPr>
                <w:sz w:val="20"/>
                <w:szCs w:val="20"/>
                <w:color w:val="auto"/>
              </w:rPr>
            </w:pPr>
            <w:r>
              <w:rPr>
                <w:rFonts w:ascii="Arial" w:cs="Arial" w:eastAsia="Arial" w:hAnsi="Arial"/>
                <w:sz w:val="12"/>
                <w:szCs w:val="12"/>
                <w:color w:val="auto"/>
              </w:rPr>
              <w:t>$0.04</w:t>
            </w:r>
          </w:p>
        </w:tc>
        <w:tc>
          <w:tcPr>
            <w:tcW w:w="880" w:type="dxa"/>
            <w:vAlign w:val="bottom"/>
          </w:tcPr>
          <w:p>
            <w:pPr>
              <w:jc w:val="right"/>
              <w:ind w:right="140"/>
              <w:spacing w:after="0"/>
              <w:rPr>
                <w:sz w:val="20"/>
                <w:szCs w:val="20"/>
                <w:color w:val="auto"/>
              </w:rPr>
            </w:pPr>
            <w:r>
              <w:rPr>
                <w:rFonts w:ascii="Arial" w:cs="Arial" w:eastAsia="Arial" w:hAnsi="Arial"/>
                <w:sz w:val="12"/>
                <w:szCs w:val="12"/>
                <w:color w:val="auto"/>
              </w:rPr>
              <w:t>$0.11</w:t>
            </w:r>
          </w:p>
        </w:tc>
        <w:tc>
          <w:tcPr>
            <w:tcW w:w="880" w:type="dxa"/>
            <w:vAlign w:val="bottom"/>
          </w:tcPr>
          <w:p>
            <w:pPr>
              <w:jc w:val="right"/>
              <w:ind w:right="100"/>
              <w:spacing w:after="0"/>
              <w:rPr>
                <w:sz w:val="20"/>
                <w:szCs w:val="20"/>
                <w:color w:val="auto"/>
              </w:rPr>
            </w:pPr>
            <w:r>
              <w:rPr>
                <w:rFonts w:ascii="Arial" w:cs="Arial" w:eastAsia="Arial" w:hAnsi="Arial"/>
                <w:sz w:val="12"/>
                <w:szCs w:val="12"/>
                <w:color w:val="auto"/>
              </w:rPr>
              <w:t>($0.07)</w:t>
            </w:r>
          </w:p>
        </w:tc>
        <w:tc>
          <w:tcPr>
            <w:tcW w:w="940" w:type="dxa"/>
            <w:vAlign w:val="bottom"/>
          </w:tcPr>
          <w:p>
            <w:pPr>
              <w:jc w:val="right"/>
              <w:ind w:right="120"/>
              <w:spacing w:after="0"/>
              <w:rPr>
                <w:sz w:val="20"/>
                <w:szCs w:val="20"/>
                <w:color w:val="auto"/>
              </w:rPr>
            </w:pPr>
            <w:r>
              <w:rPr>
                <w:rFonts w:ascii="Arial" w:cs="Arial" w:eastAsia="Arial" w:hAnsi="Arial"/>
                <w:sz w:val="12"/>
                <w:szCs w:val="12"/>
                <w:color w:val="auto"/>
              </w:rPr>
              <w:t>$0.06</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$0.14</w:t>
            </w: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$0.23</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$0.13</w:t>
            </w:r>
          </w:p>
        </w:tc>
        <w:tc>
          <w:tcPr>
            <w:tcW w:w="860" w:type="dxa"/>
            <w:vAlign w:val="bottom"/>
          </w:tcPr>
          <w:p>
            <w:pPr>
              <w:jc w:val="right"/>
              <w:ind w:right="100"/>
              <w:spacing w:after="0"/>
              <w:rPr>
                <w:sz w:val="20"/>
                <w:szCs w:val="20"/>
                <w:color w:val="auto"/>
              </w:rPr>
            </w:pPr>
            <w:r>
              <w:rPr>
                <w:rFonts w:ascii="Arial" w:cs="Arial" w:eastAsia="Arial" w:hAnsi="Arial"/>
                <w:sz w:val="12"/>
                <w:szCs w:val="12"/>
                <w:color w:val="auto"/>
              </w:rPr>
              <w:t>$0.13</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$0.81</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GAAP results for the three months ended December 31, 2022, include:</w:t>
      </w:r>
    </w:p>
    <w:p>
      <w:pPr>
        <w:spacing w:after="0" w:line="42" w:lineRule="exact"/>
        <w:rPr>
          <w:sz w:val="20"/>
          <w:szCs w:val="20"/>
          <w:color w:val="auto"/>
        </w:rPr>
      </w:pPr>
    </w:p>
    <w:p>
      <w:pPr>
        <w:ind w:left="340" w:hanging="321"/>
        <w:spacing w:after="0"/>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Merger and integration expenses related to the acquisition of ALung Technologies, Inc.</w:t>
      </w:r>
    </w:p>
    <w:p>
      <w:pPr>
        <w:spacing w:after="0" w:line="28" w:lineRule="exact"/>
        <w:rPr>
          <w:rFonts w:ascii="Arial" w:cs="Arial" w:eastAsia="Arial" w:hAnsi="Arial"/>
          <w:sz w:val="12"/>
          <w:szCs w:val="12"/>
          <w:color w:val="auto"/>
        </w:rPr>
      </w:pPr>
    </w:p>
    <w:p>
      <w:pPr>
        <w:ind w:left="340" w:hanging="321"/>
        <w:spacing w:after="0"/>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Restructuring expenses related to organizational changes</w:t>
      </w:r>
    </w:p>
    <w:p>
      <w:pPr>
        <w:spacing w:after="0" w:line="28" w:lineRule="exact"/>
        <w:rPr>
          <w:rFonts w:ascii="Arial" w:cs="Arial" w:eastAsia="Arial" w:hAnsi="Arial"/>
          <w:sz w:val="12"/>
          <w:szCs w:val="12"/>
          <w:color w:val="auto"/>
        </w:rPr>
      </w:pPr>
    </w:p>
    <w:p>
      <w:pPr>
        <w:ind w:left="340" w:hanging="321"/>
        <w:spacing w:after="0"/>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Includes depreciation and amortization associated with purchase price accounting</w:t>
      </w:r>
    </w:p>
    <w:p>
      <w:pPr>
        <w:spacing w:after="0" w:line="28" w:lineRule="exact"/>
        <w:rPr>
          <w:rFonts w:ascii="Arial" w:cs="Arial" w:eastAsia="Arial" w:hAnsi="Arial"/>
          <w:sz w:val="12"/>
          <w:szCs w:val="12"/>
          <w:color w:val="auto"/>
        </w:rPr>
      </w:pPr>
    </w:p>
    <w:p>
      <w:pPr>
        <w:ind w:left="340" w:hanging="321"/>
        <w:spacing w:after="0"/>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Mark-to-market adjustments for the exchangeable option feature and capped call derivatives</w:t>
      </w:r>
    </w:p>
    <w:p>
      <w:pPr>
        <w:spacing w:after="0" w:line="28" w:lineRule="exact"/>
        <w:rPr>
          <w:rFonts w:ascii="Arial" w:cs="Arial" w:eastAsia="Arial" w:hAnsi="Arial"/>
          <w:sz w:val="12"/>
          <w:szCs w:val="12"/>
          <w:color w:val="auto"/>
        </w:rPr>
      </w:pPr>
    </w:p>
    <w:p>
      <w:pPr>
        <w:ind w:left="340" w:hanging="321"/>
        <w:spacing w:after="0"/>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Remeasurement of contingent consideration related to acquisitions</w:t>
      </w:r>
    </w:p>
    <w:p>
      <w:pPr>
        <w:spacing w:after="0" w:line="28" w:lineRule="exact"/>
        <w:rPr>
          <w:rFonts w:ascii="Arial" w:cs="Arial" w:eastAsia="Arial" w:hAnsi="Arial"/>
          <w:sz w:val="12"/>
          <w:szCs w:val="12"/>
          <w:color w:val="auto"/>
        </w:rPr>
      </w:pPr>
    </w:p>
    <w:p>
      <w:pPr>
        <w:ind w:left="340" w:hanging="321"/>
        <w:spacing w:after="0"/>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3T Heater-Cooler litigation provision, legal expenses primarily related to 3T Heater-Cooler defense, costs related to the SNIA matter and Medical Device Regulation ("MDR") costs</w:t>
      </w:r>
    </w:p>
    <w:p>
      <w:pPr>
        <w:spacing w:after="0" w:line="28" w:lineRule="exact"/>
        <w:rPr>
          <w:rFonts w:ascii="Arial" w:cs="Arial" w:eastAsia="Arial" w:hAnsi="Arial"/>
          <w:sz w:val="12"/>
          <w:szCs w:val="12"/>
          <w:color w:val="auto"/>
        </w:rPr>
      </w:pPr>
    </w:p>
    <w:p>
      <w:pPr>
        <w:ind w:left="340" w:hanging="321"/>
        <w:spacing w:after="0"/>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Non-cash expenses associated with stock-based compensation costs</w:t>
      </w:r>
    </w:p>
    <w:p>
      <w:pPr>
        <w:spacing w:after="0" w:line="28" w:lineRule="exact"/>
        <w:rPr>
          <w:rFonts w:ascii="Arial" w:cs="Arial" w:eastAsia="Arial" w:hAnsi="Arial"/>
          <w:sz w:val="12"/>
          <w:szCs w:val="12"/>
          <w:color w:val="auto"/>
        </w:rPr>
      </w:pPr>
    </w:p>
    <w:p>
      <w:pPr>
        <w:ind w:left="340" w:hanging="321"/>
        <w:spacing w:after="0"/>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Discrete tax items and the tax impact of intercompany transactions</w:t>
      </w:r>
    </w:p>
    <w:p>
      <w:pPr>
        <w:spacing w:after="0" w:line="28" w:lineRule="exact"/>
        <w:rPr>
          <w:rFonts w:ascii="Arial" w:cs="Arial" w:eastAsia="Arial" w:hAnsi="Arial"/>
          <w:sz w:val="12"/>
          <w:szCs w:val="12"/>
          <w:color w:val="auto"/>
        </w:rPr>
      </w:pPr>
    </w:p>
    <w:p>
      <w:pPr>
        <w:ind w:left="340" w:hanging="321"/>
        <w:spacing w:after="0"/>
        <w:tabs>
          <w:tab w:leader="none" w:pos="3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Non-cash interest expense on the Cash Exchangeable Senior Notes and 2021 Revolving Credit Facility, interest expense on the Term Facilities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 Numbers may not add precisely due to rounding.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763"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2"/>
          <w:szCs w:val="12"/>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2"/>
          <w:szCs w:val="12"/>
          <w:b w:val="1"/>
          <w:bCs w:val="1"/>
          <w:color w:val="auto"/>
        </w:rPr>
        <w:t>(U.S. dollars in millions,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spacing w:after="0"/>
              <w:rPr>
                <w:sz w:val="15"/>
                <w:szCs w:val="15"/>
                <w:color w:val="auto"/>
              </w:rPr>
            </w:pPr>
          </w:p>
        </w:tc>
        <w:tc>
          <w:tcPr>
            <w:tcW w:w="180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2"/>
                <w:szCs w:val="12"/>
                <w:b w:val="1"/>
                <w:bCs w:val="1"/>
                <w:color w:val="auto"/>
              </w:rPr>
              <w:t>Specified Items</w:t>
            </w:r>
          </w:p>
        </w:tc>
        <w:tc>
          <w:tcPr>
            <w:tcW w:w="8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1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jc w:val="center"/>
              <w:ind w:right="20"/>
              <w:spacing w:after="0" w:line="112" w:lineRule="exact"/>
              <w:rPr>
                <w:sz w:val="20"/>
                <w:szCs w:val="20"/>
                <w:color w:val="auto"/>
              </w:rPr>
            </w:pPr>
            <w:r>
              <w:rPr>
                <w:rFonts w:ascii="Arial" w:cs="Arial" w:eastAsia="Arial" w:hAnsi="Arial"/>
                <w:sz w:val="12"/>
                <w:szCs w:val="12"/>
                <w:b w:val="1"/>
                <w:bCs w:val="1"/>
                <w:color w:val="auto"/>
                <w:w w:val="98"/>
              </w:rPr>
              <w:t>Depreciation</w:t>
            </w: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30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GAAP</w:t>
            </w: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Restructuring</w:t>
            </w:r>
          </w:p>
        </w:tc>
        <w:tc>
          <w:tcPr>
            <w:tcW w:w="920" w:type="dxa"/>
            <w:vAlign w:val="bottom"/>
          </w:tcPr>
          <w:p>
            <w:pPr>
              <w:jc w:val="center"/>
              <w:ind w:right="40"/>
              <w:spacing w:after="0" w:line="128" w:lineRule="exact"/>
              <w:rPr>
                <w:sz w:val="20"/>
                <w:szCs w:val="20"/>
                <w:color w:val="auto"/>
              </w:rPr>
            </w:pPr>
            <w:r>
              <w:rPr>
                <w:rFonts w:ascii="Arial" w:cs="Arial" w:eastAsia="Arial" w:hAnsi="Arial"/>
                <w:sz w:val="12"/>
                <w:szCs w:val="12"/>
                <w:b w:val="1"/>
                <w:bCs w:val="1"/>
                <w:color w:val="auto"/>
              </w:rPr>
              <w:t>and</w:t>
            </w:r>
          </w:p>
        </w:tc>
        <w:tc>
          <w:tcPr>
            <w:tcW w:w="500" w:type="dxa"/>
            <w:vAlign w:val="bottom"/>
            <w:vMerge w:val="restart"/>
          </w:tcPr>
          <w:p>
            <w:pPr>
              <w:jc w:val="center"/>
              <w:ind w:right="20"/>
              <w:spacing w:after="0"/>
              <w:rPr>
                <w:sz w:val="20"/>
                <w:szCs w:val="20"/>
                <w:color w:val="auto"/>
              </w:rPr>
            </w:pPr>
            <w:r>
              <w:rPr>
                <w:rFonts w:ascii="Arial" w:cs="Arial" w:eastAsia="Arial" w:hAnsi="Arial"/>
                <w:sz w:val="12"/>
                <w:szCs w:val="12"/>
                <w:b w:val="1"/>
                <w:bCs w:val="1"/>
                <w:color w:val="auto"/>
                <w:w w:val="97"/>
              </w:rPr>
              <w:t>Heart</w:t>
            </w: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rPr>
              <w:t>Product</w:t>
            </w: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Financing</w:t>
            </w: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Contingent</w:t>
            </w:r>
          </w:p>
        </w:tc>
        <w:tc>
          <w:tcPr>
            <w:tcW w:w="8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Certain Legal</w:t>
            </w:r>
          </w:p>
        </w:tc>
        <w:tc>
          <w:tcPr>
            <w:tcW w:w="9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rPr>
              <w:t>Stock-based</w:t>
            </w: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Certain Tax</w:t>
            </w:r>
          </w:p>
        </w:tc>
        <w:tc>
          <w:tcPr>
            <w:tcW w:w="8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rPr>
              <w:t>Certain</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Adjusted</w:t>
            </w:r>
          </w:p>
        </w:tc>
        <w:tc>
          <w:tcPr>
            <w:tcW w:w="0" w:type="dxa"/>
            <w:vAlign w:val="bottom"/>
          </w:tcPr>
          <w:p>
            <w:pPr>
              <w:spacing w:after="0"/>
              <w:rPr>
                <w:sz w:val="1"/>
                <w:szCs w:val="1"/>
                <w:color w:val="auto"/>
              </w:rPr>
            </w:pPr>
          </w:p>
        </w:tc>
      </w:tr>
      <w:tr>
        <w:trPr>
          <w:trHeight w:val="115"/>
        </w:trPr>
        <w:tc>
          <w:tcPr>
            <w:tcW w:w="1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20" w:type="dxa"/>
            <w:vAlign w:val="bottom"/>
          </w:tcPr>
          <w:p>
            <w:pPr>
              <w:jc w:val="center"/>
              <w:ind w:right="40"/>
              <w:spacing w:after="0" w:line="115" w:lineRule="exact"/>
              <w:rPr>
                <w:sz w:val="20"/>
                <w:szCs w:val="20"/>
                <w:color w:val="auto"/>
              </w:rPr>
            </w:pPr>
            <w:r>
              <w:rPr>
                <w:rFonts w:ascii="Arial" w:cs="Arial" w:eastAsia="Arial" w:hAnsi="Arial"/>
                <w:sz w:val="12"/>
                <w:szCs w:val="12"/>
                <w:b w:val="1"/>
                <w:bCs w:val="1"/>
                <w:color w:val="auto"/>
              </w:rPr>
              <w:t>Amortization</w:t>
            </w:r>
          </w:p>
        </w:tc>
        <w:tc>
          <w:tcPr>
            <w:tcW w:w="500" w:type="dxa"/>
            <w:vAlign w:val="bottom"/>
            <w:vMerge w:val="continue"/>
          </w:tcPr>
          <w:p>
            <w:pPr>
              <w:spacing w:after="0"/>
              <w:rPr>
                <w:sz w:val="10"/>
                <w:szCs w:val="10"/>
                <w:color w:val="auto"/>
              </w:rPr>
            </w:pPr>
          </w:p>
        </w:tc>
        <w:tc>
          <w:tcPr>
            <w:tcW w:w="8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Remediation</w:t>
            </w:r>
          </w:p>
        </w:tc>
        <w:tc>
          <w:tcPr>
            <w:tcW w:w="8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&amp; Regulatory</w:t>
            </w:r>
          </w:p>
        </w:tc>
        <w:tc>
          <w:tcPr>
            <w:tcW w:w="9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rPr>
              <w:t>Compensation</w:t>
            </w:r>
          </w:p>
        </w:tc>
        <w:tc>
          <w:tcPr>
            <w:tcW w:w="880" w:type="dxa"/>
            <w:vAlign w:val="bottom"/>
            <w:vMerge w:val="continue"/>
          </w:tcPr>
          <w:p>
            <w:pPr>
              <w:spacing w:after="0"/>
              <w:rPr>
                <w:sz w:val="10"/>
                <w:szCs w:val="10"/>
                <w:color w:val="auto"/>
              </w:rPr>
            </w:pPr>
          </w:p>
        </w:tc>
        <w:tc>
          <w:tcPr>
            <w:tcW w:w="84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6"/>
              </w:rPr>
              <w:t>Interest</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3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Three Months Ended</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Financial</w:t>
            </w:r>
          </w:p>
        </w:tc>
        <w:tc>
          <w:tcPr>
            <w:tcW w:w="9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Expenses</w:t>
            </w:r>
          </w:p>
        </w:tc>
        <w:tc>
          <w:tcPr>
            <w:tcW w:w="920" w:type="dxa"/>
            <w:vAlign w:val="bottom"/>
          </w:tcPr>
          <w:p>
            <w:pPr>
              <w:jc w:val="center"/>
              <w:ind w:right="60"/>
              <w:spacing w:after="0" w:line="128" w:lineRule="exact"/>
              <w:rPr>
                <w:sz w:val="20"/>
                <w:szCs w:val="20"/>
                <w:color w:val="auto"/>
              </w:rPr>
            </w:pPr>
            <w:r>
              <w:rPr>
                <w:rFonts w:ascii="Arial" w:cs="Arial" w:eastAsia="Arial" w:hAnsi="Arial"/>
                <w:sz w:val="12"/>
                <w:szCs w:val="12"/>
                <w:b w:val="1"/>
                <w:bCs w:val="1"/>
                <w:color w:val="auto"/>
                <w:w w:val="99"/>
              </w:rPr>
              <w:t>Expenses</w:t>
            </w:r>
          </w:p>
        </w:tc>
        <w:tc>
          <w:tcPr>
            <w:tcW w:w="500" w:type="dxa"/>
            <w:vAlign w:val="bottom"/>
          </w:tcPr>
          <w:p>
            <w:pPr>
              <w:jc w:val="center"/>
              <w:ind w:right="60"/>
              <w:spacing w:after="0" w:line="128" w:lineRule="exact"/>
              <w:rPr>
                <w:sz w:val="20"/>
                <w:szCs w:val="20"/>
                <w:color w:val="auto"/>
              </w:rPr>
            </w:pPr>
            <w:r>
              <w:rPr>
                <w:rFonts w:ascii="Arial" w:cs="Arial" w:eastAsia="Arial" w:hAnsi="Arial"/>
                <w:sz w:val="12"/>
                <w:szCs w:val="12"/>
                <w:b w:val="1"/>
                <w:bCs w:val="1"/>
                <w:color w:val="auto"/>
                <w:w w:val="99"/>
              </w:rPr>
              <w:t>Valves</w:t>
            </w:r>
          </w:p>
        </w:tc>
        <w:tc>
          <w:tcPr>
            <w:tcW w:w="860" w:type="dxa"/>
            <w:vAlign w:val="bottom"/>
          </w:tcPr>
          <w:p>
            <w:pPr>
              <w:jc w:val="center"/>
              <w:ind w:right="20"/>
              <w:spacing w:after="0" w:line="128" w:lineRule="exact"/>
              <w:rPr>
                <w:sz w:val="20"/>
                <w:szCs w:val="20"/>
                <w:color w:val="auto"/>
              </w:rPr>
            </w:pPr>
            <w:r>
              <w:rPr>
                <w:rFonts w:ascii="Arial" w:cs="Arial" w:eastAsia="Arial" w:hAnsi="Arial"/>
                <w:sz w:val="12"/>
                <w:szCs w:val="12"/>
                <w:b w:val="1"/>
                <w:bCs w:val="1"/>
                <w:color w:val="auto"/>
                <w:w w:val="96"/>
              </w:rPr>
              <w:t>Expenses</w:t>
            </w:r>
          </w:p>
        </w:tc>
        <w:tc>
          <w:tcPr>
            <w:tcW w:w="8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Consideration</w:t>
            </w:r>
          </w:p>
        </w:tc>
        <w:tc>
          <w:tcPr>
            <w:tcW w:w="8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rPr>
              <w:t>Costs</w:t>
            </w:r>
          </w:p>
        </w:tc>
        <w:tc>
          <w:tcPr>
            <w:tcW w:w="960" w:type="dxa"/>
            <w:vAlign w:val="bottom"/>
          </w:tcPr>
          <w:p>
            <w:pPr>
              <w:jc w:val="center"/>
              <w:ind w:right="20"/>
              <w:spacing w:after="0" w:line="128" w:lineRule="exact"/>
              <w:rPr>
                <w:sz w:val="20"/>
                <w:szCs w:val="20"/>
                <w:color w:val="auto"/>
              </w:rPr>
            </w:pPr>
            <w:r>
              <w:rPr>
                <w:rFonts w:ascii="Arial" w:cs="Arial" w:eastAsia="Arial" w:hAnsi="Arial"/>
                <w:sz w:val="12"/>
                <w:szCs w:val="12"/>
                <w:b w:val="1"/>
                <w:bCs w:val="1"/>
                <w:color w:val="auto"/>
                <w:w w:val="95"/>
              </w:rPr>
              <w:t>Costs</w:t>
            </w:r>
          </w:p>
        </w:tc>
        <w:tc>
          <w:tcPr>
            <w:tcW w:w="880" w:type="dxa"/>
            <w:vAlign w:val="bottom"/>
          </w:tcPr>
          <w:p>
            <w:pPr>
              <w:jc w:val="center"/>
              <w:ind w:right="20"/>
              <w:spacing w:after="0" w:line="128" w:lineRule="exact"/>
              <w:rPr>
                <w:sz w:val="20"/>
                <w:szCs w:val="20"/>
                <w:color w:val="auto"/>
              </w:rPr>
            </w:pPr>
            <w:r>
              <w:rPr>
                <w:rFonts w:ascii="Arial" w:cs="Arial" w:eastAsia="Arial" w:hAnsi="Arial"/>
                <w:sz w:val="12"/>
                <w:szCs w:val="12"/>
                <w:b w:val="1"/>
                <w:bCs w:val="1"/>
                <w:color w:val="auto"/>
                <w:w w:val="99"/>
              </w:rPr>
              <w:t>Adjustments</w:t>
            </w:r>
          </w:p>
        </w:tc>
        <w:tc>
          <w:tcPr>
            <w:tcW w:w="8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rPr>
              <w:t>Adjustments</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Financial</w:t>
            </w:r>
          </w:p>
        </w:tc>
        <w:tc>
          <w:tcPr>
            <w:tcW w:w="0" w:type="dxa"/>
            <w:vAlign w:val="bottom"/>
          </w:tcPr>
          <w:p>
            <w:pPr>
              <w:spacing w:after="0"/>
              <w:rPr>
                <w:sz w:val="1"/>
                <w:szCs w:val="1"/>
                <w:color w:val="auto"/>
              </w:rPr>
            </w:pPr>
          </w:p>
        </w:tc>
      </w:tr>
      <w:tr>
        <w:trPr>
          <w:trHeight w:val="162"/>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December 31, 2021</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Measures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92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5"/>
              </w:rPr>
              <w:t>(B)</w:t>
            </w:r>
          </w:p>
        </w:tc>
        <w:tc>
          <w:tcPr>
            <w:tcW w:w="50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95"/>
              </w:rPr>
              <w:t>(C)</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(D)</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(F)</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(H)</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(J)</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Measures</w:t>
            </w:r>
          </w:p>
        </w:tc>
        <w:tc>
          <w:tcPr>
            <w:tcW w:w="0" w:type="dxa"/>
            <w:vAlign w:val="bottom"/>
          </w:tcPr>
          <w:p>
            <w:pPr>
              <w:spacing w:after="0"/>
              <w:rPr>
                <w:sz w:val="1"/>
                <w:szCs w:val="1"/>
                <w:color w:val="auto"/>
              </w:rPr>
            </w:pPr>
          </w:p>
        </w:tc>
      </w:tr>
      <w:tr>
        <w:trPr>
          <w:trHeight w:val="148"/>
        </w:trPr>
        <w:tc>
          <w:tcPr>
            <w:tcW w:w="1300" w:type="dxa"/>
            <w:vAlign w:val="bottom"/>
          </w:tcPr>
          <w:p>
            <w:pPr>
              <w:ind w:left="20"/>
              <w:spacing w:after="0"/>
              <w:rPr>
                <w:sz w:val="20"/>
                <w:szCs w:val="20"/>
                <w:color w:val="auto"/>
              </w:rPr>
            </w:pPr>
            <w:r>
              <w:rPr>
                <w:rFonts w:ascii="Arial" w:cs="Arial" w:eastAsia="Arial" w:hAnsi="Arial"/>
                <w:sz w:val="12"/>
                <w:szCs w:val="12"/>
                <w:color w:val="auto"/>
              </w:rPr>
              <w:t>Cost of sales</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$68.4</w:t>
            </w:r>
          </w:p>
        </w:tc>
        <w:tc>
          <w:tcPr>
            <w:tcW w:w="9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40"/>
              <w:spacing w:after="0"/>
              <w:rPr>
                <w:sz w:val="20"/>
                <w:szCs w:val="20"/>
                <w:color w:val="auto"/>
              </w:rPr>
            </w:pPr>
            <w:r>
              <w:rPr>
                <w:rFonts w:ascii="Arial" w:cs="Arial" w:eastAsia="Arial" w:hAnsi="Arial"/>
                <w:sz w:val="12"/>
                <w:szCs w:val="12"/>
                <w:color w:val="auto"/>
              </w:rPr>
              <w:t>($3.9)</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00"/>
              <w:spacing w:after="0"/>
              <w:rPr>
                <w:sz w:val="20"/>
                <w:szCs w:val="20"/>
                <w:color w:val="auto"/>
              </w:rPr>
            </w:pPr>
            <w:r>
              <w:rPr>
                <w:rFonts w:ascii="Arial" w:cs="Arial" w:eastAsia="Arial" w:hAnsi="Arial"/>
                <w:sz w:val="12"/>
                <w:szCs w:val="12"/>
                <w:color w:val="auto"/>
              </w:rPr>
              <w:t>($0.4)</w:t>
            </w:r>
          </w:p>
        </w:tc>
        <w:tc>
          <w:tcPr>
            <w:tcW w:w="88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$18.0</w:t>
            </w:r>
          </w:p>
        </w:tc>
        <w:tc>
          <w:tcPr>
            <w:tcW w:w="84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($0.4)</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$81.7</w:t>
            </w:r>
          </w:p>
        </w:tc>
        <w:tc>
          <w:tcPr>
            <w:tcW w:w="0" w:type="dxa"/>
            <w:vAlign w:val="bottom"/>
          </w:tcPr>
          <w:p>
            <w:pPr>
              <w:spacing w:after="0"/>
              <w:rPr>
                <w:sz w:val="1"/>
                <w:szCs w:val="1"/>
                <w:color w:val="auto"/>
              </w:rPr>
            </w:pPr>
          </w:p>
        </w:tc>
      </w:tr>
      <w:tr>
        <w:trPr>
          <w:trHeight w:val="166"/>
        </w:trPr>
        <w:tc>
          <w:tcPr>
            <w:tcW w:w="1300" w:type="dxa"/>
            <w:vAlign w:val="bottom"/>
          </w:tcPr>
          <w:p>
            <w:pPr>
              <w:ind w:left="20"/>
              <w:spacing w:after="0"/>
              <w:rPr>
                <w:sz w:val="20"/>
                <w:szCs w:val="20"/>
                <w:color w:val="auto"/>
              </w:rPr>
            </w:pPr>
            <w:r>
              <w:rPr>
                <w:rFonts w:ascii="Arial" w:cs="Arial" w:eastAsia="Arial" w:hAnsi="Arial"/>
                <w:sz w:val="12"/>
                <w:szCs w:val="12"/>
                <w:color w:val="auto"/>
              </w:rPr>
              <w:t>Gross profit percent</w:t>
            </w:r>
          </w:p>
        </w:tc>
        <w:tc>
          <w:tcPr>
            <w:tcW w:w="700" w:type="dxa"/>
            <w:vAlign w:val="bottom"/>
          </w:tcPr>
          <w:p>
            <w:pPr>
              <w:jc w:val="right"/>
              <w:spacing w:after="0"/>
              <w:rPr>
                <w:sz w:val="20"/>
                <w:szCs w:val="20"/>
                <w:color w:val="auto"/>
              </w:rPr>
            </w:pPr>
            <w:r>
              <w:rPr>
                <w:rFonts w:ascii="Arial" w:cs="Arial" w:eastAsia="Arial" w:hAnsi="Arial"/>
                <w:sz w:val="12"/>
                <w:szCs w:val="12"/>
                <w:color w:val="auto"/>
              </w:rPr>
              <w:t>74.7 %</w:t>
            </w:r>
          </w:p>
        </w:tc>
        <w:tc>
          <w:tcPr>
            <w:tcW w:w="94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1.4 %</w:t>
            </w:r>
          </w:p>
        </w:tc>
        <w:tc>
          <w:tcPr>
            <w:tcW w:w="50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jc w:val="right"/>
              <w:spacing w:after="0"/>
              <w:rPr>
                <w:sz w:val="20"/>
                <w:szCs w:val="20"/>
                <w:color w:val="auto"/>
              </w:rPr>
            </w:pPr>
            <w:r>
              <w:rPr>
                <w:rFonts w:ascii="Arial" w:cs="Arial" w:eastAsia="Arial" w:hAnsi="Arial"/>
                <w:sz w:val="12"/>
                <w:szCs w:val="12"/>
                <w:color w:val="auto"/>
              </w:rPr>
              <w:t>0.2 %</w:t>
            </w:r>
          </w:p>
        </w:tc>
        <w:tc>
          <w:tcPr>
            <w:tcW w:w="880" w:type="dxa"/>
            <w:vAlign w:val="bottom"/>
          </w:tcPr>
          <w:p>
            <w:pPr>
              <w:ind w:left="580"/>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(6.7)%</w:t>
            </w:r>
          </w:p>
        </w:tc>
        <w:tc>
          <w:tcPr>
            <w:tcW w:w="840" w:type="dxa"/>
            <w:vAlign w:val="bottom"/>
          </w:tcPr>
          <w:p>
            <w:pPr>
              <w:jc w:val="right"/>
              <w:spacing w:after="0"/>
              <w:rPr>
                <w:sz w:val="20"/>
                <w:szCs w:val="20"/>
                <w:color w:val="auto"/>
              </w:rPr>
            </w:pPr>
            <w:r>
              <w:rPr>
                <w:rFonts w:ascii="Arial" w:cs="Arial" w:eastAsia="Arial" w:hAnsi="Arial"/>
                <w:sz w:val="12"/>
                <w:szCs w:val="12"/>
                <w:color w:val="auto"/>
              </w:rPr>
              <w:t>— %</w:t>
            </w:r>
          </w:p>
        </w:tc>
        <w:tc>
          <w:tcPr>
            <w:tcW w:w="960" w:type="dxa"/>
            <w:vAlign w:val="bottom"/>
          </w:tcPr>
          <w:p>
            <w:pPr>
              <w:jc w:val="right"/>
              <w:spacing w:after="0"/>
              <w:rPr>
                <w:sz w:val="20"/>
                <w:szCs w:val="20"/>
                <w:color w:val="auto"/>
              </w:rPr>
            </w:pPr>
            <w:r>
              <w:rPr>
                <w:rFonts w:ascii="Arial" w:cs="Arial" w:eastAsia="Arial" w:hAnsi="Arial"/>
                <w:sz w:val="12"/>
                <w:szCs w:val="12"/>
                <w:color w:val="auto"/>
              </w:rPr>
              <w:t>0.2 %</w:t>
            </w:r>
          </w:p>
        </w:tc>
        <w:tc>
          <w:tcPr>
            <w:tcW w:w="880" w:type="dxa"/>
            <w:vAlign w:val="bottom"/>
          </w:tcPr>
          <w:p>
            <w:pPr>
              <w:jc w:val="right"/>
              <w:spacing w:after="0"/>
              <w:rPr>
                <w:sz w:val="20"/>
                <w:szCs w:val="20"/>
                <w:color w:val="auto"/>
              </w:rPr>
            </w:pPr>
            <w:r>
              <w:rPr>
                <w:rFonts w:ascii="Arial" w:cs="Arial" w:eastAsia="Arial" w:hAnsi="Arial"/>
                <w:sz w:val="12"/>
                <w:szCs w:val="12"/>
                <w:color w:val="auto"/>
              </w:rPr>
              <w:t>— %</w:t>
            </w:r>
          </w:p>
        </w:tc>
        <w:tc>
          <w:tcPr>
            <w:tcW w:w="840" w:type="dxa"/>
            <w:vAlign w:val="bottom"/>
          </w:tcPr>
          <w:p>
            <w:pPr>
              <w:ind w:left="560"/>
              <w:spacing w:after="0"/>
              <w:rPr>
                <w:sz w:val="20"/>
                <w:szCs w:val="20"/>
                <w:color w:val="auto"/>
              </w:rPr>
            </w:pPr>
            <w:r>
              <w:rPr>
                <w:rFonts w:ascii="Arial" w:cs="Arial" w:eastAsia="Arial" w:hAnsi="Arial"/>
                <w:sz w:val="12"/>
                <w:szCs w:val="12"/>
                <w:color w:val="auto"/>
                <w:w w:val="99"/>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69.8 %</w:t>
            </w:r>
          </w:p>
        </w:tc>
        <w:tc>
          <w:tcPr>
            <w:tcW w:w="0" w:type="dxa"/>
            <w:vAlign w:val="bottom"/>
          </w:tcPr>
          <w:p>
            <w:pPr>
              <w:spacing w:after="0"/>
              <w:rPr>
                <w:sz w:val="1"/>
                <w:szCs w:val="1"/>
                <w:color w:val="auto"/>
              </w:rPr>
            </w:pPr>
          </w:p>
        </w:tc>
      </w:tr>
      <w:tr>
        <w:trPr>
          <w:trHeight w:val="137"/>
        </w:trPr>
        <w:tc>
          <w:tcPr>
            <w:tcW w:w="1300" w:type="dxa"/>
            <w:vAlign w:val="bottom"/>
          </w:tcPr>
          <w:p>
            <w:pPr>
              <w:ind w:left="20"/>
              <w:spacing w:after="0"/>
              <w:rPr>
                <w:sz w:val="20"/>
                <w:szCs w:val="20"/>
                <w:color w:val="auto"/>
              </w:rPr>
            </w:pPr>
            <w:r>
              <w:rPr>
                <w:rFonts w:ascii="Arial" w:cs="Arial" w:eastAsia="Arial" w:hAnsi="Arial"/>
                <w:sz w:val="12"/>
                <w:szCs w:val="12"/>
                <w:color w:val="auto"/>
              </w:rPr>
              <w:t>Selling, general and</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300" w:type="dxa"/>
            <w:vAlign w:val="bottom"/>
          </w:tcPr>
          <w:p>
            <w:pPr>
              <w:ind w:left="20"/>
              <w:spacing w:after="0"/>
              <w:rPr>
                <w:sz w:val="20"/>
                <w:szCs w:val="20"/>
                <w:color w:val="auto"/>
              </w:rPr>
            </w:pPr>
            <w:r>
              <w:rPr>
                <w:rFonts w:ascii="Arial" w:cs="Arial" w:eastAsia="Arial" w:hAnsi="Arial"/>
                <w:sz w:val="12"/>
                <w:szCs w:val="12"/>
                <w:color w:val="auto"/>
              </w:rPr>
              <w:t>administrative</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124.4</w:t>
            </w:r>
          </w:p>
        </w:tc>
        <w:tc>
          <w:tcPr>
            <w:tcW w:w="9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40"/>
              <w:spacing w:after="0"/>
              <w:rPr>
                <w:sz w:val="20"/>
                <w:szCs w:val="20"/>
                <w:color w:val="auto"/>
              </w:rPr>
            </w:pPr>
            <w:r>
              <w:rPr>
                <w:rFonts w:ascii="Arial" w:cs="Arial" w:eastAsia="Arial" w:hAnsi="Arial"/>
                <w:sz w:val="12"/>
                <w:szCs w:val="12"/>
                <w:color w:val="auto"/>
              </w:rPr>
              <w:t>(3.0)</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ind w:left="58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(6.9)</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(7.2)</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tcPr>
          <w:p>
            <w:pPr>
              <w:ind w:left="5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107.4</w:t>
            </w:r>
          </w:p>
        </w:tc>
        <w:tc>
          <w:tcPr>
            <w:tcW w:w="0" w:type="dxa"/>
            <w:vAlign w:val="bottom"/>
          </w:tcPr>
          <w:p>
            <w:pPr>
              <w:spacing w:after="0"/>
              <w:rPr>
                <w:sz w:val="1"/>
                <w:szCs w:val="1"/>
                <w:color w:val="auto"/>
              </w:rPr>
            </w:pPr>
          </w:p>
        </w:tc>
      </w:tr>
      <w:tr>
        <w:trPr>
          <w:trHeight w:val="137"/>
        </w:trPr>
        <w:tc>
          <w:tcPr>
            <w:tcW w:w="1300" w:type="dxa"/>
            <w:vAlign w:val="bottom"/>
          </w:tcPr>
          <w:p>
            <w:pPr>
              <w:ind w:left="20"/>
              <w:spacing w:after="0"/>
              <w:rPr>
                <w:sz w:val="20"/>
                <w:szCs w:val="20"/>
                <w:color w:val="auto"/>
              </w:rPr>
            </w:pPr>
            <w:r>
              <w:rPr>
                <w:rFonts w:ascii="Arial" w:cs="Arial" w:eastAsia="Arial" w:hAnsi="Arial"/>
                <w:sz w:val="12"/>
                <w:szCs w:val="12"/>
                <w:color w:val="auto"/>
              </w:rPr>
              <w:t>Selling, general and</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300" w:type="dxa"/>
            <w:vAlign w:val="bottom"/>
          </w:tcPr>
          <w:p>
            <w:pPr>
              <w:ind w:left="20"/>
              <w:spacing w:after="0" w:line="128" w:lineRule="exact"/>
              <w:rPr>
                <w:sz w:val="20"/>
                <w:szCs w:val="20"/>
                <w:color w:val="auto"/>
              </w:rPr>
            </w:pPr>
            <w:r>
              <w:rPr>
                <w:rFonts w:ascii="Arial" w:cs="Arial" w:eastAsia="Arial" w:hAnsi="Arial"/>
                <w:sz w:val="12"/>
                <w:szCs w:val="12"/>
                <w:color w:val="auto"/>
              </w:rPr>
              <w:t>administrative as a</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00" w:type="dxa"/>
            <w:vAlign w:val="bottom"/>
          </w:tcPr>
          <w:p>
            <w:pPr>
              <w:ind w:left="20"/>
              <w:spacing w:after="0"/>
              <w:rPr>
                <w:sz w:val="20"/>
                <w:szCs w:val="20"/>
                <w:color w:val="auto"/>
              </w:rPr>
            </w:pPr>
            <w:r>
              <w:rPr>
                <w:rFonts w:ascii="Arial" w:cs="Arial" w:eastAsia="Arial" w:hAnsi="Arial"/>
                <w:sz w:val="12"/>
                <w:szCs w:val="12"/>
                <w:color w:val="auto"/>
              </w:rPr>
              <w:t>percent of net revenue</w:t>
            </w:r>
          </w:p>
        </w:tc>
        <w:tc>
          <w:tcPr>
            <w:tcW w:w="700" w:type="dxa"/>
            <w:vAlign w:val="bottom"/>
          </w:tcPr>
          <w:p>
            <w:pPr>
              <w:jc w:val="right"/>
              <w:spacing w:after="0"/>
              <w:rPr>
                <w:sz w:val="20"/>
                <w:szCs w:val="20"/>
                <w:color w:val="auto"/>
              </w:rPr>
            </w:pPr>
            <w:r>
              <w:rPr>
                <w:rFonts w:ascii="Arial" w:cs="Arial" w:eastAsia="Arial" w:hAnsi="Arial"/>
                <w:sz w:val="12"/>
                <w:szCs w:val="12"/>
                <w:color w:val="auto"/>
              </w:rPr>
              <w:t>46.1 %</w:t>
            </w:r>
          </w:p>
        </w:tc>
        <w:tc>
          <w:tcPr>
            <w:tcW w:w="94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(1.1)%</w:t>
            </w:r>
          </w:p>
        </w:tc>
        <w:tc>
          <w:tcPr>
            <w:tcW w:w="50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880" w:type="dxa"/>
            <w:vAlign w:val="bottom"/>
          </w:tcPr>
          <w:p>
            <w:pPr>
              <w:ind w:left="580"/>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w:t>
            </w:r>
          </w:p>
        </w:tc>
        <w:tc>
          <w:tcPr>
            <w:tcW w:w="840" w:type="dxa"/>
            <w:vAlign w:val="bottom"/>
          </w:tcPr>
          <w:p>
            <w:pPr>
              <w:jc w:val="right"/>
              <w:spacing w:after="0"/>
              <w:rPr>
                <w:sz w:val="20"/>
                <w:szCs w:val="20"/>
                <w:color w:val="auto"/>
              </w:rPr>
            </w:pPr>
            <w:r>
              <w:rPr>
                <w:rFonts w:ascii="Arial" w:cs="Arial" w:eastAsia="Arial" w:hAnsi="Arial"/>
                <w:sz w:val="12"/>
                <w:szCs w:val="12"/>
                <w:color w:val="auto"/>
              </w:rPr>
              <w:t>(2.6)%</w:t>
            </w:r>
          </w:p>
        </w:tc>
        <w:tc>
          <w:tcPr>
            <w:tcW w:w="960" w:type="dxa"/>
            <w:vAlign w:val="bottom"/>
          </w:tcPr>
          <w:p>
            <w:pPr>
              <w:jc w:val="right"/>
              <w:spacing w:after="0"/>
              <w:rPr>
                <w:sz w:val="20"/>
                <w:szCs w:val="20"/>
                <w:color w:val="auto"/>
              </w:rPr>
            </w:pPr>
            <w:r>
              <w:rPr>
                <w:rFonts w:ascii="Arial" w:cs="Arial" w:eastAsia="Arial" w:hAnsi="Arial"/>
                <w:sz w:val="12"/>
                <w:szCs w:val="12"/>
                <w:color w:val="auto"/>
              </w:rPr>
              <w:t>(2.7)%</w:t>
            </w:r>
          </w:p>
        </w:tc>
        <w:tc>
          <w:tcPr>
            <w:tcW w:w="880" w:type="dxa"/>
            <w:vAlign w:val="bottom"/>
          </w:tcPr>
          <w:p>
            <w:pPr>
              <w:jc w:val="right"/>
              <w:spacing w:after="0"/>
              <w:rPr>
                <w:sz w:val="20"/>
                <w:szCs w:val="20"/>
                <w:color w:val="auto"/>
              </w:rPr>
            </w:pPr>
            <w:r>
              <w:rPr>
                <w:rFonts w:ascii="Arial" w:cs="Arial" w:eastAsia="Arial" w:hAnsi="Arial"/>
                <w:sz w:val="12"/>
                <w:szCs w:val="12"/>
                <w:color w:val="auto"/>
              </w:rPr>
              <w:t>— %</w:t>
            </w:r>
          </w:p>
        </w:tc>
        <w:tc>
          <w:tcPr>
            <w:tcW w:w="840" w:type="dxa"/>
            <w:vAlign w:val="bottom"/>
          </w:tcPr>
          <w:p>
            <w:pPr>
              <w:ind w:left="560"/>
              <w:spacing w:after="0"/>
              <w:rPr>
                <w:sz w:val="20"/>
                <w:szCs w:val="20"/>
                <w:color w:val="auto"/>
              </w:rPr>
            </w:pPr>
            <w:r>
              <w:rPr>
                <w:rFonts w:ascii="Arial" w:cs="Arial" w:eastAsia="Arial" w:hAnsi="Arial"/>
                <w:sz w:val="12"/>
                <w:szCs w:val="12"/>
                <w:color w:val="auto"/>
                <w:w w:val="99"/>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39.8 %</w:t>
            </w:r>
          </w:p>
        </w:tc>
        <w:tc>
          <w:tcPr>
            <w:tcW w:w="0" w:type="dxa"/>
            <w:vAlign w:val="bottom"/>
          </w:tcPr>
          <w:p>
            <w:pPr>
              <w:spacing w:after="0"/>
              <w:rPr>
                <w:sz w:val="1"/>
                <w:szCs w:val="1"/>
                <w:color w:val="auto"/>
              </w:rPr>
            </w:pPr>
          </w:p>
        </w:tc>
      </w:tr>
      <w:tr>
        <w:trPr>
          <w:trHeight w:val="137"/>
        </w:trPr>
        <w:tc>
          <w:tcPr>
            <w:tcW w:w="1300" w:type="dxa"/>
            <w:vAlign w:val="bottom"/>
          </w:tcPr>
          <w:p>
            <w:pPr>
              <w:ind w:left="20"/>
              <w:spacing w:after="0"/>
              <w:rPr>
                <w:sz w:val="20"/>
                <w:szCs w:val="20"/>
                <w:color w:val="auto"/>
              </w:rPr>
            </w:pPr>
            <w:r>
              <w:rPr>
                <w:rFonts w:ascii="Arial" w:cs="Arial" w:eastAsia="Arial" w:hAnsi="Arial"/>
                <w:sz w:val="12"/>
                <w:szCs w:val="12"/>
                <w:color w:val="auto"/>
              </w:rPr>
              <w:t>Research and</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300" w:type="dxa"/>
            <w:vAlign w:val="bottom"/>
          </w:tcPr>
          <w:p>
            <w:pPr>
              <w:ind w:left="20"/>
              <w:spacing w:after="0"/>
              <w:rPr>
                <w:sz w:val="20"/>
                <w:szCs w:val="20"/>
                <w:color w:val="auto"/>
              </w:rPr>
            </w:pPr>
            <w:r>
              <w:rPr>
                <w:rFonts w:ascii="Arial" w:cs="Arial" w:eastAsia="Arial" w:hAnsi="Arial"/>
                <w:sz w:val="12"/>
                <w:szCs w:val="12"/>
                <w:color w:val="auto"/>
              </w:rPr>
              <w:t>development</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44.1</w:t>
            </w:r>
          </w:p>
        </w:tc>
        <w:tc>
          <w:tcPr>
            <w:tcW w:w="9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ind w:left="58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(0.8)</w:t>
            </w: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(0.1)</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(2.4)</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tcPr>
          <w:p>
            <w:pPr>
              <w:ind w:left="5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40.8</w:t>
            </w:r>
          </w:p>
        </w:tc>
        <w:tc>
          <w:tcPr>
            <w:tcW w:w="0" w:type="dxa"/>
            <w:vAlign w:val="bottom"/>
          </w:tcPr>
          <w:p>
            <w:pPr>
              <w:spacing w:after="0"/>
              <w:rPr>
                <w:sz w:val="1"/>
                <w:szCs w:val="1"/>
                <w:color w:val="auto"/>
              </w:rPr>
            </w:pPr>
          </w:p>
        </w:tc>
      </w:tr>
      <w:tr>
        <w:trPr>
          <w:trHeight w:val="137"/>
        </w:trPr>
        <w:tc>
          <w:tcPr>
            <w:tcW w:w="1300" w:type="dxa"/>
            <w:vAlign w:val="bottom"/>
          </w:tcPr>
          <w:p>
            <w:pPr>
              <w:ind w:left="20"/>
              <w:spacing w:after="0"/>
              <w:rPr>
                <w:sz w:val="20"/>
                <w:szCs w:val="20"/>
                <w:color w:val="auto"/>
              </w:rPr>
            </w:pPr>
            <w:r>
              <w:rPr>
                <w:rFonts w:ascii="Arial" w:cs="Arial" w:eastAsia="Arial" w:hAnsi="Arial"/>
                <w:sz w:val="12"/>
                <w:szCs w:val="12"/>
                <w:color w:val="auto"/>
              </w:rPr>
              <w:t>Research and</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300" w:type="dxa"/>
            <w:vAlign w:val="bottom"/>
          </w:tcPr>
          <w:p>
            <w:pPr>
              <w:ind w:left="20"/>
              <w:spacing w:after="0" w:line="128" w:lineRule="exact"/>
              <w:rPr>
                <w:sz w:val="20"/>
                <w:szCs w:val="20"/>
                <w:color w:val="auto"/>
              </w:rPr>
            </w:pPr>
            <w:r>
              <w:rPr>
                <w:rFonts w:ascii="Arial" w:cs="Arial" w:eastAsia="Arial" w:hAnsi="Arial"/>
                <w:sz w:val="12"/>
                <w:szCs w:val="12"/>
                <w:color w:val="auto"/>
              </w:rPr>
              <w:t>development as a</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300" w:type="dxa"/>
            <w:vAlign w:val="bottom"/>
          </w:tcPr>
          <w:p>
            <w:pPr>
              <w:ind w:left="20"/>
              <w:spacing w:after="0"/>
              <w:rPr>
                <w:sz w:val="20"/>
                <w:szCs w:val="20"/>
                <w:color w:val="auto"/>
              </w:rPr>
            </w:pPr>
            <w:r>
              <w:rPr>
                <w:rFonts w:ascii="Arial" w:cs="Arial" w:eastAsia="Arial" w:hAnsi="Arial"/>
                <w:sz w:val="12"/>
                <w:szCs w:val="12"/>
                <w:color w:val="auto"/>
              </w:rPr>
              <w:t>percent of net revenue</w:t>
            </w:r>
          </w:p>
        </w:tc>
        <w:tc>
          <w:tcPr>
            <w:tcW w:w="700" w:type="dxa"/>
            <w:vAlign w:val="bottom"/>
          </w:tcPr>
          <w:p>
            <w:pPr>
              <w:jc w:val="right"/>
              <w:spacing w:after="0"/>
              <w:rPr>
                <w:sz w:val="20"/>
                <w:szCs w:val="20"/>
                <w:color w:val="auto"/>
              </w:rPr>
            </w:pPr>
            <w:r>
              <w:rPr>
                <w:rFonts w:ascii="Arial" w:cs="Arial" w:eastAsia="Arial" w:hAnsi="Arial"/>
                <w:sz w:val="12"/>
                <w:szCs w:val="12"/>
                <w:color w:val="auto"/>
              </w:rPr>
              <w:t>16.3 %</w:t>
            </w:r>
          </w:p>
        </w:tc>
        <w:tc>
          <w:tcPr>
            <w:tcW w:w="94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 %</w:t>
            </w:r>
          </w:p>
        </w:tc>
        <w:tc>
          <w:tcPr>
            <w:tcW w:w="50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880" w:type="dxa"/>
            <w:vAlign w:val="bottom"/>
          </w:tcPr>
          <w:p>
            <w:pPr>
              <w:ind w:left="580"/>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(0.3)%</w:t>
            </w:r>
          </w:p>
        </w:tc>
        <w:tc>
          <w:tcPr>
            <w:tcW w:w="840" w:type="dxa"/>
            <w:vAlign w:val="bottom"/>
          </w:tcPr>
          <w:p>
            <w:pPr>
              <w:jc w:val="right"/>
              <w:spacing w:after="0"/>
              <w:rPr>
                <w:sz w:val="20"/>
                <w:szCs w:val="20"/>
                <w:color w:val="auto"/>
              </w:rPr>
            </w:pPr>
            <w:r>
              <w:rPr>
                <w:rFonts w:ascii="Arial" w:cs="Arial" w:eastAsia="Arial" w:hAnsi="Arial"/>
                <w:sz w:val="12"/>
                <w:szCs w:val="12"/>
                <w:color w:val="auto"/>
              </w:rPr>
              <w:t>(0.1)%</w:t>
            </w:r>
          </w:p>
        </w:tc>
        <w:tc>
          <w:tcPr>
            <w:tcW w:w="960" w:type="dxa"/>
            <w:vAlign w:val="bottom"/>
          </w:tcPr>
          <w:p>
            <w:pPr>
              <w:jc w:val="right"/>
              <w:spacing w:after="0"/>
              <w:rPr>
                <w:sz w:val="20"/>
                <w:szCs w:val="20"/>
                <w:color w:val="auto"/>
              </w:rPr>
            </w:pPr>
            <w:r>
              <w:rPr>
                <w:rFonts w:ascii="Arial" w:cs="Arial" w:eastAsia="Arial" w:hAnsi="Arial"/>
                <w:sz w:val="12"/>
                <w:szCs w:val="12"/>
                <w:color w:val="auto"/>
              </w:rPr>
              <w:t>(0.9)%</w:t>
            </w:r>
          </w:p>
        </w:tc>
        <w:tc>
          <w:tcPr>
            <w:tcW w:w="880" w:type="dxa"/>
            <w:vAlign w:val="bottom"/>
          </w:tcPr>
          <w:p>
            <w:pPr>
              <w:jc w:val="right"/>
              <w:spacing w:after="0"/>
              <w:rPr>
                <w:sz w:val="20"/>
                <w:szCs w:val="20"/>
                <w:color w:val="auto"/>
              </w:rPr>
            </w:pPr>
            <w:r>
              <w:rPr>
                <w:rFonts w:ascii="Arial" w:cs="Arial" w:eastAsia="Arial" w:hAnsi="Arial"/>
                <w:sz w:val="12"/>
                <w:szCs w:val="12"/>
                <w:color w:val="auto"/>
              </w:rPr>
              <w:t>— %</w:t>
            </w:r>
          </w:p>
        </w:tc>
        <w:tc>
          <w:tcPr>
            <w:tcW w:w="840" w:type="dxa"/>
            <w:vAlign w:val="bottom"/>
          </w:tcPr>
          <w:p>
            <w:pPr>
              <w:ind w:left="560"/>
              <w:spacing w:after="0"/>
              <w:rPr>
                <w:sz w:val="20"/>
                <w:szCs w:val="20"/>
                <w:color w:val="auto"/>
              </w:rPr>
            </w:pPr>
            <w:r>
              <w:rPr>
                <w:rFonts w:ascii="Arial" w:cs="Arial" w:eastAsia="Arial" w:hAnsi="Arial"/>
                <w:sz w:val="12"/>
                <w:szCs w:val="12"/>
                <w:color w:val="auto"/>
                <w:w w:val="99"/>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15.1 %</w:t>
            </w:r>
          </w:p>
        </w:tc>
        <w:tc>
          <w:tcPr>
            <w:tcW w:w="0" w:type="dxa"/>
            <w:vAlign w:val="bottom"/>
          </w:tcPr>
          <w:p>
            <w:pPr>
              <w:spacing w:after="0"/>
              <w:rPr>
                <w:sz w:val="1"/>
                <w:szCs w:val="1"/>
                <w:color w:val="auto"/>
              </w:rPr>
            </w:pPr>
          </w:p>
        </w:tc>
      </w:tr>
      <w:tr>
        <w:trPr>
          <w:trHeight w:val="137"/>
        </w:trPr>
        <w:tc>
          <w:tcPr>
            <w:tcW w:w="1300" w:type="dxa"/>
            <w:vAlign w:val="bottom"/>
          </w:tcPr>
          <w:p>
            <w:pPr>
              <w:ind w:left="20"/>
              <w:spacing w:after="0"/>
              <w:rPr>
                <w:sz w:val="20"/>
                <w:szCs w:val="20"/>
                <w:color w:val="auto"/>
              </w:rPr>
            </w:pPr>
            <w:r>
              <w:rPr>
                <w:rFonts w:ascii="Arial" w:cs="Arial" w:eastAsia="Arial" w:hAnsi="Arial"/>
                <w:sz w:val="12"/>
                <w:szCs w:val="12"/>
                <w:color w:val="auto"/>
              </w:rPr>
              <w:t>Other operating</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300" w:type="dxa"/>
            <w:vAlign w:val="bottom"/>
          </w:tcPr>
          <w:p>
            <w:pPr>
              <w:ind w:left="20"/>
              <w:spacing w:after="0"/>
              <w:rPr>
                <w:sz w:val="20"/>
                <w:szCs w:val="20"/>
                <w:color w:val="auto"/>
              </w:rPr>
            </w:pPr>
            <w:r>
              <w:rPr>
                <w:rFonts w:ascii="Arial" w:cs="Arial" w:eastAsia="Arial" w:hAnsi="Arial"/>
                <w:sz w:val="12"/>
                <w:szCs w:val="12"/>
                <w:color w:val="auto"/>
              </w:rPr>
              <w:t>expenses</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8.4</w:t>
            </w:r>
          </w:p>
        </w:tc>
        <w:tc>
          <w:tcPr>
            <w:tcW w:w="940" w:type="dxa"/>
            <w:vAlign w:val="bottom"/>
          </w:tcPr>
          <w:p>
            <w:pPr>
              <w:jc w:val="right"/>
              <w:ind w:right="120"/>
              <w:spacing w:after="0"/>
              <w:rPr>
                <w:sz w:val="20"/>
                <w:szCs w:val="20"/>
                <w:color w:val="auto"/>
              </w:rPr>
            </w:pPr>
            <w:r>
              <w:rPr>
                <w:rFonts w:ascii="Arial" w:cs="Arial" w:eastAsia="Arial" w:hAnsi="Arial"/>
                <w:sz w:val="12"/>
                <w:szCs w:val="12"/>
                <w:color w:val="auto"/>
              </w:rPr>
              <w:t>0.1</w:t>
            </w:r>
          </w:p>
        </w:tc>
        <w:tc>
          <w:tcPr>
            <w:tcW w:w="9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80"/>
              <w:spacing w:after="0"/>
              <w:rPr>
                <w:sz w:val="20"/>
                <w:szCs w:val="20"/>
                <w:color w:val="auto"/>
              </w:rPr>
            </w:pPr>
            <w:r>
              <w:rPr>
                <w:rFonts w:ascii="Arial" w:cs="Arial" w:eastAsia="Arial" w:hAnsi="Arial"/>
                <w:sz w:val="12"/>
                <w:szCs w:val="12"/>
                <w:color w:val="auto"/>
              </w:rPr>
              <w:t>(2.6)</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ind w:left="58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(5.8)</w:t>
            </w: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tcPr>
          <w:p>
            <w:pPr>
              <w:ind w:left="5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1300" w:type="dxa"/>
            <w:vAlign w:val="bottom"/>
          </w:tcPr>
          <w:p>
            <w:pPr>
              <w:ind w:left="20"/>
              <w:spacing w:after="0"/>
              <w:rPr>
                <w:sz w:val="20"/>
                <w:szCs w:val="20"/>
                <w:color w:val="auto"/>
              </w:rPr>
            </w:pPr>
            <w:r>
              <w:rPr>
                <w:rFonts w:ascii="Arial" w:cs="Arial" w:eastAsia="Arial" w:hAnsi="Arial"/>
                <w:sz w:val="12"/>
                <w:szCs w:val="12"/>
                <w:color w:val="auto"/>
              </w:rPr>
              <w:t>Operating income from</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300" w:type="dxa"/>
            <w:vAlign w:val="bottom"/>
          </w:tcPr>
          <w:p>
            <w:pPr>
              <w:ind w:left="20"/>
              <w:spacing w:after="0"/>
              <w:rPr>
                <w:sz w:val="20"/>
                <w:szCs w:val="20"/>
                <w:color w:val="auto"/>
              </w:rPr>
            </w:pPr>
            <w:r>
              <w:rPr>
                <w:rFonts w:ascii="Arial" w:cs="Arial" w:eastAsia="Arial" w:hAnsi="Arial"/>
                <w:sz w:val="12"/>
                <w:szCs w:val="12"/>
                <w:color w:val="auto"/>
              </w:rPr>
              <w:t>continuing operations</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24.8</w:t>
            </w:r>
          </w:p>
        </w:tc>
        <w:tc>
          <w:tcPr>
            <w:tcW w:w="940" w:type="dxa"/>
            <w:vAlign w:val="bottom"/>
          </w:tcPr>
          <w:p>
            <w:pPr>
              <w:jc w:val="right"/>
              <w:ind w:right="80"/>
              <w:spacing w:after="0"/>
              <w:rPr>
                <w:sz w:val="20"/>
                <w:szCs w:val="20"/>
                <w:color w:val="auto"/>
              </w:rPr>
            </w:pPr>
            <w:r>
              <w:rPr>
                <w:rFonts w:ascii="Arial" w:cs="Arial" w:eastAsia="Arial" w:hAnsi="Arial"/>
                <w:sz w:val="12"/>
                <w:szCs w:val="12"/>
                <w:color w:val="auto"/>
              </w:rPr>
              <w:t>(0.1)</w:t>
            </w:r>
          </w:p>
        </w:tc>
        <w:tc>
          <w:tcPr>
            <w:tcW w:w="920" w:type="dxa"/>
            <w:vAlign w:val="bottom"/>
          </w:tcPr>
          <w:p>
            <w:pPr>
              <w:jc w:val="right"/>
              <w:ind w:right="180"/>
              <w:spacing w:after="0"/>
              <w:rPr>
                <w:sz w:val="20"/>
                <w:szCs w:val="20"/>
                <w:color w:val="auto"/>
              </w:rPr>
            </w:pPr>
            <w:r>
              <w:rPr>
                <w:rFonts w:ascii="Arial" w:cs="Arial" w:eastAsia="Arial" w:hAnsi="Arial"/>
                <w:sz w:val="12"/>
                <w:szCs w:val="12"/>
                <w:color w:val="auto"/>
              </w:rPr>
              <w:t>6.8</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2.6</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0.4</w:t>
            </w:r>
          </w:p>
        </w:tc>
        <w:tc>
          <w:tcPr>
            <w:tcW w:w="880" w:type="dxa"/>
            <w:vAlign w:val="bottom"/>
          </w:tcPr>
          <w:p>
            <w:pPr>
              <w:ind w:left="58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(17.2)</w:t>
            </w:r>
          </w:p>
        </w:tc>
        <w:tc>
          <w:tcPr>
            <w:tcW w:w="840" w:type="dxa"/>
            <w:vAlign w:val="bottom"/>
          </w:tcPr>
          <w:p>
            <w:pPr>
              <w:jc w:val="right"/>
              <w:ind w:right="140"/>
              <w:spacing w:after="0"/>
              <w:rPr>
                <w:sz w:val="20"/>
                <w:szCs w:val="20"/>
                <w:color w:val="auto"/>
              </w:rPr>
            </w:pPr>
            <w:r>
              <w:rPr>
                <w:rFonts w:ascii="Arial" w:cs="Arial" w:eastAsia="Arial" w:hAnsi="Arial"/>
                <w:sz w:val="12"/>
                <w:szCs w:val="12"/>
                <w:color w:val="auto"/>
              </w:rPr>
              <w:t>12.8</w:t>
            </w: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10.0</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tcPr>
          <w:p>
            <w:pPr>
              <w:ind w:left="5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40.2</w:t>
            </w:r>
          </w:p>
        </w:tc>
        <w:tc>
          <w:tcPr>
            <w:tcW w:w="0" w:type="dxa"/>
            <w:vAlign w:val="bottom"/>
          </w:tcPr>
          <w:p>
            <w:pPr>
              <w:spacing w:after="0"/>
              <w:rPr>
                <w:sz w:val="1"/>
                <w:szCs w:val="1"/>
                <w:color w:val="auto"/>
              </w:rPr>
            </w:pPr>
          </w:p>
        </w:tc>
      </w:tr>
      <w:tr>
        <w:trPr>
          <w:trHeight w:val="137"/>
        </w:trPr>
        <w:tc>
          <w:tcPr>
            <w:tcW w:w="1300" w:type="dxa"/>
            <w:vAlign w:val="bottom"/>
          </w:tcPr>
          <w:p>
            <w:pPr>
              <w:ind w:left="20"/>
              <w:spacing w:after="0"/>
              <w:rPr>
                <w:sz w:val="20"/>
                <w:szCs w:val="20"/>
                <w:color w:val="auto"/>
              </w:rPr>
            </w:pPr>
            <w:r>
              <w:rPr>
                <w:rFonts w:ascii="Arial" w:cs="Arial" w:eastAsia="Arial" w:hAnsi="Arial"/>
                <w:sz w:val="12"/>
                <w:szCs w:val="12"/>
                <w:color w:val="auto"/>
              </w:rPr>
              <w:t>Operating margin</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300" w:type="dxa"/>
            <w:vAlign w:val="bottom"/>
          </w:tcPr>
          <w:p>
            <w:pPr>
              <w:ind w:left="20"/>
              <w:spacing w:after="0"/>
              <w:rPr>
                <w:sz w:val="20"/>
                <w:szCs w:val="20"/>
                <w:color w:val="auto"/>
              </w:rPr>
            </w:pPr>
            <w:r>
              <w:rPr>
                <w:rFonts w:ascii="Arial" w:cs="Arial" w:eastAsia="Arial" w:hAnsi="Arial"/>
                <w:sz w:val="12"/>
                <w:szCs w:val="12"/>
                <w:color w:val="auto"/>
              </w:rPr>
              <w:t>percent</w:t>
            </w:r>
          </w:p>
        </w:tc>
        <w:tc>
          <w:tcPr>
            <w:tcW w:w="700" w:type="dxa"/>
            <w:vAlign w:val="bottom"/>
          </w:tcPr>
          <w:p>
            <w:pPr>
              <w:jc w:val="right"/>
              <w:spacing w:after="0"/>
              <w:rPr>
                <w:sz w:val="20"/>
                <w:szCs w:val="20"/>
                <w:color w:val="auto"/>
              </w:rPr>
            </w:pPr>
            <w:r>
              <w:rPr>
                <w:rFonts w:ascii="Arial" w:cs="Arial" w:eastAsia="Arial" w:hAnsi="Arial"/>
                <w:sz w:val="12"/>
                <w:szCs w:val="12"/>
                <w:color w:val="auto"/>
              </w:rPr>
              <w:t>9.2 %</w:t>
            </w:r>
          </w:p>
        </w:tc>
        <w:tc>
          <w:tcPr>
            <w:tcW w:w="94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2.5 %</w:t>
            </w:r>
          </w:p>
        </w:tc>
        <w:tc>
          <w:tcPr>
            <w:tcW w:w="500" w:type="dxa"/>
            <w:vAlign w:val="bottom"/>
          </w:tcPr>
          <w:p>
            <w:pPr>
              <w:jc w:val="right"/>
              <w:spacing w:after="0"/>
              <w:rPr>
                <w:sz w:val="20"/>
                <w:szCs w:val="20"/>
                <w:color w:val="auto"/>
              </w:rPr>
            </w:pPr>
            <w:r>
              <w:rPr>
                <w:rFonts w:ascii="Arial" w:cs="Arial" w:eastAsia="Arial" w:hAnsi="Arial"/>
                <w:sz w:val="12"/>
                <w:szCs w:val="12"/>
                <w:color w:val="auto"/>
              </w:rPr>
              <w:t>1.0 %</w:t>
            </w:r>
          </w:p>
        </w:tc>
        <w:tc>
          <w:tcPr>
            <w:tcW w:w="860" w:type="dxa"/>
            <w:vAlign w:val="bottom"/>
          </w:tcPr>
          <w:p>
            <w:pPr>
              <w:jc w:val="right"/>
              <w:spacing w:after="0"/>
              <w:rPr>
                <w:sz w:val="20"/>
                <w:szCs w:val="20"/>
                <w:color w:val="auto"/>
              </w:rPr>
            </w:pPr>
            <w:r>
              <w:rPr>
                <w:rFonts w:ascii="Arial" w:cs="Arial" w:eastAsia="Arial" w:hAnsi="Arial"/>
                <w:sz w:val="12"/>
                <w:szCs w:val="12"/>
                <w:color w:val="auto"/>
              </w:rPr>
              <w:t>0.2 %</w:t>
            </w:r>
          </w:p>
        </w:tc>
        <w:tc>
          <w:tcPr>
            <w:tcW w:w="880" w:type="dxa"/>
            <w:vAlign w:val="bottom"/>
          </w:tcPr>
          <w:p>
            <w:pPr>
              <w:ind w:left="580"/>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(6.4)%</w:t>
            </w:r>
          </w:p>
        </w:tc>
        <w:tc>
          <w:tcPr>
            <w:tcW w:w="840" w:type="dxa"/>
            <w:vAlign w:val="bottom"/>
          </w:tcPr>
          <w:p>
            <w:pPr>
              <w:jc w:val="right"/>
              <w:spacing w:after="0"/>
              <w:rPr>
                <w:sz w:val="20"/>
                <w:szCs w:val="20"/>
                <w:color w:val="auto"/>
              </w:rPr>
            </w:pPr>
            <w:r>
              <w:rPr>
                <w:rFonts w:ascii="Arial" w:cs="Arial" w:eastAsia="Arial" w:hAnsi="Arial"/>
                <w:sz w:val="12"/>
                <w:szCs w:val="12"/>
                <w:color w:val="auto"/>
              </w:rPr>
              <w:t>4.8 %</w:t>
            </w:r>
          </w:p>
        </w:tc>
        <w:tc>
          <w:tcPr>
            <w:tcW w:w="960" w:type="dxa"/>
            <w:vAlign w:val="bottom"/>
          </w:tcPr>
          <w:p>
            <w:pPr>
              <w:jc w:val="right"/>
              <w:spacing w:after="0"/>
              <w:rPr>
                <w:sz w:val="20"/>
                <w:szCs w:val="20"/>
                <w:color w:val="auto"/>
              </w:rPr>
            </w:pPr>
            <w:r>
              <w:rPr>
                <w:rFonts w:ascii="Arial" w:cs="Arial" w:eastAsia="Arial" w:hAnsi="Arial"/>
                <w:sz w:val="12"/>
                <w:szCs w:val="12"/>
                <w:color w:val="auto"/>
              </w:rPr>
              <w:t>3.7 %</w:t>
            </w:r>
          </w:p>
        </w:tc>
        <w:tc>
          <w:tcPr>
            <w:tcW w:w="880" w:type="dxa"/>
            <w:vAlign w:val="bottom"/>
          </w:tcPr>
          <w:p>
            <w:pPr>
              <w:jc w:val="right"/>
              <w:spacing w:after="0"/>
              <w:rPr>
                <w:sz w:val="20"/>
                <w:szCs w:val="20"/>
                <w:color w:val="auto"/>
              </w:rPr>
            </w:pPr>
            <w:r>
              <w:rPr>
                <w:rFonts w:ascii="Arial" w:cs="Arial" w:eastAsia="Arial" w:hAnsi="Arial"/>
                <w:sz w:val="12"/>
                <w:szCs w:val="12"/>
                <w:color w:val="auto"/>
              </w:rPr>
              <w:t>— %</w:t>
            </w:r>
          </w:p>
        </w:tc>
        <w:tc>
          <w:tcPr>
            <w:tcW w:w="840" w:type="dxa"/>
            <w:vAlign w:val="bottom"/>
          </w:tcPr>
          <w:p>
            <w:pPr>
              <w:ind w:left="560"/>
              <w:spacing w:after="0"/>
              <w:rPr>
                <w:sz w:val="20"/>
                <w:szCs w:val="20"/>
                <w:color w:val="auto"/>
              </w:rPr>
            </w:pPr>
            <w:r>
              <w:rPr>
                <w:rFonts w:ascii="Arial" w:cs="Arial" w:eastAsia="Arial" w:hAnsi="Arial"/>
                <w:sz w:val="12"/>
                <w:szCs w:val="12"/>
                <w:color w:val="auto"/>
                <w:w w:val="99"/>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14.9 %</w:t>
            </w:r>
          </w:p>
        </w:tc>
        <w:tc>
          <w:tcPr>
            <w:tcW w:w="0" w:type="dxa"/>
            <w:vAlign w:val="bottom"/>
          </w:tcPr>
          <w:p>
            <w:pPr>
              <w:spacing w:after="0"/>
              <w:rPr>
                <w:sz w:val="1"/>
                <w:szCs w:val="1"/>
                <w:color w:val="auto"/>
              </w:rPr>
            </w:pPr>
          </w:p>
        </w:tc>
      </w:tr>
      <w:tr>
        <w:trPr>
          <w:trHeight w:val="166"/>
        </w:trPr>
        <w:tc>
          <w:tcPr>
            <w:tcW w:w="1300" w:type="dxa"/>
            <w:vAlign w:val="bottom"/>
          </w:tcPr>
          <w:p>
            <w:pPr>
              <w:ind w:left="20"/>
              <w:spacing w:after="0"/>
              <w:rPr>
                <w:sz w:val="20"/>
                <w:szCs w:val="20"/>
                <w:color w:val="auto"/>
              </w:rPr>
            </w:pPr>
            <w:r>
              <w:rPr>
                <w:rFonts w:ascii="Arial" w:cs="Arial" w:eastAsia="Arial" w:hAnsi="Arial"/>
                <w:sz w:val="12"/>
                <w:szCs w:val="12"/>
                <w:color w:val="auto"/>
              </w:rPr>
              <w:t>Income tax expense</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2.8</w:t>
            </w:r>
          </w:p>
        </w:tc>
        <w:tc>
          <w:tcPr>
            <w:tcW w:w="940" w:type="dxa"/>
            <w:vAlign w:val="bottom"/>
          </w:tcPr>
          <w:p>
            <w:pPr>
              <w:jc w:val="right"/>
              <w:ind w:right="80"/>
              <w:spacing w:after="0"/>
              <w:rPr>
                <w:sz w:val="20"/>
                <w:szCs w:val="20"/>
                <w:color w:val="auto"/>
              </w:rPr>
            </w:pPr>
            <w:r>
              <w:rPr>
                <w:rFonts w:ascii="Arial" w:cs="Arial" w:eastAsia="Arial" w:hAnsi="Arial"/>
                <w:sz w:val="12"/>
                <w:szCs w:val="12"/>
                <w:color w:val="auto"/>
              </w:rPr>
              <w:t>(0.1)</w:t>
            </w:r>
          </w:p>
        </w:tc>
        <w:tc>
          <w:tcPr>
            <w:tcW w:w="920" w:type="dxa"/>
            <w:vAlign w:val="bottom"/>
          </w:tcPr>
          <w:p>
            <w:pPr>
              <w:jc w:val="right"/>
              <w:ind w:right="180"/>
              <w:spacing w:after="0"/>
              <w:rPr>
                <w:sz w:val="20"/>
                <w:szCs w:val="20"/>
                <w:color w:val="auto"/>
              </w:rPr>
            </w:pPr>
            <w:r>
              <w:rPr>
                <w:rFonts w:ascii="Arial" w:cs="Arial" w:eastAsia="Arial" w:hAnsi="Arial"/>
                <w:sz w:val="12"/>
                <w:szCs w:val="12"/>
                <w:color w:val="auto"/>
              </w:rPr>
              <w:t>0.3</w:t>
            </w:r>
          </w:p>
        </w:tc>
        <w:tc>
          <w:tcPr>
            <w:tcW w:w="500" w:type="dxa"/>
            <w:vAlign w:val="bottom"/>
          </w:tcPr>
          <w:p>
            <w:pPr>
              <w:jc w:val="right"/>
              <w:ind w:right="80"/>
              <w:spacing w:after="0"/>
              <w:rPr>
                <w:sz w:val="20"/>
                <w:szCs w:val="20"/>
                <w:color w:val="auto"/>
              </w:rPr>
            </w:pPr>
            <w:r>
              <w:rPr>
                <w:rFonts w:ascii="Arial" w:cs="Arial" w:eastAsia="Arial" w:hAnsi="Arial"/>
                <w:sz w:val="12"/>
                <w:szCs w:val="12"/>
                <w:color w:val="auto"/>
              </w:rPr>
              <w:t>(1.0)</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0.1</w:t>
            </w:r>
          </w:p>
        </w:tc>
        <w:tc>
          <w:tcPr>
            <w:tcW w:w="880" w:type="dxa"/>
            <w:vAlign w:val="bottom"/>
          </w:tcPr>
          <w:p>
            <w:pPr>
              <w:ind w:left="58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40"/>
              <w:spacing w:after="0"/>
              <w:rPr>
                <w:sz w:val="20"/>
                <w:szCs w:val="20"/>
                <w:color w:val="auto"/>
              </w:rPr>
            </w:pPr>
            <w:r>
              <w:rPr>
                <w:rFonts w:ascii="Arial" w:cs="Arial" w:eastAsia="Arial" w:hAnsi="Arial"/>
                <w:sz w:val="12"/>
                <w:szCs w:val="12"/>
                <w:color w:val="auto"/>
              </w:rPr>
              <w:t>0.7</w:t>
            </w: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2.2</w:t>
            </w:r>
          </w:p>
        </w:tc>
        <w:tc>
          <w:tcPr>
            <w:tcW w:w="840" w:type="dxa"/>
            <w:vAlign w:val="bottom"/>
          </w:tcPr>
          <w:p>
            <w:pPr>
              <w:ind w:left="5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66"/>
        </w:trPr>
        <w:tc>
          <w:tcPr>
            <w:tcW w:w="1300" w:type="dxa"/>
            <w:vAlign w:val="bottom"/>
          </w:tcPr>
          <w:p>
            <w:pPr>
              <w:ind w:left="20"/>
              <w:spacing w:after="0"/>
              <w:rPr>
                <w:sz w:val="20"/>
                <w:szCs w:val="20"/>
                <w:color w:val="auto"/>
              </w:rPr>
            </w:pPr>
            <w:r>
              <w:rPr>
                <w:rFonts w:ascii="Arial" w:cs="Arial" w:eastAsia="Arial" w:hAnsi="Arial"/>
                <w:sz w:val="12"/>
                <w:szCs w:val="12"/>
                <w:color w:val="auto"/>
              </w:rPr>
              <w:t>Income tax rate</w:t>
            </w:r>
          </w:p>
        </w:tc>
        <w:tc>
          <w:tcPr>
            <w:tcW w:w="700" w:type="dxa"/>
            <w:vAlign w:val="bottom"/>
          </w:tcPr>
          <w:p>
            <w:pPr>
              <w:jc w:val="right"/>
              <w:spacing w:after="0"/>
              <w:rPr>
                <w:sz w:val="20"/>
                <w:szCs w:val="20"/>
                <w:color w:val="auto"/>
              </w:rPr>
            </w:pPr>
            <w:r>
              <w:rPr>
                <w:rFonts w:ascii="Arial" w:cs="Arial" w:eastAsia="Arial" w:hAnsi="Arial"/>
                <w:sz w:val="12"/>
                <w:szCs w:val="12"/>
                <w:color w:val="auto"/>
              </w:rPr>
              <w:t>(121.2)%</w:t>
            </w:r>
          </w:p>
        </w:tc>
        <w:tc>
          <w:tcPr>
            <w:tcW w:w="940" w:type="dxa"/>
            <w:vAlign w:val="bottom"/>
          </w:tcPr>
          <w:p>
            <w:pPr>
              <w:jc w:val="right"/>
              <w:spacing w:after="0"/>
              <w:rPr>
                <w:sz w:val="20"/>
                <w:szCs w:val="20"/>
                <w:color w:val="auto"/>
              </w:rPr>
            </w:pPr>
            <w:r>
              <w:rPr>
                <w:rFonts w:ascii="Arial" w:cs="Arial" w:eastAsia="Arial" w:hAnsi="Arial"/>
                <w:sz w:val="12"/>
                <w:szCs w:val="12"/>
                <w:color w:val="auto"/>
              </w:rPr>
              <w:t>180.9 %</w:t>
            </w: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4.2 %</w:t>
            </w:r>
          </w:p>
        </w:tc>
        <w:tc>
          <w:tcPr>
            <w:tcW w:w="500" w:type="dxa"/>
            <w:vAlign w:val="bottom"/>
          </w:tcPr>
          <w:p>
            <w:pPr>
              <w:jc w:val="right"/>
              <w:spacing w:after="0"/>
              <w:rPr>
                <w:sz w:val="20"/>
                <w:szCs w:val="20"/>
                <w:color w:val="auto"/>
              </w:rPr>
            </w:pPr>
            <w:r>
              <w:rPr>
                <w:rFonts w:ascii="Arial" w:cs="Arial" w:eastAsia="Arial" w:hAnsi="Arial"/>
                <w:sz w:val="12"/>
                <w:szCs w:val="12"/>
                <w:color w:val="auto"/>
              </w:rPr>
              <w:t>(37.2)%</w:t>
            </w:r>
          </w:p>
        </w:tc>
        <w:tc>
          <w:tcPr>
            <w:tcW w:w="860" w:type="dxa"/>
            <w:vAlign w:val="bottom"/>
          </w:tcPr>
          <w:p>
            <w:pPr>
              <w:jc w:val="right"/>
              <w:spacing w:after="0"/>
              <w:rPr>
                <w:sz w:val="20"/>
                <w:szCs w:val="20"/>
                <w:color w:val="auto"/>
              </w:rPr>
            </w:pPr>
            <w:r>
              <w:rPr>
                <w:rFonts w:ascii="Arial" w:cs="Arial" w:eastAsia="Arial" w:hAnsi="Arial"/>
                <w:sz w:val="12"/>
                <w:szCs w:val="12"/>
                <w:color w:val="auto"/>
              </w:rPr>
              <w:t>33.0 %</w:t>
            </w:r>
          </w:p>
        </w:tc>
        <w:tc>
          <w:tcPr>
            <w:tcW w:w="880" w:type="dxa"/>
            <w:vAlign w:val="bottom"/>
          </w:tcPr>
          <w:p>
            <w:pPr>
              <w:ind w:left="580"/>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w:t>
            </w:r>
          </w:p>
        </w:tc>
        <w:tc>
          <w:tcPr>
            <w:tcW w:w="840" w:type="dxa"/>
            <w:vAlign w:val="bottom"/>
          </w:tcPr>
          <w:p>
            <w:pPr>
              <w:jc w:val="right"/>
              <w:spacing w:after="0"/>
              <w:rPr>
                <w:sz w:val="20"/>
                <w:szCs w:val="20"/>
                <w:color w:val="auto"/>
              </w:rPr>
            </w:pPr>
            <w:r>
              <w:rPr>
                <w:rFonts w:ascii="Arial" w:cs="Arial" w:eastAsia="Arial" w:hAnsi="Arial"/>
                <w:sz w:val="12"/>
                <w:szCs w:val="12"/>
                <w:color w:val="auto"/>
              </w:rPr>
              <w:t>5.5 %</w:t>
            </w:r>
          </w:p>
        </w:tc>
        <w:tc>
          <w:tcPr>
            <w:tcW w:w="960" w:type="dxa"/>
            <w:vAlign w:val="bottom"/>
          </w:tcPr>
          <w:p>
            <w:pPr>
              <w:jc w:val="right"/>
              <w:spacing w:after="0"/>
              <w:rPr>
                <w:sz w:val="20"/>
                <w:szCs w:val="20"/>
                <w:color w:val="auto"/>
              </w:rPr>
            </w:pPr>
            <w:r>
              <w:rPr>
                <w:rFonts w:ascii="Arial" w:cs="Arial" w:eastAsia="Arial" w:hAnsi="Arial"/>
                <w:sz w:val="12"/>
                <w:szCs w:val="12"/>
                <w:color w:val="auto"/>
              </w:rPr>
              <w:t>(0.4)%</w:t>
            </w:r>
          </w:p>
        </w:tc>
        <w:tc>
          <w:tcPr>
            <w:tcW w:w="880" w:type="dxa"/>
            <w:vAlign w:val="bottom"/>
          </w:tcPr>
          <w:p>
            <w:pPr>
              <w:jc w:val="right"/>
              <w:spacing w:after="0"/>
              <w:rPr>
                <w:sz w:val="20"/>
                <w:szCs w:val="20"/>
                <w:color w:val="auto"/>
              </w:rPr>
            </w:pPr>
            <w:r>
              <w:rPr>
                <w:rFonts w:ascii="Arial" w:cs="Arial" w:eastAsia="Arial" w:hAnsi="Arial"/>
                <w:sz w:val="12"/>
                <w:szCs w:val="12"/>
                <w:color w:val="auto"/>
              </w:rPr>
              <w:t>N/A</w:t>
            </w:r>
          </w:p>
        </w:tc>
        <w:tc>
          <w:tcPr>
            <w:tcW w:w="840" w:type="dxa"/>
            <w:vAlign w:val="bottom"/>
          </w:tcPr>
          <w:p>
            <w:pPr>
              <w:ind w:left="560"/>
              <w:spacing w:after="0"/>
              <w:rPr>
                <w:sz w:val="20"/>
                <w:szCs w:val="20"/>
                <w:color w:val="auto"/>
              </w:rPr>
            </w:pPr>
            <w:r>
              <w:rPr>
                <w:rFonts w:ascii="Arial" w:cs="Arial" w:eastAsia="Arial" w:hAnsi="Arial"/>
                <w:sz w:val="12"/>
                <w:szCs w:val="12"/>
                <w:color w:val="auto"/>
                <w:w w:val="99"/>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13.9 %</w:t>
            </w:r>
          </w:p>
        </w:tc>
        <w:tc>
          <w:tcPr>
            <w:tcW w:w="0" w:type="dxa"/>
            <w:vAlign w:val="bottom"/>
          </w:tcPr>
          <w:p>
            <w:pPr>
              <w:spacing w:after="0"/>
              <w:rPr>
                <w:sz w:val="1"/>
                <w:szCs w:val="1"/>
                <w:color w:val="auto"/>
              </w:rPr>
            </w:pPr>
          </w:p>
        </w:tc>
      </w:tr>
      <w:tr>
        <w:trPr>
          <w:trHeight w:val="137"/>
        </w:trPr>
        <w:tc>
          <w:tcPr>
            <w:tcW w:w="1300" w:type="dxa"/>
            <w:vAlign w:val="bottom"/>
          </w:tcPr>
          <w:p>
            <w:pPr>
              <w:ind w:left="20"/>
              <w:spacing w:after="0"/>
              <w:rPr>
                <w:sz w:val="20"/>
                <w:szCs w:val="20"/>
                <w:color w:val="auto"/>
              </w:rPr>
            </w:pPr>
            <w:r>
              <w:rPr>
                <w:rFonts w:ascii="Arial" w:cs="Arial" w:eastAsia="Arial" w:hAnsi="Arial"/>
                <w:sz w:val="12"/>
                <w:szCs w:val="12"/>
                <w:color w:val="auto"/>
              </w:rPr>
              <w:t>Net (loss) income from</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300" w:type="dxa"/>
            <w:vAlign w:val="bottom"/>
          </w:tcPr>
          <w:p>
            <w:pPr>
              <w:ind w:left="20"/>
              <w:spacing w:after="0"/>
              <w:rPr>
                <w:sz w:val="20"/>
                <w:szCs w:val="20"/>
                <w:color w:val="auto"/>
              </w:rPr>
            </w:pPr>
            <w:r>
              <w:rPr>
                <w:rFonts w:ascii="Arial" w:cs="Arial" w:eastAsia="Arial" w:hAnsi="Arial"/>
                <w:sz w:val="12"/>
                <w:szCs w:val="12"/>
                <w:color w:val="auto"/>
              </w:rPr>
              <w:t>continuing operations</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(5.1)</w:t>
            </w:r>
          </w:p>
        </w:tc>
        <w:tc>
          <w:tcPr>
            <w:tcW w:w="940" w:type="dxa"/>
            <w:vAlign w:val="bottom"/>
          </w:tcPr>
          <w:p>
            <w:pPr>
              <w:jc w:val="right"/>
              <w:ind w:right="120"/>
              <w:spacing w:after="0"/>
              <w:rPr>
                <w:sz w:val="20"/>
                <w:szCs w:val="20"/>
                <w:color w:val="auto"/>
              </w:rPr>
            </w:pPr>
            <w:r>
              <w:rPr>
                <w:rFonts w:ascii="Arial" w:cs="Arial" w:eastAsia="Arial" w:hAnsi="Arial"/>
                <w:sz w:val="12"/>
                <w:szCs w:val="12"/>
                <w:color w:val="auto"/>
              </w:rPr>
              <w:t>0.1</w:t>
            </w:r>
          </w:p>
        </w:tc>
        <w:tc>
          <w:tcPr>
            <w:tcW w:w="920" w:type="dxa"/>
            <w:vAlign w:val="bottom"/>
          </w:tcPr>
          <w:p>
            <w:pPr>
              <w:jc w:val="right"/>
              <w:ind w:right="180"/>
              <w:spacing w:after="0"/>
              <w:rPr>
                <w:sz w:val="20"/>
                <w:szCs w:val="20"/>
                <w:color w:val="auto"/>
              </w:rPr>
            </w:pPr>
            <w:r>
              <w:rPr>
                <w:rFonts w:ascii="Arial" w:cs="Arial" w:eastAsia="Arial" w:hAnsi="Arial"/>
                <w:sz w:val="12"/>
                <w:szCs w:val="12"/>
                <w:color w:val="auto"/>
              </w:rPr>
              <w:t>6.5</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3.6</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0.3</w:t>
            </w:r>
          </w:p>
        </w:tc>
        <w:tc>
          <w:tcPr>
            <w:tcW w:w="880" w:type="dxa"/>
            <w:vAlign w:val="bottom"/>
          </w:tcPr>
          <w:p>
            <w:pPr>
              <w:jc w:val="right"/>
              <w:ind w:right="118"/>
              <w:spacing w:after="0"/>
              <w:rPr>
                <w:sz w:val="20"/>
                <w:szCs w:val="20"/>
                <w:color w:val="auto"/>
              </w:rPr>
            </w:pPr>
            <w:r>
              <w:rPr>
                <w:rFonts w:ascii="Arial" w:cs="Arial" w:eastAsia="Arial" w:hAnsi="Arial"/>
                <w:sz w:val="12"/>
                <w:szCs w:val="12"/>
                <w:color w:val="auto"/>
              </w:rPr>
              <w:t>19.0</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(17.2)</w:t>
            </w:r>
          </w:p>
        </w:tc>
        <w:tc>
          <w:tcPr>
            <w:tcW w:w="840" w:type="dxa"/>
            <w:vAlign w:val="bottom"/>
          </w:tcPr>
          <w:p>
            <w:pPr>
              <w:jc w:val="right"/>
              <w:ind w:right="140"/>
              <w:spacing w:after="0"/>
              <w:rPr>
                <w:sz w:val="20"/>
                <w:szCs w:val="20"/>
                <w:color w:val="auto"/>
              </w:rPr>
            </w:pPr>
            <w:r>
              <w:rPr>
                <w:rFonts w:ascii="Arial" w:cs="Arial" w:eastAsia="Arial" w:hAnsi="Arial"/>
                <w:sz w:val="12"/>
                <w:szCs w:val="12"/>
                <w:color w:val="auto"/>
              </w:rPr>
              <w:t>12.1</w:t>
            </w: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10.0</w:t>
            </w:r>
          </w:p>
        </w:tc>
        <w:tc>
          <w:tcPr>
            <w:tcW w:w="880" w:type="dxa"/>
            <w:vAlign w:val="bottom"/>
          </w:tcPr>
          <w:p>
            <w:pPr>
              <w:jc w:val="right"/>
              <w:ind w:right="100"/>
              <w:spacing w:after="0"/>
              <w:rPr>
                <w:sz w:val="20"/>
                <w:szCs w:val="20"/>
                <w:color w:val="auto"/>
              </w:rPr>
            </w:pPr>
            <w:r>
              <w:rPr>
                <w:rFonts w:ascii="Arial" w:cs="Arial" w:eastAsia="Arial" w:hAnsi="Arial"/>
                <w:sz w:val="12"/>
                <w:szCs w:val="12"/>
                <w:color w:val="auto"/>
              </w:rPr>
              <w:t>(2.2)</w:t>
            </w: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3.6</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30.7</w:t>
            </w:r>
          </w:p>
        </w:tc>
        <w:tc>
          <w:tcPr>
            <w:tcW w:w="0" w:type="dxa"/>
            <w:vAlign w:val="bottom"/>
          </w:tcPr>
          <w:p>
            <w:pPr>
              <w:spacing w:after="0"/>
              <w:rPr>
                <w:sz w:val="1"/>
                <w:szCs w:val="1"/>
                <w:color w:val="auto"/>
              </w:rPr>
            </w:pPr>
          </w:p>
        </w:tc>
      </w:tr>
      <w:tr>
        <w:trPr>
          <w:trHeight w:val="137"/>
        </w:trPr>
        <w:tc>
          <w:tcPr>
            <w:tcW w:w="1300" w:type="dxa"/>
            <w:vAlign w:val="bottom"/>
          </w:tcPr>
          <w:p>
            <w:pPr>
              <w:ind w:left="20"/>
              <w:spacing w:after="0"/>
              <w:rPr>
                <w:sz w:val="20"/>
                <w:szCs w:val="20"/>
                <w:color w:val="auto"/>
              </w:rPr>
            </w:pPr>
            <w:r>
              <w:rPr>
                <w:rFonts w:ascii="Arial" w:cs="Arial" w:eastAsia="Arial" w:hAnsi="Arial"/>
                <w:sz w:val="12"/>
                <w:szCs w:val="12"/>
                <w:color w:val="auto"/>
              </w:rPr>
              <w:t>Net (loss) income as a</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300" w:type="dxa"/>
            <w:vAlign w:val="bottom"/>
          </w:tcPr>
          <w:p>
            <w:pPr>
              <w:ind w:left="20"/>
              <w:spacing w:after="0"/>
              <w:rPr>
                <w:sz w:val="20"/>
                <w:szCs w:val="20"/>
                <w:color w:val="auto"/>
              </w:rPr>
            </w:pPr>
            <w:r>
              <w:rPr>
                <w:rFonts w:ascii="Arial" w:cs="Arial" w:eastAsia="Arial" w:hAnsi="Arial"/>
                <w:sz w:val="12"/>
                <w:szCs w:val="12"/>
                <w:color w:val="auto"/>
              </w:rPr>
              <w:t>percent of net revenue</w:t>
            </w:r>
          </w:p>
        </w:tc>
        <w:tc>
          <w:tcPr>
            <w:tcW w:w="700" w:type="dxa"/>
            <w:vAlign w:val="bottom"/>
          </w:tcPr>
          <w:p>
            <w:pPr>
              <w:jc w:val="right"/>
              <w:spacing w:after="0"/>
              <w:rPr>
                <w:sz w:val="20"/>
                <w:szCs w:val="20"/>
                <w:color w:val="auto"/>
              </w:rPr>
            </w:pPr>
            <w:r>
              <w:rPr>
                <w:rFonts w:ascii="Arial" w:cs="Arial" w:eastAsia="Arial" w:hAnsi="Arial"/>
                <w:sz w:val="12"/>
                <w:szCs w:val="12"/>
                <w:color w:val="auto"/>
              </w:rPr>
              <w:t>(1.9)%</w:t>
            </w:r>
          </w:p>
        </w:tc>
        <w:tc>
          <w:tcPr>
            <w:tcW w:w="94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2.4 %</w:t>
            </w:r>
          </w:p>
        </w:tc>
        <w:tc>
          <w:tcPr>
            <w:tcW w:w="500" w:type="dxa"/>
            <w:vAlign w:val="bottom"/>
          </w:tcPr>
          <w:p>
            <w:pPr>
              <w:jc w:val="right"/>
              <w:spacing w:after="0"/>
              <w:rPr>
                <w:sz w:val="20"/>
                <w:szCs w:val="20"/>
                <w:color w:val="auto"/>
              </w:rPr>
            </w:pPr>
            <w:r>
              <w:rPr>
                <w:rFonts w:ascii="Arial" w:cs="Arial" w:eastAsia="Arial" w:hAnsi="Arial"/>
                <w:sz w:val="12"/>
                <w:szCs w:val="12"/>
                <w:color w:val="auto"/>
              </w:rPr>
              <w:t>1.3 %</w:t>
            </w:r>
          </w:p>
        </w:tc>
        <w:tc>
          <w:tcPr>
            <w:tcW w:w="860" w:type="dxa"/>
            <w:vAlign w:val="bottom"/>
          </w:tcPr>
          <w:p>
            <w:pPr>
              <w:jc w:val="right"/>
              <w:spacing w:after="0"/>
              <w:rPr>
                <w:sz w:val="20"/>
                <w:szCs w:val="20"/>
                <w:color w:val="auto"/>
              </w:rPr>
            </w:pPr>
            <w:r>
              <w:rPr>
                <w:rFonts w:ascii="Arial" w:cs="Arial" w:eastAsia="Arial" w:hAnsi="Arial"/>
                <w:sz w:val="12"/>
                <w:szCs w:val="12"/>
                <w:color w:val="auto"/>
              </w:rPr>
              <w:t>0.1 %</w:t>
            </w:r>
          </w:p>
        </w:tc>
        <w:tc>
          <w:tcPr>
            <w:tcW w:w="880" w:type="dxa"/>
            <w:vAlign w:val="bottom"/>
          </w:tcPr>
          <w:p>
            <w:pPr>
              <w:jc w:val="right"/>
              <w:spacing w:after="0"/>
              <w:rPr>
                <w:sz w:val="20"/>
                <w:szCs w:val="20"/>
                <w:color w:val="auto"/>
              </w:rPr>
            </w:pPr>
            <w:r>
              <w:rPr>
                <w:rFonts w:ascii="Arial" w:cs="Arial" w:eastAsia="Arial" w:hAnsi="Arial"/>
                <w:sz w:val="12"/>
                <w:szCs w:val="12"/>
                <w:color w:val="auto"/>
              </w:rPr>
              <w:t>7.0 %</w:t>
            </w:r>
          </w:p>
        </w:tc>
        <w:tc>
          <w:tcPr>
            <w:tcW w:w="920" w:type="dxa"/>
            <w:vAlign w:val="bottom"/>
          </w:tcPr>
          <w:p>
            <w:pPr>
              <w:jc w:val="right"/>
              <w:spacing w:after="0"/>
              <w:rPr>
                <w:sz w:val="20"/>
                <w:szCs w:val="20"/>
                <w:color w:val="auto"/>
              </w:rPr>
            </w:pPr>
            <w:r>
              <w:rPr>
                <w:rFonts w:ascii="Arial" w:cs="Arial" w:eastAsia="Arial" w:hAnsi="Arial"/>
                <w:sz w:val="12"/>
                <w:szCs w:val="12"/>
                <w:color w:val="auto"/>
              </w:rPr>
              <w:t>(6.4)%</w:t>
            </w:r>
          </w:p>
        </w:tc>
        <w:tc>
          <w:tcPr>
            <w:tcW w:w="840" w:type="dxa"/>
            <w:vAlign w:val="bottom"/>
          </w:tcPr>
          <w:p>
            <w:pPr>
              <w:jc w:val="right"/>
              <w:spacing w:after="0"/>
              <w:rPr>
                <w:sz w:val="20"/>
                <w:szCs w:val="20"/>
                <w:color w:val="auto"/>
              </w:rPr>
            </w:pPr>
            <w:r>
              <w:rPr>
                <w:rFonts w:ascii="Arial" w:cs="Arial" w:eastAsia="Arial" w:hAnsi="Arial"/>
                <w:sz w:val="12"/>
                <w:szCs w:val="12"/>
                <w:color w:val="auto"/>
              </w:rPr>
              <w:t>4.5 %</w:t>
            </w:r>
          </w:p>
        </w:tc>
        <w:tc>
          <w:tcPr>
            <w:tcW w:w="960" w:type="dxa"/>
            <w:vAlign w:val="bottom"/>
          </w:tcPr>
          <w:p>
            <w:pPr>
              <w:jc w:val="right"/>
              <w:spacing w:after="0"/>
              <w:rPr>
                <w:sz w:val="20"/>
                <w:szCs w:val="20"/>
                <w:color w:val="auto"/>
              </w:rPr>
            </w:pPr>
            <w:r>
              <w:rPr>
                <w:rFonts w:ascii="Arial" w:cs="Arial" w:eastAsia="Arial" w:hAnsi="Arial"/>
                <w:sz w:val="12"/>
                <w:szCs w:val="12"/>
                <w:color w:val="auto"/>
              </w:rPr>
              <w:t>3.7 %</w:t>
            </w:r>
          </w:p>
        </w:tc>
        <w:tc>
          <w:tcPr>
            <w:tcW w:w="880" w:type="dxa"/>
            <w:vAlign w:val="bottom"/>
          </w:tcPr>
          <w:p>
            <w:pPr>
              <w:jc w:val="right"/>
              <w:spacing w:after="0"/>
              <w:rPr>
                <w:sz w:val="20"/>
                <w:szCs w:val="20"/>
                <w:color w:val="auto"/>
              </w:rPr>
            </w:pPr>
            <w:r>
              <w:rPr>
                <w:rFonts w:ascii="Arial" w:cs="Arial" w:eastAsia="Arial" w:hAnsi="Arial"/>
                <w:sz w:val="12"/>
                <w:szCs w:val="12"/>
                <w:color w:val="auto"/>
              </w:rPr>
              <w:t>(0.8)%</w:t>
            </w:r>
          </w:p>
        </w:tc>
        <w:tc>
          <w:tcPr>
            <w:tcW w:w="840" w:type="dxa"/>
            <w:vAlign w:val="bottom"/>
          </w:tcPr>
          <w:p>
            <w:pPr>
              <w:jc w:val="right"/>
              <w:spacing w:after="0"/>
              <w:rPr>
                <w:sz w:val="20"/>
                <w:szCs w:val="20"/>
                <w:color w:val="auto"/>
              </w:rPr>
            </w:pPr>
            <w:r>
              <w:rPr>
                <w:rFonts w:ascii="Arial" w:cs="Arial" w:eastAsia="Arial" w:hAnsi="Arial"/>
                <w:sz w:val="12"/>
                <w:szCs w:val="12"/>
                <w:color w:val="auto"/>
              </w:rPr>
              <w:t>1.3 %</w:t>
            </w:r>
          </w:p>
        </w:tc>
        <w:tc>
          <w:tcPr>
            <w:tcW w:w="700" w:type="dxa"/>
            <w:vAlign w:val="bottom"/>
          </w:tcPr>
          <w:p>
            <w:pPr>
              <w:jc w:val="right"/>
              <w:spacing w:after="0"/>
              <w:rPr>
                <w:sz w:val="20"/>
                <w:szCs w:val="20"/>
                <w:color w:val="auto"/>
              </w:rPr>
            </w:pPr>
            <w:r>
              <w:rPr>
                <w:rFonts w:ascii="Arial" w:cs="Arial" w:eastAsia="Arial" w:hAnsi="Arial"/>
                <w:sz w:val="12"/>
                <w:szCs w:val="12"/>
                <w:color w:val="auto"/>
              </w:rPr>
              <w:t>11.4 %</w:t>
            </w:r>
          </w:p>
        </w:tc>
        <w:tc>
          <w:tcPr>
            <w:tcW w:w="0" w:type="dxa"/>
            <w:vAlign w:val="bottom"/>
          </w:tcPr>
          <w:p>
            <w:pPr>
              <w:spacing w:after="0"/>
              <w:rPr>
                <w:sz w:val="1"/>
                <w:szCs w:val="1"/>
                <w:color w:val="auto"/>
              </w:rPr>
            </w:pPr>
          </w:p>
        </w:tc>
      </w:tr>
      <w:tr>
        <w:trPr>
          <w:trHeight w:val="137"/>
        </w:trPr>
        <w:tc>
          <w:tcPr>
            <w:tcW w:w="1300" w:type="dxa"/>
            <w:vAlign w:val="bottom"/>
          </w:tcPr>
          <w:p>
            <w:pPr>
              <w:ind w:left="20"/>
              <w:spacing w:after="0"/>
              <w:rPr>
                <w:sz w:val="20"/>
                <w:szCs w:val="20"/>
                <w:color w:val="auto"/>
              </w:rPr>
            </w:pPr>
            <w:r>
              <w:rPr>
                <w:rFonts w:ascii="Arial" w:cs="Arial" w:eastAsia="Arial" w:hAnsi="Arial"/>
                <w:sz w:val="12"/>
                <w:szCs w:val="12"/>
                <w:color w:val="auto"/>
              </w:rPr>
              <w:t>Diluted EPS -</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300" w:type="dxa"/>
            <w:vAlign w:val="bottom"/>
          </w:tcPr>
          <w:p>
            <w:pPr>
              <w:ind w:left="20"/>
              <w:spacing w:after="0"/>
              <w:rPr>
                <w:sz w:val="20"/>
                <w:szCs w:val="20"/>
                <w:color w:val="auto"/>
              </w:rPr>
            </w:pPr>
            <w:r>
              <w:rPr>
                <w:rFonts w:ascii="Arial" w:cs="Arial" w:eastAsia="Arial" w:hAnsi="Arial"/>
                <w:sz w:val="12"/>
                <w:szCs w:val="12"/>
                <w:color w:val="auto"/>
              </w:rPr>
              <w:t>Continuing Operations</w:t>
            </w: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($0.10)</w:t>
            </w:r>
          </w:p>
        </w:tc>
        <w:tc>
          <w:tcPr>
            <w:tcW w:w="9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80"/>
              <w:spacing w:after="0"/>
              <w:rPr>
                <w:sz w:val="20"/>
                <w:szCs w:val="20"/>
                <w:color w:val="auto"/>
              </w:rPr>
            </w:pPr>
            <w:r>
              <w:rPr>
                <w:rFonts w:ascii="Arial" w:cs="Arial" w:eastAsia="Arial" w:hAnsi="Arial"/>
                <w:sz w:val="12"/>
                <w:szCs w:val="12"/>
                <w:color w:val="auto"/>
              </w:rPr>
              <w:t>$0.12</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w w:val="99"/>
              </w:rPr>
              <w:t>$0.07</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$0.01</w:t>
            </w:r>
          </w:p>
        </w:tc>
        <w:tc>
          <w:tcPr>
            <w:tcW w:w="880" w:type="dxa"/>
            <w:vAlign w:val="bottom"/>
          </w:tcPr>
          <w:p>
            <w:pPr>
              <w:jc w:val="right"/>
              <w:ind w:right="118"/>
              <w:spacing w:after="0"/>
              <w:rPr>
                <w:sz w:val="20"/>
                <w:szCs w:val="20"/>
                <w:color w:val="auto"/>
              </w:rPr>
            </w:pPr>
            <w:r>
              <w:rPr>
                <w:rFonts w:ascii="Arial" w:cs="Arial" w:eastAsia="Arial" w:hAnsi="Arial"/>
                <w:sz w:val="12"/>
                <w:szCs w:val="12"/>
                <w:color w:val="auto"/>
              </w:rPr>
              <w:t>$0.35</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($0.32)</w:t>
            </w:r>
          </w:p>
        </w:tc>
        <w:tc>
          <w:tcPr>
            <w:tcW w:w="840" w:type="dxa"/>
            <w:vAlign w:val="bottom"/>
          </w:tcPr>
          <w:p>
            <w:pPr>
              <w:jc w:val="right"/>
              <w:ind w:right="140"/>
              <w:spacing w:after="0"/>
              <w:rPr>
                <w:sz w:val="20"/>
                <w:szCs w:val="20"/>
                <w:color w:val="auto"/>
              </w:rPr>
            </w:pPr>
            <w:r>
              <w:rPr>
                <w:rFonts w:ascii="Arial" w:cs="Arial" w:eastAsia="Arial" w:hAnsi="Arial"/>
                <w:sz w:val="12"/>
                <w:szCs w:val="12"/>
                <w:color w:val="auto"/>
              </w:rPr>
              <w:t>$0.22</w:t>
            </w: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$0.19</w:t>
            </w:r>
          </w:p>
        </w:tc>
        <w:tc>
          <w:tcPr>
            <w:tcW w:w="880" w:type="dxa"/>
            <w:vAlign w:val="bottom"/>
          </w:tcPr>
          <w:p>
            <w:pPr>
              <w:jc w:val="right"/>
              <w:ind w:right="100"/>
              <w:spacing w:after="0"/>
              <w:rPr>
                <w:sz w:val="20"/>
                <w:szCs w:val="20"/>
                <w:color w:val="auto"/>
              </w:rPr>
            </w:pPr>
            <w:r>
              <w:rPr>
                <w:rFonts w:ascii="Arial" w:cs="Arial" w:eastAsia="Arial" w:hAnsi="Arial"/>
                <w:sz w:val="12"/>
                <w:szCs w:val="12"/>
                <w:color w:val="auto"/>
              </w:rPr>
              <w:t>($0.04)</w:t>
            </w: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$0.07</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$0.57</w:t>
            </w:r>
          </w:p>
        </w:tc>
        <w:tc>
          <w:tcPr>
            <w:tcW w:w="0" w:type="dxa"/>
            <w:vAlign w:val="bottom"/>
          </w:tcPr>
          <w:p>
            <w:pPr>
              <w:spacing w:after="0"/>
              <w:rPr>
                <w:sz w:val="1"/>
                <w:szCs w:val="1"/>
                <w:color w:val="auto"/>
              </w:rPr>
            </w:pPr>
          </w:p>
        </w:tc>
      </w:tr>
      <w:tr>
        <w:trPr>
          <w:trHeight w:val="281"/>
        </w:trPr>
        <w:tc>
          <w:tcPr>
            <w:tcW w:w="4360" w:type="dxa"/>
            <w:vAlign w:val="bottom"/>
            <w:gridSpan w:val="5"/>
          </w:tcPr>
          <w:p>
            <w:pPr>
              <w:ind w:left="20"/>
              <w:spacing w:after="0"/>
              <w:rPr>
                <w:sz w:val="20"/>
                <w:szCs w:val="20"/>
                <w:color w:val="auto"/>
              </w:rPr>
            </w:pPr>
            <w:r>
              <w:rPr>
                <w:rFonts w:ascii="Arial" w:cs="Arial" w:eastAsia="Arial" w:hAnsi="Arial"/>
                <w:sz w:val="12"/>
                <w:szCs w:val="12"/>
                <w:b w:val="1"/>
                <w:bCs w:val="1"/>
                <w:color w:val="auto"/>
              </w:rPr>
              <w:t>GAAP results for the three months ended December 31, 2021, include:</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860" w:type="dxa"/>
            <w:vAlign w:val="bottom"/>
            <w:gridSpan w:val="4"/>
          </w:tcPr>
          <w:p>
            <w:pPr>
              <w:ind w:left="20"/>
              <w:spacing w:after="0"/>
              <w:rPr>
                <w:sz w:val="20"/>
                <w:szCs w:val="20"/>
                <w:color w:val="auto"/>
              </w:rPr>
            </w:pPr>
            <w:r>
              <w:rPr>
                <w:rFonts w:ascii="Arial" w:cs="Arial" w:eastAsia="Arial" w:hAnsi="Arial"/>
                <w:sz w:val="12"/>
                <w:szCs w:val="12"/>
                <w:color w:val="auto"/>
              </w:rPr>
              <w:t>(A)   Restructuring expenses related to organizational changes</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220" w:type="dxa"/>
            <w:vAlign w:val="bottom"/>
            <w:gridSpan w:val="6"/>
          </w:tcPr>
          <w:p>
            <w:pPr>
              <w:ind w:left="20"/>
              <w:spacing w:after="0"/>
              <w:rPr>
                <w:sz w:val="20"/>
                <w:szCs w:val="20"/>
                <w:color w:val="auto"/>
              </w:rPr>
            </w:pPr>
            <w:r>
              <w:rPr>
                <w:rFonts w:ascii="Arial" w:cs="Arial" w:eastAsia="Arial" w:hAnsi="Arial"/>
                <w:sz w:val="12"/>
                <w:szCs w:val="12"/>
                <w:color w:val="auto"/>
              </w:rPr>
              <w:t>(B)   Includes depreciation and amortization associated with purchase price accounting</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40" w:type="dxa"/>
            <w:vAlign w:val="bottom"/>
            <w:gridSpan w:val="3"/>
          </w:tcPr>
          <w:p>
            <w:pPr>
              <w:ind w:left="20"/>
              <w:spacing w:after="0"/>
              <w:rPr>
                <w:sz w:val="20"/>
                <w:szCs w:val="20"/>
                <w:color w:val="auto"/>
              </w:rPr>
            </w:pPr>
            <w:r>
              <w:rPr>
                <w:rFonts w:ascii="Arial" w:cs="Arial" w:eastAsia="Arial" w:hAnsi="Arial"/>
                <w:sz w:val="12"/>
                <w:szCs w:val="12"/>
                <w:color w:val="auto"/>
              </w:rPr>
              <w:t>(C)   Loss associated with the sale of Heart Valves</w:t>
            </w: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60" w:type="dxa"/>
            <w:vAlign w:val="bottom"/>
            <w:gridSpan w:val="4"/>
          </w:tcPr>
          <w:p>
            <w:pPr>
              <w:ind w:left="20"/>
              <w:spacing w:after="0"/>
              <w:rPr>
                <w:sz w:val="20"/>
                <w:szCs w:val="20"/>
                <w:color w:val="auto"/>
              </w:rPr>
            </w:pPr>
            <w:r>
              <w:rPr>
                <w:rFonts w:ascii="Arial" w:cs="Arial" w:eastAsia="Arial" w:hAnsi="Arial"/>
                <w:sz w:val="12"/>
                <w:szCs w:val="12"/>
                <w:color w:val="auto"/>
              </w:rPr>
              <w:t>(D)   Costs related to the 3T Heater-Cooler remediation plan</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700" w:type="dxa"/>
            <w:vAlign w:val="bottom"/>
            <w:gridSpan w:val="11"/>
          </w:tcPr>
          <w:p>
            <w:pPr>
              <w:ind w:left="20"/>
              <w:spacing w:after="0"/>
              <w:rPr>
                <w:sz w:val="20"/>
                <w:szCs w:val="20"/>
                <w:color w:val="auto"/>
              </w:rPr>
            </w:pPr>
            <w:r>
              <w:rPr>
                <w:rFonts w:ascii="Arial" w:cs="Arial" w:eastAsia="Arial" w:hAnsi="Arial"/>
                <w:sz w:val="12"/>
                <w:szCs w:val="12"/>
                <w:color w:val="auto"/>
              </w:rPr>
              <w:t>(E)   Costs associated with our June 2020 financing transactions, including the mark-to-market adjustment for the exchangeable option feature and capped call derivatives</w:t>
            </w: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60" w:type="dxa"/>
            <w:vAlign w:val="bottom"/>
            <w:gridSpan w:val="5"/>
          </w:tcPr>
          <w:p>
            <w:pPr>
              <w:ind w:left="20"/>
              <w:spacing w:after="0"/>
              <w:rPr>
                <w:sz w:val="20"/>
                <w:szCs w:val="20"/>
                <w:color w:val="auto"/>
              </w:rPr>
            </w:pPr>
            <w:r>
              <w:rPr>
                <w:rFonts w:ascii="Arial" w:cs="Arial" w:eastAsia="Arial" w:hAnsi="Arial"/>
                <w:sz w:val="12"/>
                <w:szCs w:val="12"/>
                <w:color w:val="auto"/>
              </w:rPr>
              <w:t>(F)   Remeasurement of contingent consideration related to acquisitions</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820" w:type="dxa"/>
            <w:vAlign w:val="bottom"/>
            <w:gridSpan w:val="10"/>
          </w:tcPr>
          <w:p>
            <w:pPr>
              <w:ind w:left="20"/>
              <w:spacing w:after="0"/>
              <w:rPr>
                <w:sz w:val="20"/>
                <w:szCs w:val="20"/>
                <w:color w:val="auto"/>
              </w:rPr>
            </w:pPr>
            <w:r>
              <w:rPr>
                <w:rFonts w:ascii="Arial" w:cs="Arial" w:eastAsia="Arial" w:hAnsi="Arial"/>
                <w:sz w:val="12"/>
                <w:szCs w:val="12"/>
                <w:color w:val="auto"/>
              </w:rPr>
              <w:t>(G)   3T Heater-Cooler litigation provision, legal expenses primarily related to 3T Heater-Cooler defense, costs related to the SNIA matter and MDR costs</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360" w:type="dxa"/>
            <w:vAlign w:val="bottom"/>
            <w:gridSpan w:val="5"/>
          </w:tcPr>
          <w:p>
            <w:pPr>
              <w:ind w:left="20"/>
              <w:spacing w:after="0"/>
              <w:rPr>
                <w:sz w:val="20"/>
                <w:szCs w:val="20"/>
                <w:color w:val="auto"/>
              </w:rPr>
            </w:pPr>
            <w:r>
              <w:rPr>
                <w:rFonts w:ascii="Arial" w:cs="Arial" w:eastAsia="Arial" w:hAnsi="Arial"/>
                <w:sz w:val="12"/>
                <w:szCs w:val="12"/>
                <w:color w:val="auto"/>
              </w:rPr>
              <w:t>(H)   Non-cash expenses associated with stock-based compensation costs</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860" w:type="dxa"/>
            <w:vAlign w:val="bottom"/>
            <w:gridSpan w:val="4"/>
          </w:tcPr>
          <w:p>
            <w:pPr>
              <w:ind w:left="20"/>
              <w:spacing w:after="0"/>
              <w:rPr>
                <w:sz w:val="20"/>
                <w:szCs w:val="20"/>
                <w:color w:val="auto"/>
              </w:rPr>
            </w:pPr>
            <w:r>
              <w:rPr>
                <w:rFonts w:ascii="Arial" w:cs="Arial" w:eastAsia="Arial" w:hAnsi="Arial"/>
                <w:sz w:val="12"/>
                <w:szCs w:val="12"/>
                <w:color w:val="auto"/>
              </w:rPr>
              <w:t>(I)   Discrete tax items and the tax impact of intercompany transactions</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100" w:type="dxa"/>
            <w:vAlign w:val="bottom"/>
            <w:gridSpan w:val="7"/>
          </w:tcPr>
          <w:p>
            <w:pPr>
              <w:ind w:left="20"/>
              <w:spacing w:after="0" w:line="130" w:lineRule="exact"/>
              <w:rPr>
                <w:sz w:val="20"/>
                <w:szCs w:val="20"/>
                <w:color w:val="auto"/>
              </w:rPr>
            </w:pPr>
            <w:r>
              <w:rPr>
                <w:rFonts w:ascii="Arial" w:cs="Arial" w:eastAsia="Arial" w:hAnsi="Arial"/>
                <w:sz w:val="12"/>
                <w:szCs w:val="12"/>
                <w:color w:val="auto"/>
              </w:rPr>
              <w:t>(J)   Non-cash interest expense on the Senior Secured Term Loan and Cash Exchangeable Senior Notes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2940" w:type="dxa"/>
            <w:vAlign w:val="bottom"/>
            <w:gridSpan w:val="3"/>
          </w:tcPr>
          <w:p>
            <w:pPr>
              <w:ind w:left="20"/>
              <w:spacing w:after="0"/>
              <w:rPr>
                <w:sz w:val="20"/>
                <w:szCs w:val="20"/>
                <w:color w:val="auto"/>
              </w:rPr>
            </w:pPr>
            <w:r>
              <w:rPr>
                <w:rFonts w:ascii="Arial" w:cs="Arial" w:eastAsia="Arial" w:hAnsi="Arial"/>
                <w:sz w:val="12"/>
                <w:szCs w:val="12"/>
                <w:color w:val="auto"/>
              </w:rPr>
              <w:t>* Numbers may not add precisely due to rounding.</w:t>
            </w: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20"/>
                <w:szCs w:val="20"/>
                <w:color w:val="auto"/>
                <w:w w:val="98"/>
              </w:rPr>
              <w:t>16</w:t>
            </w: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3"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71393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4"/>
          <w:szCs w:val="14"/>
          <w:b w:val="1"/>
          <w:bCs w:val="1"/>
          <w:color w:val="auto"/>
        </w:rPr>
        <w:t>Specified Items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8"/>
              </w:rPr>
              <w:t>Depreciation</w:t>
            </w:r>
          </w:p>
        </w:tc>
        <w:tc>
          <w:tcPr>
            <w:tcW w:w="8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160" w:type="dxa"/>
            <w:vAlign w:val="bottom"/>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GAAP</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8"/>
              </w:rPr>
              <w:t>Merger and</w:t>
            </w: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Restructuring</w:t>
            </w:r>
          </w:p>
        </w:tc>
        <w:tc>
          <w:tcPr>
            <w:tcW w:w="8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rPr>
              <w:t>and</w:t>
            </w:r>
          </w:p>
        </w:tc>
        <w:tc>
          <w:tcPr>
            <w:tcW w:w="800" w:type="dxa"/>
            <w:vAlign w:val="bottom"/>
          </w:tcPr>
          <w:p>
            <w:pPr>
              <w:spacing w:after="0"/>
              <w:rPr>
                <w:sz w:val="11"/>
                <w:szCs w:val="11"/>
                <w:color w:val="auto"/>
              </w:rPr>
            </w:pPr>
          </w:p>
        </w:tc>
        <w:tc>
          <w:tcPr>
            <w:tcW w:w="860" w:type="dxa"/>
            <w:vAlign w:val="bottom"/>
            <w:vMerge w:val="restart"/>
          </w:tcPr>
          <w:p>
            <w:pPr>
              <w:jc w:val="center"/>
              <w:ind w:right="18"/>
              <w:spacing w:after="0"/>
              <w:rPr>
                <w:sz w:val="20"/>
                <w:szCs w:val="20"/>
                <w:color w:val="auto"/>
              </w:rPr>
            </w:pPr>
            <w:r>
              <w:rPr>
                <w:rFonts w:ascii="Arial" w:cs="Arial" w:eastAsia="Arial" w:hAnsi="Arial"/>
                <w:sz w:val="12"/>
                <w:szCs w:val="12"/>
                <w:b w:val="1"/>
                <w:bCs w:val="1"/>
                <w:color w:val="auto"/>
              </w:rPr>
              <w:t>Financing</w:t>
            </w: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Contingent</w:t>
            </w: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Certain Legal</w:t>
            </w:r>
          </w:p>
        </w:tc>
        <w:tc>
          <w:tcPr>
            <w:tcW w:w="9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rPr>
              <w:t>Stock-based</w:t>
            </w: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Certain Tax</w:t>
            </w:r>
          </w:p>
        </w:tc>
        <w:tc>
          <w:tcPr>
            <w:tcW w:w="8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rPr>
              <w:t>Certain</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Adjusted</w:t>
            </w:r>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6"/>
              </w:rPr>
              <w:t>Integration</w:t>
            </w:r>
          </w:p>
        </w:tc>
        <w:tc>
          <w:tcPr>
            <w:tcW w:w="920" w:type="dxa"/>
            <w:vAlign w:val="bottom"/>
            <w:vMerge w:val="continue"/>
          </w:tcPr>
          <w:p>
            <w:pPr>
              <w:spacing w:after="0"/>
              <w:rPr>
                <w:sz w:val="10"/>
                <w:szCs w:val="10"/>
                <w:color w:val="auto"/>
              </w:rPr>
            </w:pPr>
          </w:p>
        </w:tc>
        <w:tc>
          <w:tcPr>
            <w:tcW w:w="8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8"/>
              </w:rPr>
              <w:t>Amortization</w:t>
            </w:r>
          </w:p>
        </w:tc>
        <w:tc>
          <w:tcPr>
            <w:tcW w:w="8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&amp; Regulatory</w:t>
            </w:r>
          </w:p>
        </w:tc>
        <w:tc>
          <w:tcPr>
            <w:tcW w:w="9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rPr>
              <w:t>Compensation</w:t>
            </w:r>
          </w:p>
        </w:tc>
        <w:tc>
          <w:tcPr>
            <w:tcW w:w="880" w:type="dxa"/>
            <w:vAlign w:val="bottom"/>
            <w:vMerge w:val="continue"/>
          </w:tcPr>
          <w:p>
            <w:pPr>
              <w:spacing w:after="0"/>
              <w:rPr>
                <w:sz w:val="10"/>
                <w:szCs w:val="10"/>
                <w:color w:val="auto"/>
              </w:rPr>
            </w:pPr>
          </w:p>
        </w:tc>
        <w:tc>
          <w:tcPr>
            <w:tcW w:w="84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6"/>
              </w:rPr>
              <w:t>Interest</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1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Year Ended</w:t>
            </w: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Financial</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Expenses</w:t>
            </w:r>
          </w:p>
        </w:tc>
        <w:tc>
          <w:tcPr>
            <w:tcW w:w="920" w:type="dxa"/>
            <w:vAlign w:val="bottom"/>
          </w:tcPr>
          <w:p>
            <w:pPr>
              <w:jc w:val="center"/>
              <w:ind w:right="20"/>
              <w:spacing w:after="0" w:line="128" w:lineRule="exact"/>
              <w:rPr>
                <w:sz w:val="20"/>
                <w:szCs w:val="20"/>
                <w:color w:val="auto"/>
              </w:rPr>
            </w:pPr>
            <w:r>
              <w:rPr>
                <w:rFonts w:ascii="Arial" w:cs="Arial" w:eastAsia="Arial" w:hAnsi="Arial"/>
                <w:sz w:val="12"/>
                <w:szCs w:val="12"/>
                <w:b w:val="1"/>
                <w:bCs w:val="1"/>
                <w:color w:val="auto"/>
                <w:w w:val="99"/>
              </w:rPr>
              <w:t>Expenses</w:t>
            </w:r>
          </w:p>
        </w:tc>
        <w:tc>
          <w:tcPr>
            <w:tcW w:w="880" w:type="dxa"/>
            <w:vAlign w:val="bottom"/>
          </w:tcPr>
          <w:p>
            <w:pPr>
              <w:jc w:val="center"/>
              <w:ind w:right="20"/>
              <w:spacing w:after="0" w:line="128" w:lineRule="exact"/>
              <w:rPr>
                <w:sz w:val="20"/>
                <w:szCs w:val="20"/>
                <w:color w:val="auto"/>
              </w:rPr>
            </w:pPr>
            <w:r>
              <w:rPr>
                <w:rFonts w:ascii="Arial" w:cs="Arial" w:eastAsia="Arial" w:hAnsi="Arial"/>
                <w:sz w:val="12"/>
                <w:szCs w:val="12"/>
                <w:b w:val="1"/>
                <w:bCs w:val="1"/>
                <w:color w:val="auto"/>
                <w:w w:val="99"/>
              </w:rPr>
              <w:t>Expenses</w:t>
            </w:r>
          </w:p>
        </w:tc>
        <w:tc>
          <w:tcPr>
            <w:tcW w:w="800" w:type="dxa"/>
            <w:vAlign w:val="bottom"/>
          </w:tcPr>
          <w:p>
            <w:pPr>
              <w:jc w:val="right"/>
              <w:ind w:right="60"/>
              <w:spacing w:after="0" w:line="128" w:lineRule="exact"/>
              <w:rPr>
                <w:sz w:val="20"/>
                <w:szCs w:val="20"/>
                <w:color w:val="auto"/>
              </w:rPr>
            </w:pPr>
            <w:r>
              <w:rPr>
                <w:rFonts w:ascii="Arial" w:cs="Arial" w:eastAsia="Arial" w:hAnsi="Arial"/>
                <w:sz w:val="12"/>
                <w:szCs w:val="12"/>
                <w:b w:val="1"/>
                <w:bCs w:val="1"/>
                <w:color w:val="auto"/>
              </w:rPr>
              <w:t>Impairment</w:t>
            </w:r>
          </w:p>
        </w:tc>
        <w:tc>
          <w:tcPr>
            <w:tcW w:w="860" w:type="dxa"/>
            <w:vAlign w:val="bottom"/>
          </w:tcPr>
          <w:p>
            <w:pPr>
              <w:jc w:val="center"/>
              <w:ind w:right="18"/>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Consideration</w:t>
            </w: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rPr>
              <w:t>Costs</w:t>
            </w:r>
          </w:p>
        </w:tc>
        <w:tc>
          <w:tcPr>
            <w:tcW w:w="960" w:type="dxa"/>
            <w:vAlign w:val="bottom"/>
          </w:tcPr>
          <w:p>
            <w:pPr>
              <w:jc w:val="center"/>
              <w:ind w:right="20"/>
              <w:spacing w:after="0" w:line="128" w:lineRule="exact"/>
              <w:rPr>
                <w:sz w:val="20"/>
                <w:szCs w:val="20"/>
                <w:color w:val="auto"/>
              </w:rPr>
            </w:pPr>
            <w:r>
              <w:rPr>
                <w:rFonts w:ascii="Arial" w:cs="Arial" w:eastAsia="Arial" w:hAnsi="Arial"/>
                <w:sz w:val="12"/>
                <w:szCs w:val="12"/>
                <w:b w:val="1"/>
                <w:bCs w:val="1"/>
                <w:color w:val="auto"/>
                <w:w w:val="95"/>
              </w:rPr>
              <w:t>Costs</w:t>
            </w:r>
          </w:p>
        </w:tc>
        <w:tc>
          <w:tcPr>
            <w:tcW w:w="880" w:type="dxa"/>
            <w:vAlign w:val="bottom"/>
          </w:tcPr>
          <w:p>
            <w:pPr>
              <w:jc w:val="center"/>
              <w:ind w:right="20"/>
              <w:spacing w:after="0" w:line="128" w:lineRule="exact"/>
              <w:rPr>
                <w:sz w:val="20"/>
                <w:szCs w:val="20"/>
                <w:color w:val="auto"/>
              </w:rPr>
            </w:pPr>
            <w:r>
              <w:rPr>
                <w:rFonts w:ascii="Arial" w:cs="Arial" w:eastAsia="Arial" w:hAnsi="Arial"/>
                <w:sz w:val="12"/>
                <w:szCs w:val="12"/>
                <w:b w:val="1"/>
                <w:bCs w:val="1"/>
                <w:color w:val="auto"/>
                <w:w w:val="99"/>
              </w:rPr>
              <w:t>Adjustments</w:t>
            </w:r>
          </w:p>
        </w:tc>
        <w:tc>
          <w:tcPr>
            <w:tcW w:w="8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rPr>
              <w:t>Adjustments</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Financial</w:t>
            </w:r>
          </w:p>
        </w:tc>
        <w:tc>
          <w:tcPr>
            <w:tcW w:w="0" w:type="dxa"/>
            <w:vAlign w:val="bottom"/>
          </w:tcPr>
          <w:p>
            <w:pPr>
              <w:spacing w:after="0"/>
              <w:rPr>
                <w:sz w:val="1"/>
                <w:szCs w:val="1"/>
                <w:color w:val="auto"/>
              </w:rPr>
            </w:pPr>
          </w:p>
        </w:tc>
      </w:tr>
      <w:tr>
        <w:trPr>
          <w:trHeight w:val="162"/>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December 31, 2022</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Measures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(B)</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(D)</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(H)</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(J)</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Measures</w:t>
            </w:r>
          </w:p>
        </w:tc>
        <w:tc>
          <w:tcPr>
            <w:tcW w:w="0" w:type="dxa"/>
            <w:vAlign w:val="bottom"/>
          </w:tcPr>
          <w:p>
            <w:pPr>
              <w:spacing w:after="0"/>
              <w:rPr>
                <w:sz w:val="1"/>
                <w:szCs w:val="1"/>
                <w:color w:val="auto"/>
              </w:rPr>
            </w:pPr>
          </w:p>
        </w:tc>
      </w:tr>
      <w:tr>
        <w:trPr>
          <w:trHeight w:val="148"/>
        </w:trPr>
        <w:tc>
          <w:tcPr>
            <w:tcW w:w="1160" w:type="dxa"/>
            <w:vAlign w:val="bottom"/>
          </w:tcPr>
          <w:p>
            <w:pPr>
              <w:ind w:left="20"/>
              <w:spacing w:after="0"/>
              <w:rPr>
                <w:sz w:val="20"/>
                <w:szCs w:val="20"/>
                <w:color w:val="auto"/>
              </w:rPr>
            </w:pPr>
            <w:r>
              <w:rPr>
                <w:rFonts w:ascii="Arial" w:cs="Arial" w:eastAsia="Arial" w:hAnsi="Arial"/>
                <w:sz w:val="12"/>
                <w:szCs w:val="12"/>
                <w:color w:val="auto"/>
              </w:rPr>
              <w:t>Cost of sales</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$314.6</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00"/>
              <w:spacing w:after="0"/>
              <w:rPr>
                <w:sz w:val="20"/>
                <w:szCs w:val="20"/>
                <w:color w:val="auto"/>
              </w:rPr>
            </w:pPr>
            <w:r>
              <w:rPr>
                <w:rFonts w:ascii="Arial" w:cs="Arial" w:eastAsia="Arial" w:hAnsi="Arial"/>
                <w:sz w:val="12"/>
                <w:szCs w:val="12"/>
                <w:color w:val="auto"/>
              </w:rPr>
              <w:t>($14.5)</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$10.5</w:t>
            </w:r>
          </w:p>
        </w:tc>
        <w:tc>
          <w:tcPr>
            <w:tcW w:w="8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($1.5)</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$309.1</w:t>
            </w:r>
          </w:p>
        </w:tc>
        <w:tc>
          <w:tcPr>
            <w:tcW w:w="0" w:type="dxa"/>
            <w:vAlign w:val="bottom"/>
          </w:tcPr>
          <w:p>
            <w:pPr>
              <w:spacing w:after="0"/>
              <w:rPr>
                <w:sz w:val="1"/>
                <w:szCs w:val="1"/>
                <w:color w:val="auto"/>
              </w:rPr>
            </w:pPr>
          </w:p>
        </w:tc>
      </w:tr>
      <w:tr>
        <w:trPr>
          <w:trHeight w:val="166"/>
        </w:trPr>
        <w:tc>
          <w:tcPr>
            <w:tcW w:w="1160" w:type="dxa"/>
            <w:vAlign w:val="bottom"/>
          </w:tcPr>
          <w:p>
            <w:pPr>
              <w:ind w:left="20"/>
              <w:spacing w:after="0"/>
              <w:rPr>
                <w:sz w:val="20"/>
                <w:szCs w:val="20"/>
                <w:color w:val="auto"/>
              </w:rPr>
            </w:pPr>
            <w:r>
              <w:rPr>
                <w:rFonts w:ascii="Arial" w:cs="Arial" w:eastAsia="Arial" w:hAnsi="Arial"/>
                <w:sz w:val="12"/>
                <w:szCs w:val="12"/>
                <w:color w:val="auto"/>
              </w:rPr>
              <w:t>Gross profit percent</w:t>
            </w:r>
          </w:p>
        </w:tc>
        <w:tc>
          <w:tcPr>
            <w:tcW w:w="680" w:type="dxa"/>
            <w:vAlign w:val="bottom"/>
          </w:tcPr>
          <w:p>
            <w:pPr>
              <w:jc w:val="right"/>
              <w:spacing w:after="0"/>
              <w:rPr>
                <w:sz w:val="20"/>
                <w:szCs w:val="20"/>
                <w:color w:val="auto"/>
              </w:rPr>
            </w:pPr>
            <w:r>
              <w:rPr>
                <w:rFonts w:ascii="Arial" w:cs="Arial" w:eastAsia="Arial" w:hAnsi="Arial"/>
                <w:sz w:val="12"/>
                <w:szCs w:val="12"/>
                <w:color w:val="auto"/>
              </w:rPr>
              <w:t>69.2 %</w:t>
            </w:r>
          </w:p>
        </w:tc>
        <w:tc>
          <w:tcPr>
            <w:tcW w:w="78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w:t>
            </w:r>
          </w:p>
        </w:tc>
        <w:tc>
          <w:tcPr>
            <w:tcW w:w="880" w:type="dxa"/>
            <w:vAlign w:val="bottom"/>
          </w:tcPr>
          <w:p>
            <w:pPr>
              <w:jc w:val="right"/>
              <w:spacing w:after="0"/>
              <w:rPr>
                <w:sz w:val="20"/>
                <w:szCs w:val="20"/>
                <w:color w:val="auto"/>
              </w:rPr>
            </w:pPr>
            <w:r>
              <w:rPr>
                <w:rFonts w:ascii="Arial" w:cs="Arial" w:eastAsia="Arial" w:hAnsi="Arial"/>
                <w:sz w:val="12"/>
                <w:szCs w:val="12"/>
                <w:color w:val="auto"/>
              </w:rPr>
              <w:t>1.4 %</w:t>
            </w:r>
          </w:p>
        </w:tc>
        <w:tc>
          <w:tcPr>
            <w:tcW w:w="80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60"/>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(1.0)%</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960" w:type="dxa"/>
            <w:vAlign w:val="bottom"/>
          </w:tcPr>
          <w:p>
            <w:pPr>
              <w:jc w:val="right"/>
              <w:spacing w:after="0"/>
              <w:rPr>
                <w:sz w:val="20"/>
                <w:szCs w:val="20"/>
                <w:color w:val="auto"/>
              </w:rPr>
            </w:pPr>
            <w:r>
              <w:rPr>
                <w:rFonts w:ascii="Arial" w:cs="Arial" w:eastAsia="Arial" w:hAnsi="Arial"/>
                <w:sz w:val="12"/>
                <w:szCs w:val="12"/>
                <w:color w:val="auto"/>
              </w:rPr>
              <w:t>0.1 %</w:t>
            </w:r>
          </w:p>
        </w:tc>
        <w:tc>
          <w:tcPr>
            <w:tcW w:w="880" w:type="dxa"/>
            <w:vAlign w:val="bottom"/>
          </w:tcPr>
          <w:p>
            <w:pPr>
              <w:jc w:val="right"/>
              <w:spacing w:after="0"/>
              <w:rPr>
                <w:sz w:val="20"/>
                <w:szCs w:val="20"/>
                <w:color w:val="auto"/>
              </w:rPr>
            </w:pPr>
            <w:r>
              <w:rPr>
                <w:rFonts w:ascii="Arial" w:cs="Arial" w:eastAsia="Arial" w:hAnsi="Arial"/>
                <w:sz w:val="12"/>
                <w:szCs w:val="12"/>
                <w:color w:val="auto"/>
              </w:rPr>
              <w:t>— %</w:t>
            </w:r>
          </w:p>
        </w:tc>
        <w:tc>
          <w:tcPr>
            <w:tcW w:w="840" w:type="dxa"/>
            <w:vAlign w:val="bottom"/>
          </w:tcPr>
          <w:p>
            <w:pPr>
              <w:ind w:left="560"/>
              <w:spacing w:after="0"/>
              <w:rPr>
                <w:sz w:val="20"/>
                <w:szCs w:val="20"/>
                <w:color w:val="auto"/>
              </w:rPr>
            </w:pPr>
            <w:r>
              <w:rPr>
                <w:rFonts w:ascii="Arial" w:cs="Arial" w:eastAsia="Arial" w:hAnsi="Arial"/>
                <w:sz w:val="12"/>
                <w:szCs w:val="12"/>
                <w:color w:val="auto"/>
                <w:w w:val="99"/>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69.8 %</w:t>
            </w:r>
          </w:p>
        </w:tc>
        <w:tc>
          <w:tcPr>
            <w:tcW w:w="0" w:type="dxa"/>
            <w:vAlign w:val="bottom"/>
          </w:tcPr>
          <w:p>
            <w:pPr>
              <w:spacing w:after="0"/>
              <w:rPr>
                <w:sz w:val="1"/>
                <w:szCs w:val="1"/>
                <w:color w:val="auto"/>
              </w:rPr>
            </w:pPr>
          </w:p>
        </w:tc>
      </w:tr>
      <w:tr>
        <w:trPr>
          <w:trHeight w:val="137"/>
        </w:trPr>
        <w:tc>
          <w:tcPr>
            <w:tcW w:w="1160" w:type="dxa"/>
            <w:vAlign w:val="bottom"/>
          </w:tcPr>
          <w:p>
            <w:pPr>
              <w:ind w:left="20"/>
              <w:spacing w:after="0"/>
              <w:rPr>
                <w:sz w:val="20"/>
                <w:szCs w:val="20"/>
                <w:color w:val="auto"/>
              </w:rPr>
            </w:pPr>
            <w:r>
              <w:rPr>
                <w:rFonts w:ascii="Arial" w:cs="Arial" w:eastAsia="Arial" w:hAnsi="Arial"/>
                <w:sz w:val="12"/>
                <w:szCs w:val="12"/>
                <w:color w:val="auto"/>
              </w:rPr>
              <w:t>Selling, general and</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60" w:type="dxa"/>
            <w:vAlign w:val="bottom"/>
          </w:tcPr>
          <w:p>
            <w:pPr>
              <w:ind w:left="20"/>
              <w:spacing w:after="0"/>
              <w:rPr>
                <w:sz w:val="20"/>
                <w:szCs w:val="20"/>
                <w:color w:val="auto"/>
              </w:rPr>
            </w:pPr>
            <w:r>
              <w:rPr>
                <w:rFonts w:ascii="Arial" w:cs="Arial" w:eastAsia="Arial" w:hAnsi="Arial"/>
                <w:sz w:val="12"/>
                <w:szCs w:val="12"/>
                <w:color w:val="auto"/>
              </w:rPr>
              <w:t>administrative</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469.2</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00"/>
              <w:spacing w:after="0"/>
              <w:rPr>
                <w:sz w:val="20"/>
                <w:szCs w:val="20"/>
                <w:color w:val="auto"/>
              </w:rPr>
            </w:pPr>
            <w:r>
              <w:rPr>
                <w:rFonts w:ascii="Arial" w:cs="Arial" w:eastAsia="Arial" w:hAnsi="Arial"/>
                <w:sz w:val="12"/>
                <w:szCs w:val="12"/>
                <w:color w:val="auto"/>
              </w:rPr>
              <w:t>(11.3)</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tcPr>
          <w:p>
            <w:pPr>
              <w:ind w:left="56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00"/>
              <w:spacing w:after="0"/>
              <w:rPr>
                <w:sz w:val="20"/>
                <w:szCs w:val="20"/>
                <w:color w:val="auto"/>
              </w:rPr>
            </w:pPr>
            <w:r>
              <w:rPr>
                <w:rFonts w:ascii="Arial" w:cs="Arial" w:eastAsia="Arial" w:hAnsi="Arial"/>
                <w:sz w:val="12"/>
                <w:szCs w:val="12"/>
                <w:color w:val="auto"/>
              </w:rPr>
              <w:t>(20.9)</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(35.6)</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tcPr>
          <w:p>
            <w:pPr>
              <w:ind w:left="5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401.4</w:t>
            </w:r>
          </w:p>
        </w:tc>
        <w:tc>
          <w:tcPr>
            <w:tcW w:w="0" w:type="dxa"/>
            <w:vAlign w:val="bottom"/>
          </w:tcPr>
          <w:p>
            <w:pPr>
              <w:spacing w:after="0"/>
              <w:rPr>
                <w:sz w:val="1"/>
                <w:szCs w:val="1"/>
                <w:color w:val="auto"/>
              </w:rPr>
            </w:pPr>
          </w:p>
        </w:tc>
      </w:tr>
      <w:tr>
        <w:trPr>
          <w:trHeight w:val="137"/>
        </w:trPr>
        <w:tc>
          <w:tcPr>
            <w:tcW w:w="1160" w:type="dxa"/>
            <w:vAlign w:val="bottom"/>
          </w:tcPr>
          <w:p>
            <w:pPr>
              <w:ind w:left="20"/>
              <w:spacing w:after="0"/>
              <w:rPr>
                <w:sz w:val="20"/>
                <w:szCs w:val="20"/>
                <w:color w:val="auto"/>
              </w:rPr>
            </w:pPr>
            <w:r>
              <w:rPr>
                <w:rFonts w:ascii="Arial" w:cs="Arial" w:eastAsia="Arial" w:hAnsi="Arial"/>
                <w:sz w:val="12"/>
                <w:szCs w:val="12"/>
                <w:color w:val="auto"/>
              </w:rPr>
              <w:t>Selling, general and</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60" w:type="dxa"/>
            <w:vAlign w:val="bottom"/>
          </w:tcPr>
          <w:p>
            <w:pPr>
              <w:ind w:left="20"/>
              <w:spacing w:after="0" w:line="128" w:lineRule="exact"/>
              <w:rPr>
                <w:sz w:val="20"/>
                <w:szCs w:val="20"/>
                <w:color w:val="auto"/>
              </w:rPr>
            </w:pPr>
            <w:r>
              <w:rPr>
                <w:rFonts w:ascii="Arial" w:cs="Arial" w:eastAsia="Arial" w:hAnsi="Arial"/>
                <w:sz w:val="12"/>
                <w:szCs w:val="12"/>
                <w:color w:val="auto"/>
              </w:rPr>
              <w:t>administrative as a</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60" w:type="dxa"/>
            <w:vAlign w:val="bottom"/>
          </w:tcPr>
          <w:p>
            <w:pPr>
              <w:ind w:left="20"/>
              <w:spacing w:after="0" w:line="115" w:lineRule="exact"/>
              <w:rPr>
                <w:sz w:val="20"/>
                <w:szCs w:val="20"/>
                <w:color w:val="auto"/>
              </w:rPr>
            </w:pPr>
            <w:r>
              <w:rPr>
                <w:rFonts w:ascii="Arial" w:cs="Arial" w:eastAsia="Arial" w:hAnsi="Arial"/>
                <w:sz w:val="12"/>
                <w:szCs w:val="12"/>
                <w:color w:val="auto"/>
              </w:rPr>
              <w:t>percent of net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45.9 %</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(1.1)%</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 %</w:t>
            </w:r>
          </w:p>
        </w:tc>
        <w:tc>
          <w:tcPr>
            <w:tcW w:w="860" w:type="dxa"/>
            <w:vAlign w:val="bottom"/>
            <w:vMerge w:val="restart"/>
          </w:tcPr>
          <w:p>
            <w:pPr>
              <w:ind w:left="560"/>
              <w:spacing w:after="0"/>
              <w:rPr>
                <w:sz w:val="20"/>
                <w:szCs w:val="20"/>
                <w:color w:val="auto"/>
              </w:rPr>
            </w:pPr>
            <w:r>
              <w:rPr>
                <w:rFonts w:ascii="Arial" w:cs="Arial" w:eastAsia="Arial" w:hAnsi="Arial"/>
                <w:sz w:val="12"/>
                <w:szCs w:val="12"/>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(2.0)%</w:t>
            </w: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(3.5)%</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 %</w:t>
            </w:r>
          </w:p>
        </w:tc>
        <w:tc>
          <w:tcPr>
            <w:tcW w:w="840" w:type="dxa"/>
            <w:vAlign w:val="bottom"/>
            <w:vMerge w:val="restart"/>
          </w:tcPr>
          <w:p>
            <w:pPr>
              <w:ind w:left="560"/>
              <w:spacing w:after="0"/>
              <w:rPr>
                <w:sz w:val="20"/>
                <w:szCs w:val="20"/>
                <w:color w:val="auto"/>
              </w:rPr>
            </w:pPr>
            <w:r>
              <w:rPr>
                <w:rFonts w:ascii="Arial" w:cs="Arial" w:eastAsia="Arial" w:hAnsi="Arial"/>
                <w:sz w:val="12"/>
                <w:szCs w:val="12"/>
                <w:color w:val="auto"/>
                <w:w w:val="99"/>
              </w:rPr>
              <w:t>— %</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39.3 %</w:t>
            </w:r>
          </w:p>
        </w:tc>
        <w:tc>
          <w:tcPr>
            <w:tcW w:w="0" w:type="dxa"/>
            <w:vAlign w:val="bottom"/>
          </w:tcPr>
          <w:p>
            <w:pPr>
              <w:spacing w:after="0"/>
              <w:rPr>
                <w:sz w:val="1"/>
                <w:szCs w:val="1"/>
                <w:color w:val="auto"/>
              </w:rPr>
            </w:pPr>
          </w:p>
        </w:tc>
      </w:tr>
      <w:tr>
        <w:trPr>
          <w:trHeight w:val="144"/>
        </w:trPr>
        <w:tc>
          <w:tcPr>
            <w:tcW w:w="1160" w:type="dxa"/>
            <w:vAlign w:val="bottom"/>
          </w:tcPr>
          <w:p>
            <w:pPr>
              <w:ind w:left="20"/>
              <w:spacing w:after="0"/>
              <w:rPr>
                <w:sz w:val="20"/>
                <w:szCs w:val="20"/>
                <w:color w:val="auto"/>
              </w:rPr>
            </w:pPr>
            <w:r>
              <w:rPr>
                <w:rFonts w:ascii="Arial" w:cs="Arial" w:eastAsia="Arial" w:hAnsi="Arial"/>
                <w:sz w:val="12"/>
                <w:szCs w:val="12"/>
                <w:color w:val="auto"/>
              </w:rPr>
              <w:t>revenue</w:t>
            </w:r>
          </w:p>
        </w:tc>
        <w:tc>
          <w:tcPr>
            <w:tcW w:w="6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160" w:type="dxa"/>
            <w:vAlign w:val="bottom"/>
          </w:tcPr>
          <w:p>
            <w:pPr>
              <w:ind w:left="20"/>
              <w:spacing w:after="0"/>
              <w:rPr>
                <w:sz w:val="20"/>
                <w:szCs w:val="20"/>
                <w:color w:val="auto"/>
              </w:rPr>
            </w:pPr>
            <w:r>
              <w:rPr>
                <w:rFonts w:ascii="Arial" w:cs="Arial" w:eastAsia="Arial" w:hAnsi="Arial"/>
                <w:sz w:val="12"/>
                <w:szCs w:val="12"/>
                <w:color w:val="auto"/>
              </w:rPr>
              <w:t>Research and</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60" w:type="dxa"/>
            <w:vAlign w:val="bottom"/>
          </w:tcPr>
          <w:p>
            <w:pPr>
              <w:ind w:left="20"/>
              <w:spacing w:after="0"/>
              <w:rPr>
                <w:sz w:val="20"/>
                <w:szCs w:val="20"/>
                <w:color w:val="auto"/>
              </w:rPr>
            </w:pPr>
            <w:r>
              <w:rPr>
                <w:rFonts w:ascii="Arial" w:cs="Arial" w:eastAsia="Arial" w:hAnsi="Arial"/>
                <w:sz w:val="12"/>
                <w:szCs w:val="12"/>
                <w:color w:val="auto"/>
              </w:rPr>
              <w:t>development</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155.8</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40"/>
              <w:spacing w:after="0"/>
              <w:rPr>
                <w:sz w:val="20"/>
                <w:szCs w:val="20"/>
                <w:color w:val="auto"/>
              </w:rPr>
            </w:pPr>
            <w:r>
              <w:rPr>
                <w:rFonts w:ascii="Arial" w:cs="Arial" w:eastAsia="Arial" w:hAnsi="Arial"/>
                <w:sz w:val="12"/>
                <w:szCs w:val="12"/>
                <w:color w:val="auto"/>
              </w:rPr>
              <w:t>0.2</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tcPr>
          <w:p>
            <w:pPr>
              <w:ind w:left="56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19.4</w:t>
            </w:r>
          </w:p>
        </w:tc>
        <w:tc>
          <w:tcPr>
            <w:tcW w:w="860" w:type="dxa"/>
            <w:vAlign w:val="bottom"/>
          </w:tcPr>
          <w:p>
            <w:pPr>
              <w:jc w:val="right"/>
              <w:ind w:right="100"/>
              <w:spacing w:after="0"/>
              <w:rPr>
                <w:sz w:val="20"/>
                <w:szCs w:val="20"/>
                <w:color w:val="auto"/>
              </w:rPr>
            </w:pPr>
            <w:r>
              <w:rPr>
                <w:rFonts w:ascii="Arial" w:cs="Arial" w:eastAsia="Arial" w:hAnsi="Arial"/>
                <w:sz w:val="12"/>
                <w:szCs w:val="12"/>
                <w:color w:val="auto"/>
              </w:rPr>
              <w:t>(1.5)</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(7.7)</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tcPr>
          <w:p>
            <w:pPr>
              <w:ind w:left="5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166.2</w:t>
            </w:r>
          </w:p>
        </w:tc>
        <w:tc>
          <w:tcPr>
            <w:tcW w:w="0" w:type="dxa"/>
            <w:vAlign w:val="bottom"/>
          </w:tcPr>
          <w:p>
            <w:pPr>
              <w:spacing w:after="0"/>
              <w:rPr>
                <w:sz w:val="1"/>
                <w:szCs w:val="1"/>
                <w:color w:val="auto"/>
              </w:rPr>
            </w:pPr>
          </w:p>
        </w:tc>
      </w:tr>
      <w:tr>
        <w:trPr>
          <w:trHeight w:val="137"/>
        </w:trPr>
        <w:tc>
          <w:tcPr>
            <w:tcW w:w="1160" w:type="dxa"/>
            <w:vAlign w:val="bottom"/>
          </w:tcPr>
          <w:p>
            <w:pPr>
              <w:ind w:left="20"/>
              <w:spacing w:after="0"/>
              <w:rPr>
                <w:sz w:val="20"/>
                <w:szCs w:val="20"/>
                <w:color w:val="auto"/>
              </w:rPr>
            </w:pPr>
            <w:r>
              <w:rPr>
                <w:rFonts w:ascii="Arial" w:cs="Arial" w:eastAsia="Arial" w:hAnsi="Arial"/>
                <w:sz w:val="12"/>
                <w:szCs w:val="12"/>
                <w:color w:val="auto"/>
              </w:rPr>
              <w:t>Research and</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60" w:type="dxa"/>
            <w:vAlign w:val="bottom"/>
          </w:tcPr>
          <w:p>
            <w:pPr>
              <w:ind w:left="20"/>
              <w:spacing w:after="0" w:line="128" w:lineRule="exact"/>
              <w:rPr>
                <w:sz w:val="20"/>
                <w:szCs w:val="20"/>
                <w:color w:val="auto"/>
              </w:rPr>
            </w:pPr>
            <w:r>
              <w:rPr>
                <w:rFonts w:ascii="Arial" w:cs="Arial" w:eastAsia="Arial" w:hAnsi="Arial"/>
                <w:sz w:val="12"/>
                <w:szCs w:val="12"/>
                <w:color w:val="auto"/>
              </w:rPr>
              <w:t>development as a</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60" w:type="dxa"/>
            <w:vAlign w:val="bottom"/>
          </w:tcPr>
          <w:p>
            <w:pPr>
              <w:ind w:left="20"/>
              <w:spacing w:after="0" w:line="115" w:lineRule="exact"/>
              <w:rPr>
                <w:sz w:val="20"/>
                <w:szCs w:val="20"/>
                <w:color w:val="auto"/>
              </w:rPr>
            </w:pPr>
            <w:r>
              <w:rPr>
                <w:rFonts w:ascii="Arial" w:cs="Arial" w:eastAsia="Arial" w:hAnsi="Arial"/>
                <w:sz w:val="12"/>
                <w:szCs w:val="12"/>
                <w:color w:val="auto"/>
              </w:rPr>
              <w:t>percent of net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15.2 %</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 %</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 %</w:t>
            </w:r>
          </w:p>
        </w:tc>
        <w:tc>
          <w:tcPr>
            <w:tcW w:w="860" w:type="dxa"/>
            <w:vAlign w:val="bottom"/>
            <w:vMerge w:val="restart"/>
          </w:tcPr>
          <w:p>
            <w:pPr>
              <w:ind w:left="560"/>
              <w:spacing w:after="0"/>
              <w:rPr>
                <w:sz w:val="20"/>
                <w:szCs w:val="20"/>
                <w:color w:val="auto"/>
              </w:rPr>
            </w:pPr>
            <w:r>
              <w:rPr>
                <w:rFonts w:ascii="Arial" w:cs="Arial" w:eastAsia="Arial" w:hAnsi="Arial"/>
                <w:sz w:val="12"/>
                <w:szCs w:val="12"/>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1.9 %</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(0.1)%</w:t>
            </w: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(0.8)%</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 %</w:t>
            </w:r>
          </w:p>
        </w:tc>
        <w:tc>
          <w:tcPr>
            <w:tcW w:w="840" w:type="dxa"/>
            <w:vAlign w:val="bottom"/>
            <w:vMerge w:val="restart"/>
          </w:tcPr>
          <w:p>
            <w:pPr>
              <w:ind w:left="560"/>
              <w:spacing w:after="0"/>
              <w:rPr>
                <w:sz w:val="20"/>
                <w:szCs w:val="20"/>
                <w:color w:val="auto"/>
              </w:rPr>
            </w:pPr>
            <w:r>
              <w:rPr>
                <w:rFonts w:ascii="Arial" w:cs="Arial" w:eastAsia="Arial" w:hAnsi="Arial"/>
                <w:sz w:val="12"/>
                <w:szCs w:val="12"/>
                <w:color w:val="auto"/>
                <w:w w:val="99"/>
              </w:rPr>
              <w:t>— %</w:t>
            </w: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16.3 %</w:t>
            </w:r>
          </w:p>
        </w:tc>
        <w:tc>
          <w:tcPr>
            <w:tcW w:w="0" w:type="dxa"/>
            <w:vAlign w:val="bottom"/>
          </w:tcPr>
          <w:p>
            <w:pPr>
              <w:spacing w:after="0"/>
              <w:rPr>
                <w:sz w:val="1"/>
                <w:szCs w:val="1"/>
                <w:color w:val="auto"/>
              </w:rPr>
            </w:pPr>
          </w:p>
        </w:tc>
      </w:tr>
      <w:tr>
        <w:trPr>
          <w:trHeight w:val="144"/>
        </w:trPr>
        <w:tc>
          <w:tcPr>
            <w:tcW w:w="1160" w:type="dxa"/>
            <w:vAlign w:val="bottom"/>
          </w:tcPr>
          <w:p>
            <w:pPr>
              <w:ind w:left="20"/>
              <w:spacing w:after="0"/>
              <w:rPr>
                <w:sz w:val="20"/>
                <w:szCs w:val="20"/>
                <w:color w:val="auto"/>
              </w:rPr>
            </w:pPr>
            <w:r>
              <w:rPr>
                <w:rFonts w:ascii="Arial" w:cs="Arial" w:eastAsia="Arial" w:hAnsi="Arial"/>
                <w:sz w:val="12"/>
                <w:szCs w:val="12"/>
                <w:color w:val="auto"/>
              </w:rPr>
              <w:t>revenue</w:t>
            </w:r>
          </w:p>
        </w:tc>
        <w:tc>
          <w:tcPr>
            <w:tcW w:w="6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160" w:type="dxa"/>
            <w:vAlign w:val="bottom"/>
          </w:tcPr>
          <w:p>
            <w:pPr>
              <w:ind w:left="20"/>
              <w:spacing w:after="0"/>
              <w:rPr>
                <w:sz w:val="20"/>
                <w:szCs w:val="20"/>
                <w:color w:val="auto"/>
              </w:rPr>
            </w:pPr>
            <w:r>
              <w:rPr>
                <w:rFonts w:ascii="Arial" w:cs="Arial" w:eastAsia="Arial" w:hAnsi="Arial"/>
                <w:sz w:val="12"/>
                <w:szCs w:val="12"/>
                <w:color w:val="auto"/>
              </w:rPr>
              <w:t>Other operating</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60" w:type="dxa"/>
            <w:vAlign w:val="bottom"/>
          </w:tcPr>
          <w:p>
            <w:pPr>
              <w:ind w:left="20"/>
              <w:spacing w:after="0"/>
              <w:rPr>
                <w:sz w:val="20"/>
                <w:szCs w:val="20"/>
                <w:color w:val="auto"/>
              </w:rPr>
            </w:pPr>
            <w:r>
              <w:rPr>
                <w:rFonts w:ascii="Arial" w:cs="Arial" w:eastAsia="Arial" w:hAnsi="Arial"/>
                <w:sz w:val="12"/>
                <w:szCs w:val="12"/>
                <w:color w:val="auto"/>
              </w:rPr>
              <w:t>expenses</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29.5</w:t>
            </w:r>
          </w:p>
        </w:tc>
        <w:tc>
          <w:tcPr>
            <w:tcW w:w="780" w:type="dxa"/>
            <w:vAlign w:val="bottom"/>
          </w:tcPr>
          <w:p>
            <w:pPr>
              <w:jc w:val="right"/>
              <w:ind w:right="80"/>
              <w:spacing w:after="0"/>
              <w:rPr>
                <w:sz w:val="20"/>
                <w:szCs w:val="20"/>
                <w:color w:val="auto"/>
              </w:rPr>
            </w:pPr>
            <w:r>
              <w:rPr>
                <w:rFonts w:ascii="Arial" w:cs="Arial" w:eastAsia="Arial" w:hAnsi="Arial"/>
                <w:sz w:val="12"/>
                <w:szCs w:val="12"/>
                <w:color w:val="auto"/>
              </w:rPr>
              <w:t>(1.1)</w:t>
            </w:r>
          </w:p>
        </w:tc>
        <w:tc>
          <w:tcPr>
            <w:tcW w:w="920" w:type="dxa"/>
            <w:vAlign w:val="bottom"/>
          </w:tcPr>
          <w:p>
            <w:pPr>
              <w:jc w:val="right"/>
              <w:ind w:right="80"/>
              <w:spacing w:after="0"/>
              <w:rPr>
                <w:sz w:val="20"/>
                <w:szCs w:val="20"/>
                <w:color w:val="auto"/>
              </w:rPr>
            </w:pPr>
            <w:r>
              <w:rPr>
                <w:rFonts w:ascii="Arial" w:cs="Arial" w:eastAsia="Arial" w:hAnsi="Arial"/>
                <w:sz w:val="12"/>
                <w:szCs w:val="12"/>
                <w:color w:val="auto"/>
              </w:rPr>
              <w:t>(6.6)</w:t>
            </w:r>
          </w:p>
        </w:tc>
        <w:tc>
          <w:tcPr>
            <w:tcW w:w="88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tcPr>
          <w:p>
            <w:pPr>
              <w:ind w:left="56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00"/>
              <w:spacing w:after="0"/>
              <w:rPr>
                <w:sz w:val="20"/>
                <w:szCs w:val="20"/>
                <w:color w:val="auto"/>
              </w:rPr>
            </w:pPr>
            <w:r>
              <w:rPr>
                <w:rFonts w:ascii="Arial" w:cs="Arial" w:eastAsia="Arial" w:hAnsi="Arial"/>
                <w:sz w:val="12"/>
                <w:szCs w:val="12"/>
                <w:color w:val="auto"/>
              </w:rPr>
              <w:t>(21.8)</w:t>
            </w: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tcPr>
          <w:p>
            <w:pPr>
              <w:ind w:left="5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7"/>
        </w:trPr>
        <w:tc>
          <w:tcPr>
            <w:tcW w:w="1160" w:type="dxa"/>
            <w:vAlign w:val="bottom"/>
          </w:tcPr>
          <w:p>
            <w:pPr>
              <w:ind w:left="20"/>
              <w:spacing w:after="0"/>
              <w:rPr>
                <w:sz w:val="20"/>
                <w:szCs w:val="20"/>
                <w:color w:val="auto"/>
              </w:rPr>
            </w:pPr>
            <w:r>
              <w:rPr>
                <w:rFonts w:ascii="Arial" w:cs="Arial" w:eastAsia="Arial" w:hAnsi="Arial"/>
                <w:sz w:val="12"/>
                <w:szCs w:val="12"/>
                <w:color w:val="auto"/>
              </w:rPr>
              <w:t>Operating (loss)</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60" w:type="dxa"/>
            <w:vAlign w:val="bottom"/>
          </w:tcPr>
          <w:p>
            <w:pPr>
              <w:ind w:left="20"/>
              <w:spacing w:after="0" w:line="128" w:lineRule="exact"/>
              <w:rPr>
                <w:sz w:val="20"/>
                <w:szCs w:val="20"/>
                <w:color w:val="auto"/>
              </w:rPr>
            </w:pPr>
            <w:r>
              <w:rPr>
                <w:rFonts w:ascii="Arial" w:cs="Arial" w:eastAsia="Arial" w:hAnsi="Arial"/>
                <w:sz w:val="12"/>
                <w:szCs w:val="12"/>
                <w:color w:val="auto"/>
              </w:rPr>
              <w:t>income from</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160" w:type="dxa"/>
            <w:vAlign w:val="bottom"/>
          </w:tcPr>
          <w:p>
            <w:pPr>
              <w:ind w:left="20"/>
              <w:spacing w:after="0" w:line="115" w:lineRule="exact"/>
              <w:rPr>
                <w:sz w:val="20"/>
                <w:szCs w:val="20"/>
                <w:color w:val="auto"/>
              </w:rPr>
            </w:pPr>
            <w:r>
              <w:rPr>
                <w:rFonts w:ascii="Arial" w:cs="Arial" w:eastAsia="Arial" w:hAnsi="Arial"/>
                <w:sz w:val="12"/>
                <w:szCs w:val="12"/>
                <w:color w:val="auto"/>
              </w:rPr>
              <w:t>continuing</w:t>
            </w:r>
          </w:p>
        </w:tc>
        <w:tc>
          <w:tcPr>
            <w:tcW w:w="680" w:type="dxa"/>
            <w:vAlign w:val="bottom"/>
            <w:vMerge w:val="restart"/>
          </w:tcPr>
          <w:p>
            <w:pPr>
              <w:jc w:val="right"/>
              <w:ind w:right="60"/>
              <w:spacing w:after="0"/>
              <w:rPr>
                <w:sz w:val="20"/>
                <w:szCs w:val="20"/>
                <w:color w:val="auto"/>
              </w:rPr>
            </w:pPr>
            <w:r>
              <w:rPr>
                <w:rFonts w:ascii="Arial" w:cs="Arial" w:eastAsia="Arial" w:hAnsi="Arial"/>
                <w:sz w:val="12"/>
                <w:szCs w:val="12"/>
                <w:color w:val="auto"/>
              </w:rPr>
              <w:t>(76.8)</w:t>
            </w:r>
          </w:p>
        </w:tc>
        <w:tc>
          <w:tcPr>
            <w:tcW w:w="780" w:type="dxa"/>
            <w:vAlign w:val="bottom"/>
            <w:vMerge w:val="restart"/>
          </w:tcPr>
          <w:p>
            <w:pPr>
              <w:jc w:val="right"/>
              <w:ind w:right="120"/>
              <w:spacing w:after="0"/>
              <w:rPr>
                <w:sz w:val="20"/>
                <w:szCs w:val="20"/>
                <w:color w:val="auto"/>
              </w:rPr>
            </w:pPr>
            <w:r>
              <w:rPr>
                <w:rFonts w:ascii="Arial" w:cs="Arial" w:eastAsia="Arial" w:hAnsi="Arial"/>
                <w:sz w:val="12"/>
                <w:szCs w:val="12"/>
                <w:color w:val="auto"/>
              </w:rPr>
              <w:t>1.1</w:t>
            </w:r>
          </w:p>
        </w:tc>
        <w:tc>
          <w:tcPr>
            <w:tcW w:w="920" w:type="dxa"/>
            <w:vAlign w:val="bottom"/>
            <w:vMerge w:val="restart"/>
          </w:tcPr>
          <w:p>
            <w:pPr>
              <w:jc w:val="right"/>
              <w:ind w:right="120"/>
              <w:spacing w:after="0"/>
              <w:rPr>
                <w:sz w:val="20"/>
                <w:szCs w:val="20"/>
                <w:color w:val="auto"/>
              </w:rPr>
            </w:pPr>
            <w:r>
              <w:rPr>
                <w:rFonts w:ascii="Arial" w:cs="Arial" w:eastAsia="Arial" w:hAnsi="Arial"/>
                <w:sz w:val="12"/>
                <w:szCs w:val="12"/>
                <w:color w:val="auto"/>
              </w:rPr>
              <w:t>6.6</w:t>
            </w:r>
          </w:p>
        </w:tc>
        <w:tc>
          <w:tcPr>
            <w:tcW w:w="880" w:type="dxa"/>
            <w:vAlign w:val="bottom"/>
            <w:vMerge w:val="restart"/>
          </w:tcPr>
          <w:p>
            <w:pPr>
              <w:jc w:val="right"/>
              <w:ind w:right="140"/>
              <w:spacing w:after="0"/>
              <w:rPr>
                <w:sz w:val="20"/>
                <w:szCs w:val="20"/>
                <w:color w:val="auto"/>
              </w:rPr>
            </w:pPr>
            <w:r>
              <w:rPr>
                <w:rFonts w:ascii="Arial" w:cs="Arial" w:eastAsia="Arial" w:hAnsi="Arial"/>
                <w:sz w:val="12"/>
                <w:szCs w:val="12"/>
                <w:color w:val="auto"/>
              </w:rPr>
              <w:t>25.6</w:t>
            </w:r>
          </w:p>
        </w:tc>
        <w:tc>
          <w:tcPr>
            <w:tcW w:w="800" w:type="dxa"/>
            <w:vAlign w:val="bottom"/>
            <w:vMerge w:val="restart"/>
          </w:tcPr>
          <w:p>
            <w:pPr>
              <w:jc w:val="right"/>
              <w:ind w:right="160"/>
              <w:spacing w:after="0"/>
              <w:rPr>
                <w:sz w:val="20"/>
                <w:szCs w:val="20"/>
                <w:color w:val="auto"/>
              </w:rPr>
            </w:pPr>
            <w:r>
              <w:rPr>
                <w:rFonts w:ascii="Arial" w:cs="Arial" w:eastAsia="Arial" w:hAnsi="Arial"/>
                <w:sz w:val="12"/>
                <w:szCs w:val="12"/>
                <w:color w:val="auto"/>
              </w:rPr>
              <w:t>129.4</w:t>
            </w:r>
          </w:p>
        </w:tc>
        <w:tc>
          <w:tcPr>
            <w:tcW w:w="860" w:type="dxa"/>
            <w:vAlign w:val="bottom"/>
            <w:vMerge w:val="restart"/>
          </w:tcPr>
          <w:p>
            <w:pPr>
              <w:ind w:left="560"/>
              <w:spacing w:after="0"/>
              <w:rPr>
                <w:sz w:val="20"/>
                <w:szCs w:val="20"/>
                <w:color w:val="auto"/>
              </w:rPr>
            </w:pPr>
            <w:r>
              <w:rPr>
                <w:rFonts w:ascii="Arial" w:cs="Arial" w:eastAsia="Arial" w:hAnsi="Arial"/>
                <w:sz w:val="12"/>
                <w:szCs w:val="12"/>
                <w:color w:val="auto"/>
              </w:rPr>
              <w:t>—</w:t>
            </w:r>
          </w:p>
        </w:tc>
        <w:tc>
          <w:tcPr>
            <w:tcW w:w="920" w:type="dxa"/>
            <w:vAlign w:val="bottom"/>
            <w:vMerge w:val="restart"/>
          </w:tcPr>
          <w:p>
            <w:pPr>
              <w:jc w:val="right"/>
              <w:ind w:right="60"/>
              <w:spacing w:after="0"/>
              <w:rPr>
                <w:sz w:val="20"/>
                <w:szCs w:val="20"/>
                <w:color w:val="auto"/>
              </w:rPr>
            </w:pPr>
            <w:r>
              <w:rPr>
                <w:rFonts w:ascii="Arial" w:cs="Arial" w:eastAsia="Arial" w:hAnsi="Arial"/>
                <w:sz w:val="12"/>
                <w:szCs w:val="12"/>
                <w:color w:val="auto"/>
              </w:rPr>
              <w:t>(29.9)</w:t>
            </w:r>
          </w:p>
        </w:tc>
        <w:tc>
          <w:tcPr>
            <w:tcW w:w="860" w:type="dxa"/>
            <w:vAlign w:val="bottom"/>
            <w:vMerge w:val="restart"/>
          </w:tcPr>
          <w:p>
            <w:pPr>
              <w:jc w:val="right"/>
              <w:ind w:right="140"/>
              <w:spacing w:after="0"/>
              <w:rPr>
                <w:sz w:val="20"/>
                <w:szCs w:val="20"/>
                <w:color w:val="auto"/>
              </w:rPr>
            </w:pPr>
            <w:r>
              <w:rPr>
                <w:rFonts w:ascii="Arial" w:cs="Arial" w:eastAsia="Arial" w:hAnsi="Arial"/>
                <w:sz w:val="12"/>
                <w:szCs w:val="12"/>
                <w:color w:val="auto"/>
              </w:rPr>
              <w:t>44.2</w:t>
            </w:r>
          </w:p>
        </w:tc>
        <w:tc>
          <w:tcPr>
            <w:tcW w:w="960" w:type="dxa"/>
            <w:vAlign w:val="bottom"/>
            <w:vMerge w:val="restart"/>
          </w:tcPr>
          <w:p>
            <w:pPr>
              <w:jc w:val="right"/>
              <w:ind w:right="120"/>
              <w:spacing w:after="0"/>
              <w:rPr>
                <w:sz w:val="20"/>
                <w:szCs w:val="20"/>
                <w:color w:val="auto"/>
              </w:rPr>
            </w:pPr>
            <w:r>
              <w:rPr>
                <w:rFonts w:ascii="Arial" w:cs="Arial" w:eastAsia="Arial" w:hAnsi="Arial"/>
                <w:sz w:val="12"/>
                <w:szCs w:val="12"/>
                <w:color w:val="auto"/>
              </w:rPr>
              <w:t>44.8</w:t>
            </w:r>
          </w:p>
        </w:tc>
        <w:tc>
          <w:tcPr>
            <w:tcW w:w="880" w:type="dxa"/>
            <w:vAlign w:val="bottom"/>
            <w:vMerge w:val="restart"/>
          </w:tcPr>
          <w:p>
            <w:pPr>
              <w:jc w:val="right"/>
              <w:ind w:right="120"/>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ind w:left="560"/>
              <w:spacing w:after="0"/>
              <w:rPr>
                <w:sz w:val="20"/>
                <w:szCs w:val="20"/>
                <w:color w:val="auto"/>
              </w:rPr>
            </w:pPr>
            <w:r>
              <w:rPr>
                <w:rFonts w:ascii="Arial" w:cs="Arial" w:eastAsia="Arial" w:hAnsi="Arial"/>
                <w:sz w:val="12"/>
                <w:szCs w:val="12"/>
                <w:color w:val="auto"/>
              </w:rPr>
              <w:t>—</w:t>
            </w:r>
          </w:p>
        </w:tc>
        <w:tc>
          <w:tcPr>
            <w:tcW w:w="700" w:type="dxa"/>
            <w:vAlign w:val="bottom"/>
            <w:vMerge w:val="restart"/>
          </w:tcPr>
          <w:p>
            <w:pPr>
              <w:jc w:val="right"/>
              <w:ind w:right="100"/>
              <w:spacing w:after="0"/>
              <w:rPr>
                <w:sz w:val="20"/>
                <w:szCs w:val="20"/>
                <w:color w:val="auto"/>
              </w:rPr>
            </w:pPr>
            <w:r>
              <w:rPr>
                <w:rFonts w:ascii="Arial" w:cs="Arial" w:eastAsia="Arial" w:hAnsi="Arial"/>
                <w:sz w:val="12"/>
                <w:szCs w:val="12"/>
                <w:color w:val="auto"/>
              </w:rPr>
              <w:t>145.1</w:t>
            </w:r>
          </w:p>
        </w:tc>
        <w:tc>
          <w:tcPr>
            <w:tcW w:w="0" w:type="dxa"/>
            <w:vAlign w:val="bottom"/>
          </w:tcPr>
          <w:p>
            <w:pPr>
              <w:spacing w:after="0"/>
              <w:rPr>
                <w:sz w:val="1"/>
                <w:szCs w:val="1"/>
                <w:color w:val="auto"/>
              </w:rPr>
            </w:pPr>
          </w:p>
        </w:tc>
      </w:tr>
      <w:tr>
        <w:trPr>
          <w:trHeight w:val="144"/>
        </w:trPr>
        <w:tc>
          <w:tcPr>
            <w:tcW w:w="1160" w:type="dxa"/>
            <w:vAlign w:val="bottom"/>
          </w:tcPr>
          <w:p>
            <w:pPr>
              <w:ind w:left="20"/>
              <w:spacing w:after="0"/>
              <w:rPr>
                <w:sz w:val="20"/>
                <w:szCs w:val="20"/>
                <w:color w:val="auto"/>
              </w:rPr>
            </w:pPr>
            <w:r>
              <w:rPr>
                <w:rFonts w:ascii="Arial" w:cs="Arial" w:eastAsia="Arial" w:hAnsi="Arial"/>
                <w:sz w:val="12"/>
                <w:szCs w:val="12"/>
                <w:color w:val="auto"/>
              </w:rPr>
              <w:t>operations</w:t>
            </w:r>
          </w:p>
        </w:tc>
        <w:tc>
          <w:tcPr>
            <w:tcW w:w="6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160" w:type="dxa"/>
            <w:vAlign w:val="bottom"/>
          </w:tcPr>
          <w:p>
            <w:pPr>
              <w:ind w:left="20"/>
              <w:spacing w:after="0"/>
              <w:rPr>
                <w:sz w:val="20"/>
                <w:szCs w:val="20"/>
                <w:color w:val="auto"/>
              </w:rPr>
            </w:pPr>
            <w:r>
              <w:rPr>
                <w:rFonts w:ascii="Arial" w:cs="Arial" w:eastAsia="Arial" w:hAnsi="Arial"/>
                <w:sz w:val="12"/>
                <w:szCs w:val="12"/>
                <w:color w:val="auto"/>
              </w:rPr>
              <w:t>Operating margin</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60" w:type="dxa"/>
            <w:vAlign w:val="bottom"/>
          </w:tcPr>
          <w:p>
            <w:pPr>
              <w:ind w:left="20"/>
              <w:spacing w:after="0"/>
              <w:rPr>
                <w:sz w:val="20"/>
                <w:szCs w:val="20"/>
                <w:color w:val="auto"/>
              </w:rPr>
            </w:pPr>
            <w:r>
              <w:rPr>
                <w:rFonts w:ascii="Arial" w:cs="Arial" w:eastAsia="Arial" w:hAnsi="Arial"/>
                <w:sz w:val="12"/>
                <w:szCs w:val="12"/>
                <w:color w:val="auto"/>
              </w:rPr>
              <w:t>percent</w:t>
            </w:r>
          </w:p>
        </w:tc>
        <w:tc>
          <w:tcPr>
            <w:tcW w:w="680" w:type="dxa"/>
            <w:vAlign w:val="bottom"/>
          </w:tcPr>
          <w:p>
            <w:pPr>
              <w:jc w:val="right"/>
              <w:spacing w:after="0"/>
              <w:rPr>
                <w:sz w:val="20"/>
                <w:szCs w:val="20"/>
                <w:color w:val="auto"/>
              </w:rPr>
            </w:pPr>
            <w:r>
              <w:rPr>
                <w:rFonts w:ascii="Arial" w:cs="Arial" w:eastAsia="Arial" w:hAnsi="Arial"/>
                <w:sz w:val="12"/>
                <w:szCs w:val="12"/>
                <w:color w:val="auto"/>
              </w:rPr>
              <w:t>(7.5)%</w:t>
            </w:r>
          </w:p>
        </w:tc>
        <w:tc>
          <w:tcPr>
            <w:tcW w:w="780" w:type="dxa"/>
            <w:vAlign w:val="bottom"/>
          </w:tcPr>
          <w:p>
            <w:pPr>
              <w:jc w:val="right"/>
              <w:spacing w:after="0"/>
              <w:rPr>
                <w:sz w:val="20"/>
                <w:szCs w:val="20"/>
                <w:color w:val="auto"/>
              </w:rPr>
            </w:pPr>
            <w:r>
              <w:rPr>
                <w:rFonts w:ascii="Arial" w:cs="Arial" w:eastAsia="Arial" w:hAnsi="Arial"/>
                <w:sz w:val="12"/>
                <w:szCs w:val="12"/>
                <w:color w:val="auto"/>
              </w:rPr>
              <w:t>0.1 %</w:t>
            </w:r>
          </w:p>
        </w:tc>
        <w:tc>
          <w:tcPr>
            <w:tcW w:w="920" w:type="dxa"/>
            <w:vAlign w:val="bottom"/>
          </w:tcPr>
          <w:p>
            <w:pPr>
              <w:jc w:val="right"/>
              <w:spacing w:after="0"/>
              <w:rPr>
                <w:sz w:val="20"/>
                <w:szCs w:val="20"/>
                <w:color w:val="auto"/>
              </w:rPr>
            </w:pPr>
            <w:r>
              <w:rPr>
                <w:rFonts w:ascii="Arial" w:cs="Arial" w:eastAsia="Arial" w:hAnsi="Arial"/>
                <w:sz w:val="12"/>
                <w:szCs w:val="12"/>
                <w:color w:val="auto"/>
              </w:rPr>
              <w:t>0.6 %</w:t>
            </w:r>
          </w:p>
        </w:tc>
        <w:tc>
          <w:tcPr>
            <w:tcW w:w="880" w:type="dxa"/>
            <w:vAlign w:val="bottom"/>
          </w:tcPr>
          <w:p>
            <w:pPr>
              <w:jc w:val="right"/>
              <w:spacing w:after="0"/>
              <w:rPr>
                <w:sz w:val="20"/>
                <w:szCs w:val="20"/>
                <w:color w:val="auto"/>
              </w:rPr>
            </w:pPr>
            <w:r>
              <w:rPr>
                <w:rFonts w:ascii="Arial" w:cs="Arial" w:eastAsia="Arial" w:hAnsi="Arial"/>
                <w:sz w:val="12"/>
                <w:szCs w:val="12"/>
                <w:color w:val="auto"/>
              </w:rPr>
              <w:t>2.5 %</w:t>
            </w:r>
          </w:p>
        </w:tc>
        <w:tc>
          <w:tcPr>
            <w:tcW w:w="800" w:type="dxa"/>
            <w:vAlign w:val="bottom"/>
          </w:tcPr>
          <w:p>
            <w:pPr>
              <w:jc w:val="right"/>
              <w:spacing w:after="0"/>
              <w:rPr>
                <w:sz w:val="20"/>
                <w:szCs w:val="20"/>
                <w:color w:val="auto"/>
              </w:rPr>
            </w:pPr>
            <w:r>
              <w:rPr>
                <w:rFonts w:ascii="Arial" w:cs="Arial" w:eastAsia="Arial" w:hAnsi="Arial"/>
                <w:sz w:val="12"/>
                <w:szCs w:val="12"/>
                <w:color w:val="auto"/>
              </w:rPr>
              <w:t>12.7 %</w:t>
            </w:r>
          </w:p>
        </w:tc>
        <w:tc>
          <w:tcPr>
            <w:tcW w:w="860" w:type="dxa"/>
            <w:vAlign w:val="bottom"/>
          </w:tcPr>
          <w:p>
            <w:pPr>
              <w:ind w:left="560"/>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(2.9)%</w:t>
            </w:r>
          </w:p>
        </w:tc>
        <w:tc>
          <w:tcPr>
            <w:tcW w:w="860" w:type="dxa"/>
            <w:vAlign w:val="bottom"/>
          </w:tcPr>
          <w:p>
            <w:pPr>
              <w:jc w:val="right"/>
              <w:spacing w:after="0"/>
              <w:rPr>
                <w:sz w:val="20"/>
                <w:szCs w:val="20"/>
                <w:color w:val="auto"/>
              </w:rPr>
            </w:pPr>
            <w:r>
              <w:rPr>
                <w:rFonts w:ascii="Arial" w:cs="Arial" w:eastAsia="Arial" w:hAnsi="Arial"/>
                <w:sz w:val="12"/>
                <w:szCs w:val="12"/>
                <w:color w:val="auto"/>
              </w:rPr>
              <w:t>4.3 %</w:t>
            </w:r>
          </w:p>
        </w:tc>
        <w:tc>
          <w:tcPr>
            <w:tcW w:w="960" w:type="dxa"/>
            <w:vAlign w:val="bottom"/>
          </w:tcPr>
          <w:p>
            <w:pPr>
              <w:jc w:val="right"/>
              <w:spacing w:after="0"/>
              <w:rPr>
                <w:sz w:val="20"/>
                <w:szCs w:val="20"/>
                <w:color w:val="auto"/>
              </w:rPr>
            </w:pPr>
            <w:r>
              <w:rPr>
                <w:rFonts w:ascii="Arial" w:cs="Arial" w:eastAsia="Arial" w:hAnsi="Arial"/>
                <w:sz w:val="12"/>
                <w:szCs w:val="12"/>
                <w:color w:val="auto"/>
              </w:rPr>
              <w:t>4.4 %</w:t>
            </w:r>
          </w:p>
        </w:tc>
        <w:tc>
          <w:tcPr>
            <w:tcW w:w="880" w:type="dxa"/>
            <w:vAlign w:val="bottom"/>
          </w:tcPr>
          <w:p>
            <w:pPr>
              <w:jc w:val="right"/>
              <w:spacing w:after="0"/>
              <w:rPr>
                <w:sz w:val="20"/>
                <w:szCs w:val="20"/>
                <w:color w:val="auto"/>
              </w:rPr>
            </w:pPr>
            <w:r>
              <w:rPr>
                <w:rFonts w:ascii="Arial" w:cs="Arial" w:eastAsia="Arial" w:hAnsi="Arial"/>
                <w:sz w:val="12"/>
                <w:szCs w:val="12"/>
                <w:color w:val="auto"/>
              </w:rPr>
              <w:t>— %</w:t>
            </w:r>
          </w:p>
        </w:tc>
        <w:tc>
          <w:tcPr>
            <w:tcW w:w="840" w:type="dxa"/>
            <w:vAlign w:val="bottom"/>
          </w:tcPr>
          <w:p>
            <w:pPr>
              <w:ind w:left="560"/>
              <w:spacing w:after="0"/>
              <w:rPr>
                <w:sz w:val="20"/>
                <w:szCs w:val="20"/>
                <w:color w:val="auto"/>
              </w:rPr>
            </w:pPr>
            <w:r>
              <w:rPr>
                <w:rFonts w:ascii="Arial" w:cs="Arial" w:eastAsia="Arial" w:hAnsi="Arial"/>
                <w:sz w:val="12"/>
                <w:szCs w:val="12"/>
                <w:color w:val="auto"/>
                <w:w w:val="99"/>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14.2 %</w:t>
            </w:r>
          </w:p>
        </w:tc>
        <w:tc>
          <w:tcPr>
            <w:tcW w:w="0" w:type="dxa"/>
            <w:vAlign w:val="bottom"/>
          </w:tcPr>
          <w:p>
            <w:pPr>
              <w:spacing w:after="0"/>
              <w:rPr>
                <w:sz w:val="1"/>
                <w:szCs w:val="1"/>
                <w:color w:val="auto"/>
              </w:rPr>
            </w:pPr>
          </w:p>
        </w:tc>
      </w:tr>
      <w:tr>
        <w:trPr>
          <w:trHeight w:val="166"/>
        </w:trPr>
        <w:tc>
          <w:tcPr>
            <w:tcW w:w="1160" w:type="dxa"/>
            <w:vAlign w:val="bottom"/>
          </w:tcPr>
          <w:p>
            <w:pPr>
              <w:ind w:left="20"/>
              <w:spacing w:after="0"/>
              <w:rPr>
                <w:sz w:val="20"/>
                <w:szCs w:val="20"/>
                <w:color w:val="auto"/>
              </w:rPr>
            </w:pPr>
            <w:r>
              <w:rPr>
                <w:rFonts w:ascii="Arial" w:cs="Arial" w:eastAsia="Arial" w:hAnsi="Arial"/>
                <w:sz w:val="12"/>
                <w:szCs w:val="12"/>
                <w:color w:val="auto"/>
              </w:rPr>
              <w:t>Income tax expense</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11.1</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20"/>
              <w:spacing w:after="0"/>
              <w:rPr>
                <w:sz w:val="20"/>
                <w:szCs w:val="20"/>
                <w:color w:val="auto"/>
              </w:rPr>
            </w:pPr>
            <w:r>
              <w:rPr>
                <w:rFonts w:ascii="Arial" w:cs="Arial" w:eastAsia="Arial" w:hAnsi="Arial"/>
                <w:sz w:val="12"/>
                <w:szCs w:val="12"/>
                <w:color w:val="auto"/>
              </w:rPr>
              <w:t>0.1</w:t>
            </w:r>
          </w:p>
        </w:tc>
        <w:tc>
          <w:tcPr>
            <w:tcW w:w="880" w:type="dxa"/>
            <w:vAlign w:val="bottom"/>
          </w:tcPr>
          <w:p>
            <w:pPr>
              <w:jc w:val="right"/>
              <w:ind w:right="140"/>
              <w:spacing w:after="0"/>
              <w:rPr>
                <w:sz w:val="20"/>
                <w:szCs w:val="20"/>
                <w:color w:val="auto"/>
              </w:rPr>
            </w:pPr>
            <w:r>
              <w:rPr>
                <w:rFonts w:ascii="Arial" w:cs="Arial" w:eastAsia="Arial" w:hAnsi="Arial"/>
                <w:sz w:val="12"/>
                <w:szCs w:val="12"/>
                <w:color w:val="auto"/>
              </w:rPr>
              <w:t>1.8</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tcPr>
          <w:p>
            <w:pPr>
              <w:ind w:left="56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40"/>
              <w:spacing w:after="0"/>
              <w:rPr>
                <w:sz w:val="20"/>
                <w:szCs w:val="20"/>
                <w:color w:val="auto"/>
              </w:rPr>
            </w:pPr>
            <w:r>
              <w:rPr>
                <w:rFonts w:ascii="Arial" w:cs="Arial" w:eastAsia="Arial" w:hAnsi="Arial"/>
                <w:sz w:val="12"/>
                <w:szCs w:val="12"/>
                <w:color w:val="auto"/>
              </w:rPr>
              <w:t>1.3</w:t>
            </w: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0.5</w:t>
            </w:r>
          </w:p>
        </w:tc>
        <w:tc>
          <w:tcPr>
            <w:tcW w:w="880" w:type="dxa"/>
            <w:vAlign w:val="bottom"/>
          </w:tcPr>
          <w:p>
            <w:pPr>
              <w:jc w:val="right"/>
              <w:ind w:right="100"/>
              <w:spacing w:after="0"/>
              <w:rPr>
                <w:sz w:val="20"/>
                <w:szCs w:val="20"/>
                <w:color w:val="auto"/>
              </w:rPr>
            </w:pPr>
            <w:r>
              <w:rPr>
                <w:rFonts w:ascii="Arial" w:cs="Arial" w:eastAsia="Arial" w:hAnsi="Arial"/>
                <w:sz w:val="12"/>
                <w:szCs w:val="12"/>
                <w:color w:val="auto"/>
              </w:rPr>
              <w:t>(9.6)</w:t>
            </w:r>
          </w:p>
        </w:tc>
        <w:tc>
          <w:tcPr>
            <w:tcW w:w="840" w:type="dxa"/>
            <w:vAlign w:val="bottom"/>
          </w:tcPr>
          <w:p>
            <w:pPr>
              <w:ind w:left="56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66"/>
        </w:trPr>
        <w:tc>
          <w:tcPr>
            <w:tcW w:w="1160" w:type="dxa"/>
            <w:vAlign w:val="bottom"/>
          </w:tcPr>
          <w:p>
            <w:pPr>
              <w:ind w:left="20"/>
              <w:spacing w:after="0"/>
              <w:rPr>
                <w:sz w:val="20"/>
                <w:szCs w:val="20"/>
                <w:color w:val="auto"/>
              </w:rPr>
            </w:pPr>
            <w:r>
              <w:rPr>
                <w:rFonts w:ascii="Arial" w:cs="Arial" w:eastAsia="Arial" w:hAnsi="Arial"/>
                <w:sz w:val="12"/>
                <w:szCs w:val="12"/>
                <w:color w:val="auto"/>
              </w:rPr>
              <w:t>Income tax rate</w:t>
            </w:r>
          </w:p>
        </w:tc>
        <w:tc>
          <w:tcPr>
            <w:tcW w:w="680" w:type="dxa"/>
            <w:vAlign w:val="bottom"/>
          </w:tcPr>
          <w:p>
            <w:pPr>
              <w:jc w:val="right"/>
              <w:spacing w:after="0"/>
              <w:rPr>
                <w:sz w:val="20"/>
                <w:szCs w:val="20"/>
                <w:color w:val="auto"/>
              </w:rPr>
            </w:pPr>
            <w:r>
              <w:rPr>
                <w:rFonts w:ascii="Arial" w:cs="Arial" w:eastAsia="Arial" w:hAnsi="Arial"/>
                <w:sz w:val="12"/>
                <w:szCs w:val="12"/>
                <w:color w:val="auto"/>
              </w:rPr>
              <w:t>(14.7)%</w:t>
            </w:r>
          </w:p>
        </w:tc>
        <w:tc>
          <w:tcPr>
            <w:tcW w:w="78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1.0 %</w:t>
            </w:r>
          </w:p>
        </w:tc>
        <w:tc>
          <w:tcPr>
            <w:tcW w:w="880" w:type="dxa"/>
            <w:vAlign w:val="bottom"/>
          </w:tcPr>
          <w:p>
            <w:pPr>
              <w:jc w:val="right"/>
              <w:spacing w:after="0"/>
              <w:rPr>
                <w:sz w:val="20"/>
                <w:szCs w:val="20"/>
                <w:color w:val="auto"/>
              </w:rPr>
            </w:pPr>
            <w:r>
              <w:rPr>
                <w:rFonts w:ascii="Arial" w:cs="Arial" w:eastAsia="Arial" w:hAnsi="Arial"/>
                <w:sz w:val="12"/>
                <w:szCs w:val="12"/>
                <w:color w:val="auto"/>
              </w:rPr>
              <w:t>7.0 %</w:t>
            </w:r>
          </w:p>
        </w:tc>
        <w:tc>
          <w:tcPr>
            <w:tcW w:w="80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60"/>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jc w:val="right"/>
              <w:spacing w:after="0"/>
              <w:rPr>
                <w:sz w:val="20"/>
                <w:szCs w:val="20"/>
                <w:color w:val="auto"/>
              </w:rPr>
            </w:pPr>
            <w:r>
              <w:rPr>
                <w:rFonts w:ascii="Arial" w:cs="Arial" w:eastAsia="Arial" w:hAnsi="Arial"/>
                <w:sz w:val="12"/>
                <w:szCs w:val="12"/>
                <w:color w:val="auto"/>
              </w:rPr>
              <w:t>3.0 %</w:t>
            </w:r>
          </w:p>
        </w:tc>
        <w:tc>
          <w:tcPr>
            <w:tcW w:w="960" w:type="dxa"/>
            <w:vAlign w:val="bottom"/>
          </w:tcPr>
          <w:p>
            <w:pPr>
              <w:jc w:val="right"/>
              <w:spacing w:after="0"/>
              <w:rPr>
                <w:sz w:val="20"/>
                <w:szCs w:val="20"/>
                <w:color w:val="auto"/>
              </w:rPr>
            </w:pPr>
            <w:r>
              <w:rPr>
                <w:rFonts w:ascii="Arial" w:cs="Arial" w:eastAsia="Arial" w:hAnsi="Arial"/>
                <w:sz w:val="12"/>
                <w:szCs w:val="12"/>
                <w:color w:val="auto"/>
              </w:rPr>
              <w:t>1.0 %</w:t>
            </w:r>
          </w:p>
        </w:tc>
        <w:tc>
          <w:tcPr>
            <w:tcW w:w="880" w:type="dxa"/>
            <w:vAlign w:val="bottom"/>
          </w:tcPr>
          <w:p>
            <w:pPr>
              <w:jc w:val="right"/>
              <w:spacing w:after="0"/>
              <w:rPr>
                <w:sz w:val="20"/>
                <w:szCs w:val="20"/>
                <w:color w:val="auto"/>
              </w:rPr>
            </w:pPr>
            <w:r>
              <w:rPr>
                <w:rFonts w:ascii="Arial" w:cs="Arial" w:eastAsia="Arial" w:hAnsi="Arial"/>
                <w:sz w:val="12"/>
                <w:szCs w:val="12"/>
                <w:color w:val="auto"/>
              </w:rPr>
              <w:t>N/A</w:t>
            </w:r>
          </w:p>
        </w:tc>
        <w:tc>
          <w:tcPr>
            <w:tcW w:w="840" w:type="dxa"/>
            <w:vAlign w:val="bottom"/>
          </w:tcPr>
          <w:p>
            <w:pPr>
              <w:ind w:left="560"/>
              <w:spacing w:after="0"/>
              <w:rPr>
                <w:sz w:val="20"/>
                <w:szCs w:val="20"/>
                <w:color w:val="auto"/>
              </w:rPr>
            </w:pPr>
            <w:r>
              <w:rPr>
                <w:rFonts w:ascii="Arial" w:cs="Arial" w:eastAsia="Arial" w:hAnsi="Arial"/>
                <w:sz w:val="12"/>
                <w:szCs w:val="12"/>
                <w:color w:val="auto"/>
                <w:w w:val="99"/>
              </w:rPr>
              <w:t>— %</w:t>
            </w:r>
          </w:p>
        </w:tc>
        <w:tc>
          <w:tcPr>
            <w:tcW w:w="700" w:type="dxa"/>
            <w:vAlign w:val="bottom"/>
          </w:tcPr>
          <w:p>
            <w:pPr>
              <w:jc w:val="right"/>
              <w:spacing w:after="0"/>
              <w:rPr>
                <w:sz w:val="20"/>
                <w:szCs w:val="20"/>
                <w:color w:val="auto"/>
              </w:rPr>
            </w:pPr>
            <w:r>
              <w:rPr>
                <w:rFonts w:ascii="Arial" w:cs="Arial" w:eastAsia="Arial" w:hAnsi="Arial"/>
                <w:sz w:val="12"/>
                <w:szCs w:val="12"/>
                <w:color w:val="auto"/>
              </w:rPr>
              <w:t>3.8 %</w:t>
            </w:r>
          </w:p>
        </w:tc>
        <w:tc>
          <w:tcPr>
            <w:tcW w:w="0" w:type="dxa"/>
            <w:vAlign w:val="bottom"/>
          </w:tcPr>
          <w:p>
            <w:pPr>
              <w:spacing w:after="0"/>
              <w:rPr>
                <w:sz w:val="1"/>
                <w:szCs w:val="1"/>
                <w:color w:val="auto"/>
              </w:rPr>
            </w:pPr>
          </w:p>
        </w:tc>
      </w:tr>
      <w:tr>
        <w:trPr>
          <w:trHeight w:val="137"/>
        </w:trPr>
        <w:tc>
          <w:tcPr>
            <w:tcW w:w="1160" w:type="dxa"/>
            <w:vAlign w:val="bottom"/>
          </w:tcPr>
          <w:p>
            <w:pPr>
              <w:ind w:left="20"/>
              <w:spacing w:after="0"/>
              <w:rPr>
                <w:sz w:val="20"/>
                <w:szCs w:val="20"/>
                <w:color w:val="auto"/>
              </w:rPr>
            </w:pPr>
            <w:r>
              <w:rPr>
                <w:rFonts w:ascii="Arial" w:cs="Arial" w:eastAsia="Arial" w:hAnsi="Arial"/>
                <w:sz w:val="12"/>
                <w:szCs w:val="12"/>
                <w:color w:val="auto"/>
              </w:rPr>
              <w:t>Net (loss) income</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60" w:type="dxa"/>
            <w:vAlign w:val="bottom"/>
          </w:tcPr>
          <w:p>
            <w:pPr>
              <w:ind w:left="20"/>
              <w:spacing w:after="0" w:line="128" w:lineRule="exact"/>
              <w:rPr>
                <w:sz w:val="20"/>
                <w:szCs w:val="20"/>
                <w:color w:val="auto"/>
              </w:rPr>
            </w:pPr>
            <w:r>
              <w:rPr>
                <w:rFonts w:ascii="Arial" w:cs="Arial" w:eastAsia="Arial" w:hAnsi="Arial"/>
                <w:sz w:val="12"/>
                <w:szCs w:val="12"/>
                <w:color w:val="auto"/>
              </w:rPr>
              <w:t>from continuing</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60" w:type="dxa"/>
            <w:vAlign w:val="bottom"/>
          </w:tcPr>
          <w:p>
            <w:pPr>
              <w:ind w:left="20"/>
              <w:spacing w:after="0"/>
              <w:rPr>
                <w:sz w:val="20"/>
                <w:szCs w:val="20"/>
                <w:color w:val="auto"/>
              </w:rPr>
            </w:pPr>
            <w:r>
              <w:rPr>
                <w:rFonts w:ascii="Arial" w:cs="Arial" w:eastAsia="Arial" w:hAnsi="Arial"/>
                <w:sz w:val="12"/>
                <w:szCs w:val="12"/>
                <w:color w:val="auto"/>
              </w:rPr>
              <w:t>operations</w:t>
            </w: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(86.2)</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1.1</w:t>
            </w:r>
          </w:p>
        </w:tc>
        <w:tc>
          <w:tcPr>
            <w:tcW w:w="920" w:type="dxa"/>
            <w:vAlign w:val="bottom"/>
          </w:tcPr>
          <w:p>
            <w:pPr>
              <w:jc w:val="right"/>
              <w:ind w:right="120"/>
              <w:spacing w:after="0"/>
              <w:rPr>
                <w:sz w:val="20"/>
                <w:szCs w:val="20"/>
                <w:color w:val="auto"/>
              </w:rPr>
            </w:pPr>
            <w:r>
              <w:rPr>
                <w:rFonts w:ascii="Arial" w:cs="Arial" w:eastAsia="Arial" w:hAnsi="Arial"/>
                <w:sz w:val="12"/>
                <w:szCs w:val="12"/>
                <w:color w:val="auto"/>
              </w:rPr>
              <w:t>6.5</w:t>
            </w:r>
          </w:p>
        </w:tc>
        <w:tc>
          <w:tcPr>
            <w:tcW w:w="880" w:type="dxa"/>
            <w:vAlign w:val="bottom"/>
          </w:tcPr>
          <w:p>
            <w:pPr>
              <w:jc w:val="right"/>
              <w:ind w:right="140"/>
              <w:spacing w:after="0"/>
              <w:rPr>
                <w:sz w:val="20"/>
                <w:szCs w:val="20"/>
                <w:color w:val="auto"/>
              </w:rPr>
            </w:pPr>
            <w:r>
              <w:rPr>
                <w:rFonts w:ascii="Arial" w:cs="Arial" w:eastAsia="Arial" w:hAnsi="Arial"/>
                <w:sz w:val="12"/>
                <w:szCs w:val="12"/>
                <w:color w:val="auto"/>
              </w:rPr>
              <w:t>23.8</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129.4</w:t>
            </w:r>
          </w:p>
        </w:tc>
        <w:tc>
          <w:tcPr>
            <w:tcW w:w="860" w:type="dxa"/>
            <w:vAlign w:val="bottom"/>
          </w:tcPr>
          <w:p>
            <w:pPr>
              <w:jc w:val="right"/>
              <w:ind w:right="98"/>
              <w:spacing w:after="0"/>
              <w:rPr>
                <w:sz w:val="20"/>
                <w:szCs w:val="20"/>
                <w:color w:val="auto"/>
              </w:rPr>
            </w:pPr>
            <w:r>
              <w:rPr>
                <w:rFonts w:ascii="Arial" w:cs="Arial" w:eastAsia="Arial" w:hAnsi="Arial"/>
                <w:sz w:val="12"/>
                <w:szCs w:val="12"/>
                <w:color w:val="auto"/>
              </w:rPr>
              <w:t>(44.1)</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(29.9)</w:t>
            </w:r>
          </w:p>
        </w:tc>
        <w:tc>
          <w:tcPr>
            <w:tcW w:w="860" w:type="dxa"/>
            <w:vAlign w:val="bottom"/>
          </w:tcPr>
          <w:p>
            <w:pPr>
              <w:jc w:val="right"/>
              <w:ind w:right="140"/>
              <w:spacing w:after="0"/>
              <w:rPr>
                <w:sz w:val="20"/>
                <w:szCs w:val="20"/>
                <w:color w:val="auto"/>
              </w:rPr>
            </w:pPr>
            <w:r>
              <w:rPr>
                <w:rFonts w:ascii="Arial" w:cs="Arial" w:eastAsia="Arial" w:hAnsi="Arial"/>
                <w:sz w:val="12"/>
                <w:szCs w:val="12"/>
                <w:color w:val="auto"/>
              </w:rPr>
              <w:t>42.9</w:t>
            </w: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44.3</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9.6</w:t>
            </w: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31.7</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129.2</w:t>
            </w:r>
          </w:p>
        </w:tc>
        <w:tc>
          <w:tcPr>
            <w:tcW w:w="0" w:type="dxa"/>
            <w:vAlign w:val="bottom"/>
          </w:tcPr>
          <w:p>
            <w:pPr>
              <w:spacing w:after="0"/>
              <w:rPr>
                <w:sz w:val="1"/>
                <w:szCs w:val="1"/>
                <w:color w:val="auto"/>
              </w:rPr>
            </w:pPr>
          </w:p>
        </w:tc>
      </w:tr>
      <w:tr>
        <w:trPr>
          <w:trHeight w:val="137"/>
        </w:trPr>
        <w:tc>
          <w:tcPr>
            <w:tcW w:w="1160" w:type="dxa"/>
            <w:vAlign w:val="bottom"/>
          </w:tcPr>
          <w:p>
            <w:pPr>
              <w:ind w:left="20"/>
              <w:spacing w:after="0"/>
              <w:rPr>
                <w:sz w:val="20"/>
                <w:szCs w:val="20"/>
                <w:color w:val="auto"/>
              </w:rPr>
            </w:pPr>
            <w:r>
              <w:rPr>
                <w:rFonts w:ascii="Arial" w:cs="Arial" w:eastAsia="Arial" w:hAnsi="Arial"/>
                <w:sz w:val="12"/>
                <w:szCs w:val="12"/>
                <w:color w:val="auto"/>
              </w:rPr>
              <w:t>Net (loss) income as</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60" w:type="dxa"/>
            <w:vAlign w:val="bottom"/>
          </w:tcPr>
          <w:p>
            <w:pPr>
              <w:ind w:left="20"/>
              <w:spacing w:after="0" w:line="128" w:lineRule="exact"/>
              <w:rPr>
                <w:sz w:val="20"/>
                <w:szCs w:val="20"/>
                <w:color w:val="auto"/>
              </w:rPr>
            </w:pPr>
            <w:r>
              <w:rPr>
                <w:rFonts w:ascii="Arial" w:cs="Arial" w:eastAsia="Arial" w:hAnsi="Arial"/>
                <w:sz w:val="12"/>
                <w:szCs w:val="12"/>
                <w:color w:val="auto"/>
              </w:rPr>
              <w:t>a percent of net</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60" w:type="dxa"/>
            <w:vAlign w:val="bottom"/>
          </w:tcPr>
          <w:p>
            <w:pPr>
              <w:ind w:left="20"/>
              <w:spacing w:after="0"/>
              <w:rPr>
                <w:sz w:val="20"/>
                <w:szCs w:val="20"/>
                <w:color w:val="auto"/>
              </w:rPr>
            </w:pPr>
            <w:r>
              <w:rPr>
                <w:rFonts w:ascii="Arial" w:cs="Arial" w:eastAsia="Arial" w:hAnsi="Arial"/>
                <w:sz w:val="12"/>
                <w:szCs w:val="12"/>
                <w:color w:val="auto"/>
              </w:rPr>
              <w:t>revenue</w:t>
            </w:r>
          </w:p>
        </w:tc>
        <w:tc>
          <w:tcPr>
            <w:tcW w:w="680" w:type="dxa"/>
            <w:vAlign w:val="bottom"/>
          </w:tcPr>
          <w:p>
            <w:pPr>
              <w:jc w:val="right"/>
              <w:spacing w:after="0"/>
              <w:rPr>
                <w:sz w:val="20"/>
                <w:szCs w:val="20"/>
                <w:color w:val="auto"/>
              </w:rPr>
            </w:pPr>
            <w:r>
              <w:rPr>
                <w:rFonts w:ascii="Arial" w:cs="Arial" w:eastAsia="Arial" w:hAnsi="Arial"/>
                <w:sz w:val="12"/>
                <w:szCs w:val="12"/>
                <w:color w:val="auto"/>
              </w:rPr>
              <w:t>(8.4)%</w:t>
            </w:r>
          </w:p>
        </w:tc>
        <w:tc>
          <w:tcPr>
            <w:tcW w:w="780" w:type="dxa"/>
            <w:vAlign w:val="bottom"/>
          </w:tcPr>
          <w:p>
            <w:pPr>
              <w:jc w:val="right"/>
              <w:spacing w:after="0"/>
              <w:rPr>
                <w:sz w:val="20"/>
                <w:szCs w:val="20"/>
                <w:color w:val="auto"/>
              </w:rPr>
            </w:pPr>
            <w:r>
              <w:rPr>
                <w:rFonts w:ascii="Arial" w:cs="Arial" w:eastAsia="Arial" w:hAnsi="Arial"/>
                <w:sz w:val="12"/>
                <w:szCs w:val="12"/>
                <w:color w:val="auto"/>
              </w:rPr>
              <w:t>0.1 %</w:t>
            </w:r>
          </w:p>
        </w:tc>
        <w:tc>
          <w:tcPr>
            <w:tcW w:w="920" w:type="dxa"/>
            <w:vAlign w:val="bottom"/>
          </w:tcPr>
          <w:p>
            <w:pPr>
              <w:jc w:val="right"/>
              <w:spacing w:after="0"/>
              <w:rPr>
                <w:sz w:val="20"/>
                <w:szCs w:val="20"/>
                <w:color w:val="auto"/>
              </w:rPr>
            </w:pPr>
            <w:r>
              <w:rPr>
                <w:rFonts w:ascii="Arial" w:cs="Arial" w:eastAsia="Arial" w:hAnsi="Arial"/>
                <w:sz w:val="12"/>
                <w:szCs w:val="12"/>
                <w:color w:val="auto"/>
              </w:rPr>
              <w:t>0.6 %</w:t>
            </w:r>
          </w:p>
        </w:tc>
        <w:tc>
          <w:tcPr>
            <w:tcW w:w="880" w:type="dxa"/>
            <w:vAlign w:val="bottom"/>
          </w:tcPr>
          <w:p>
            <w:pPr>
              <w:jc w:val="right"/>
              <w:spacing w:after="0"/>
              <w:rPr>
                <w:sz w:val="20"/>
                <w:szCs w:val="20"/>
                <w:color w:val="auto"/>
              </w:rPr>
            </w:pPr>
            <w:r>
              <w:rPr>
                <w:rFonts w:ascii="Arial" w:cs="Arial" w:eastAsia="Arial" w:hAnsi="Arial"/>
                <w:sz w:val="12"/>
                <w:szCs w:val="12"/>
                <w:color w:val="auto"/>
              </w:rPr>
              <w:t>2.3 %</w:t>
            </w:r>
          </w:p>
        </w:tc>
        <w:tc>
          <w:tcPr>
            <w:tcW w:w="800" w:type="dxa"/>
            <w:vAlign w:val="bottom"/>
          </w:tcPr>
          <w:p>
            <w:pPr>
              <w:jc w:val="right"/>
              <w:spacing w:after="0"/>
              <w:rPr>
                <w:sz w:val="20"/>
                <w:szCs w:val="20"/>
                <w:color w:val="auto"/>
              </w:rPr>
            </w:pPr>
            <w:r>
              <w:rPr>
                <w:rFonts w:ascii="Arial" w:cs="Arial" w:eastAsia="Arial" w:hAnsi="Arial"/>
                <w:sz w:val="12"/>
                <w:szCs w:val="12"/>
                <w:color w:val="auto"/>
              </w:rPr>
              <w:t>12.7 %</w:t>
            </w:r>
          </w:p>
        </w:tc>
        <w:tc>
          <w:tcPr>
            <w:tcW w:w="860" w:type="dxa"/>
            <w:vAlign w:val="bottom"/>
          </w:tcPr>
          <w:p>
            <w:pPr>
              <w:jc w:val="right"/>
              <w:spacing w:after="0"/>
              <w:rPr>
                <w:sz w:val="20"/>
                <w:szCs w:val="20"/>
                <w:color w:val="auto"/>
              </w:rPr>
            </w:pPr>
            <w:r>
              <w:rPr>
                <w:rFonts w:ascii="Arial" w:cs="Arial" w:eastAsia="Arial" w:hAnsi="Arial"/>
                <w:sz w:val="12"/>
                <w:szCs w:val="12"/>
                <w:color w:val="auto"/>
              </w:rPr>
              <w:t>(4.3)%</w:t>
            </w:r>
          </w:p>
        </w:tc>
        <w:tc>
          <w:tcPr>
            <w:tcW w:w="920" w:type="dxa"/>
            <w:vAlign w:val="bottom"/>
          </w:tcPr>
          <w:p>
            <w:pPr>
              <w:jc w:val="right"/>
              <w:spacing w:after="0"/>
              <w:rPr>
                <w:sz w:val="20"/>
                <w:szCs w:val="20"/>
                <w:color w:val="auto"/>
              </w:rPr>
            </w:pPr>
            <w:r>
              <w:rPr>
                <w:rFonts w:ascii="Arial" w:cs="Arial" w:eastAsia="Arial" w:hAnsi="Arial"/>
                <w:sz w:val="12"/>
                <w:szCs w:val="12"/>
                <w:color w:val="auto"/>
              </w:rPr>
              <w:t>(2.9)%</w:t>
            </w:r>
          </w:p>
        </w:tc>
        <w:tc>
          <w:tcPr>
            <w:tcW w:w="860" w:type="dxa"/>
            <w:vAlign w:val="bottom"/>
          </w:tcPr>
          <w:p>
            <w:pPr>
              <w:jc w:val="right"/>
              <w:spacing w:after="0"/>
              <w:rPr>
                <w:sz w:val="20"/>
                <w:szCs w:val="20"/>
                <w:color w:val="auto"/>
              </w:rPr>
            </w:pPr>
            <w:r>
              <w:rPr>
                <w:rFonts w:ascii="Arial" w:cs="Arial" w:eastAsia="Arial" w:hAnsi="Arial"/>
                <w:sz w:val="12"/>
                <w:szCs w:val="12"/>
                <w:color w:val="auto"/>
              </w:rPr>
              <w:t>4.2 %</w:t>
            </w:r>
          </w:p>
        </w:tc>
        <w:tc>
          <w:tcPr>
            <w:tcW w:w="960" w:type="dxa"/>
            <w:vAlign w:val="bottom"/>
          </w:tcPr>
          <w:p>
            <w:pPr>
              <w:jc w:val="right"/>
              <w:spacing w:after="0"/>
              <w:rPr>
                <w:sz w:val="20"/>
                <w:szCs w:val="20"/>
                <w:color w:val="auto"/>
              </w:rPr>
            </w:pPr>
            <w:r>
              <w:rPr>
                <w:rFonts w:ascii="Arial" w:cs="Arial" w:eastAsia="Arial" w:hAnsi="Arial"/>
                <w:sz w:val="12"/>
                <w:szCs w:val="12"/>
                <w:color w:val="auto"/>
              </w:rPr>
              <w:t>4.3 %</w:t>
            </w:r>
          </w:p>
        </w:tc>
        <w:tc>
          <w:tcPr>
            <w:tcW w:w="880" w:type="dxa"/>
            <w:vAlign w:val="bottom"/>
          </w:tcPr>
          <w:p>
            <w:pPr>
              <w:jc w:val="right"/>
              <w:spacing w:after="0"/>
              <w:rPr>
                <w:sz w:val="20"/>
                <w:szCs w:val="20"/>
                <w:color w:val="auto"/>
              </w:rPr>
            </w:pPr>
            <w:r>
              <w:rPr>
                <w:rFonts w:ascii="Arial" w:cs="Arial" w:eastAsia="Arial" w:hAnsi="Arial"/>
                <w:sz w:val="12"/>
                <w:szCs w:val="12"/>
                <w:color w:val="auto"/>
              </w:rPr>
              <w:t>0.9 %</w:t>
            </w:r>
          </w:p>
        </w:tc>
        <w:tc>
          <w:tcPr>
            <w:tcW w:w="840" w:type="dxa"/>
            <w:vAlign w:val="bottom"/>
          </w:tcPr>
          <w:p>
            <w:pPr>
              <w:jc w:val="right"/>
              <w:spacing w:after="0"/>
              <w:rPr>
                <w:sz w:val="20"/>
                <w:szCs w:val="20"/>
                <w:color w:val="auto"/>
              </w:rPr>
            </w:pPr>
            <w:r>
              <w:rPr>
                <w:rFonts w:ascii="Arial" w:cs="Arial" w:eastAsia="Arial" w:hAnsi="Arial"/>
                <w:sz w:val="12"/>
                <w:szCs w:val="12"/>
                <w:color w:val="auto"/>
              </w:rPr>
              <w:t>3.1 %</w:t>
            </w:r>
          </w:p>
        </w:tc>
        <w:tc>
          <w:tcPr>
            <w:tcW w:w="700" w:type="dxa"/>
            <w:vAlign w:val="bottom"/>
          </w:tcPr>
          <w:p>
            <w:pPr>
              <w:jc w:val="right"/>
              <w:spacing w:after="0"/>
              <w:rPr>
                <w:sz w:val="20"/>
                <w:szCs w:val="20"/>
                <w:color w:val="auto"/>
              </w:rPr>
            </w:pPr>
            <w:r>
              <w:rPr>
                <w:rFonts w:ascii="Arial" w:cs="Arial" w:eastAsia="Arial" w:hAnsi="Arial"/>
                <w:sz w:val="12"/>
                <w:szCs w:val="12"/>
                <w:color w:val="auto"/>
              </w:rPr>
              <w:t>12.6 %</w:t>
            </w:r>
          </w:p>
        </w:tc>
        <w:tc>
          <w:tcPr>
            <w:tcW w:w="0" w:type="dxa"/>
            <w:vAlign w:val="bottom"/>
          </w:tcPr>
          <w:p>
            <w:pPr>
              <w:spacing w:after="0"/>
              <w:rPr>
                <w:sz w:val="1"/>
                <w:szCs w:val="1"/>
                <w:color w:val="auto"/>
              </w:rPr>
            </w:pPr>
          </w:p>
        </w:tc>
      </w:tr>
      <w:tr>
        <w:trPr>
          <w:trHeight w:val="137"/>
        </w:trPr>
        <w:tc>
          <w:tcPr>
            <w:tcW w:w="1160" w:type="dxa"/>
            <w:vAlign w:val="bottom"/>
          </w:tcPr>
          <w:p>
            <w:pPr>
              <w:ind w:left="20"/>
              <w:spacing w:after="0"/>
              <w:rPr>
                <w:sz w:val="20"/>
                <w:szCs w:val="20"/>
                <w:color w:val="auto"/>
              </w:rPr>
            </w:pPr>
            <w:r>
              <w:rPr>
                <w:rFonts w:ascii="Arial" w:cs="Arial" w:eastAsia="Arial" w:hAnsi="Arial"/>
                <w:sz w:val="12"/>
                <w:szCs w:val="12"/>
                <w:color w:val="auto"/>
              </w:rPr>
              <w:t>Diluted EPS -</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160" w:type="dxa"/>
            <w:vAlign w:val="bottom"/>
          </w:tcPr>
          <w:p>
            <w:pPr>
              <w:ind w:left="20"/>
              <w:spacing w:after="0" w:line="128" w:lineRule="exact"/>
              <w:rPr>
                <w:sz w:val="20"/>
                <w:szCs w:val="20"/>
                <w:color w:val="auto"/>
              </w:rPr>
            </w:pPr>
            <w:r>
              <w:rPr>
                <w:rFonts w:ascii="Arial" w:cs="Arial" w:eastAsia="Arial" w:hAnsi="Arial"/>
                <w:sz w:val="12"/>
                <w:szCs w:val="12"/>
                <w:color w:val="auto"/>
              </w:rPr>
              <w:t>Continuing</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60" w:type="dxa"/>
            <w:vAlign w:val="bottom"/>
          </w:tcPr>
          <w:p>
            <w:pPr>
              <w:ind w:left="20"/>
              <w:spacing w:after="0"/>
              <w:rPr>
                <w:sz w:val="20"/>
                <w:szCs w:val="20"/>
                <w:color w:val="auto"/>
              </w:rPr>
            </w:pPr>
            <w:r>
              <w:rPr>
                <w:rFonts w:ascii="Arial" w:cs="Arial" w:eastAsia="Arial" w:hAnsi="Arial"/>
                <w:sz w:val="12"/>
                <w:szCs w:val="12"/>
                <w:color w:val="auto"/>
              </w:rPr>
              <w:t>Operations</w:t>
            </w: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($1.61)</w:t>
            </w:r>
          </w:p>
        </w:tc>
        <w:tc>
          <w:tcPr>
            <w:tcW w:w="780" w:type="dxa"/>
            <w:vAlign w:val="bottom"/>
          </w:tcPr>
          <w:p>
            <w:pPr>
              <w:jc w:val="right"/>
              <w:ind w:right="120"/>
              <w:spacing w:after="0"/>
              <w:rPr>
                <w:sz w:val="20"/>
                <w:szCs w:val="20"/>
                <w:color w:val="auto"/>
              </w:rPr>
            </w:pPr>
            <w:r>
              <w:rPr>
                <w:rFonts w:ascii="Arial" w:cs="Arial" w:eastAsia="Arial" w:hAnsi="Arial"/>
                <w:sz w:val="12"/>
                <w:szCs w:val="12"/>
                <w:color w:val="auto"/>
              </w:rPr>
              <w:t>$0.02</w:t>
            </w:r>
          </w:p>
        </w:tc>
        <w:tc>
          <w:tcPr>
            <w:tcW w:w="920" w:type="dxa"/>
            <w:vAlign w:val="bottom"/>
          </w:tcPr>
          <w:p>
            <w:pPr>
              <w:jc w:val="right"/>
              <w:ind w:right="120"/>
              <w:spacing w:after="0"/>
              <w:rPr>
                <w:sz w:val="20"/>
                <w:szCs w:val="20"/>
                <w:color w:val="auto"/>
              </w:rPr>
            </w:pPr>
            <w:r>
              <w:rPr>
                <w:rFonts w:ascii="Arial" w:cs="Arial" w:eastAsia="Arial" w:hAnsi="Arial"/>
                <w:sz w:val="12"/>
                <w:szCs w:val="12"/>
                <w:color w:val="auto"/>
              </w:rPr>
              <w:t>$0.12</w:t>
            </w:r>
          </w:p>
        </w:tc>
        <w:tc>
          <w:tcPr>
            <w:tcW w:w="880" w:type="dxa"/>
            <w:vAlign w:val="bottom"/>
          </w:tcPr>
          <w:p>
            <w:pPr>
              <w:jc w:val="right"/>
              <w:ind w:right="140"/>
              <w:spacing w:after="0"/>
              <w:rPr>
                <w:sz w:val="20"/>
                <w:szCs w:val="20"/>
                <w:color w:val="auto"/>
              </w:rPr>
            </w:pPr>
            <w:r>
              <w:rPr>
                <w:rFonts w:ascii="Arial" w:cs="Arial" w:eastAsia="Arial" w:hAnsi="Arial"/>
                <w:sz w:val="12"/>
                <w:szCs w:val="12"/>
                <w:color w:val="auto"/>
              </w:rPr>
              <w:t>$0.44</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$2.40</w:t>
            </w:r>
          </w:p>
        </w:tc>
        <w:tc>
          <w:tcPr>
            <w:tcW w:w="860" w:type="dxa"/>
            <w:vAlign w:val="bottom"/>
          </w:tcPr>
          <w:p>
            <w:pPr>
              <w:jc w:val="right"/>
              <w:ind w:right="98"/>
              <w:spacing w:after="0"/>
              <w:rPr>
                <w:sz w:val="20"/>
                <w:szCs w:val="20"/>
                <w:color w:val="auto"/>
              </w:rPr>
            </w:pPr>
            <w:r>
              <w:rPr>
                <w:rFonts w:ascii="Arial" w:cs="Arial" w:eastAsia="Arial" w:hAnsi="Arial"/>
                <w:sz w:val="12"/>
                <w:szCs w:val="12"/>
                <w:color w:val="auto"/>
              </w:rPr>
              <w:t>($0.82)</w:t>
            </w: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($0.55)</w:t>
            </w:r>
          </w:p>
        </w:tc>
        <w:tc>
          <w:tcPr>
            <w:tcW w:w="860" w:type="dxa"/>
            <w:vAlign w:val="bottom"/>
          </w:tcPr>
          <w:p>
            <w:pPr>
              <w:jc w:val="right"/>
              <w:ind w:right="140"/>
              <w:spacing w:after="0"/>
              <w:rPr>
                <w:sz w:val="20"/>
                <w:szCs w:val="20"/>
                <w:color w:val="auto"/>
              </w:rPr>
            </w:pPr>
            <w:r>
              <w:rPr>
                <w:rFonts w:ascii="Arial" w:cs="Arial" w:eastAsia="Arial" w:hAnsi="Arial"/>
                <w:sz w:val="12"/>
                <w:szCs w:val="12"/>
                <w:color w:val="auto"/>
              </w:rPr>
              <w:t>$0.79</w:t>
            </w: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$0.82</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$0.18</w:t>
            </w: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$0.59</w:t>
            </w:r>
          </w:p>
        </w:tc>
        <w:tc>
          <w:tcPr>
            <w:tcW w:w="700" w:type="dxa"/>
            <w:vAlign w:val="bottom"/>
          </w:tcPr>
          <w:p>
            <w:pPr>
              <w:jc w:val="right"/>
              <w:ind w:right="100"/>
              <w:spacing w:after="0"/>
              <w:rPr>
                <w:sz w:val="20"/>
                <w:szCs w:val="20"/>
                <w:color w:val="auto"/>
              </w:rPr>
            </w:pPr>
            <w:r>
              <w:rPr>
                <w:rFonts w:ascii="Arial" w:cs="Arial" w:eastAsia="Arial" w:hAnsi="Arial"/>
                <w:sz w:val="12"/>
                <w:szCs w:val="12"/>
                <w:color w:val="auto"/>
              </w:rPr>
              <w:t>$2.39</w:t>
            </w:r>
          </w:p>
        </w:tc>
        <w:tc>
          <w:tcPr>
            <w:tcW w:w="0" w:type="dxa"/>
            <w:vAlign w:val="bottom"/>
          </w:tcPr>
          <w:p>
            <w:pPr>
              <w:spacing w:after="0"/>
              <w:rPr>
                <w:sz w:val="1"/>
                <w:szCs w:val="1"/>
                <w:color w:val="auto"/>
              </w:rPr>
            </w:pPr>
          </w:p>
        </w:tc>
      </w:tr>
      <w:tr>
        <w:trPr>
          <w:trHeight w:val="281"/>
        </w:trPr>
        <w:tc>
          <w:tcPr>
            <w:tcW w:w="3540" w:type="dxa"/>
            <w:vAlign w:val="bottom"/>
            <w:gridSpan w:val="4"/>
          </w:tcPr>
          <w:p>
            <w:pPr>
              <w:ind w:left="20"/>
              <w:spacing w:after="0"/>
              <w:rPr>
                <w:sz w:val="20"/>
                <w:szCs w:val="20"/>
                <w:color w:val="auto"/>
              </w:rPr>
            </w:pPr>
            <w:r>
              <w:rPr>
                <w:rFonts w:ascii="Arial" w:cs="Arial" w:eastAsia="Arial" w:hAnsi="Arial"/>
                <w:sz w:val="12"/>
                <w:szCs w:val="12"/>
                <w:b w:val="1"/>
                <w:bCs w:val="1"/>
                <w:color w:val="auto"/>
              </w:rPr>
              <w:t>GAAP results for the year ended December 31, 2022, include:</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220" w:type="dxa"/>
            <w:vAlign w:val="bottom"/>
            <w:gridSpan w:val="6"/>
          </w:tcPr>
          <w:p>
            <w:pPr>
              <w:ind w:left="20"/>
              <w:spacing w:after="0"/>
              <w:rPr>
                <w:sz w:val="20"/>
                <w:szCs w:val="20"/>
                <w:color w:val="auto"/>
              </w:rPr>
            </w:pPr>
            <w:r>
              <w:rPr>
                <w:rFonts w:ascii="Arial" w:cs="Arial" w:eastAsia="Arial" w:hAnsi="Arial"/>
                <w:sz w:val="12"/>
                <w:szCs w:val="12"/>
                <w:color w:val="auto"/>
              </w:rPr>
              <w:t>(A)   Merger and integration expenses related to the acquisition of ALung Technologies, Inc.</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540" w:type="dxa"/>
            <w:vAlign w:val="bottom"/>
            <w:gridSpan w:val="4"/>
          </w:tcPr>
          <w:p>
            <w:pPr>
              <w:ind w:left="20"/>
              <w:spacing w:after="0"/>
              <w:rPr>
                <w:sz w:val="20"/>
                <w:szCs w:val="20"/>
                <w:color w:val="auto"/>
              </w:rPr>
            </w:pPr>
            <w:r>
              <w:rPr>
                <w:rFonts w:ascii="Arial" w:cs="Arial" w:eastAsia="Arial" w:hAnsi="Arial"/>
                <w:sz w:val="12"/>
                <w:szCs w:val="12"/>
                <w:color w:val="auto"/>
              </w:rPr>
              <w:t>(B)   Restructuring expenses related to organizational changes</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220" w:type="dxa"/>
            <w:vAlign w:val="bottom"/>
            <w:gridSpan w:val="6"/>
          </w:tcPr>
          <w:p>
            <w:pPr>
              <w:ind w:left="20"/>
              <w:spacing w:after="0"/>
              <w:rPr>
                <w:sz w:val="20"/>
                <w:szCs w:val="20"/>
                <w:color w:val="auto"/>
              </w:rPr>
            </w:pPr>
            <w:r>
              <w:rPr>
                <w:rFonts w:ascii="Arial" w:cs="Arial" w:eastAsia="Arial" w:hAnsi="Arial"/>
                <w:sz w:val="12"/>
                <w:szCs w:val="12"/>
                <w:color w:val="auto"/>
              </w:rPr>
              <w:t>(C)   Includes depreciation and amortization associated with purchase price accounting</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20" w:type="dxa"/>
            <w:vAlign w:val="bottom"/>
            <w:gridSpan w:val="5"/>
          </w:tcPr>
          <w:p>
            <w:pPr>
              <w:ind w:left="20"/>
              <w:spacing w:after="0"/>
              <w:rPr>
                <w:sz w:val="20"/>
                <w:szCs w:val="20"/>
                <w:color w:val="auto"/>
              </w:rPr>
            </w:pPr>
            <w:r>
              <w:rPr>
                <w:rFonts w:ascii="Arial" w:cs="Arial" w:eastAsia="Arial" w:hAnsi="Arial"/>
                <w:sz w:val="12"/>
                <w:szCs w:val="12"/>
                <w:color w:val="auto"/>
              </w:rPr>
              <w:t>(D)   Goodwill impairment associated with the Company's ACS business</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220" w:type="dxa"/>
            <w:vAlign w:val="bottom"/>
            <w:gridSpan w:val="6"/>
          </w:tcPr>
          <w:p>
            <w:pPr>
              <w:ind w:left="20"/>
              <w:spacing w:after="0"/>
              <w:rPr>
                <w:sz w:val="20"/>
                <w:szCs w:val="20"/>
                <w:color w:val="auto"/>
              </w:rPr>
            </w:pPr>
            <w:r>
              <w:rPr>
                <w:rFonts w:ascii="Arial" w:cs="Arial" w:eastAsia="Arial" w:hAnsi="Arial"/>
                <w:sz w:val="12"/>
                <w:szCs w:val="12"/>
                <w:color w:val="auto"/>
              </w:rPr>
              <w:t>(E)   Mark-to-market adjustments for the exchangeable option feature and capped call derivatives</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20" w:type="dxa"/>
            <w:vAlign w:val="bottom"/>
            <w:gridSpan w:val="5"/>
          </w:tcPr>
          <w:p>
            <w:pPr>
              <w:ind w:left="20"/>
              <w:spacing w:after="0"/>
              <w:rPr>
                <w:sz w:val="20"/>
                <w:szCs w:val="20"/>
                <w:color w:val="auto"/>
              </w:rPr>
            </w:pPr>
            <w:r>
              <w:rPr>
                <w:rFonts w:ascii="Arial" w:cs="Arial" w:eastAsia="Arial" w:hAnsi="Arial"/>
                <w:sz w:val="12"/>
                <w:szCs w:val="12"/>
                <w:color w:val="auto"/>
              </w:rPr>
              <w:t>(F)   Remeasurement of contingent consideration related to acquisitions</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820" w:type="dxa"/>
            <w:vAlign w:val="bottom"/>
            <w:gridSpan w:val="10"/>
          </w:tcPr>
          <w:p>
            <w:pPr>
              <w:ind w:left="20"/>
              <w:spacing w:after="0"/>
              <w:rPr>
                <w:sz w:val="20"/>
                <w:szCs w:val="20"/>
                <w:color w:val="auto"/>
              </w:rPr>
            </w:pPr>
            <w:r>
              <w:rPr>
                <w:rFonts w:ascii="Arial" w:cs="Arial" w:eastAsia="Arial" w:hAnsi="Arial"/>
                <w:sz w:val="12"/>
                <w:szCs w:val="12"/>
                <w:color w:val="auto"/>
              </w:rPr>
              <w:t>(G)   3T Heater-Cooler litigation provision, legal expenses primarily related to 3T Heater-Cooler defense, costs related to the SNIA matter and MDR costs</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20" w:type="dxa"/>
            <w:vAlign w:val="bottom"/>
            <w:gridSpan w:val="5"/>
          </w:tcPr>
          <w:p>
            <w:pPr>
              <w:ind w:left="20"/>
              <w:spacing w:after="0"/>
              <w:rPr>
                <w:sz w:val="20"/>
                <w:szCs w:val="20"/>
                <w:color w:val="auto"/>
              </w:rPr>
            </w:pPr>
            <w:r>
              <w:rPr>
                <w:rFonts w:ascii="Arial" w:cs="Arial" w:eastAsia="Arial" w:hAnsi="Arial"/>
                <w:sz w:val="12"/>
                <w:szCs w:val="12"/>
                <w:color w:val="auto"/>
              </w:rPr>
              <w:t>(H)   Non-cash expenses associated with stock-based compensation costs</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220" w:type="dxa"/>
            <w:vAlign w:val="bottom"/>
            <w:gridSpan w:val="6"/>
          </w:tcPr>
          <w:p>
            <w:pPr>
              <w:ind w:left="20"/>
              <w:spacing w:after="0"/>
              <w:rPr>
                <w:sz w:val="20"/>
                <w:szCs w:val="20"/>
                <w:color w:val="auto"/>
              </w:rPr>
            </w:pPr>
            <w:r>
              <w:rPr>
                <w:rFonts w:ascii="Arial" w:cs="Arial" w:eastAsia="Arial" w:hAnsi="Arial"/>
                <w:sz w:val="12"/>
                <w:szCs w:val="12"/>
                <w:color w:val="auto"/>
              </w:rPr>
              <w:t>(I)   Discrete tax items, R&amp;D tax credits and the tax impact of intercompany transactions</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9700" w:type="dxa"/>
            <w:vAlign w:val="bottom"/>
            <w:gridSpan w:val="11"/>
          </w:tcPr>
          <w:p>
            <w:pPr>
              <w:ind w:left="20"/>
              <w:spacing w:after="0" w:line="130" w:lineRule="exact"/>
              <w:rPr>
                <w:sz w:val="20"/>
                <w:szCs w:val="20"/>
                <w:color w:val="auto"/>
              </w:rPr>
            </w:pPr>
            <w:r>
              <w:rPr>
                <w:rFonts w:ascii="Arial" w:cs="Arial" w:eastAsia="Arial" w:hAnsi="Arial"/>
                <w:sz w:val="12"/>
                <w:szCs w:val="12"/>
                <w:color w:val="auto"/>
              </w:rPr>
              <w:t>(J)   Non-cash interest expense on the Cash Exchangeable Senior Notes and 2021 Revolving Credit Facility, interest expense on the 2022 Bridge Loan and Term Facilities</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3540" w:type="dxa"/>
            <w:vAlign w:val="bottom"/>
            <w:gridSpan w:val="4"/>
          </w:tcPr>
          <w:p>
            <w:pPr>
              <w:ind w:left="20"/>
              <w:spacing w:after="0"/>
              <w:rPr>
                <w:sz w:val="20"/>
                <w:szCs w:val="20"/>
                <w:color w:val="auto"/>
              </w:rPr>
            </w:pPr>
            <w:r>
              <w:rPr>
                <w:rFonts w:ascii="Arial" w:cs="Arial" w:eastAsia="Arial" w:hAnsi="Arial"/>
                <w:sz w:val="12"/>
                <w:szCs w:val="12"/>
                <w:color w:val="auto"/>
              </w:rPr>
              <w:t>* Numbers may not add precisely due to rounding.</w:t>
            </w: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20"/>
                <w:szCs w:val="20"/>
                <w:color w:val="auto"/>
                <w:w w:val="98"/>
              </w:rPr>
              <w:t>17</w:t>
            </w:r>
          </w:p>
        </w:tc>
        <w:tc>
          <w:tcPr>
            <w:tcW w:w="9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76"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2"/>
          <w:szCs w:val="12"/>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2"/>
          <w:szCs w:val="12"/>
          <w:b w:val="1"/>
          <w:bCs w:val="1"/>
          <w:color w:val="auto"/>
        </w:rPr>
        <w:t>(U.S. dollars in millions, except per share amounts)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spacing w:after="0"/>
              <w:rPr>
                <w:sz w:val="15"/>
                <w:szCs w:val="15"/>
                <w:color w:val="auto"/>
              </w:rPr>
            </w:pPr>
          </w:p>
        </w:tc>
        <w:tc>
          <w:tcPr>
            <w:tcW w:w="1820" w:type="dxa"/>
            <w:vAlign w:val="bottom"/>
            <w:tcBorders>
              <w:top w:val="single" w:sz="8" w:color="auto"/>
              <w:bottom w:val="single" w:sz="8" w:color="auto"/>
            </w:tcBorders>
            <w:gridSpan w:val="2"/>
          </w:tcPr>
          <w:p>
            <w:pPr>
              <w:jc w:val="right"/>
              <w:ind w:right="640"/>
              <w:spacing w:after="0"/>
              <w:rPr>
                <w:sz w:val="20"/>
                <w:szCs w:val="20"/>
                <w:color w:val="auto"/>
              </w:rPr>
            </w:pPr>
            <w:r>
              <w:rPr>
                <w:rFonts w:ascii="Arial" w:cs="Arial" w:eastAsia="Arial" w:hAnsi="Arial"/>
                <w:sz w:val="12"/>
                <w:szCs w:val="12"/>
                <w:b w:val="1"/>
                <w:bCs w:val="1"/>
                <w:color w:val="auto"/>
              </w:rPr>
              <w:t>Specified Items</w:t>
            </w:r>
          </w:p>
        </w:tc>
        <w:tc>
          <w:tcPr>
            <w:tcW w:w="7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jc w:val="center"/>
              <w:spacing w:after="0" w:line="112" w:lineRule="exact"/>
              <w:rPr>
                <w:sz w:val="20"/>
                <w:szCs w:val="20"/>
                <w:color w:val="auto"/>
              </w:rPr>
            </w:pPr>
            <w:r>
              <w:rPr>
                <w:rFonts w:ascii="Arial" w:cs="Arial" w:eastAsia="Arial" w:hAnsi="Arial"/>
                <w:sz w:val="12"/>
                <w:szCs w:val="12"/>
                <w:b w:val="1"/>
                <w:bCs w:val="1"/>
                <w:color w:val="auto"/>
                <w:w w:val="96"/>
              </w:rPr>
              <w:t>Certain</w:t>
            </w:r>
          </w:p>
        </w:tc>
        <w:tc>
          <w:tcPr>
            <w:tcW w:w="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rPr>
              <w:t>Legal &amp;</w:t>
            </w: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Depreciation</w:t>
            </w: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8"/>
              </w:rPr>
              <w:t>Regulatory</w:t>
            </w: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7"/>
              </w:rPr>
              <w:t>Costs, and</w:t>
            </w: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Year Ended</w:t>
            </w: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GAAP</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rPr>
              <w:t>Merger and</w:t>
            </w: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Restructuring</w:t>
            </w:r>
          </w:p>
        </w:tc>
        <w:tc>
          <w:tcPr>
            <w:tcW w:w="8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3"/>
              </w:rPr>
              <w:t>and</w:t>
            </w:r>
          </w:p>
        </w:tc>
        <w:tc>
          <w:tcPr>
            <w:tcW w:w="5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Heart</w:t>
            </w: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6"/>
              </w:rPr>
              <w:t>Product</w:t>
            </w: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Financing</w:t>
            </w:r>
          </w:p>
        </w:tc>
        <w:tc>
          <w:tcPr>
            <w:tcW w:w="9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Contingent</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rPr>
              <w:t>Investment</w:t>
            </w:r>
          </w:p>
        </w:tc>
        <w:tc>
          <w:tcPr>
            <w:tcW w:w="9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8"/>
              </w:rPr>
              <w:t>Stock-based</w:t>
            </w:r>
          </w:p>
        </w:tc>
        <w:tc>
          <w:tcPr>
            <w:tcW w:w="8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Certain Tax</w:t>
            </w: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6"/>
              </w:rPr>
              <w:t>Certain</w:t>
            </w: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5"/>
        </w:trPr>
        <w:tc>
          <w:tcPr>
            <w:tcW w:w="8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Integration</w:t>
            </w:r>
          </w:p>
        </w:tc>
        <w:tc>
          <w:tcPr>
            <w:tcW w:w="920" w:type="dxa"/>
            <w:vAlign w:val="bottom"/>
            <w:vMerge w:val="continue"/>
          </w:tcPr>
          <w:p>
            <w:pPr>
              <w:spacing w:after="0"/>
              <w:rPr>
                <w:sz w:val="10"/>
                <w:szCs w:val="10"/>
                <w:color w:val="auto"/>
              </w:rPr>
            </w:pPr>
          </w:p>
        </w:tc>
        <w:tc>
          <w:tcPr>
            <w:tcW w:w="84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8"/>
              </w:rPr>
              <w:t>Amortization</w:t>
            </w:r>
          </w:p>
        </w:tc>
        <w:tc>
          <w:tcPr>
            <w:tcW w:w="500" w:type="dxa"/>
            <w:vAlign w:val="bottom"/>
            <w:vMerge w:val="continue"/>
          </w:tcPr>
          <w:p>
            <w:pPr>
              <w:spacing w:after="0"/>
              <w:rPr>
                <w:sz w:val="10"/>
                <w:szCs w:val="10"/>
                <w:color w:val="auto"/>
              </w:rPr>
            </w:pPr>
          </w:p>
        </w:tc>
        <w:tc>
          <w:tcPr>
            <w:tcW w:w="8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Remediation</w:t>
            </w:r>
          </w:p>
        </w:tc>
        <w:tc>
          <w:tcPr>
            <w:tcW w:w="8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rPr>
              <w:t>Gain and</w:t>
            </w:r>
          </w:p>
        </w:tc>
        <w:tc>
          <w:tcPr>
            <w:tcW w:w="9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8"/>
              </w:rPr>
              <w:t>Compensation</w:t>
            </w:r>
          </w:p>
        </w:tc>
        <w:tc>
          <w:tcPr>
            <w:tcW w:w="860" w:type="dxa"/>
            <w:vAlign w:val="bottom"/>
            <w:vMerge w:val="continue"/>
          </w:tcPr>
          <w:p>
            <w:pPr>
              <w:spacing w:after="0"/>
              <w:rPr>
                <w:sz w:val="10"/>
                <w:szCs w:val="10"/>
                <w:color w:val="auto"/>
              </w:rPr>
            </w:pPr>
          </w:p>
        </w:tc>
        <w:tc>
          <w:tcPr>
            <w:tcW w:w="8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rPr>
              <w:t>Interest</w:t>
            </w: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December</w:t>
            </w: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Financial</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Expenses</w:t>
            </w:r>
          </w:p>
        </w:tc>
        <w:tc>
          <w:tcPr>
            <w:tcW w:w="920" w:type="dxa"/>
            <w:vAlign w:val="bottom"/>
          </w:tcPr>
          <w:p>
            <w:pPr>
              <w:jc w:val="center"/>
              <w:ind w:right="20"/>
              <w:spacing w:after="0" w:line="128" w:lineRule="exact"/>
              <w:rPr>
                <w:sz w:val="20"/>
                <w:szCs w:val="20"/>
                <w:color w:val="auto"/>
              </w:rPr>
            </w:pPr>
            <w:r>
              <w:rPr>
                <w:rFonts w:ascii="Arial" w:cs="Arial" w:eastAsia="Arial" w:hAnsi="Arial"/>
                <w:sz w:val="12"/>
                <w:szCs w:val="12"/>
                <w:b w:val="1"/>
                <w:bCs w:val="1"/>
                <w:color w:val="auto"/>
                <w:w w:val="99"/>
              </w:rPr>
              <w:t>Expenses</w:t>
            </w:r>
          </w:p>
        </w:tc>
        <w:tc>
          <w:tcPr>
            <w:tcW w:w="840" w:type="dxa"/>
            <w:vAlign w:val="bottom"/>
          </w:tcPr>
          <w:p>
            <w:pPr>
              <w:jc w:val="center"/>
              <w:ind w:right="20"/>
              <w:spacing w:after="0" w:line="128" w:lineRule="exact"/>
              <w:rPr>
                <w:sz w:val="20"/>
                <w:szCs w:val="20"/>
                <w:color w:val="auto"/>
              </w:rPr>
            </w:pPr>
            <w:r>
              <w:rPr>
                <w:rFonts w:ascii="Arial" w:cs="Arial" w:eastAsia="Arial" w:hAnsi="Arial"/>
                <w:sz w:val="12"/>
                <w:szCs w:val="12"/>
                <w:b w:val="1"/>
                <w:bCs w:val="1"/>
                <w:color w:val="auto"/>
                <w:w w:val="99"/>
              </w:rPr>
              <w:t>Expenses</w:t>
            </w:r>
          </w:p>
        </w:tc>
        <w:tc>
          <w:tcPr>
            <w:tcW w:w="5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Valves</w:t>
            </w:r>
          </w:p>
        </w:tc>
        <w:tc>
          <w:tcPr>
            <w:tcW w:w="860" w:type="dxa"/>
            <w:vAlign w:val="bottom"/>
          </w:tcPr>
          <w:p>
            <w:pPr>
              <w:jc w:val="center"/>
              <w:ind w:right="40"/>
              <w:spacing w:after="0" w:line="128" w:lineRule="exact"/>
              <w:rPr>
                <w:sz w:val="20"/>
                <w:szCs w:val="20"/>
                <w:color w:val="auto"/>
              </w:rPr>
            </w:pPr>
            <w:r>
              <w:rPr>
                <w:rFonts w:ascii="Arial" w:cs="Arial" w:eastAsia="Arial" w:hAnsi="Arial"/>
                <w:sz w:val="12"/>
                <w:szCs w:val="12"/>
                <w:b w:val="1"/>
                <w:bCs w:val="1"/>
                <w:color w:val="auto"/>
                <w:w w:val="99"/>
              </w:rPr>
              <w:t>Expenses</w:t>
            </w:r>
          </w:p>
        </w:tc>
        <w:tc>
          <w:tcPr>
            <w:tcW w:w="8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9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Consideration</w:t>
            </w:r>
          </w:p>
        </w:tc>
        <w:tc>
          <w:tcPr>
            <w:tcW w:w="7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8"/>
              </w:rPr>
              <w:t>Dividend</w:t>
            </w:r>
          </w:p>
        </w:tc>
        <w:tc>
          <w:tcPr>
            <w:tcW w:w="960" w:type="dxa"/>
            <w:vAlign w:val="bottom"/>
          </w:tcPr>
          <w:p>
            <w:pPr>
              <w:jc w:val="center"/>
              <w:ind w:right="40"/>
              <w:spacing w:after="0" w:line="128" w:lineRule="exact"/>
              <w:rPr>
                <w:sz w:val="20"/>
                <w:szCs w:val="20"/>
                <w:color w:val="auto"/>
              </w:rPr>
            </w:pPr>
            <w:r>
              <w:rPr>
                <w:rFonts w:ascii="Arial" w:cs="Arial" w:eastAsia="Arial" w:hAnsi="Arial"/>
                <w:sz w:val="12"/>
                <w:szCs w:val="12"/>
                <w:b w:val="1"/>
                <w:bCs w:val="1"/>
                <w:color w:val="auto"/>
              </w:rPr>
              <w:t>Costs</w:t>
            </w: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Adjustments</w:t>
            </w:r>
          </w:p>
        </w:tc>
        <w:tc>
          <w:tcPr>
            <w:tcW w:w="86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Adjustments</w:t>
            </w: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Financial</w:t>
            </w:r>
          </w:p>
        </w:tc>
        <w:tc>
          <w:tcPr>
            <w:tcW w:w="0" w:type="dxa"/>
            <w:vAlign w:val="bottom"/>
          </w:tcPr>
          <w:p>
            <w:pPr>
              <w:spacing w:after="0"/>
              <w:rPr>
                <w:sz w:val="1"/>
                <w:szCs w:val="1"/>
                <w:color w:val="auto"/>
              </w:rPr>
            </w:pPr>
          </w:p>
        </w:tc>
      </w:tr>
      <w:tr>
        <w:trPr>
          <w:trHeight w:val="162"/>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31, 2021</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Measures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(B)</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(D)</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(F)</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(H)</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(I)</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(J)</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(K)</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48"/>
        </w:trPr>
        <w:tc>
          <w:tcPr>
            <w:tcW w:w="800" w:type="dxa"/>
            <w:vAlign w:val="bottom"/>
          </w:tcPr>
          <w:p>
            <w:pPr>
              <w:ind w:left="20"/>
              <w:spacing w:after="0"/>
              <w:rPr>
                <w:sz w:val="20"/>
                <w:szCs w:val="20"/>
                <w:color w:val="auto"/>
              </w:rPr>
            </w:pPr>
            <w:r>
              <w:rPr>
                <w:rFonts w:ascii="Arial" w:cs="Arial" w:eastAsia="Arial" w:hAnsi="Arial"/>
                <w:sz w:val="12"/>
                <w:szCs w:val="12"/>
                <w:color w:val="auto"/>
              </w:rPr>
              <w:t>Cost of sales</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$329.4</w:t>
            </w:r>
          </w:p>
        </w:tc>
        <w:tc>
          <w:tcPr>
            <w:tcW w:w="78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($15.7)</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00"/>
              <w:spacing w:after="0"/>
              <w:rPr>
                <w:sz w:val="20"/>
                <w:szCs w:val="20"/>
                <w:color w:val="auto"/>
              </w:rPr>
            </w:pPr>
            <w:r>
              <w:rPr>
                <w:rFonts w:ascii="Arial" w:cs="Arial" w:eastAsia="Arial" w:hAnsi="Arial"/>
                <w:sz w:val="12"/>
                <w:szCs w:val="12"/>
                <w:color w:val="auto"/>
              </w:rPr>
              <w:t>($0.8)</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20"/>
              <w:spacing w:after="0"/>
              <w:rPr>
                <w:sz w:val="20"/>
                <w:szCs w:val="20"/>
                <w:color w:val="auto"/>
              </w:rPr>
            </w:pPr>
            <w:r>
              <w:rPr>
                <w:rFonts w:ascii="Arial" w:cs="Arial" w:eastAsia="Arial" w:hAnsi="Arial"/>
                <w:sz w:val="12"/>
                <w:szCs w:val="12"/>
                <w:color w:val="auto"/>
              </w:rPr>
              <w:t>$8.5</w:t>
            </w: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($0.8)</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($2.5)</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$318.0</w:t>
            </w:r>
          </w:p>
        </w:tc>
        <w:tc>
          <w:tcPr>
            <w:tcW w:w="0" w:type="dxa"/>
            <w:vAlign w:val="bottom"/>
          </w:tcPr>
          <w:p>
            <w:pPr>
              <w:spacing w:after="0"/>
              <w:rPr>
                <w:sz w:val="1"/>
                <w:szCs w:val="1"/>
                <w:color w:val="auto"/>
              </w:rPr>
            </w:pPr>
          </w:p>
        </w:tc>
      </w:tr>
      <w:tr>
        <w:trPr>
          <w:trHeight w:val="137"/>
        </w:trPr>
        <w:tc>
          <w:tcPr>
            <w:tcW w:w="800" w:type="dxa"/>
            <w:vAlign w:val="bottom"/>
          </w:tcPr>
          <w:p>
            <w:pPr>
              <w:ind w:left="20"/>
              <w:spacing w:after="0"/>
              <w:rPr>
                <w:sz w:val="20"/>
                <w:szCs w:val="20"/>
                <w:color w:val="auto"/>
              </w:rPr>
            </w:pPr>
            <w:r>
              <w:rPr>
                <w:rFonts w:ascii="Arial" w:cs="Arial" w:eastAsia="Arial" w:hAnsi="Arial"/>
                <w:sz w:val="12"/>
                <w:szCs w:val="12"/>
                <w:color w:val="auto"/>
              </w:rPr>
              <w:t>Gross profit</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00" w:type="dxa"/>
            <w:vAlign w:val="bottom"/>
          </w:tcPr>
          <w:p>
            <w:pPr>
              <w:ind w:left="20"/>
              <w:spacing w:after="0"/>
              <w:rPr>
                <w:sz w:val="20"/>
                <w:szCs w:val="20"/>
                <w:color w:val="auto"/>
              </w:rPr>
            </w:pPr>
            <w:r>
              <w:rPr>
                <w:rFonts w:ascii="Arial" w:cs="Arial" w:eastAsia="Arial" w:hAnsi="Arial"/>
                <w:sz w:val="12"/>
                <w:szCs w:val="12"/>
                <w:color w:val="auto"/>
              </w:rPr>
              <w:t>percent</w:t>
            </w:r>
          </w:p>
        </w:tc>
        <w:tc>
          <w:tcPr>
            <w:tcW w:w="680" w:type="dxa"/>
            <w:vAlign w:val="bottom"/>
          </w:tcPr>
          <w:p>
            <w:pPr>
              <w:jc w:val="right"/>
              <w:spacing w:after="0"/>
              <w:rPr>
                <w:sz w:val="20"/>
                <w:szCs w:val="20"/>
                <w:color w:val="auto"/>
              </w:rPr>
            </w:pPr>
            <w:r>
              <w:rPr>
                <w:rFonts w:ascii="Arial" w:cs="Arial" w:eastAsia="Arial" w:hAnsi="Arial"/>
                <w:sz w:val="12"/>
                <w:szCs w:val="12"/>
                <w:color w:val="auto"/>
              </w:rPr>
              <w:t>68.2 %</w:t>
            </w:r>
          </w:p>
        </w:tc>
        <w:tc>
          <w:tcPr>
            <w:tcW w:w="78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w:t>
            </w:r>
          </w:p>
        </w:tc>
        <w:tc>
          <w:tcPr>
            <w:tcW w:w="840" w:type="dxa"/>
            <w:vAlign w:val="bottom"/>
          </w:tcPr>
          <w:p>
            <w:pPr>
              <w:jc w:val="right"/>
              <w:spacing w:after="0"/>
              <w:rPr>
                <w:sz w:val="20"/>
                <w:szCs w:val="20"/>
                <w:color w:val="auto"/>
              </w:rPr>
            </w:pPr>
            <w:r>
              <w:rPr>
                <w:rFonts w:ascii="Arial" w:cs="Arial" w:eastAsia="Arial" w:hAnsi="Arial"/>
                <w:sz w:val="12"/>
                <w:szCs w:val="12"/>
                <w:color w:val="auto"/>
              </w:rPr>
              <w:t>1.5 %</w:t>
            </w:r>
          </w:p>
        </w:tc>
        <w:tc>
          <w:tcPr>
            <w:tcW w:w="50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jc w:val="right"/>
              <w:spacing w:after="0"/>
              <w:rPr>
                <w:sz w:val="20"/>
                <w:szCs w:val="20"/>
                <w:color w:val="auto"/>
              </w:rPr>
            </w:pPr>
            <w:r>
              <w:rPr>
                <w:rFonts w:ascii="Arial" w:cs="Arial" w:eastAsia="Arial" w:hAnsi="Arial"/>
                <w:sz w:val="12"/>
                <w:szCs w:val="12"/>
                <w:color w:val="auto"/>
              </w:rPr>
              <w:t>0.1 %</w:t>
            </w:r>
          </w:p>
        </w:tc>
        <w:tc>
          <w:tcPr>
            <w:tcW w:w="880" w:type="dxa"/>
            <w:vAlign w:val="bottom"/>
          </w:tcPr>
          <w:p>
            <w:pPr>
              <w:ind w:left="580"/>
              <w:spacing w:after="0"/>
              <w:rPr>
                <w:sz w:val="20"/>
                <w:szCs w:val="20"/>
                <w:color w:val="auto"/>
              </w:rPr>
            </w:pPr>
            <w:r>
              <w:rPr>
                <w:rFonts w:ascii="Arial" w:cs="Arial" w:eastAsia="Arial" w:hAnsi="Arial"/>
                <w:sz w:val="12"/>
                <w:szCs w:val="12"/>
                <w:color w:val="auto"/>
              </w:rPr>
              <w:t>— %</w:t>
            </w:r>
          </w:p>
        </w:tc>
        <w:tc>
          <w:tcPr>
            <w:tcW w:w="940" w:type="dxa"/>
            <w:vAlign w:val="bottom"/>
          </w:tcPr>
          <w:p>
            <w:pPr>
              <w:jc w:val="right"/>
              <w:spacing w:after="0"/>
              <w:rPr>
                <w:sz w:val="20"/>
                <w:szCs w:val="20"/>
                <w:color w:val="auto"/>
              </w:rPr>
            </w:pPr>
            <w:r>
              <w:rPr>
                <w:rFonts w:ascii="Arial" w:cs="Arial" w:eastAsia="Arial" w:hAnsi="Arial"/>
                <w:sz w:val="12"/>
                <w:szCs w:val="12"/>
                <w:color w:val="auto"/>
              </w:rPr>
              <w:t>(0.8)%</w:t>
            </w:r>
          </w:p>
        </w:tc>
        <w:tc>
          <w:tcPr>
            <w:tcW w:w="780" w:type="dxa"/>
            <w:vAlign w:val="bottom"/>
          </w:tcPr>
          <w:p>
            <w:pPr>
              <w:jc w:val="right"/>
              <w:spacing w:after="0"/>
              <w:rPr>
                <w:sz w:val="20"/>
                <w:szCs w:val="20"/>
                <w:color w:val="auto"/>
              </w:rPr>
            </w:pPr>
            <w:r>
              <w:rPr>
                <w:rFonts w:ascii="Arial" w:cs="Arial" w:eastAsia="Arial" w:hAnsi="Arial"/>
                <w:sz w:val="12"/>
                <w:szCs w:val="12"/>
                <w:color w:val="auto"/>
              </w:rPr>
              <w:t>0.1 %</w:t>
            </w:r>
          </w:p>
        </w:tc>
        <w:tc>
          <w:tcPr>
            <w:tcW w:w="960" w:type="dxa"/>
            <w:vAlign w:val="bottom"/>
          </w:tcPr>
          <w:p>
            <w:pPr>
              <w:jc w:val="right"/>
              <w:spacing w:after="0"/>
              <w:rPr>
                <w:sz w:val="20"/>
                <w:szCs w:val="20"/>
                <w:color w:val="auto"/>
              </w:rPr>
            </w:pPr>
            <w:r>
              <w:rPr>
                <w:rFonts w:ascii="Arial" w:cs="Arial" w:eastAsia="Arial" w:hAnsi="Arial"/>
                <w:sz w:val="12"/>
                <w:szCs w:val="12"/>
                <w:color w:val="auto"/>
              </w:rPr>
              <w:t>0.2 %</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80"/>
              <w:spacing w:after="0"/>
              <w:rPr>
                <w:sz w:val="20"/>
                <w:szCs w:val="20"/>
                <w:color w:val="auto"/>
              </w:rPr>
            </w:pPr>
            <w:r>
              <w:rPr>
                <w:rFonts w:ascii="Arial" w:cs="Arial" w:eastAsia="Arial" w:hAnsi="Arial"/>
                <w:sz w:val="12"/>
                <w:szCs w:val="12"/>
                <w:color w:val="auto"/>
                <w:w w:val="99"/>
              </w:rPr>
              <w:t>— %</w:t>
            </w:r>
          </w:p>
        </w:tc>
        <w:tc>
          <w:tcPr>
            <w:tcW w:w="680" w:type="dxa"/>
            <w:vAlign w:val="bottom"/>
          </w:tcPr>
          <w:p>
            <w:pPr>
              <w:jc w:val="right"/>
              <w:spacing w:after="0"/>
              <w:rPr>
                <w:sz w:val="20"/>
                <w:szCs w:val="20"/>
                <w:color w:val="auto"/>
              </w:rPr>
            </w:pPr>
            <w:r>
              <w:rPr>
                <w:rFonts w:ascii="Arial" w:cs="Arial" w:eastAsia="Arial" w:hAnsi="Arial"/>
                <w:sz w:val="12"/>
                <w:szCs w:val="12"/>
                <w:color w:val="auto"/>
              </w:rPr>
              <w:t>69.3 %</w:t>
            </w:r>
          </w:p>
        </w:tc>
        <w:tc>
          <w:tcPr>
            <w:tcW w:w="0" w:type="dxa"/>
            <w:vAlign w:val="bottom"/>
          </w:tcPr>
          <w:p>
            <w:pPr>
              <w:spacing w:after="0"/>
              <w:rPr>
                <w:sz w:val="1"/>
                <w:szCs w:val="1"/>
                <w:color w:val="auto"/>
              </w:rPr>
            </w:pPr>
          </w:p>
        </w:tc>
      </w:tr>
      <w:tr>
        <w:trPr>
          <w:trHeight w:val="137"/>
        </w:trPr>
        <w:tc>
          <w:tcPr>
            <w:tcW w:w="800" w:type="dxa"/>
            <w:vAlign w:val="bottom"/>
          </w:tcPr>
          <w:p>
            <w:pPr>
              <w:ind w:left="20"/>
              <w:spacing w:after="0"/>
              <w:rPr>
                <w:sz w:val="20"/>
                <w:szCs w:val="20"/>
                <w:color w:val="auto"/>
              </w:rPr>
            </w:pPr>
            <w:r>
              <w:rPr>
                <w:rFonts w:ascii="Arial" w:cs="Arial" w:eastAsia="Arial" w:hAnsi="Arial"/>
                <w:sz w:val="12"/>
                <w:szCs w:val="12"/>
                <w:color w:val="auto"/>
              </w:rPr>
              <w:t>Selling,</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ind w:left="20"/>
              <w:spacing w:after="0" w:line="128" w:lineRule="exact"/>
              <w:rPr>
                <w:sz w:val="20"/>
                <w:szCs w:val="20"/>
                <w:color w:val="auto"/>
              </w:rPr>
            </w:pPr>
            <w:r>
              <w:rPr>
                <w:rFonts w:ascii="Arial" w:cs="Arial" w:eastAsia="Arial" w:hAnsi="Arial"/>
                <w:sz w:val="12"/>
                <w:szCs w:val="12"/>
                <w:color w:val="auto"/>
              </w:rPr>
              <w:t>general and</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0" w:type="dxa"/>
            <w:vAlign w:val="bottom"/>
          </w:tcPr>
          <w:p>
            <w:pPr>
              <w:ind w:left="20"/>
              <w:spacing w:after="0"/>
              <w:rPr>
                <w:sz w:val="20"/>
                <w:szCs w:val="20"/>
                <w:color w:val="auto"/>
              </w:rPr>
            </w:pPr>
            <w:r>
              <w:rPr>
                <w:rFonts w:ascii="Arial" w:cs="Arial" w:eastAsia="Arial" w:hAnsi="Arial"/>
                <w:sz w:val="12"/>
                <w:szCs w:val="12"/>
                <w:color w:val="auto"/>
              </w:rPr>
              <w:t>administrative</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471.9</w:t>
            </w:r>
          </w:p>
        </w:tc>
        <w:tc>
          <w:tcPr>
            <w:tcW w:w="78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(12.2)</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tcPr>
          <w:p>
            <w:pPr>
              <w:ind w:left="58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(32.4)</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(29.4)</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ind w:left="58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397.8</w:t>
            </w:r>
          </w:p>
        </w:tc>
        <w:tc>
          <w:tcPr>
            <w:tcW w:w="0" w:type="dxa"/>
            <w:vAlign w:val="bottom"/>
          </w:tcPr>
          <w:p>
            <w:pPr>
              <w:spacing w:after="0"/>
              <w:rPr>
                <w:sz w:val="1"/>
                <w:szCs w:val="1"/>
                <w:color w:val="auto"/>
              </w:rPr>
            </w:pPr>
          </w:p>
        </w:tc>
      </w:tr>
      <w:tr>
        <w:trPr>
          <w:trHeight w:val="137"/>
        </w:trPr>
        <w:tc>
          <w:tcPr>
            <w:tcW w:w="800" w:type="dxa"/>
            <w:vAlign w:val="bottom"/>
          </w:tcPr>
          <w:p>
            <w:pPr>
              <w:ind w:left="20"/>
              <w:spacing w:after="0"/>
              <w:rPr>
                <w:sz w:val="20"/>
                <w:szCs w:val="20"/>
                <w:color w:val="auto"/>
              </w:rPr>
            </w:pPr>
            <w:r>
              <w:rPr>
                <w:rFonts w:ascii="Arial" w:cs="Arial" w:eastAsia="Arial" w:hAnsi="Arial"/>
                <w:sz w:val="12"/>
                <w:szCs w:val="12"/>
                <w:color w:val="auto"/>
              </w:rPr>
              <w:t>Selling,</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ind w:left="20"/>
              <w:spacing w:after="0" w:line="128" w:lineRule="exact"/>
              <w:rPr>
                <w:sz w:val="20"/>
                <w:szCs w:val="20"/>
                <w:color w:val="auto"/>
              </w:rPr>
            </w:pPr>
            <w:r>
              <w:rPr>
                <w:rFonts w:ascii="Arial" w:cs="Arial" w:eastAsia="Arial" w:hAnsi="Arial"/>
                <w:sz w:val="12"/>
                <w:szCs w:val="12"/>
                <w:color w:val="auto"/>
              </w:rPr>
              <w:t>general and</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00" w:type="dxa"/>
            <w:vAlign w:val="bottom"/>
          </w:tcPr>
          <w:p>
            <w:pPr>
              <w:ind w:left="20"/>
              <w:spacing w:after="0" w:line="115" w:lineRule="exact"/>
              <w:rPr>
                <w:sz w:val="20"/>
                <w:szCs w:val="20"/>
                <w:color w:val="auto"/>
              </w:rPr>
            </w:pPr>
            <w:r>
              <w:rPr>
                <w:rFonts w:ascii="Arial" w:cs="Arial" w:eastAsia="Arial" w:hAnsi="Arial"/>
                <w:sz w:val="12"/>
                <w:szCs w:val="12"/>
                <w:color w:val="auto"/>
              </w:rPr>
              <w:t>administrative</w:t>
            </w: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00" w:type="dxa"/>
            <w:vAlign w:val="bottom"/>
          </w:tcPr>
          <w:p>
            <w:pPr>
              <w:ind w:left="20"/>
              <w:spacing w:after="0" w:line="115" w:lineRule="exact"/>
              <w:rPr>
                <w:sz w:val="20"/>
                <w:szCs w:val="20"/>
                <w:color w:val="auto"/>
              </w:rPr>
            </w:pPr>
            <w:r>
              <w:rPr>
                <w:rFonts w:ascii="Arial" w:cs="Arial" w:eastAsia="Arial" w:hAnsi="Arial"/>
                <w:sz w:val="12"/>
                <w:szCs w:val="12"/>
                <w:color w:val="auto"/>
              </w:rPr>
              <w:t>as a percent</w:t>
            </w: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00" w:type="dxa"/>
            <w:vAlign w:val="bottom"/>
          </w:tcPr>
          <w:p>
            <w:pPr>
              <w:ind w:left="20"/>
              <w:spacing w:after="0" w:line="128" w:lineRule="exact"/>
              <w:rPr>
                <w:sz w:val="20"/>
                <w:szCs w:val="20"/>
                <w:color w:val="auto"/>
              </w:rPr>
            </w:pPr>
            <w:r>
              <w:rPr>
                <w:rFonts w:ascii="Arial" w:cs="Arial" w:eastAsia="Arial" w:hAnsi="Arial"/>
                <w:sz w:val="12"/>
                <w:szCs w:val="12"/>
                <w:color w:val="auto"/>
              </w:rPr>
              <w:t>of net</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0" w:type="dxa"/>
            <w:vAlign w:val="bottom"/>
          </w:tcPr>
          <w:p>
            <w:pPr>
              <w:ind w:left="20"/>
              <w:spacing w:after="0"/>
              <w:rPr>
                <w:sz w:val="20"/>
                <w:szCs w:val="20"/>
                <w:color w:val="auto"/>
              </w:rPr>
            </w:pPr>
            <w:r>
              <w:rPr>
                <w:rFonts w:ascii="Arial" w:cs="Arial" w:eastAsia="Arial" w:hAnsi="Arial"/>
                <w:sz w:val="12"/>
                <w:szCs w:val="12"/>
                <w:color w:val="auto"/>
              </w:rPr>
              <w:t>revenue</w:t>
            </w:r>
          </w:p>
        </w:tc>
        <w:tc>
          <w:tcPr>
            <w:tcW w:w="680" w:type="dxa"/>
            <w:vAlign w:val="bottom"/>
          </w:tcPr>
          <w:p>
            <w:pPr>
              <w:jc w:val="right"/>
              <w:spacing w:after="0"/>
              <w:rPr>
                <w:sz w:val="20"/>
                <w:szCs w:val="20"/>
                <w:color w:val="auto"/>
              </w:rPr>
            </w:pPr>
            <w:r>
              <w:rPr>
                <w:rFonts w:ascii="Arial" w:cs="Arial" w:eastAsia="Arial" w:hAnsi="Arial"/>
                <w:sz w:val="12"/>
                <w:szCs w:val="12"/>
                <w:color w:val="auto"/>
              </w:rPr>
              <w:t>45.6 %</w:t>
            </w:r>
          </w:p>
        </w:tc>
        <w:tc>
          <w:tcPr>
            <w:tcW w:w="78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w:t>
            </w:r>
          </w:p>
        </w:tc>
        <w:tc>
          <w:tcPr>
            <w:tcW w:w="840" w:type="dxa"/>
            <w:vAlign w:val="bottom"/>
          </w:tcPr>
          <w:p>
            <w:pPr>
              <w:jc w:val="right"/>
              <w:spacing w:after="0"/>
              <w:rPr>
                <w:sz w:val="20"/>
                <w:szCs w:val="20"/>
                <w:color w:val="auto"/>
              </w:rPr>
            </w:pPr>
            <w:r>
              <w:rPr>
                <w:rFonts w:ascii="Arial" w:cs="Arial" w:eastAsia="Arial" w:hAnsi="Arial"/>
                <w:sz w:val="12"/>
                <w:szCs w:val="12"/>
                <w:color w:val="auto"/>
              </w:rPr>
              <w:t>(1.2)%</w:t>
            </w:r>
          </w:p>
        </w:tc>
        <w:tc>
          <w:tcPr>
            <w:tcW w:w="50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880" w:type="dxa"/>
            <w:vAlign w:val="bottom"/>
          </w:tcPr>
          <w:p>
            <w:pPr>
              <w:ind w:left="580"/>
              <w:spacing w:after="0"/>
              <w:rPr>
                <w:sz w:val="20"/>
                <w:szCs w:val="20"/>
                <w:color w:val="auto"/>
              </w:rPr>
            </w:pPr>
            <w:r>
              <w:rPr>
                <w:rFonts w:ascii="Arial" w:cs="Arial" w:eastAsia="Arial" w:hAnsi="Arial"/>
                <w:sz w:val="12"/>
                <w:szCs w:val="12"/>
                <w:color w:val="auto"/>
              </w:rPr>
              <w:t>— %</w:t>
            </w:r>
          </w:p>
        </w:tc>
        <w:tc>
          <w:tcPr>
            <w:tcW w:w="940" w:type="dxa"/>
            <w:vAlign w:val="bottom"/>
          </w:tcPr>
          <w:p>
            <w:pPr>
              <w:jc w:val="right"/>
              <w:spacing w:after="0"/>
              <w:rPr>
                <w:sz w:val="20"/>
                <w:szCs w:val="20"/>
                <w:color w:val="auto"/>
              </w:rPr>
            </w:pPr>
            <w:r>
              <w:rPr>
                <w:rFonts w:ascii="Arial" w:cs="Arial" w:eastAsia="Arial" w:hAnsi="Arial"/>
                <w:sz w:val="12"/>
                <w:szCs w:val="12"/>
                <w:color w:val="auto"/>
              </w:rPr>
              <w:t>— %</w:t>
            </w:r>
          </w:p>
        </w:tc>
        <w:tc>
          <w:tcPr>
            <w:tcW w:w="780" w:type="dxa"/>
            <w:vAlign w:val="bottom"/>
          </w:tcPr>
          <w:p>
            <w:pPr>
              <w:jc w:val="right"/>
              <w:spacing w:after="0"/>
              <w:rPr>
                <w:sz w:val="20"/>
                <w:szCs w:val="20"/>
                <w:color w:val="auto"/>
              </w:rPr>
            </w:pPr>
            <w:r>
              <w:rPr>
                <w:rFonts w:ascii="Arial" w:cs="Arial" w:eastAsia="Arial" w:hAnsi="Arial"/>
                <w:sz w:val="12"/>
                <w:szCs w:val="12"/>
                <w:color w:val="auto"/>
              </w:rPr>
              <w:t>(3.1)%</w:t>
            </w:r>
          </w:p>
        </w:tc>
        <w:tc>
          <w:tcPr>
            <w:tcW w:w="960" w:type="dxa"/>
            <w:vAlign w:val="bottom"/>
          </w:tcPr>
          <w:p>
            <w:pPr>
              <w:jc w:val="right"/>
              <w:spacing w:after="0"/>
              <w:rPr>
                <w:sz w:val="20"/>
                <w:szCs w:val="20"/>
                <w:color w:val="auto"/>
              </w:rPr>
            </w:pPr>
            <w:r>
              <w:rPr>
                <w:rFonts w:ascii="Arial" w:cs="Arial" w:eastAsia="Arial" w:hAnsi="Arial"/>
                <w:sz w:val="12"/>
                <w:szCs w:val="12"/>
                <w:color w:val="auto"/>
              </w:rPr>
              <w:t>(2.8)%</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80"/>
              <w:spacing w:after="0"/>
              <w:rPr>
                <w:sz w:val="20"/>
                <w:szCs w:val="20"/>
                <w:color w:val="auto"/>
              </w:rPr>
            </w:pPr>
            <w:r>
              <w:rPr>
                <w:rFonts w:ascii="Arial" w:cs="Arial" w:eastAsia="Arial" w:hAnsi="Arial"/>
                <w:sz w:val="12"/>
                <w:szCs w:val="12"/>
                <w:color w:val="auto"/>
                <w:w w:val="99"/>
              </w:rPr>
              <w:t>— %</w:t>
            </w:r>
          </w:p>
        </w:tc>
        <w:tc>
          <w:tcPr>
            <w:tcW w:w="680" w:type="dxa"/>
            <w:vAlign w:val="bottom"/>
          </w:tcPr>
          <w:p>
            <w:pPr>
              <w:jc w:val="right"/>
              <w:spacing w:after="0"/>
              <w:rPr>
                <w:sz w:val="20"/>
                <w:szCs w:val="20"/>
                <w:color w:val="auto"/>
              </w:rPr>
            </w:pPr>
            <w:r>
              <w:rPr>
                <w:rFonts w:ascii="Arial" w:cs="Arial" w:eastAsia="Arial" w:hAnsi="Arial"/>
                <w:sz w:val="12"/>
                <w:szCs w:val="12"/>
                <w:color w:val="auto"/>
              </w:rPr>
              <w:t>38.4 %</w:t>
            </w:r>
          </w:p>
        </w:tc>
        <w:tc>
          <w:tcPr>
            <w:tcW w:w="0" w:type="dxa"/>
            <w:vAlign w:val="bottom"/>
          </w:tcPr>
          <w:p>
            <w:pPr>
              <w:spacing w:after="0"/>
              <w:rPr>
                <w:sz w:val="1"/>
                <w:szCs w:val="1"/>
                <w:color w:val="auto"/>
              </w:rPr>
            </w:pPr>
          </w:p>
        </w:tc>
      </w:tr>
      <w:tr>
        <w:trPr>
          <w:trHeight w:val="137"/>
        </w:trPr>
        <w:tc>
          <w:tcPr>
            <w:tcW w:w="800" w:type="dxa"/>
            <w:vAlign w:val="bottom"/>
          </w:tcPr>
          <w:p>
            <w:pPr>
              <w:ind w:left="20"/>
              <w:spacing w:after="0"/>
              <w:rPr>
                <w:sz w:val="20"/>
                <w:szCs w:val="20"/>
                <w:color w:val="auto"/>
              </w:rPr>
            </w:pPr>
            <w:r>
              <w:rPr>
                <w:rFonts w:ascii="Arial" w:cs="Arial" w:eastAsia="Arial" w:hAnsi="Arial"/>
                <w:sz w:val="12"/>
                <w:szCs w:val="12"/>
                <w:color w:val="auto"/>
              </w:rPr>
              <w:t>Research and</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00" w:type="dxa"/>
            <w:vAlign w:val="bottom"/>
          </w:tcPr>
          <w:p>
            <w:pPr>
              <w:ind w:left="20"/>
              <w:spacing w:after="0"/>
              <w:rPr>
                <w:sz w:val="20"/>
                <w:szCs w:val="20"/>
                <w:color w:val="auto"/>
              </w:rPr>
            </w:pPr>
            <w:r>
              <w:rPr>
                <w:rFonts w:ascii="Arial" w:cs="Arial" w:eastAsia="Arial" w:hAnsi="Arial"/>
                <w:sz w:val="12"/>
                <w:szCs w:val="12"/>
                <w:color w:val="auto"/>
              </w:rPr>
              <w:t>development</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183.4</w:t>
            </w:r>
          </w:p>
        </w:tc>
        <w:tc>
          <w:tcPr>
            <w:tcW w:w="78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0.2</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tcPr>
          <w:p>
            <w:pPr>
              <w:ind w:left="58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80"/>
              <w:spacing w:after="0"/>
              <w:rPr>
                <w:sz w:val="20"/>
                <w:szCs w:val="20"/>
                <w:color w:val="auto"/>
              </w:rPr>
            </w:pPr>
            <w:r>
              <w:rPr>
                <w:rFonts w:ascii="Arial" w:cs="Arial" w:eastAsia="Arial" w:hAnsi="Arial"/>
                <w:sz w:val="12"/>
                <w:szCs w:val="12"/>
                <w:color w:val="auto"/>
              </w:rPr>
              <w:t>(9.1)</w:t>
            </w: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(2.2)</w:t>
            </w:r>
          </w:p>
        </w:tc>
        <w:tc>
          <w:tcPr>
            <w:tcW w:w="960" w:type="dxa"/>
            <w:vAlign w:val="bottom"/>
          </w:tcPr>
          <w:p>
            <w:pPr>
              <w:jc w:val="right"/>
              <w:ind w:right="100"/>
              <w:spacing w:after="0"/>
              <w:rPr>
                <w:sz w:val="20"/>
                <w:szCs w:val="20"/>
                <w:color w:val="auto"/>
              </w:rPr>
            </w:pPr>
            <w:r>
              <w:rPr>
                <w:rFonts w:ascii="Arial" w:cs="Arial" w:eastAsia="Arial" w:hAnsi="Arial"/>
                <w:sz w:val="12"/>
                <w:szCs w:val="12"/>
                <w:color w:val="auto"/>
              </w:rPr>
              <w:t>(8.7)</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ind w:left="58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163.7</w:t>
            </w:r>
          </w:p>
        </w:tc>
        <w:tc>
          <w:tcPr>
            <w:tcW w:w="0" w:type="dxa"/>
            <w:vAlign w:val="bottom"/>
          </w:tcPr>
          <w:p>
            <w:pPr>
              <w:spacing w:after="0"/>
              <w:rPr>
                <w:sz w:val="1"/>
                <w:szCs w:val="1"/>
                <w:color w:val="auto"/>
              </w:rPr>
            </w:pPr>
          </w:p>
        </w:tc>
      </w:tr>
      <w:tr>
        <w:trPr>
          <w:trHeight w:val="137"/>
        </w:trPr>
        <w:tc>
          <w:tcPr>
            <w:tcW w:w="800" w:type="dxa"/>
            <w:vAlign w:val="bottom"/>
          </w:tcPr>
          <w:p>
            <w:pPr>
              <w:ind w:left="20"/>
              <w:spacing w:after="0"/>
              <w:rPr>
                <w:sz w:val="20"/>
                <w:szCs w:val="20"/>
                <w:color w:val="auto"/>
              </w:rPr>
            </w:pPr>
            <w:r>
              <w:rPr>
                <w:rFonts w:ascii="Arial" w:cs="Arial" w:eastAsia="Arial" w:hAnsi="Arial"/>
                <w:sz w:val="12"/>
                <w:szCs w:val="12"/>
                <w:color w:val="auto"/>
              </w:rPr>
              <w:t>Research and</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ind w:left="20"/>
              <w:spacing w:after="0" w:line="128" w:lineRule="exact"/>
              <w:rPr>
                <w:sz w:val="20"/>
                <w:szCs w:val="20"/>
                <w:color w:val="auto"/>
              </w:rPr>
            </w:pPr>
            <w:r>
              <w:rPr>
                <w:rFonts w:ascii="Arial" w:cs="Arial" w:eastAsia="Arial" w:hAnsi="Arial"/>
                <w:sz w:val="12"/>
                <w:szCs w:val="12"/>
                <w:color w:val="auto"/>
              </w:rPr>
              <w:t>development</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00" w:type="dxa"/>
            <w:vAlign w:val="bottom"/>
          </w:tcPr>
          <w:p>
            <w:pPr>
              <w:ind w:left="20"/>
              <w:spacing w:after="0" w:line="115" w:lineRule="exact"/>
              <w:rPr>
                <w:sz w:val="20"/>
                <w:szCs w:val="20"/>
                <w:color w:val="auto"/>
              </w:rPr>
            </w:pPr>
            <w:r>
              <w:rPr>
                <w:rFonts w:ascii="Arial" w:cs="Arial" w:eastAsia="Arial" w:hAnsi="Arial"/>
                <w:sz w:val="12"/>
                <w:szCs w:val="12"/>
                <w:color w:val="auto"/>
              </w:rPr>
              <w:t>as a percent</w:t>
            </w: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00" w:type="dxa"/>
            <w:vAlign w:val="bottom"/>
          </w:tcPr>
          <w:p>
            <w:pPr>
              <w:ind w:left="20"/>
              <w:spacing w:after="0" w:line="115" w:lineRule="exact"/>
              <w:rPr>
                <w:sz w:val="20"/>
                <w:szCs w:val="20"/>
                <w:color w:val="auto"/>
              </w:rPr>
            </w:pPr>
            <w:r>
              <w:rPr>
                <w:rFonts w:ascii="Arial" w:cs="Arial" w:eastAsia="Arial" w:hAnsi="Arial"/>
                <w:sz w:val="12"/>
                <w:szCs w:val="12"/>
                <w:color w:val="auto"/>
              </w:rPr>
              <w:t>of net</w:t>
            </w: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800" w:type="dxa"/>
            <w:vAlign w:val="bottom"/>
          </w:tcPr>
          <w:p>
            <w:pPr>
              <w:ind w:left="20"/>
              <w:spacing w:after="0"/>
              <w:rPr>
                <w:sz w:val="20"/>
                <w:szCs w:val="20"/>
                <w:color w:val="auto"/>
              </w:rPr>
            </w:pPr>
            <w:r>
              <w:rPr>
                <w:rFonts w:ascii="Arial" w:cs="Arial" w:eastAsia="Arial" w:hAnsi="Arial"/>
                <w:sz w:val="12"/>
                <w:szCs w:val="12"/>
                <w:color w:val="auto"/>
              </w:rPr>
              <w:t>revenue</w:t>
            </w:r>
          </w:p>
        </w:tc>
        <w:tc>
          <w:tcPr>
            <w:tcW w:w="680" w:type="dxa"/>
            <w:vAlign w:val="bottom"/>
          </w:tcPr>
          <w:p>
            <w:pPr>
              <w:jc w:val="right"/>
              <w:spacing w:after="0"/>
              <w:rPr>
                <w:sz w:val="20"/>
                <w:szCs w:val="20"/>
                <w:color w:val="auto"/>
              </w:rPr>
            </w:pPr>
            <w:r>
              <w:rPr>
                <w:rFonts w:ascii="Arial" w:cs="Arial" w:eastAsia="Arial" w:hAnsi="Arial"/>
                <w:sz w:val="12"/>
                <w:szCs w:val="12"/>
                <w:color w:val="auto"/>
              </w:rPr>
              <w:t>17.7 %</w:t>
            </w:r>
          </w:p>
        </w:tc>
        <w:tc>
          <w:tcPr>
            <w:tcW w:w="780" w:type="dxa"/>
            <w:vAlign w:val="bottom"/>
          </w:tcPr>
          <w:p>
            <w:pPr>
              <w:jc w:val="right"/>
              <w:spacing w:after="0"/>
              <w:rPr>
                <w:sz w:val="20"/>
                <w:szCs w:val="20"/>
                <w:color w:val="auto"/>
              </w:rPr>
            </w:pPr>
            <w:r>
              <w:rPr>
                <w:rFonts w:ascii="Arial" w:cs="Arial" w:eastAsia="Arial" w:hAnsi="Arial"/>
                <w:sz w:val="12"/>
                <w:szCs w:val="12"/>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w:t>
            </w:r>
          </w:p>
        </w:tc>
        <w:tc>
          <w:tcPr>
            <w:tcW w:w="840" w:type="dxa"/>
            <w:vAlign w:val="bottom"/>
          </w:tcPr>
          <w:p>
            <w:pPr>
              <w:jc w:val="right"/>
              <w:spacing w:after="0"/>
              <w:rPr>
                <w:sz w:val="20"/>
                <w:szCs w:val="20"/>
                <w:color w:val="auto"/>
              </w:rPr>
            </w:pPr>
            <w:r>
              <w:rPr>
                <w:rFonts w:ascii="Arial" w:cs="Arial" w:eastAsia="Arial" w:hAnsi="Arial"/>
                <w:sz w:val="12"/>
                <w:szCs w:val="12"/>
                <w:color w:val="auto"/>
              </w:rPr>
              <w:t>— %</w:t>
            </w:r>
          </w:p>
        </w:tc>
        <w:tc>
          <w:tcPr>
            <w:tcW w:w="50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880" w:type="dxa"/>
            <w:vAlign w:val="bottom"/>
          </w:tcPr>
          <w:p>
            <w:pPr>
              <w:ind w:left="580"/>
              <w:spacing w:after="0"/>
              <w:rPr>
                <w:sz w:val="20"/>
                <w:szCs w:val="20"/>
                <w:color w:val="auto"/>
              </w:rPr>
            </w:pPr>
            <w:r>
              <w:rPr>
                <w:rFonts w:ascii="Arial" w:cs="Arial" w:eastAsia="Arial" w:hAnsi="Arial"/>
                <w:sz w:val="12"/>
                <w:szCs w:val="12"/>
                <w:color w:val="auto"/>
              </w:rPr>
              <w:t>— %</w:t>
            </w:r>
          </w:p>
        </w:tc>
        <w:tc>
          <w:tcPr>
            <w:tcW w:w="940" w:type="dxa"/>
            <w:vAlign w:val="bottom"/>
          </w:tcPr>
          <w:p>
            <w:pPr>
              <w:jc w:val="right"/>
              <w:spacing w:after="0"/>
              <w:rPr>
                <w:sz w:val="20"/>
                <w:szCs w:val="20"/>
                <w:color w:val="auto"/>
              </w:rPr>
            </w:pPr>
            <w:r>
              <w:rPr>
                <w:rFonts w:ascii="Arial" w:cs="Arial" w:eastAsia="Arial" w:hAnsi="Arial"/>
                <w:sz w:val="12"/>
                <w:szCs w:val="12"/>
                <w:color w:val="auto"/>
              </w:rPr>
              <w:t>(0.9)%</w:t>
            </w:r>
          </w:p>
        </w:tc>
        <w:tc>
          <w:tcPr>
            <w:tcW w:w="780" w:type="dxa"/>
            <w:vAlign w:val="bottom"/>
          </w:tcPr>
          <w:p>
            <w:pPr>
              <w:jc w:val="right"/>
              <w:spacing w:after="0"/>
              <w:rPr>
                <w:sz w:val="20"/>
                <w:szCs w:val="20"/>
                <w:color w:val="auto"/>
              </w:rPr>
            </w:pPr>
            <w:r>
              <w:rPr>
                <w:rFonts w:ascii="Arial" w:cs="Arial" w:eastAsia="Arial" w:hAnsi="Arial"/>
                <w:sz w:val="12"/>
                <w:szCs w:val="12"/>
                <w:color w:val="auto"/>
              </w:rPr>
              <w:t>(0.2)%</w:t>
            </w:r>
          </w:p>
        </w:tc>
        <w:tc>
          <w:tcPr>
            <w:tcW w:w="960" w:type="dxa"/>
            <w:vAlign w:val="bottom"/>
          </w:tcPr>
          <w:p>
            <w:pPr>
              <w:jc w:val="right"/>
              <w:spacing w:after="0"/>
              <w:rPr>
                <w:sz w:val="20"/>
                <w:szCs w:val="20"/>
                <w:color w:val="auto"/>
              </w:rPr>
            </w:pPr>
            <w:r>
              <w:rPr>
                <w:rFonts w:ascii="Arial" w:cs="Arial" w:eastAsia="Arial" w:hAnsi="Arial"/>
                <w:sz w:val="12"/>
                <w:szCs w:val="12"/>
                <w:color w:val="auto"/>
              </w:rPr>
              <w:t>(0.8)%</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80"/>
              <w:spacing w:after="0"/>
              <w:rPr>
                <w:sz w:val="20"/>
                <w:szCs w:val="20"/>
                <w:color w:val="auto"/>
              </w:rPr>
            </w:pPr>
            <w:r>
              <w:rPr>
                <w:rFonts w:ascii="Arial" w:cs="Arial" w:eastAsia="Arial" w:hAnsi="Arial"/>
                <w:sz w:val="12"/>
                <w:szCs w:val="12"/>
                <w:color w:val="auto"/>
                <w:w w:val="99"/>
              </w:rPr>
              <w:t>— %</w:t>
            </w:r>
          </w:p>
        </w:tc>
        <w:tc>
          <w:tcPr>
            <w:tcW w:w="680" w:type="dxa"/>
            <w:vAlign w:val="bottom"/>
          </w:tcPr>
          <w:p>
            <w:pPr>
              <w:jc w:val="right"/>
              <w:spacing w:after="0"/>
              <w:rPr>
                <w:sz w:val="20"/>
                <w:szCs w:val="20"/>
                <w:color w:val="auto"/>
              </w:rPr>
            </w:pPr>
            <w:r>
              <w:rPr>
                <w:rFonts w:ascii="Arial" w:cs="Arial" w:eastAsia="Arial" w:hAnsi="Arial"/>
                <w:sz w:val="12"/>
                <w:szCs w:val="12"/>
                <w:color w:val="auto"/>
              </w:rPr>
              <w:t>15.8 %</w:t>
            </w:r>
          </w:p>
        </w:tc>
        <w:tc>
          <w:tcPr>
            <w:tcW w:w="0" w:type="dxa"/>
            <w:vAlign w:val="bottom"/>
          </w:tcPr>
          <w:p>
            <w:pPr>
              <w:spacing w:after="0"/>
              <w:rPr>
                <w:sz w:val="1"/>
                <w:szCs w:val="1"/>
                <w:color w:val="auto"/>
              </w:rPr>
            </w:pPr>
          </w:p>
        </w:tc>
      </w:tr>
      <w:tr>
        <w:trPr>
          <w:trHeight w:val="137"/>
        </w:trPr>
        <w:tc>
          <w:tcPr>
            <w:tcW w:w="800" w:type="dxa"/>
            <w:vAlign w:val="bottom"/>
          </w:tcPr>
          <w:p>
            <w:pPr>
              <w:ind w:left="20"/>
              <w:spacing w:after="0"/>
              <w:rPr>
                <w:sz w:val="20"/>
                <w:szCs w:val="20"/>
                <w:color w:val="auto"/>
              </w:rPr>
            </w:pPr>
            <w:r>
              <w:rPr>
                <w:rFonts w:ascii="Arial" w:cs="Arial" w:eastAsia="Arial" w:hAnsi="Arial"/>
                <w:sz w:val="12"/>
                <w:szCs w:val="12"/>
                <w:color w:val="auto"/>
              </w:rPr>
              <w:t>Other</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ind w:left="20"/>
              <w:spacing w:after="0" w:line="128" w:lineRule="exact"/>
              <w:rPr>
                <w:sz w:val="20"/>
                <w:szCs w:val="20"/>
                <w:color w:val="auto"/>
              </w:rPr>
            </w:pPr>
            <w:r>
              <w:rPr>
                <w:rFonts w:ascii="Arial" w:cs="Arial" w:eastAsia="Arial" w:hAnsi="Arial"/>
                <w:sz w:val="12"/>
                <w:szCs w:val="12"/>
                <w:color w:val="auto"/>
              </w:rPr>
              <w:t>operating</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0" w:type="dxa"/>
            <w:vAlign w:val="bottom"/>
          </w:tcPr>
          <w:p>
            <w:pPr>
              <w:ind w:left="20"/>
              <w:spacing w:after="0"/>
              <w:rPr>
                <w:sz w:val="20"/>
                <w:szCs w:val="20"/>
                <w:color w:val="auto"/>
              </w:rPr>
            </w:pPr>
            <w:r>
              <w:rPr>
                <w:rFonts w:ascii="Arial" w:cs="Arial" w:eastAsia="Arial" w:hAnsi="Arial"/>
                <w:sz w:val="12"/>
                <w:szCs w:val="12"/>
                <w:color w:val="auto"/>
              </w:rPr>
              <w:t>expenses</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51.5</w:t>
            </w: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(0.7)</w:t>
            </w: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(9.7)</w:t>
            </w: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500" w:type="dxa"/>
            <w:vAlign w:val="bottom"/>
          </w:tcPr>
          <w:p>
            <w:pPr>
              <w:jc w:val="right"/>
              <w:ind w:right="100"/>
              <w:spacing w:after="0"/>
              <w:rPr>
                <w:sz w:val="20"/>
                <w:szCs w:val="20"/>
                <w:color w:val="auto"/>
              </w:rPr>
            </w:pPr>
            <w:r>
              <w:rPr>
                <w:rFonts w:ascii="Arial" w:cs="Arial" w:eastAsia="Arial" w:hAnsi="Arial"/>
                <w:sz w:val="12"/>
                <w:szCs w:val="12"/>
                <w:color w:val="auto"/>
              </w:rPr>
              <w:t>(1.9)</w:t>
            </w:r>
          </w:p>
        </w:tc>
        <w:tc>
          <w:tcPr>
            <w:tcW w:w="8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tcPr>
          <w:p>
            <w:pPr>
              <w:ind w:left="58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00"/>
              <w:spacing w:after="0"/>
              <w:rPr>
                <w:sz w:val="20"/>
                <w:szCs w:val="20"/>
                <w:color w:val="auto"/>
              </w:rPr>
            </w:pPr>
            <w:r>
              <w:rPr>
                <w:rFonts w:ascii="Arial" w:cs="Arial" w:eastAsia="Arial" w:hAnsi="Arial"/>
                <w:sz w:val="12"/>
                <w:szCs w:val="12"/>
                <w:color w:val="auto"/>
              </w:rPr>
              <w:t>(38.1)</w:t>
            </w: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ind w:left="58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37"/>
        </w:trPr>
        <w:tc>
          <w:tcPr>
            <w:tcW w:w="800" w:type="dxa"/>
            <w:vAlign w:val="bottom"/>
          </w:tcPr>
          <w:p>
            <w:pPr>
              <w:ind w:left="20"/>
              <w:spacing w:after="0"/>
              <w:rPr>
                <w:sz w:val="20"/>
                <w:szCs w:val="20"/>
                <w:color w:val="auto"/>
              </w:rPr>
            </w:pPr>
            <w:r>
              <w:rPr>
                <w:rFonts w:ascii="Arial" w:cs="Arial" w:eastAsia="Arial" w:hAnsi="Arial"/>
                <w:sz w:val="12"/>
                <w:szCs w:val="12"/>
                <w:color w:val="auto"/>
              </w:rPr>
              <w:t>Operating</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ind w:left="20"/>
              <w:spacing w:after="0" w:line="128" w:lineRule="exact"/>
              <w:rPr>
                <w:sz w:val="20"/>
                <w:szCs w:val="20"/>
                <w:color w:val="auto"/>
              </w:rPr>
            </w:pPr>
            <w:r>
              <w:rPr>
                <w:rFonts w:ascii="Arial" w:cs="Arial" w:eastAsia="Arial" w:hAnsi="Arial"/>
                <w:sz w:val="12"/>
                <w:szCs w:val="12"/>
                <w:color w:val="auto"/>
              </w:rPr>
              <w:t>(loss) income</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00" w:type="dxa"/>
            <w:vAlign w:val="bottom"/>
          </w:tcPr>
          <w:p>
            <w:pPr>
              <w:ind w:left="20"/>
              <w:spacing w:after="0" w:line="115" w:lineRule="exact"/>
              <w:rPr>
                <w:sz w:val="20"/>
                <w:szCs w:val="20"/>
                <w:color w:val="auto"/>
              </w:rPr>
            </w:pPr>
            <w:r>
              <w:rPr>
                <w:rFonts w:ascii="Arial" w:cs="Arial" w:eastAsia="Arial" w:hAnsi="Arial"/>
                <w:sz w:val="12"/>
                <w:szCs w:val="12"/>
                <w:color w:val="auto"/>
              </w:rPr>
              <w:t>from</w:t>
            </w: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00" w:type="dxa"/>
            <w:vAlign w:val="bottom"/>
          </w:tcPr>
          <w:p>
            <w:pPr>
              <w:ind w:left="20"/>
              <w:spacing w:after="0" w:line="115" w:lineRule="exact"/>
              <w:rPr>
                <w:sz w:val="20"/>
                <w:szCs w:val="20"/>
                <w:color w:val="auto"/>
              </w:rPr>
            </w:pPr>
            <w:r>
              <w:rPr>
                <w:rFonts w:ascii="Arial" w:cs="Arial" w:eastAsia="Arial" w:hAnsi="Arial"/>
                <w:sz w:val="12"/>
                <w:szCs w:val="12"/>
                <w:color w:val="auto"/>
              </w:rPr>
              <w:t>continuing</w:t>
            </w: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800" w:type="dxa"/>
            <w:vAlign w:val="bottom"/>
          </w:tcPr>
          <w:p>
            <w:pPr>
              <w:ind w:left="20"/>
              <w:spacing w:after="0"/>
              <w:rPr>
                <w:sz w:val="20"/>
                <w:szCs w:val="20"/>
                <w:color w:val="auto"/>
              </w:rPr>
            </w:pPr>
            <w:r>
              <w:rPr>
                <w:rFonts w:ascii="Arial" w:cs="Arial" w:eastAsia="Arial" w:hAnsi="Arial"/>
                <w:sz w:val="12"/>
                <w:szCs w:val="12"/>
                <w:color w:val="auto"/>
              </w:rPr>
              <w:t>operations</w:t>
            </w: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(0.8)</w:t>
            </w:r>
          </w:p>
        </w:tc>
        <w:tc>
          <w:tcPr>
            <w:tcW w:w="780" w:type="dxa"/>
            <w:vAlign w:val="bottom"/>
          </w:tcPr>
          <w:p>
            <w:pPr>
              <w:jc w:val="right"/>
              <w:ind w:right="140"/>
              <w:spacing w:after="0"/>
              <w:rPr>
                <w:sz w:val="20"/>
                <w:szCs w:val="20"/>
                <w:color w:val="auto"/>
              </w:rPr>
            </w:pPr>
            <w:r>
              <w:rPr>
                <w:rFonts w:ascii="Arial" w:cs="Arial" w:eastAsia="Arial" w:hAnsi="Arial"/>
                <w:sz w:val="12"/>
                <w:szCs w:val="12"/>
                <w:color w:val="auto"/>
              </w:rPr>
              <w:t>0.7</w:t>
            </w:r>
          </w:p>
        </w:tc>
        <w:tc>
          <w:tcPr>
            <w:tcW w:w="920" w:type="dxa"/>
            <w:vAlign w:val="bottom"/>
          </w:tcPr>
          <w:p>
            <w:pPr>
              <w:jc w:val="right"/>
              <w:ind w:right="140"/>
              <w:spacing w:after="0"/>
              <w:rPr>
                <w:sz w:val="20"/>
                <w:szCs w:val="20"/>
                <w:color w:val="auto"/>
              </w:rPr>
            </w:pPr>
            <w:r>
              <w:rPr>
                <w:rFonts w:ascii="Arial" w:cs="Arial" w:eastAsia="Arial" w:hAnsi="Arial"/>
                <w:sz w:val="12"/>
                <w:szCs w:val="12"/>
                <w:color w:val="auto"/>
              </w:rPr>
              <w:t>9.7</w:t>
            </w: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27.8</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1.9</w:t>
            </w:r>
          </w:p>
        </w:tc>
        <w:tc>
          <w:tcPr>
            <w:tcW w:w="860" w:type="dxa"/>
            <w:vAlign w:val="bottom"/>
          </w:tcPr>
          <w:p>
            <w:pPr>
              <w:jc w:val="right"/>
              <w:ind w:right="140"/>
              <w:spacing w:after="0"/>
              <w:rPr>
                <w:sz w:val="20"/>
                <w:szCs w:val="20"/>
                <w:color w:val="auto"/>
              </w:rPr>
            </w:pPr>
            <w:r>
              <w:rPr>
                <w:rFonts w:ascii="Arial" w:cs="Arial" w:eastAsia="Arial" w:hAnsi="Arial"/>
                <w:sz w:val="12"/>
                <w:szCs w:val="12"/>
                <w:color w:val="auto"/>
              </w:rPr>
              <w:t>0.8</w:t>
            </w:r>
          </w:p>
        </w:tc>
        <w:tc>
          <w:tcPr>
            <w:tcW w:w="880" w:type="dxa"/>
            <w:vAlign w:val="bottom"/>
          </w:tcPr>
          <w:p>
            <w:pPr>
              <w:ind w:left="58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20"/>
              <w:spacing w:after="0"/>
              <w:rPr>
                <w:sz w:val="20"/>
                <w:szCs w:val="20"/>
                <w:color w:val="auto"/>
              </w:rPr>
            </w:pPr>
            <w:r>
              <w:rPr>
                <w:rFonts w:ascii="Arial" w:cs="Arial" w:eastAsia="Arial" w:hAnsi="Arial"/>
                <w:sz w:val="12"/>
                <w:szCs w:val="12"/>
                <w:color w:val="auto"/>
              </w:rPr>
              <w:t>0.6</w:t>
            </w:r>
          </w:p>
        </w:tc>
        <w:tc>
          <w:tcPr>
            <w:tcW w:w="780" w:type="dxa"/>
            <w:vAlign w:val="bottom"/>
          </w:tcPr>
          <w:p>
            <w:pPr>
              <w:jc w:val="right"/>
              <w:ind w:right="140"/>
              <w:spacing w:after="0"/>
              <w:rPr>
                <w:sz w:val="20"/>
                <w:szCs w:val="20"/>
                <w:color w:val="auto"/>
              </w:rPr>
            </w:pPr>
            <w:r>
              <w:rPr>
                <w:rFonts w:ascii="Arial" w:cs="Arial" w:eastAsia="Arial" w:hAnsi="Arial"/>
                <w:sz w:val="12"/>
                <w:szCs w:val="12"/>
                <w:color w:val="auto"/>
              </w:rPr>
              <w:t>73.5</w:t>
            </w: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40.6</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ind w:left="58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154.8</w:t>
            </w:r>
          </w:p>
        </w:tc>
        <w:tc>
          <w:tcPr>
            <w:tcW w:w="0" w:type="dxa"/>
            <w:vAlign w:val="bottom"/>
          </w:tcPr>
          <w:p>
            <w:pPr>
              <w:spacing w:after="0"/>
              <w:rPr>
                <w:sz w:val="1"/>
                <w:szCs w:val="1"/>
                <w:color w:val="auto"/>
              </w:rPr>
            </w:pPr>
          </w:p>
        </w:tc>
      </w:tr>
      <w:tr>
        <w:trPr>
          <w:trHeight w:val="137"/>
        </w:trPr>
        <w:tc>
          <w:tcPr>
            <w:tcW w:w="800" w:type="dxa"/>
            <w:vAlign w:val="bottom"/>
          </w:tcPr>
          <w:p>
            <w:pPr>
              <w:ind w:left="20"/>
              <w:spacing w:after="0"/>
              <w:rPr>
                <w:sz w:val="20"/>
                <w:szCs w:val="20"/>
                <w:color w:val="auto"/>
              </w:rPr>
            </w:pPr>
            <w:r>
              <w:rPr>
                <w:rFonts w:ascii="Arial" w:cs="Arial" w:eastAsia="Arial" w:hAnsi="Arial"/>
                <w:sz w:val="12"/>
                <w:szCs w:val="12"/>
                <w:color w:val="auto"/>
              </w:rPr>
              <w:t>Operating</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ind w:left="20"/>
              <w:spacing w:after="0" w:line="128" w:lineRule="exact"/>
              <w:rPr>
                <w:sz w:val="20"/>
                <w:szCs w:val="20"/>
                <w:color w:val="auto"/>
              </w:rPr>
            </w:pPr>
            <w:r>
              <w:rPr>
                <w:rFonts w:ascii="Arial" w:cs="Arial" w:eastAsia="Arial" w:hAnsi="Arial"/>
                <w:sz w:val="12"/>
                <w:szCs w:val="12"/>
                <w:color w:val="auto"/>
              </w:rPr>
              <w:t>margin</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0" w:type="dxa"/>
            <w:vAlign w:val="bottom"/>
          </w:tcPr>
          <w:p>
            <w:pPr>
              <w:ind w:left="20"/>
              <w:spacing w:after="0"/>
              <w:rPr>
                <w:sz w:val="20"/>
                <w:szCs w:val="20"/>
                <w:color w:val="auto"/>
              </w:rPr>
            </w:pPr>
            <w:r>
              <w:rPr>
                <w:rFonts w:ascii="Arial" w:cs="Arial" w:eastAsia="Arial" w:hAnsi="Arial"/>
                <w:sz w:val="12"/>
                <w:szCs w:val="12"/>
                <w:color w:val="auto"/>
              </w:rPr>
              <w:t>percent</w:t>
            </w:r>
          </w:p>
        </w:tc>
        <w:tc>
          <w:tcPr>
            <w:tcW w:w="680" w:type="dxa"/>
            <w:vAlign w:val="bottom"/>
          </w:tcPr>
          <w:p>
            <w:pPr>
              <w:jc w:val="right"/>
              <w:spacing w:after="0"/>
              <w:rPr>
                <w:sz w:val="20"/>
                <w:szCs w:val="20"/>
                <w:color w:val="auto"/>
              </w:rPr>
            </w:pPr>
            <w:r>
              <w:rPr>
                <w:rFonts w:ascii="Arial" w:cs="Arial" w:eastAsia="Arial" w:hAnsi="Arial"/>
                <w:sz w:val="12"/>
                <w:szCs w:val="12"/>
                <w:color w:val="auto"/>
              </w:rPr>
              <w:t>(0.1)%</w:t>
            </w:r>
          </w:p>
        </w:tc>
        <w:tc>
          <w:tcPr>
            <w:tcW w:w="780" w:type="dxa"/>
            <w:vAlign w:val="bottom"/>
          </w:tcPr>
          <w:p>
            <w:pPr>
              <w:jc w:val="right"/>
              <w:spacing w:after="0"/>
              <w:rPr>
                <w:sz w:val="20"/>
                <w:szCs w:val="20"/>
                <w:color w:val="auto"/>
              </w:rPr>
            </w:pPr>
            <w:r>
              <w:rPr>
                <w:rFonts w:ascii="Arial" w:cs="Arial" w:eastAsia="Arial" w:hAnsi="Arial"/>
                <w:sz w:val="12"/>
                <w:szCs w:val="12"/>
                <w:color w:val="auto"/>
              </w:rPr>
              <w:t>0.1 %</w:t>
            </w:r>
          </w:p>
        </w:tc>
        <w:tc>
          <w:tcPr>
            <w:tcW w:w="920" w:type="dxa"/>
            <w:vAlign w:val="bottom"/>
          </w:tcPr>
          <w:p>
            <w:pPr>
              <w:jc w:val="right"/>
              <w:spacing w:after="0"/>
              <w:rPr>
                <w:sz w:val="20"/>
                <w:szCs w:val="20"/>
                <w:color w:val="auto"/>
              </w:rPr>
            </w:pPr>
            <w:r>
              <w:rPr>
                <w:rFonts w:ascii="Arial" w:cs="Arial" w:eastAsia="Arial" w:hAnsi="Arial"/>
                <w:sz w:val="12"/>
                <w:szCs w:val="12"/>
                <w:color w:val="auto"/>
              </w:rPr>
              <w:t>0.9 %</w:t>
            </w:r>
          </w:p>
        </w:tc>
        <w:tc>
          <w:tcPr>
            <w:tcW w:w="840" w:type="dxa"/>
            <w:vAlign w:val="bottom"/>
          </w:tcPr>
          <w:p>
            <w:pPr>
              <w:jc w:val="right"/>
              <w:spacing w:after="0"/>
              <w:rPr>
                <w:sz w:val="20"/>
                <w:szCs w:val="20"/>
                <w:color w:val="auto"/>
              </w:rPr>
            </w:pPr>
            <w:r>
              <w:rPr>
                <w:rFonts w:ascii="Arial" w:cs="Arial" w:eastAsia="Arial" w:hAnsi="Arial"/>
                <w:sz w:val="12"/>
                <w:szCs w:val="12"/>
                <w:color w:val="auto"/>
              </w:rPr>
              <w:t>2.7 %</w:t>
            </w:r>
          </w:p>
        </w:tc>
        <w:tc>
          <w:tcPr>
            <w:tcW w:w="500" w:type="dxa"/>
            <w:vAlign w:val="bottom"/>
          </w:tcPr>
          <w:p>
            <w:pPr>
              <w:jc w:val="right"/>
              <w:spacing w:after="0"/>
              <w:rPr>
                <w:sz w:val="20"/>
                <w:szCs w:val="20"/>
                <w:color w:val="auto"/>
              </w:rPr>
            </w:pPr>
            <w:r>
              <w:rPr>
                <w:rFonts w:ascii="Arial" w:cs="Arial" w:eastAsia="Arial" w:hAnsi="Arial"/>
                <w:sz w:val="12"/>
                <w:szCs w:val="12"/>
                <w:color w:val="auto"/>
              </w:rPr>
              <w:t>0.2 %</w:t>
            </w:r>
          </w:p>
        </w:tc>
        <w:tc>
          <w:tcPr>
            <w:tcW w:w="860" w:type="dxa"/>
            <w:vAlign w:val="bottom"/>
          </w:tcPr>
          <w:p>
            <w:pPr>
              <w:jc w:val="right"/>
              <w:spacing w:after="0"/>
              <w:rPr>
                <w:sz w:val="20"/>
                <w:szCs w:val="20"/>
                <w:color w:val="auto"/>
              </w:rPr>
            </w:pPr>
            <w:r>
              <w:rPr>
                <w:rFonts w:ascii="Arial" w:cs="Arial" w:eastAsia="Arial" w:hAnsi="Arial"/>
                <w:sz w:val="12"/>
                <w:szCs w:val="12"/>
                <w:color w:val="auto"/>
              </w:rPr>
              <w:t>0.1 %</w:t>
            </w:r>
          </w:p>
        </w:tc>
        <w:tc>
          <w:tcPr>
            <w:tcW w:w="880" w:type="dxa"/>
            <w:vAlign w:val="bottom"/>
          </w:tcPr>
          <w:p>
            <w:pPr>
              <w:ind w:left="580"/>
              <w:spacing w:after="0"/>
              <w:rPr>
                <w:sz w:val="20"/>
                <w:szCs w:val="20"/>
                <w:color w:val="auto"/>
              </w:rPr>
            </w:pPr>
            <w:r>
              <w:rPr>
                <w:rFonts w:ascii="Arial" w:cs="Arial" w:eastAsia="Arial" w:hAnsi="Arial"/>
                <w:sz w:val="12"/>
                <w:szCs w:val="12"/>
                <w:color w:val="auto"/>
              </w:rPr>
              <w:t>— %</w:t>
            </w:r>
          </w:p>
        </w:tc>
        <w:tc>
          <w:tcPr>
            <w:tcW w:w="940" w:type="dxa"/>
            <w:vAlign w:val="bottom"/>
          </w:tcPr>
          <w:p>
            <w:pPr>
              <w:jc w:val="right"/>
              <w:spacing w:after="0"/>
              <w:rPr>
                <w:sz w:val="20"/>
                <w:szCs w:val="20"/>
                <w:color w:val="auto"/>
              </w:rPr>
            </w:pPr>
            <w:r>
              <w:rPr>
                <w:rFonts w:ascii="Arial" w:cs="Arial" w:eastAsia="Arial" w:hAnsi="Arial"/>
                <w:sz w:val="12"/>
                <w:szCs w:val="12"/>
                <w:color w:val="auto"/>
              </w:rPr>
              <w:t>0.1 %</w:t>
            </w:r>
          </w:p>
        </w:tc>
        <w:tc>
          <w:tcPr>
            <w:tcW w:w="780" w:type="dxa"/>
            <w:vAlign w:val="bottom"/>
          </w:tcPr>
          <w:p>
            <w:pPr>
              <w:jc w:val="right"/>
              <w:spacing w:after="0"/>
              <w:rPr>
                <w:sz w:val="20"/>
                <w:szCs w:val="20"/>
                <w:color w:val="auto"/>
              </w:rPr>
            </w:pPr>
            <w:r>
              <w:rPr>
                <w:rFonts w:ascii="Arial" w:cs="Arial" w:eastAsia="Arial" w:hAnsi="Arial"/>
                <w:sz w:val="12"/>
                <w:szCs w:val="12"/>
                <w:color w:val="auto"/>
              </w:rPr>
              <w:t>7.1 %</w:t>
            </w:r>
          </w:p>
        </w:tc>
        <w:tc>
          <w:tcPr>
            <w:tcW w:w="960" w:type="dxa"/>
            <w:vAlign w:val="bottom"/>
          </w:tcPr>
          <w:p>
            <w:pPr>
              <w:jc w:val="right"/>
              <w:spacing w:after="0"/>
              <w:rPr>
                <w:sz w:val="20"/>
                <w:szCs w:val="20"/>
                <w:color w:val="auto"/>
              </w:rPr>
            </w:pPr>
            <w:r>
              <w:rPr>
                <w:rFonts w:ascii="Arial" w:cs="Arial" w:eastAsia="Arial" w:hAnsi="Arial"/>
                <w:sz w:val="12"/>
                <w:szCs w:val="12"/>
                <w:color w:val="auto"/>
              </w:rPr>
              <w:t>3.9 %</w:t>
            </w:r>
          </w:p>
        </w:tc>
        <w:tc>
          <w:tcPr>
            <w:tcW w:w="860" w:type="dxa"/>
            <w:vAlign w:val="bottom"/>
          </w:tcPr>
          <w:p>
            <w:pPr>
              <w:jc w:val="right"/>
              <w:spacing w:after="0"/>
              <w:rPr>
                <w:sz w:val="20"/>
                <w:szCs w:val="20"/>
                <w:color w:val="auto"/>
              </w:rPr>
            </w:pPr>
            <w:r>
              <w:rPr>
                <w:rFonts w:ascii="Arial" w:cs="Arial" w:eastAsia="Arial" w:hAnsi="Arial"/>
                <w:sz w:val="12"/>
                <w:szCs w:val="12"/>
                <w:color w:val="auto"/>
              </w:rPr>
              <w:t>— %</w:t>
            </w:r>
          </w:p>
        </w:tc>
        <w:tc>
          <w:tcPr>
            <w:tcW w:w="860" w:type="dxa"/>
            <w:vAlign w:val="bottom"/>
          </w:tcPr>
          <w:p>
            <w:pPr>
              <w:ind w:left="580"/>
              <w:spacing w:after="0"/>
              <w:rPr>
                <w:sz w:val="20"/>
                <w:szCs w:val="20"/>
                <w:color w:val="auto"/>
              </w:rPr>
            </w:pPr>
            <w:r>
              <w:rPr>
                <w:rFonts w:ascii="Arial" w:cs="Arial" w:eastAsia="Arial" w:hAnsi="Arial"/>
                <w:sz w:val="12"/>
                <w:szCs w:val="12"/>
                <w:color w:val="auto"/>
                <w:w w:val="99"/>
              </w:rPr>
              <w:t>— %</w:t>
            </w:r>
          </w:p>
        </w:tc>
        <w:tc>
          <w:tcPr>
            <w:tcW w:w="680" w:type="dxa"/>
            <w:vAlign w:val="bottom"/>
          </w:tcPr>
          <w:p>
            <w:pPr>
              <w:jc w:val="right"/>
              <w:spacing w:after="0"/>
              <w:rPr>
                <w:sz w:val="20"/>
                <w:szCs w:val="20"/>
                <w:color w:val="auto"/>
              </w:rPr>
            </w:pPr>
            <w:r>
              <w:rPr>
                <w:rFonts w:ascii="Arial" w:cs="Arial" w:eastAsia="Arial" w:hAnsi="Arial"/>
                <w:sz w:val="12"/>
                <w:szCs w:val="12"/>
                <w:color w:val="auto"/>
              </w:rPr>
              <w:t>15.0 %</w:t>
            </w:r>
          </w:p>
        </w:tc>
        <w:tc>
          <w:tcPr>
            <w:tcW w:w="0" w:type="dxa"/>
            <w:vAlign w:val="bottom"/>
          </w:tcPr>
          <w:p>
            <w:pPr>
              <w:spacing w:after="0"/>
              <w:rPr>
                <w:sz w:val="1"/>
                <w:szCs w:val="1"/>
                <w:color w:val="auto"/>
              </w:rPr>
            </w:pPr>
          </w:p>
        </w:tc>
      </w:tr>
      <w:tr>
        <w:trPr>
          <w:trHeight w:val="137"/>
        </w:trPr>
        <w:tc>
          <w:tcPr>
            <w:tcW w:w="800" w:type="dxa"/>
            <w:vAlign w:val="bottom"/>
          </w:tcPr>
          <w:p>
            <w:pPr>
              <w:ind w:left="20"/>
              <w:spacing w:after="0"/>
              <w:rPr>
                <w:sz w:val="20"/>
                <w:szCs w:val="20"/>
                <w:color w:val="auto"/>
              </w:rPr>
            </w:pPr>
            <w:r>
              <w:rPr>
                <w:rFonts w:ascii="Arial" w:cs="Arial" w:eastAsia="Arial" w:hAnsi="Arial"/>
                <w:sz w:val="12"/>
                <w:szCs w:val="12"/>
                <w:color w:val="auto"/>
              </w:rPr>
              <w:t>Income tax</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00" w:type="dxa"/>
            <w:vAlign w:val="bottom"/>
          </w:tcPr>
          <w:p>
            <w:pPr>
              <w:ind w:left="20"/>
              <w:spacing w:after="0"/>
              <w:rPr>
                <w:sz w:val="20"/>
                <w:szCs w:val="20"/>
                <w:color w:val="auto"/>
              </w:rPr>
            </w:pPr>
            <w:r>
              <w:rPr>
                <w:rFonts w:ascii="Arial" w:cs="Arial" w:eastAsia="Arial" w:hAnsi="Arial"/>
                <w:sz w:val="12"/>
                <w:szCs w:val="12"/>
                <w:color w:val="auto"/>
              </w:rPr>
              <w:t>expense</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11.2</w:t>
            </w:r>
          </w:p>
        </w:tc>
        <w:tc>
          <w:tcPr>
            <w:tcW w:w="78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40"/>
              <w:spacing w:after="0"/>
              <w:rPr>
                <w:sz w:val="20"/>
                <w:szCs w:val="20"/>
                <w:color w:val="auto"/>
              </w:rPr>
            </w:pPr>
            <w:r>
              <w:rPr>
                <w:rFonts w:ascii="Arial" w:cs="Arial" w:eastAsia="Arial" w:hAnsi="Arial"/>
                <w:sz w:val="12"/>
                <w:szCs w:val="12"/>
                <w:color w:val="auto"/>
              </w:rPr>
              <w:t>0.2</w:t>
            </w: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1.9</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2.1</w:t>
            </w:r>
          </w:p>
        </w:tc>
        <w:tc>
          <w:tcPr>
            <w:tcW w:w="860" w:type="dxa"/>
            <w:vAlign w:val="bottom"/>
          </w:tcPr>
          <w:p>
            <w:pPr>
              <w:jc w:val="right"/>
              <w:ind w:right="140"/>
              <w:spacing w:after="0"/>
              <w:rPr>
                <w:sz w:val="20"/>
                <w:szCs w:val="20"/>
                <w:color w:val="auto"/>
              </w:rPr>
            </w:pPr>
            <w:r>
              <w:rPr>
                <w:rFonts w:ascii="Arial" w:cs="Arial" w:eastAsia="Arial" w:hAnsi="Arial"/>
                <w:sz w:val="12"/>
                <w:szCs w:val="12"/>
                <w:color w:val="auto"/>
              </w:rPr>
              <w:t>0.3</w:t>
            </w:r>
          </w:p>
        </w:tc>
        <w:tc>
          <w:tcPr>
            <w:tcW w:w="880" w:type="dxa"/>
            <w:vAlign w:val="bottom"/>
          </w:tcPr>
          <w:p>
            <w:pPr>
              <w:ind w:left="58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40"/>
              <w:spacing w:after="0"/>
              <w:rPr>
                <w:sz w:val="20"/>
                <w:szCs w:val="20"/>
                <w:color w:val="auto"/>
              </w:rPr>
            </w:pPr>
            <w:r>
              <w:rPr>
                <w:rFonts w:ascii="Arial" w:cs="Arial" w:eastAsia="Arial" w:hAnsi="Arial"/>
                <w:sz w:val="12"/>
                <w:szCs w:val="12"/>
                <w:color w:val="auto"/>
              </w:rPr>
              <w:t>1.7</w:t>
            </w: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0.7</w:t>
            </w: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(3.5)</w:t>
            </w:r>
          </w:p>
        </w:tc>
        <w:tc>
          <w:tcPr>
            <w:tcW w:w="860" w:type="dxa"/>
            <w:vAlign w:val="bottom"/>
          </w:tcPr>
          <w:p>
            <w:pPr>
              <w:ind w:left="58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14.6</w:t>
            </w:r>
          </w:p>
        </w:tc>
        <w:tc>
          <w:tcPr>
            <w:tcW w:w="0" w:type="dxa"/>
            <w:vAlign w:val="bottom"/>
          </w:tcPr>
          <w:p>
            <w:pPr>
              <w:spacing w:after="0"/>
              <w:rPr>
                <w:sz w:val="1"/>
                <w:szCs w:val="1"/>
                <w:color w:val="auto"/>
              </w:rPr>
            </w:pPr>
          </w:p>
        </w:tc>
      </w:tr>
      <w:tr>
        <w:trPr>
          <w:trHeight w:val="137"/>
        </w:trPr>
        <w:tc>
          <w:tcPr>
            <w:tcW w:w="800" w:type="dxa"/>
            <w:vAlign w:val="bottom"/>
          </w:tcPr>
          <w:p>
            <w:pPr>
              <w:ind w:left="20"/>
              <w:spacing w:after="0"/>
              <w:rPr>
                <w:sz w:val="20"/>
                <w:szCs w:val="20"/>
                <w:color w:val="auto"/>
              </w:rPr>
            </w:pPr>
            <w:r>
              <w:rPr>
                <w:rFonts w:ascii="Arial" w:cs="Arial" w:eastAsia="Arial" w:hAnsi="Arial"/>
                <w:sz w:val="12"/>
                <w:szCs w:val="12"/>
                <w:color w:val="auto"/>
              </w:rPr>
              <w:t>Income tax</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800" w:type="dxa"/>
            <w:vAlign w:val="bottom"/>
          </w:tcPr>
          <w:p>
            <w:pPr>
              <w:ind w:left="20"/>
              <w:spacing w:after="0"/>
              <w:rPr>
                <w:sz w:val="20"/>
                <w:szCs w:val="20"/>
                <w:color w:val="auto"/>
              </w:rPr>
            </w:pPr>
            <w:r>
              <w:rPr>
                <w:rFonts w:ascii="Arial" w:cs="Arial" w:eastAsia="Arial" w:hAnsi="Arial"/>
                <w:sz w:val="12"/>
                <w:szCs w:val="12"/>
                <w:color w:val="auto"/>
              </w:rPr>
              <w:t>rate</w:t>
            </w:r>
          </w:p>
        </w:tc>
        <w:tc>
          <w:tcPr>
            <w:tcW w:w="680" w:type="dxa"/>
            <w:vAlign w:val="bottom"/>
          </w:tcPr>
          <w:p>
            <w:pPr>
              <w:jc w:val="right"/>
              <w:spacing w:after="0"/>
              <w:rPr>
                <w:sz w:val="20"/>
                <w:szCs w:val="20"/>
                <w:color w:val="auto"/>
              </w:rPr>
            </w:pPr>
            <w:r>
              <w:rPr>
                <w:rFonts w:ascii="Arial" w:cs="Arial" w:eastAsia="Arial" w:hAnsi="Arial"/>
                <w:sz w:val="12"/>
                <w:szCs w:val="12"/>
                <w:color w:val="auto"/>
              </w:rPr>
              <w:t>(9.0)%</w:t>
            </w:r>
          </w:p>
        </w:tc>
        <w:tc>
          <w:tcPr>
            <w:tcW w:w="780" w:type="dxa"/>
            <w:vAlign w:val="bottom"/>
          </w:tcPr>
          <w:p>
            <w:pPr>
              <w:jc w:val="right"/>
              <w:spacing w:after="0"/>
              <w:rPr>
                <w:sz w:val="20"/>
                <w:szCs w:val="20"/>
                <w:color w:val="auto"/>
              </w:rPr>
            </w:pPr>
            <w:r>
              <w:rPr>
                <w:rFonts w:ascii="Arial" w:cs="Arial" w:eastAsia="Arial" w:hAnsi="Arial"/>
                <w:sz w:val="12"/>
                <w:szCs w:val="12"/>
                <w:color w:val="auto"/>
              </w:rPr>
              <w:t>0.9 %</w:t>
            </w:r>
          </w:p>
        </w:tc>
        <w:tc>
          <w:tcPr>
            <w:tcW w:w="920" w:type="dxa"/>
            <w:vAlign w:val="bottom"/>
          </w:tcPr>
          <w:p>
            <w:pPr>
              <w:jc w:val="right"/>
              <w:spacing w:after="0"/>
              <w:rPr>
                <w:sz w:val="20"/>
                <w:szCs w:val="20"/>
                <w:color w:val="auto"/>
              </w:rPr>
            </w:pPr>
            <w:r>
              <w:rPr>
                <w:rFonts w:ascii="Arial" w:cs="Arial" w:eastAsia="Arial" w:hAnsi="Arial"/>
                <w:sz w:val="12"/>
                <w:szCs w:val="12"/>
                <w:color w:val="auto"/>
              </w:rPr>
              <w:t>2.0 %</w:t>
            </w:r>
          </w:p>
        </w:tc>
        <w:tc>
          <w:tcPr>
            <w:tcW w:w="1340" w:type="dxa"/>
            <w:vAlign w:val="bottom"/>
            <w:gridSpan w:val="2"/>
          </w:tcPr>
          <w:p>
            <w:pPr>
              <w:jc w:val="right"/>
              <w:spacing w:after="0"/>
              <w:rPr>
                <w:sz w:val="20"/>
                <w:szCs w:val="20"/>
                <w:color w:val="auto"/>
              </w:rPr>
            </w:pPr>
            <w:r>
              <w:rPr>
                <w:rFonts w:ascii="Arial" w:cs="Arial" w:eastAsia="Arial" w:hAnsi="Arial"/>
                <w:sz w:val="12"/>
                <w:szCs w:val="12"/>
                <w:color w:val="auto"/>
              </w:rPr>
              <w:t>6.9 % 106.3 %</w:t>
            </w:r>
          </w:p>
        </w:tc>
        <w:tc>
          <w:tcPr>
            <w:tcW w:w="860" w:type="dxa"/>
            <w:vAlign w:val="bottom"/>
          </w:tcPr>
          <w:p>
            <w:pPr>
              <w:jc w:val="right"/>
              <w:spacing w:after="0"/>
              <w:rPr>
                <w:sz w:val="20"/>
                <w:szCs w:val="20"/>
                <w:color w:val="auto"/>
              </w:rPr>
            </w:pPr>
            <w:r>
              <w:rPr>
                <w:rFonts w:ascii="Arial" w:cs="Arial" w:eastAsia="Arial" w:hAnsi="Arial"/>
                <w:sz w:val="12"/>
                <w:szCs w:val="12"/>
                <w:color w:val="auto"/>
              </w:rPr>
              <w:t>31.4 %</w:t>
            </w:r>
          </w:p>
        </w:tc>
        <w:tc>
          <w:tcPr>
            <w:tcW w:w="880" w:type="dxa"/>
            <w:vAlign w:val="bottom"/>
          </w:tcPr>
          <w:p>
            <w:pPr>
              <w:ind w:left="580"/>
              <w:spacing w:after="0"/>
              <w:rPr>
                <w:sz w:val="20"/>
                <w:szCs w:val="20"/>
                <w:color w:val="auto"/>
              </w:rPr>
            </w:pPr>
            <w:r>
              <w:rPr>
                <w:rFonts w:ascii="Arial" w:cs="Arial" w:eastAsia="Arial" w:hAnsi="Arial"/>
                <w:sz w:val="12"/>
                <w:szCs w:val="12"/>
                <w:color w:val="auto"/>
              </w:rPr>
              <w:t>— %</w:t>
            </w:r>
          </w:p>
        </w:tc>
        <w:tc>
          <w:tcPr>
            <w:tcW w:w="940" w:type="dxa"/>
            <w:vAlign w:val="bottom"/>
          </w:tcPr>
          <w:p>
            <w:pPr>
              <w:jc w:val="right"/>
              <w:spacing w:after="0"/>
              <w:rPr>
                <w:sz w:val="20"/>
                <w:szCs w:val="20"/>
                <w:color w:val="auto"/>
              </w:rPr>
            </w:pPr>
            <w:r>
              <w:rPr>
                <w:rFonts w:ascii="Arial" w:cs="Arial" w:eastAsia="Arial" w:hAnsi="Arial"/>
                <w:sz w:val="12"/>
                <w:szCs w:val="12"/>
                <w:color w:val="auto"/>
              </w:rPr>
              <w:t>— %</w:t>
            </w:r>
          </w:p>
        </w:tc>
        <w:tc>
          <w:tcPr>
            <w:tcW w:w="780" w:type="dxa"/>
            <w:vAlign w:val="bottom"/>
          </w:tcPr>
          <w:p>
            <w:pPr>
              <w:jc w:val="right"/>
              <w:spacing w:after="0"/>
              <w:rPr>
                <w:sz w:val="20"/>
                <w:szCs w:val="20"/>
                <w:color w:val="auto"/>
              </w:rPr>
            </w:pPr>
            <w:r>
              <w:rPr>
                <w:rFonts w:ascii="Arial" w:cs="Arial" w:eastAsia="Arial" w:hAnsi="Arial"/>
                <w:sz w:val="12"/>
                <w:szCs w:val="12"/>
                <w:color w:val="auto"/>
              </w:rPr>
              <w:t>2.7 %</w:t>
            </w:r>
          </w:p>
        </w:tc>
        <w:tc>
          <w:tcPr>
            <w:tcW w:w="960" w:type="dxa"/>
            <w:vAlign w:val="bottom"/>
          </w:tcPr>
          <w:p>
            <w:pPr>
              <w:jc w:val="right"/>
              <w:spacing w:after="0"/>
              <w:rPr>
                <w:sz w:val="20"/>
                <w:szCs w:val="20"/>
                <w:color w:val="auto"/>
              </w:rPr>
            </w:pPr>
            <w:r>
              <w:rPr>
                <w:rFonts w:ascii="Arial" w:cs="Arial" w:eastAsia="Arial" w:hAnsi="Arial"/>
                <w:sz w:val="12"/>
                <w:szCs w:val="12"/>
                <w:color w:val="auto"/>
              </w:rPr>
              <w:t>1.7 %</w:t>
            </w:r>
          </w:p>
        </w:tc>
        <w:tc>
          <w:tcPr>
            <w:tcW w:w="860" w:type="dxa"/>
            <w:vAlign w:val="bottom"/>
          </w:tcPr>
          <w:p>
            <w:pPr>
              <w:jc w:val="right"/>
              <w:spacing w:after="0"/>
              <w:rPr>
                <w:sz w:val="20"/>
                <w:szCs w:val="20"/>
                <w:color w:val="auto"/>
              </w:rPr>
            </w:pPr>
            <w:r>
              <w:rPr>
                <w:rFonts w:ascii="Arial" w:cs="Arial" w:eastAsia="Arial" w:hAnsi="Arial"/>
                <w:sz w:val="12"/>
                <w:szCs w:val="12"/>
                <w:color w:val="auto"/>
              </w:rPr>
              <w:t>N/A</w:t>
            </w:r>
          </w:p>
        </w:tc>
        <w:tc>
          <w:tcPr>
            <w:tcW w:w="860" w:type="dxa"/>
            <w:vAlign w:val="bottom"/>
          </w:tcPr>
          <w:p>
            <w:pPr>
              <w:ind w:left="580"/>
              <w:spacing w:after="0"/>
              <w:rPr>
                <w:sz w:val="20"/>
                <w:szCs w:val="20"/>
                <w:color w:val="auto"/>
              </w:rPr>
            </w:pPr>
            <w:r>
              <w:rPr>
                <w:rFonts w:ascii="Arial" w:cs="Arial" w:eastAsia="Arial" w:hAnsi="Arial"/>
                <w:sz w:val="12"/>
                <w:szCs w:val="12"/>
                <w:color w:val="auto"/>
                <w:w w:val="99"/>
              </w:rPr>
              <w:t>— %</w:t>
            </w:r>
          </w:p>
        </w:tc>
        <w:tc>
          <w:tcPr>
            <w:tcW w:w="680" w:type="dxa"/>
            <w:vAlign w:val="bottom"/>
          </w:tcPr>
          <w:p>
            <w:pPr>
              <w:jc w:val="right"/>
              <w:spacing w:after="0"/>
              <w:rPr>
                <w:sz w:val="20"/>
                <w:szCs w:val="20"/>
                <w:color w:val="auto"/>
              </w:rPr>
            </w:pPr>
            <w:r>
              <w:rPr>
                <w:rFonts w:ascii="Arial" w:cs="Arial" w:eastAsia="Arial" w:hAnsi="Arial"/>
                <w:sz w:val="12"/>
                <w:szCs w:val="12"/>
                <w:color w:val="auto"/>
              </w:rPr>
              <w:t>12.0 %</w:t>
            </w:r>
          </w:p>
        </w:tc>
        <w:tc>
          <w:tcPr>
            <w:tcW w:w="0" w:type="dxa"/>
            <w:vAlign w:val="bottom"/>
          </w:tcPr>
          <w:p>
            <w:pPr>
              <w:spacing w:after="0"/>
              <w:rPr>
                <w:sz w:val="1"/>
                <w:szCs w:val="1"/>
                <w:color w:val="auto"/>
              </w:rPr>
            </w:pPr>
          </w:p>
        </w:tc>
      </w:tr>
      <w:tr>
        <w:trPr>
          <w:trHeight w:val="137"/>
        </w:trPr>
        <w:tc>
          <w:tcPr>
            <w:tcW w:w="800" w:type="dxa"/>
            <w:vAlign w:val="bottom"/>
          </w:tcPr>
          <w:p>
            <w:pPr>
              <w:ind w:left="20"/>
              <w:spacing w:after="0"/>
              <w:rPr>
                <w:sz w:val="20"/>
                <w:szCs w:val="20"/>
                <w:color w:val="auto"/>
              </w:rPr>
            </w:pPr>
            <w:r>
              <w:rPr>
                <w:rFonts w:ascii="Arial" w:cs="Arial" w:eastAsia="Arial" w:hAnsi="Arial"/>
                <w:sz w:val="12"/>
                <w:szCs w:val="12"/>
                <w:color w:val="auto"/>
              </w:rPr>
              <w:t>Net (loss)</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ind w:left="20"/>
              <w:spacing w:after="0" w:line="128" w:lineRule="exact"/>
              <w:rPr>
                <w:sz w:val="20"/>
                <w:szCs w:val="20"/>
                <w:color w:val="auto"/>
              </w:rPr>
            </w:pPr>
            <w:r>
              <w:rPr>
                <w:rFonts w:ascii="Arial" w:cs="Arial" w:eastAsia="Arial" w:hAnsi="Arial"/>
                <w:sz w:val="12"/>
                <w:szCs w:val="12"/>
                <w:color w:val="auto"/>
              </w:rPr>
              <w:t>income from</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00" w:type="dxa"/>
            <w:vAlign w:val="bottom"/>
          </w:tcPr>
          <w:p>
            <w:pPr>
              <w:ind w:left="20"/>
              <w:spacing w:after="0" w:line="115" w:lineRule="exact"/>
              <w:rPr>
                <w:sz w:val="20"/>
                <w:szCs w:val="20"/>
                <w:color w:val="auto"/>
              </w:rPr>
            </w:pPr>
            <w:r>
              <w:rPr>
                <w:rFonts w:ascii="Arial" w:cs="Arial" w:eastAsia="Arial" w:hAnsi="Arial"/>
                <w:sz w:val="12"/>
                <w:szCs w:val="12"/>
                <w:color w:val="auto"/>
              </w:rPr>
              <w:t>continuing</w:t>
            </w:r>
          </w:p>
        </w:tc>
        <w:tc>
          <w:tcPr>
            <w:tcW w:w="680" w:type="dxa"/>
            <w:vAlign w:val="bottom"/>
            <w:vMerge w:val="restart"/>
          </w:tcPr>
          <w:p>
            <w:pPr>
              <w:jc w:val="right"/>
              <w:ind w:right="80"/>
              <w:spacing w:after="0"/>
              <w:rPr>
                <w:sz w:val="20"/>
                <w:szCs w:val="20"/>
                <w:color w:val="auto"/>
              </w:rPr>
            </w:pPr>
            <w:r>
              <w:rPr>
                <w:rFonts w:ascii="Arial" w:cs="Arial" w:eastAsia="Arial" w:hAnsi="Arial"/>
                <w:sz w:val="12"/>
                <w:szCs w:val="12"/>
                <w:color w:val="auto"/>
              </w:rPr>
              <w:t>(135.8)</w:t>
            </w:r>
          </w:p>
        </w:tc>
        <w:tc>
          <w:tcPr>
            <w:tcW w:w="780" w:type="dxa"/>
            <w:vAlign w:val="bottom"/>
            <w:vMerge w:val="restart"/>
          </w:tcPr>
          <w:p>
            <w:pPr>
              <w:jc w:val="right"/>
              <w:ind w:right="140"/>
              <w:spacing w:after="0"/>
              <w:rPr>
                <w:sz w:val="20"/>
                <w:szCs w:val="20"/>
                <w:color w:val="auto"/>
              </w:rPr>
            </w:pPr>
            <w:r>
              <w:rPr>
                <w:rFonts w:ascii="Arial" w:cs="Arial" w:eastAsia="Arial" w:hAnsi="Arial"/>
                <w:sz w:val="12"/>
                <w:szCs w:val="12"/>
                <w:color w:val="auto"/>
              </w:rPr>
              <w:t>0.7</w:t>
            </w:r>
          </w:p>
        </w:tc>
        <w:tc>
          <w:tcPr>
            <w:tcW w:w="920" w:type="dxa"/>
            <w:vAlign w:val="bottom"/>
            <w:vMerge w:val="restart"/>
          </w:tcPr>
          <w:p>
            <w:pPr>
              <w:jc w:val="right"/>
              <w:ind w:right="140"/>
              <w:spacing w:after="0"/>
              <w:rPr>
                <w:sz w:val="20"/>
                <w:szCs w:val="20"/>
                <w:color w:val="auto"/>
              </w:rPr>
            </w:pPr>
            <w:r>
              <w:rPr>
                <w:rFonts w:ascii="Arial" w:cs="Arial" w:eastAsia="Arial" w:hAnsi="Arial"/>
                <w:sz w:val="12"/>
                <w:szCs w:val="12"/>
                <w:color w:val="auto"/>
              </w:rPr>
              <w:t>9.5</w:t>
            </w:r>
          </w:p>
        </w:tc>
        <w:tc>
          <w:tcPr>
            <w:tcW w:w="840" w:type="dxa"/>
            <w:vAlign w:val="bottom"/>
            <w:vMerge w:val="restart"/>
          </w:tcPr>
          <w:p>
            <w:pPr>
              <w:jc w:val="right"/>
              <w:ind w:right="100"/>
              <w:spacing w:after="0"/>
              <w:rPr>
                <w:sz w:val="20"/>
                <w:szCs w:val="20"/>
                <w:color w:val="auto"/>
              </w:rPr>
            </w:pPr>
            <w:r>
              <w:rPr>
                <w:rFonts w:ascii="Arial" w:cs="Arial" w:eastAsia="Arial" w:hAnsi="Arial"/>
                <w:sz w:val="12"/>
                <w:szCs w:val="12"/>
                <w:color w:val="auto"/>
              </w:rPr>
              <w:t>25.8</w:t>
            </w:r>
          </w:p>
        </w:tc>
        <w:tc>
          <w:tcPr>
            <w:tcW w:w="500" w:type="dxa"/>
            <w:vAlign w:val="bottom"/>
            <w:vMerge w:val="restart"/>
          </w:tcPr>
          <w:p>
            <w:pPr>
              <w:jc w:val="right"/>
              <w:ind w:right="100"/>
              <w:spacing w:after="0"/>
              <w:rPr>
                <w:sz w:val="20"/>
                <w:szCs w:val="20"/>
                <w:color w:val="auto"/>
              </w:rPr>
            </w:pPr>
            <w:r>
              <w:rPr>
                <w:rFonts w:ascii="Arial" w:cs="Arial" w:eastAsia="Arial" w:hAnsi="Arial"/>
                <w:sz w:val="12"/>
                <w:szCs w:val="12"/>
                <w:color w:val="auto"/>
              </w:rPr>
              <w:t>(0.1)</w:t>
            </w:r>
          </w:p>
        </w:tc>
        <w:tc>
          <w:tcPr>
            <w:tcW w:w="860" w:type="dxa"/>
            <w:vAlign w:val="bottom"/>
            <w:vMerge w:val="restart"/>
          </w:tcPr>
          <w:p>
            <w:pPr>
              <w:jc w:val="right"/>
              <w:ind w:right="140"/>
              <w:spacing w:after="0"/>
              <w:rPr>
                <w:sz w:val="20"/>
                <w:szCs w:val="20"/>
                <w:color w:val="auto"/>
              </w:rPr>
            </w:pPr>
            <w:r>
              <w:rPr>
                <w:rFonts w:ascii="Arial" w:cs="Arial" w:eastAsia="Arial" w:hAnsi="Arial"/>
                <w:sz w:val="12"/>
                <w:szCs w:val="12"/>
                <w:color w:val="auto"/>
              </w:rPr>
              <w:t>0.6</w:t>
            </w:r>
          </w:p>
        </w:tc>
        <w:tc>
          <w:tcPr>
            <w:tcW w:w="880" w:type="dxa"/>
            <w:vAlign w:val="bottom"/>
            <w:vMerge w:val="restart"/>
          </w:tcPr>
          <w:p>
            <w:pPr>
              <w:jc w:val="right"/>
              <w:ind w:right="120"/>
              <w:spacing w:after="0"/>
              <w:rPr>
                <w:sz w:val="20"/>
                <w:szCs w:val="20"/>
                <w:color w:val="auto"/>
              </w:rPr>
            </w:pPr>
            <w:r>
              <w:rPr>
                <w:rFonts w:ascii="Arial" w:cs="Arial" w:eastAsia="Arial" w:hAnsi="Arial"/>
                <w:sz w:val="12"/>
                <w:szCs w:val="12"/>
                <w:color w:val="auto"/>
              </w:rPr>
              <w:t>81.7</w:t>
            </w:r>
          </w:p>
        </w:tc>
        <w:tc>
          <w:tcPr>
            <w:tcW w:w="940" w:type="dxa"/>
            <w:vAlign w:val="bottom"/>
            <w:vMerge w:val="restart"/>
          </w:tcPr>
          <w:p>
            <w:pPr>
              <w:jc w:val="right"/>
              <w:ind w:right="120"/>
              <w:spacing w:after="0"/>
              <w:rPr>
                <w:sz w:val="20"/>
                <w:szCs w:val="20"/>
                <w:color w:val="auto"/>
              </w:rPr>
            </w:pPr>
            <w:r>
              <w:rPr>
                <w:rFonts w:ascii="Arial" w:cs="Arial" w:eastAsia="Arial" w:hAnsi="Arial"/>
                <w:sz w:val="12"/>
                <w:szCs w:val="12"/>
                <w:color w:val="auto"/>
              </w:rPr>
              <w:t>0.6</w:t>
            </w:r>
          </w:p>
        </w:tc>
        <w:tc>
          <w:tcPr>
            <w:tcW w:w="780" w:type="dxa"/>
            <w:vAlign w:val="bottom"/>
            <w:vMerge w:val="restart"/>
          </w:tcPr>
          <w:p>
            <w:pPr>
              <w:jc w:val="right"/>
              <w:ind w:right="140"/>
              <w:spacing w:after="0"/>
              <w:rPr>
                <w:sz w:val="20"/>
                <w:szCs w:val="20"/>
                <w:color w:val="auto"/>
              </w:rPr>
            </w:pPr>
            <w:r>
              <w:rPr>
                <w:rFonts w:ascii="Arial" w:cs="Arial" w:eastAsia="Arial" w:hAnsi="Arial"/>
                <w:sz w:val="12"/>
                <w:szCs w:val="12"/>
                <w:color w:val="auto"/>
              </w:rPr>
              <w:t>63.7</w:t>
            </w:r>
          </w:p>
        </w:tc>
        <w:tc>
          <w:tcPr>
            <w:tcW w:w="960" w:type="dxa"/>
            <w:vAlign w:val="bottom"/>
            <w:vMerge w:val="restart"/>
          </w:tcPr>
          <w:p>
            <w:pPr>
              <w:jc w:val="right"/>
              <w:ind w:right="120"/>
              <w:spacing w:after="0"/>
              <w:rPr>
                <w:sz w:val="20"/>
                <w:szCs w:val="20"/>
                <w:color w:val="auto"/>
              </w:rPr>
            </w:pPr>
            <w:r>
              <w:rPr>
                <w:rFonts w:ascii="Arial" w:cs="Arial" w:eastAsia="Arial" w:hAnsi="Arial"/>
                <w:sz w:val="12"/>
                <w:szCs w:val="12"/>
                <w:color w:val="auto"/>
              </w:rPr>
              <w:t>39.9</w:t>
            </w:r>
          </w:p>
        </w:tc>
        <w:tc>
          <w:tcPr>
            <w:tcW w:w="860" w:type="dxa"/>
            <w:vAlign w:val="bottom"/>
            <w:vMerge w:val="restart"/>
          </w:tcPr>
          <w:p>
            <w:pPr>
              <w:jc w:val="right"/>
              <w:ind w:right="120"/>
              <w:spacing w:after="0"/>
              <w:rPr>
                <w:sz w:val="20"/>
                <w:szCs w:val="20"/>
                <w:color w:val="auto"/>
              </w:rPr>
            </w:pPr>
            <w:r>
              <w:rPr>
                <w:rFonts w:ascii="Arial" w:cs="Arial" w:eastAsia="Arial" w:hAnsi="Arial"/>
                <w:sz w:val="12"/>
                <w:szCs w:val="12"/>
                <w:color w:val="auto"/>
              </w:rPr>
              <w:t>3.5</w:t>
            </w:r>
          </w:p>
        </w:tc>
        <w:tc>
          <w:tcPr>
            <w:tcW w:w="860" w:type="dxa"/>
            <w:vAlign w:val="bottom"/>
            <w:vMerge w:val="restart"/>
          </w:tcPr>
          <w:p>
            <w:pPr>
              <w:jc w:val="right"/>
              <w:ind w:right="100"/>
              <w:spacing w:after="0"/>
              <w:rPr>
                <w:sz w:val="20"/>
                <w:szCs w:val="20"/>
                <w:color w:val="auto"/>
              </w:rPr>
            </w:pPr>
            <w:r>
              <w:rPr>
                <w:rFonts w:ascii="Arial" w:cs="Arial" w:eastAsia="Arial" w:hAnsi="Arial"/>
                <w:sz w:val="12"/>
                <w:szCs w:val="12"/>
                <w:color w:val="auto"/>
              </w:rPr>
              <w:t>16.8</w:t>
            </w:r>
          </w:p>
        </w:tc>
        <w:tc>
          <w:tcPr>
            <w:tcW w:w="680" w:type="dxa"/>
            <w:vAlign w:val="bottom"/>
            <w:vMerge w:val="restart"/>
          </w:tcPr>
          <w:p>
            <w:pPr>
              <w:jc w:val="right"/>
              <w:ind w:right="100"/>
              <w:spacing w:after="0"/>
              <w:rPr>
                <w:sz w:val="20"/>
                <w:szCs w:val="20"/>
                <w:color w:val="auto"/>
              </w:rPr>
            </w:pPr>
            <w:r>
              <w:rPr>
                <w:rFonts w:ascii="Arial" w:cs="Arial" w:eastAsia="Arial" w:hAnsi="Arial"/>
                <w:sz w:val="12"/>
                <w:szCs w:val="12"/>
                <w:color w:val="auto"/>
              </w:rPr>
              <w:t>106.7</w:t>
            </w:r>
          </w:p>
        </w:tc>
        <w:tc>
          <w:tcPr>
            <w:tcW w:w="0" w:type="dxa"/>
            <w:vAlign w:val="bottom"/>
          </w:tcPr>
          <w:p>
            <w:pPr>
              <w:spacing w:after="0"/>
              <w:rPr>
                <w:sz w:val="1"/>
                <w:szCs w:val="1"/>
                <w:color w:val="auto"/>
              </w:rPr>
            </w:pPr>
          </w:p>
        </w:tc>
      </w:tr>
      <w:tr>
        <w:trPr>
          <w:trHeight w:val="144"/>
        </w:trPr>
        <w:tc>
          <w:tcPr>
            <w:tcW w:w="800" w:type="dxa"/>
            <w:vAlign w:val="bottom"/>
          </w:tcPr>
          <w:p>
            <w:pPr>
              <w:ind w:left="20"/>
              <w:spacing w:after="0"/>
              <w:rPr>
                <w:sz w:val="20"/>
                <w:szCs w:val="20"/>
                <w:color w:val="auto"/>
              </w:rPr>
            </w:pPr>
            <w:r>
              <w:rPr>
                <w:rFonts w:ascii="Arial" w:cs="Arial" w:eastAsia="Arial" w:hAnsi="Arial"/>
                <w:sz w:val="12"/>
                <w:szCs w:val="12"/>
                <w:color w:val="auto"/>
              </w:rPr>
              <w:t>operations</w:t>
            </w:r>
          </w:p>
        </w:tc>
        <w:tc>
          <w:tcPr>
            <w:tcW w:w="6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800" w:type="dxa"/>
            <w:vAlign w:val="bottom"/>
          </w:tcPr>
          <w:p>
            <w:pPr>
              <w:ind w:left="20"/>
              <w:spacing w:after="0"/>
              <w:rPr>
                <w:sz w:val="20"/>
                <w:szCs w:val="20"/>
                <w:color w:val="auto"/>
              </w:rPr>
            </w:pPr>
            <w:r>
              <w:rPr>
                <w:rFonts w:ascii="Arial" w:cs="Arial" w:eastAsia="Arial" w:hAnsi="Arial"/>
                <w:sz w:val="12"/>
                <w:szCs w:val="12"/>
                <w:color w:val="auto"/>
              </w:rPr>
              <w:t>Net (loss)</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ind w:left="20"/>
              <w:spacing w:after="0" w:line="128" w:lineRule="exact"/>
              <w:rPr>
                <w:sz w:val="20"/>
                <w:szCs w:val="20"/>
                <w:color w:val="auto"/>
              </w:rPr>
            </w:pPr>
            <w:r>
              <w:rPr>
                <w:rFonts w:ascii="Arial" w:cs="Arial" w:eastAsia="Arial" w:hAnsi="Arial"/>
                <w:sz w:val="12"/>
                <w:szCs w:val="12"/>
                <w:color w:val="auto"/>
              </w:rPr>
              <w:t>income as a</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00" w:type="dxa"/>
            <w:vAlign w:val="bottom"/>
          </w:tcPr>
          <w:p>
            <w:pPr>
              <w:ind w:left="20"/>
              <w:spacing w:after="0" w:line="115" w:lineRule="exact"/>
              <w:rPr>
                <w:sz w:val="20"/>
                <w:szCs w:val="20"/>
                <w:color w:val="auto"/>
              </w:rPr>
            </w:pPr>
            <w:r>
              <w:rPr>
                <w:rFonts w:ascii="Arial" w:cs="Arial" w:eastAsia="Arial" w:hAnsi="Arial"/>
                <w:sz w:val="12"/>
                <w:szCs w:val="12"/>
                <w:color w:val="auto"/>
              </w:rPr>
              <w:t>percent of net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(13.1)%</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0.1 %</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0.9 %</w:t>
            </w: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2.5 %</w:t>
            </w: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0.1 %</w:t>
            </w: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7.9 %</w:t>
            </w: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0.1 %</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6.2 %</w:t>
            </w: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3.9 %</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0.3 %</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1.6 %</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10.3 %</w:t>
            </w:r>
          </w:p>
        </w:tc>
        <w:tc>
          <w:tcPr>
            <w:tcW w:w="0" w:type="dxa"/>
            <w:vAlign w:val="bottom"/>
          </w:tcPr>
          <w:p>
            <w:pPr>
              <w:spacing w:after="0"/>
              <w:rPr>
                <w:sz w:val="1"/>
                <w:szCs w:val="1"/>
                <w:color w:val="auto"/>
              </w:rPr>
            </w:pPr>
          </w:p>
        </w:tc>
      </w:tr>
      <w:tr>
        <w:trPr>
          <w:trHeight w:val="144"/>
        </w:trPr>
        <w:tc>
          <w:tcPr>
            <w:tcW w:w="800" w:type="dxa"/>
            <w:vAlign w:val="bottom"/>
          </w:tcPr>
          <w:p>
            <w:pPr>
              <w:ind w:left="20"/>
              <w:spacing w:after="0"/>
              <w:rPr>
                <w:sz w:val="20"/>
                <w:szCs w:val="20"/>
                <w:color w:val="auto"/>
              </w:rPr>
            </w:pPr>
            <w:r>
              <w:rPr>
                <w:rFonts w:ascii="Arial" w:cs="Arial" w:eastAsia="Arial" w:hAnsi="Arial"/>
                <w:sz w:val="12"/>
                <w:szCs w:val="12"/>
                <w:color w:val="auto"/>
              </w:rPr>
              <w:t>revenue</w:t>
            </w:r>
          </w:p>
        </w:tc>
        <w:tc>
          <w:tcPr>
            <w:tcW w:w="6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800" w:type="dxa"/>
            <w:vAlign w:val="bottom"/>
          </w:tcPr>
          <w:p>
            <w:pPr>
              <w:ind w:left="20"/>
              <w:spacing w:after="0"/>
              <w:rPr>
                <w:sz w:val="20"/>
                <w:szCs w:val="20"/>
                <w:color w:val="auto"/>
              </w:rPr>
            </w:pPr>
            <w:r>
              <w:rPr>
                <w:rFonts w:ascii="Arial" w:cs="Arial" w:eastAsia="Arial" w:hAnsi="Arial"/>
                <w:sz w:val="12"/>
                <w:szCs w:val="12"/>
                <w:color w:val="auto"/>
              </w:rPr>
              <w:t>Diluted EPS -</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0" w:type="dxa"/>
            <w:vAlign w:val="bottom"/>
          </w:tcPr>
          <w:p>
            <w:pPr>
              <w:ind w:left="20"/>
              <w:spacing w:after="0" w:line="128" w:lineRule="exact"/>
              <w:rPr>
                <w:sz w:val="20"/>
                <w:szCs w:val="20"/>
                <w:color w:val="auto"/>
              </w:rPr>
            </w:pPr>
            <w:r>
              <w:rPr>
                <w:rFonts w:ascii="Arial" w:cs="Arial" w:eastAsia="Arial" w:hAnsi="Arial"/>
                <w:sz w:val="12"/>
                <w:szCs w:val="12"/>
                <w:color w:val="auto"/>
              </w:rPr>
              <w:t>Continuing</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0" w:type="dxa"/>
            <w:vAlign w:val="bottom"/>
          </w:tcPr>
          <w:p>
            <w:pPr>
              <w:ind w:left="20"/>
              <w:spacing w:after="0"/>
              <w:rPr>
                <w:sz w:val="20"/>
                <w:szCs w:val="20"/>
                <w:color w:val="auto"/>
              </w:rPr>
            </w:pPr>
            <w:r>
              <w:rPr>
                <w:rFonts w:ascii="Arial" w:cs="Arial" w:eastAsia="Arial" w:hAnsi="Arial"/>
                <w:sz w:val="12"/>
                <w:szCs w:val="12"/>
                <w:color w:val="auto"/>
              </w:rPr>
              <w:t>Operations</w:t>
            </w: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($2.68)</w:t>
            </w:r>
          </w:p>
        </w:tc>
        <w:tc>
          <w:tcPr>
            <w:tcW w:w="780" w:type="dxa"/>
            <w:vAlign w:val="bottom"/>
          </w:tcPr>
          <w:p>
            <w:pPr>
              <w:jc w:val="right"/>
              <w:ind w:right="140"/>
              <w:spacing w:after="0"/>
              <w:rPr>
                <w:sz w:val="20"/>
                <w:szCs w:val="20"/>
                <w:color w:val="auto"/>
              </w:rPr>
            </w:pPr>
            <w:r>
              <w:rPr>
                <w:rFonts w:ascii="Arial" w:cs="Arial" w:eastAsia="Arial" w:hAnsi="Arial"/>
                <w:sz w:val="12"/>
                <w:szCs w:val="12"/>
                <w:color w:val="auto"/>
              </w:rPr>
              <w:t>$0.01</w:t>
            </w:r>
          </w:p>
        </w:tc>
        <w:tc>
          <w:tcPr>
            <w:tcW w:w="920" w:type="dxa"/>
            <w:vAlign w:val="bottom"/>
          </w:tcPr>
          <w:p>
            <w:pPr>
              <w:jc w:val="right"/>
              <w:ind w:right="140"/>
              <w:spacing w:after="0"/>
              <w:rPr>
                <w:sz w:val="20"/>
                <w:szCs w:val="20"/>
                <w:color w:val="auto"/>
              </w:rPr>
            </w:pPr>
            <w:r>
              <w:rPr>
                <w:rFonts w:ascii="Arial" w:cs="Arial" w:eastAsia="Arial" w:hAnsi="Arial"/>
                <w:sz w:val="12"/>
                <w:szCs w:val="12"/>
                <w:color w:val="auto"/>
              </w:rPr>
              <w:t>$0.18</w:t>
            </w: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$0.50</w:t>
            </w:r>
          </w:p>
        </w:tc>
        <w:tc>
          <w:tcPr>
            <w:tcW w:w="5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40"/>
              <w:spacing w:after="0"/>
              <w:rPr>
                <w:sz w:val="20"/>
                <w:szCs w:val="20"/>
                <w:color w:val="auto"/>
              </w:rPr>
            </w:pPr>
            <w:r>
              <w:rPr>
                <w:rFonts w:ascii="Arial" w:cs="Arial" w:eastAsia="Arial" w:hAnsi="Arial"/>
                <w:sz w:val="12"/>
                <w:szCs w:val="12"/>
                <w:color w:val="auto"/>
              </w:rPr>
              <w:t>$0.01</w:t>
            </w:r>
          </w:p>
        </w:tc>
        <w:tc>
          <w:tcPr>
            <w:tcW w:w="880" w:type="dxa"/>
            <w:vAlign w:val="bottom"/>
          </w:tcPr>
          <w:p>
            <w:pPr>
              <w:jc w:val="right"/>
              <w:ind w:right="120"/>
              <w:spacing w:after="0"/>
              <w:rPr>
                <w:sz w:val="20"/>
                <w:szCs w:val="20"/>
                <w:color w:val="auto"/>
              </w:rPr>
            </w:pPr>
            <w:r>
              <w:rPr>
                <w:rFonts w:ascii="Arial" w:cs="Arial" w:eastAsia="Arial" w:hAnsi="Arial"/>
                <w:sz w:val="12"/>
                <w:szCs w:val="12"/>
                <w:color w:val="auto"/>
              </w:rPr>
              <w:t>$1.59</w:t>
            </w:r>
          </w:p>
        </w:tc>
        <w:tc>
          <w:tcPr>
            <w:tcW w:w="940" w:type="dxa"/>
            <w:vAlign w:val="bottom"/>
          </w:tcPr>
          <w:p>
            <w:pPr>
              <w:jc w:val="right"/>
              <w:ind w:right="120"/>
              <w:spacing w:after="0"/>
              <w:rPr>
                <w:sz w:val="20"/>
                <w:szCs w:val="20"/>
                <w:color w:val="auto"/>
              </w:rPr>
            </w:pPr>
            <w:r>
              <w:rPr>
                <w:rFonts w:ascii="Arial" w:cs="Arial" w:eastAsia="Arial" w:hAnsi="Arial"/>
                <w:sz w:val="12"/>
                <w:szCs w:val="12"/>
                <w:color w:val="auto"/>
              </w:rPr>
              <w:t>$0.01</w:t>
            </w:r>
          </w:p>
        </w:tc>
        <w:tc>
          <w:tcPr>
            <w:tcW w:w="780" w:type="dxa"/>
            <w:vAlign w:val="bottom"/>
          </w:tcPr>
          <w:p>
            <w:pPr>
              <w:jc w:val="right"/>
              <w:ind w:right="140"/>
              <w:spacing w:after="0"/>
              <w:rPr>
                <w:sz w:val="20"/>
                <w:szCs w:val="20"/>
                <w:color w:val="auto"/>
              </w:rPr>
            </w:pPr>
            <w:r>
              <w:rPr>
                <w:rFonts w:ascii="Arial" w:cs="Arial" w:eastAsia="Arial" w:hAnsi="Arial"/>
                <w:sz w:val="12"/>
                <w:szCs w:val="12"/>
                <w:color w:val="auto"/>
              </w:rPr>
              <w:t>$1.24</w:t>
            </w:r>
          </w:p>
        </w:tc>
        <w:tc>
          <w:tcPr>
            <w:tcW w:w="960" w:type="dxa"/>
            <w:vAlign w:val="bottom"/>
          </w:tcPr>
          <w:p>
            <w:pPr>
              <w:jc w:val="right"/>
              <w:ind w:right="120"/>
              <w:spacing w:after="0"/>
              <w:rPr>
                <w:sz w:val="20"/>
                <w:szCs w:val="20"/>
                <w:color w:val="auto"/>
              </w:rPr>
            </w:pPr>
            <w:r>
              <w:rPr>
                <w:rFonts w:ascii="Arial" w:cs="Arial" w:eastAsia="Arial" w:hAnsi="Arial"/>
                <w:sz w:val="12"/>
                <w:szCs w:val="12"/>
                <w:color w:val="auto"/>
              </w:rPr>
              <w:t>$0.77</w:t>
            </w:r>
          </w:p>
        </w:tc>
        <w:tc>
          <w:tcPr>
            <w:tcW w:w="860" w:type="dxa"/>
            <w:vAlign w:val="bottom"/>
          </w:tcPr>
          <w:p>
            <w:pPr>
              <w:jc w:val="right"/>
              <w:ind w:right="120"/>
              <w:spacing w:after="0"/>
              <w:rPr>
                <w:sz w:val="20"/>
                <w:szCs w:val="20"/>
                <w:color w:val="auto"/>
              </w:rPr>
            </w:pPr>
            <w:r>
              <w:rPr>
                <w:rFonts w:ascii="Arial" w:cs="Arial" w:eastAsia="Arial" w:hAnsi="Arial"/>
                <w:sz w:val="12"/>
                <w:szCs w:val="12"/>
                <w:color w:val="auto"/>
              </w:rPr>
              <w:t>$0.07</w:t>
            </w:r>
          </w:p>
        </w:tc>
        <w:tc>
          <w:tcPr>
            <w:tcW w:w="860" w:type="dxa"/>
            <w:vAlign w:val="bottom"/>
          </w:tcPr>
          <w:p>
            <w:pPr>
              <w:jc w:val="right"/>
              <w:ind w:right="100"/>
              <w:spacing w:after="0"/>
              <w:rPr>
                <w:sz w:val="20"/>
                <w:szCs w:val="20"/>
                <w:color w:val="auto"/>
              </w:rPr>
            </w:pPr>
            <w:r>
              <w:rPr>
                <w:rFonts w:ascii="Arial" w:cs="Arial" w:eastAsia="Arial" w:hAnsi="Arial"/>
                <w:sz w:val="12"/>
                <w:szCs w:val="12"/>
                <w:color w:val="auto"/>
              </w:rPr>
              <w:t>$0.33</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$2.07</w:t>
            </w:r>
          </w:p>
        </w:tc>
        <w:tc>
          <w:tcPr>
            <w:tcW w:w="0" w:type="dxa"/>
            <w:vAlign w:val="bottom"/>
          </w:tcPr>
          <w:p>
            <w:pPr>
              <w:spacing w:after="0"/>
              <w:rPr>
                <w:sz w:val="1"/>
                <w:szCs w:val="1"/>
                <w:color w:val="auto"/>
              </w:rPr>
            </w:pPr>
          </w:p>
        </w:tc>
      </w:tr>
    </w:tbl>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5260" w:type="dxa"/>
            <w:vAlign w:val="bottom"/>
            <w:gridSpan w:val="2"/>
          </w:tcPr>
          <w:p>
            <w:pPr>
              <w:spacing w:after="0"/>
              <w:rPr>
                <w:sz w:val="20"/>
                <w:szCs w:val="20"/>
                <w:color w:val="auto"/>
              </w:rPr>
            </w:pPr>
            <w:r>
              <w:rPr>
                <w:rFonts w:ascii="Arial" w:cs="Arial" w:eastAsia="Arial" w:hAnsi="Arial"/>
                <w:sz w:val="12"/>
                <w:szCs w:val="12"/>
                <w:b w:val="1"/>
                <w:bCs w:val="1"/>
                <w:color w:val="auto"/>
              </w:rPr>
              <w:t>GAAP results for the year ended December 31, 2021, include:</w:t>
            </w:r>
          </w:p>
        </w:tc>
        <w:tc>
          <w:tcPr>
            <w:tcW w:w="5700" w:type="dxa"/>
            <w:vAlign w:val="bottom"/>
          </w:tcPr>
          <w:p>
            <w:pPr>
              <w:spacing w:after="0"/>
              <w:rPr>
                <w:sz w:val="13"/>
                <w:szCs w:val="13"/>
                <w:color w:val="auto"/>
              </w:rPr>
            </w:pPr>
          </w:p>
        </w:tc>
      </w:tr>
      <w:tr>
        <w:trPr>
          <w:trHeight w:val="166"/>
        </w:trPr>
        <w:tc>
          <w:tcPr>
            <w:tcW w:w="240" w:type="dxa"/>
            <w:vAlign w:val="bottom"/>
          </w:tcPr>
          <w:p>
            <w:pPr>
              <w:spacing w:after="0"/>
              <w:rPr>
                <w:sz w:val="20"/>
                <w:szCs w:val="20"/>
                <w:color w:val="auto"/>
              </w:rPr>
            </w:pPr>
            <w:r>
              <w:rPr>
                <w:rFonts w:ascii="Arial" w:cs="Arial" w:eastAsia="Arial" w:hAnsi="Arial"/>
                <w:sz w:val="12"/>
                <w:szCs w:val="12"/>
                <w:color w:val="auto"/>
              </w:rPr>
              <w:t>(A)</w:t>
            </w:r>
          </w:p>
        </w:tc>
        <w:tc>
          <w:tcPr>
            <w:tcW w:w="5020" w:type="dxa"/>
            <w:vAlign w:val="bottom"/>
          </w:tcPr>
          <w:p>
            <w:pPr>
              <w:ind w:left="80"/>
              <w:spacing w:after="0"/>
              <w:rPr>
                <w:sz w:val="20"/>
                <w:szCs w:val="20"/>
                <w:color w:val="auto"/>
              </w:rPr>
            </w:pPr>
            <w:r>
              <w:rPr>
                <w:rFonts w:ascii="Arial" w:cs="Arial" w:eastAsia="Arial" w:hAnsi="Arial"/>
                <w:sz w:val="12"/>
                <w:szCs w:val="12"/>
                <w:color w:val="auto"/>
              </w:rPr>
              <w:t>Merger and integration expenses related to our legacy companies and recent acquisitions</w:t>
            </w:r>
          </w:p>
        </w:tc>
        <w:tc>
          <w:tcPr>
            <w:tcW w:w="5700" w:type="dxa"/>
            <w:vAlign w:val="bottom"/>
          </w:tcPr>
          <w:p>
            <w:pPr>
              <w:spacing w:after="0"/>
              <w:rPr>
                <w:sz w:val="14"/>
                <w:szCs w:val="14"/>
                <w:color w:val="auto"/>
              </w:rPr>
            </w:pPr>
          </w:p>
        </w:tc>
      </w:tr>
      <w:tr>
        <w:trPr>
          <w:trHeight w:val="166"/>
        </w:trPr>
        <w:tc>
          <w:tcPr>
            <w:tcW w:w="240" w:type="dxa"/>
            <w:vAlign w:val="bottom"/>
          </w:tcPr>
          <w:p>
            <w:pPr>
              <w:spacing w:after="0"/>
              <w:rPr>
                <w:sz w:val="20"/>
                <w:szCs w:val="20"/>
                <w:color w:val="auto"/>
              </w:rPr>
            </w:pPr>
            <w:r>
              <w:rPr>
                <w:rFonts w:ascii="Arial" w:cs="Arial" w:eastAsia="Arial" w:hAnsi="Arial"/>
                <w:sz w:val="12"/>
                <w:szCs w:val="12"/>
                <w:color w:val="auto"/>
              </w:rPr>
              <w:t>(B)</w:t>
            </w:r>
          </w:p>
        </w:tc>
        <w:tc>
          <w:tcPr>
            <w:tcW w:w="5020" w:type="dxa"/>
            <w:vAlign w:val="bottom"/>
          </w:tcPr>
          <w:p>
            <w:pPr>
              <w:ind w:left="80"/>
              <w:spacing w:after="0"/>
              <w:rPr>
                <w:sz w:val="20"/>
                <w:szCs w:val="20"/>
                <w:color w:val="auto"/>
              </w:rPr>
            </w:pPr>
            <w:r>
              <w:rPr>
                <w:rFonts w:ascii="Arial" w:cs="Arial" w:eastAsia="Arial" w:hAnsi="Arial"/>
                <w:sz w:val="12"/>
                <w:szCs w:val="12"/>
                <w:color w:val="auto"/>
              </w:rPr>
              <w:t>Restructuring expenses related to organizational changes</w:t>
            </w:r>
          </w:p>
        </w:tc>
        <w:tc>
          <w:tcPr>
            <w:tcW w:w="5700" w:type="dxa"/>
            <w:vAlign w:val="bottom"/>
          </w:tcPr>
          <w:p>
            <w:pPr>
              <w:spacing w:after="0"/>
              <w:rPr>
                <w:sz w:val="14"/>
                <w:szCs w:val="14"/>
                <w:color w:val="auto"/>
              </w:rPr>
            </w:pPr>
          </w:p>
        </w:tc>
      </w:tr>
      <w:tr>
        <w:trPr>
          <w:trHeight w:val="166"/>
        </w:trPr>
        <w:tc>
          <w:tcPr>
            <w:tcW w:w="240" w:type="dxa"/>
            <w:vAlign w:val="bottom"/>
          </w:tcPr>
          <w:p>
            <w:pPr>
              <w:spacing w:after="0"/>
              <w:rPr>
                <w:sz w:val="20"/>
                <w:szCs w:val="20"/>
                <w:color w:val="auto"/>
              </w:rPr>
            </w:pPr>
            <w:r>
              <w:rPr>
                <w:rFonts w:ascii="Arial" w:cs="Arial" w:eastAsia="Arial" w:hAnsi="Arial"/>
                <w:sz w:val="12"/>
                <w:szCs w:val="12"/>
                <w:color w:val="auto"/>
              </w:rPr>
              <w:t>(C)</w:t>
            </w:r>
          </w:p>
        </w:tc>
        <w:tc>
          <w:tcPr>
            <w:tcW w:w="5020" w:type="dxa"/>
            <w:vAlign w:val="bottom"/>
          </w:tcPr>
          <w:p>
            <w:pPr>
              <w:ind w:left="80"/>
              <w:spacing w:after="0"/>
              <w:rPr>
                <w:sz w:val="20"/>
                <w:szCs w:val="20"/>
                <w:color w:val="auto"/>
              </w:rPr>
            </w:pPr>
            <w:r>
              <w:rPr>
                <w:rFonts w:ascii="Arial" w:cs="Arial" w:eastAsia="Arial" w:hAnsi="Arial"/>
                <w:sz w:val="12"/>
                <w:szCs w:val="12"/>
                <w:color w:val="auto"/>
              </w:rPr>
              <w:t>Includes depreciation and amortization associated with purchase price accounting</w:t>
            </w:r>
          </w:p>
        </w:tc>
        <w:tc>
          <w:tcPr>
            <w:tcW w:w="5700" w:type="dxa"/>
            <w:vAlign w:val="bottom"/>
          </w:tcPr>
          <w:p>
            <w:pPr>
              <w:spacing w:after="0"/>
              <w:rPr>
                <w:sz w:val="14"/>
                <w:szCs w:val="14"/>
                <w:color w:val="auto"/>
              </w:rPr>
            </w:pPr>
          </w:p>
        </w:tc>
      </w:tr>
      <w:tr>
        <w:trPr>
          <w:trHeight w:val="166"/>
        </w:trPr>
        <w:tc>
          <w:tcPr>
            <w:tcW w:w="240" w:type="dxa"/>
            <w:vAlign w:val="bottom"/>
          </w:tcPr>
          <w:p>
            <w:pPr>
              <w:spacing w:after="0"/>
              <w:rPr>
                <w:sz w:val="20"/>
                <w:szCs w:val="20"/>
                <w:color w:val="auto"/>
              </w:rPr>
            </w:pPr>
            <w:r>
              <w:rPr>
                <w:rFonts w:ascii="Arial" w:cs="Arial" w:eastAsia="Arial" w:hAnsi="Arial"/>
                <w:sz w:val="12"/>
                <w:szCs w:val="12"/>
                <w:color w:val="auto"/>
              </w:rPr>
              <w:t>(D)</w:t>
            </w:r>
          </w:p>
        </w:tc>
        <w:tc>
          <w:tcPr>
            <w:tcW w:w="5020" w:type="dxa"/>
            <w:vAlign w:val="bottom"/>
          </w:tcPr>
          <w:p>
            <w:pPr>
              <w:ind w:left="80"/>
              <w:spacing w:after="0"/>
              <w:rPr>
                <w:sz w:val="20"/>
                <w:szCs w:val="20"/>
                <w:color w:val="auto"/>
              </w:rPr>
            </w:pPr>
            <w:r>
              <w:rPr>
                <w:rFonts w:ascii="Arial" w:cs="Arial" w:eastAsia="Arial" w:hAnsi="Arial"/>
                <w:sz w:val="12"/>
                <w:szCs w:val="12"/>
                <w:color w:val="auto"/>
              </w:rPr>
              <w:t>Loss associated with the sale of Heart Valves</w:t>
            </w:r>
          </w:p>
        </w:tc>
        <w:tc>
          <w:tcPr>
            <w:tcW w:w="5700" w:type="dxa"/>
            <w:vAlign w:val="bottom"/>
          </w:tcPr>
          <w:p>
            <w:pPr>
              <w:spacing w:after="0"/>
              <w:rPr>
                <w:sz w:val="14"/>
                <w:szCs w:val="14"/>
                <w:color w:val="auto"/>
              </w:rPr>
            </w:pPr>
          </w:p>
        </w:tc>
      </w:tr>
      <w:tr>
        <w:trPr>
          <w:trHeight w:val="166"/>
        </w:trPr>
        <w:tc>
          <w:tcPr>
            <w:tcW w:w="240" w:type="dxa"/>
            <w:vAlign w:val="bottom"/>
          </w:tcPr>
          <w:p>
            <w:pPr>
              <w:spacing w:after="0"/>
              <w:rPr>
                <w:sz w:val="20"/>
                <w:szCs w:val="20"/>
                <w:color w:val="auto"/>
              </w:rPr>
            </w:pPr>
            <w:r>
              <w:rPr>
                <w:rFonts w:ascii="Arial" w:cs="Arial" w:eastAsia="Arial" w:hAnsi="Arial"/>
                <w:sz w:val="12"/>
                <w:szCs w:val="12"/>
                <w:color w:val="auto"/>
              </w:rPr>
              <w:t>(E)</w:t>
            </w:r>
          </w:p>
        </w:tc>
        <w:tc>
          <w:tcPr>
            <w:tcW w:w="5020" w:type="dxa"/>
            <w:vAlign w:val="bottom"/>
          </w:tcPr>
          <w:p>
            <w:pPr>
              <w:ind w:left="80"/>
              <w:spacing w:after="0"/>
              <w:rPr>
                <w:sz w:val="20"/>
                <w:szCs w:val="20"/>
                <w:color w:val="auto"/>
              </w:rPr>
            </w:pPr>
            <w:r>
              <w:rPr>
                <w:rFonts w:ascii="Arial" w:cs="Arial" w:eastAsia="Arial" w:hAnsi="Arial"/>
                <w:sz w:val="12"/>
                <w:szCs w:val="12"/>
                <w:color w:val="auto"/>
              </w:rPr>
              <w:t>Costs related to the 3T Heater-Cooler remediation plan</w:t>
            </w:r>
          </w:p>
        </w:tc>
        <w:tc>
          <w:tcPr>
            <w:tcW w:w="5700" w:type="dxa"/>
            <w:vAlign w:val="bottom"/>
          </w:tcPr>
          <w:p>
            <w:pPr>
              <w:spacing w:after="0"/>
              <w:rPr>
                <w:sz w:val="14"/>
                <w:szCs w:val="14"/>
                <w:color w:val="auto"/>
              </w:rPr>
            </w:pPr>
          </w:p>
        </w:tc>
      </w:tr>
      <w:tr>
        <w:trPr>
          <w:trHeight w:val="166"/>
        </w:trPr>
        <w:tc>
          <w:tcPr>
            <w:tcW w:w="240" w:type="dxa"/>
            <w:vAlign w:val="bottom"/>
          </w:tcPr>
          <w:p>
            <w:pPr>
              <w:spacing w:after="0"/>
              <w:rPr>
                <w:sz w:val="20"/>
                <w:szCs w:val="20"/>
                <w:color w:val="auto"/>
              </w:rPr>
            </w:pPr>
            <w:r>
              <w:rPr>
                <w:rFonts w:ascii="Arial" w:cs="Arial" w:eastAsia="Arial" w:hAnsi="Arial"/>
                <w:sz w:val="12"/>
                <w:szCs w:val="12"/>
                <w:color w:val="auto"/>
              </w:rPr>
              <w:t>(F)</w:t>
            </w:r>
          </w:p>
        </w:tc>
        <w:tc>
          <w:tcPr>
            <w:tcW w:w="10720" w:type="dxa"/>
            <w:vAlign w:val="bottom"/>
            <w:gridSpan w:val="2"/>
          </w:tcPr>
          <w:p>
            <w:pPr>
              <w:ind w:left="80"/>
              <w:spacing w:after="0"/>
              <w:rPr>
                <w:sz w:val="20"/>
                <w:szCs w:val="20"/>
                <w:color w:val="auto"/>
              </w:rPr>
            </w:pPr>
            <w:r>
              <w:rPr>
                <w:rFonts w:ascii="Arial" w:cs="Arial" w:eastAsia="Arial" w:hAnsi="Arial"/>
                <w:sz w:val="12"/>
                <w:szCs w:val="12"/>
                <w:color w:val="auto"/>
              </w:rPr>
              <w:t>Costs associated with the June 2020 financing transactions, including loss on debt extinguishment, the mark-to-market adjustment for the exchangeable option feature and capped call derivatives</w:t>
            </w:r>
          </w:p>
        </w:tc>
      </w:tr>
      <w:tr>
        <w:trPr>
          <w:trHeight w:val="166"/>
        </w:trPr>
        <w:tc>
          <w:tcPr>
            <w:tcW w:w="240" w:type="dxa"/>
            <w:vAlign w:val="bottom"/>
          </w:tcPr>
          <w:p>
            <w:pPr>
              <w:spacing w:after="0"/>
              <w:rPr>
                <w:sz w:val="20"/>
                <w:szCs w:val="20"/>
                <w:color w:val="auto"/>
              </w:rPr>
            </w:pPr>
            <w:r>
              <w:rPr>
                <w:rFonts w:ascii="Arial" w:cs="Arial" w:eastAsia="Arial" w:hAnsi="Arial"/>
                <w:sz w:val="12"/>
                <w:szCs w:val="12"/>
                <w:color w:val="auto"/>
              </w:rPr>
              <w:t>(G)</w:t>
            </w:r>
          </w:p>
        </w:tc>
        <w:tc>
          <w:tcPr>
            <w:tcW w:w="5020" w:type="dxa"/>
            <w:vAlign w:val="bottom"/>
          </w:tcPr>
          <w:p>
            <w:pPr>
              <w:ind w:left="80"/>
              <w:spacing w:after="0"/>
              <w:rPr>
                <w:sz w:val="20"/>
                <w:szCs w:val="20"/>
                <w:color w:val="auto"/>
              </w:rPr>
            </w:pPr>
            <w:r>
              <w:rPr>
                <w:rFonts w:ascii="Arial" w:cs="Arial" w:eastAsia="Arial" w:hAnsi="Arial"/>
                <w:sz w:val="12"/>
                <w:szCs w:val="12"/>
                <w:color w:val="auto"/>
              </w:rPr>
              <w:t>Remeasurement of contingent consideration related to acquisitions</w:t>
            </w:r>
          </w:p>
        </w:tc>
        <w:tc>
          <w:tcPr>
            <w:tcW w:w="5700" w:type="dxa"/>
            <w:vAlign w:val="bottom"/>
          </w:tcPr>
          <w:p>
            <w:pPr>
              <w:spacing w:after="0"/>
              <w:rPr>
                <w:sz w:val="14"/>
                <w:szCs w:val="14"/>
                <w:color w:val="auto"/>
              </w:rPr>
            </w:pPr>
          </w:p>
        </w:tc>
      </w:tr>
      <w:tr>
        <w:trPr>
          <w:trHeight w:val="137"/>
        </w:trPr>
        <w:tc>
          <w:tcPr>
            <w:tcW w:w="240" w:type="dxa"/>
            <w:vAlign w:val="bottom"/>
          </w:tcPr>
          <w:p>
            <w:pPr>
              <w:spacing w:after="0"/>
              <w:rPr>
                <w:sz w:val="20"/>
                <w:szCs w:val="20"/>
                <w:color w:val="auto"/>
              </w:rPr>
            </w:pPr>
            <w:r>
              <w:rPr>
                <w:rFonts w:ascii="Arial" w:cs="Arial" w:eastAsia="Arial" w:hAnsi="Arial"/>
                <w:sz w:val="12"/>
                <w:szCs w:val="12"/>
                <w:color w:val="auto"/>
              </w:rPr>
              <w:t>(H)</w:t>
            </w:r>
          </w:p>
        </w:tc>
        <w:tc>
          <w:tcPr>
            <w:tcW w:w="10720" w:type="dxa"/>
            <w:vAlign w:val="bottom"/>
            <w:gridSpan w:val="2"/>
          </w:tcPr>
          <w:p>
            <w:pPr>
              <w:ind w:left="80"/>
              <w:spacing w:after="0"/>
              <w:rPr>
                <w:sz w:val="20"/>
                <w:szCs w:val="20"/>
                <w:color w:val="auto"/>
              </w:rPr>
            </w:pPr>
            <w:r>
              <w:rPr>
                <w:rFonts w:ascii="Arial" w:cs="Arial" w:eastAsia="Arial" w:hAnsi="Arial"/>
                <w:sz w:val="12"/>
                <w:szCs w:val="12"/>
                <w:color w:val="auto"/>
                <w:w w:val="99"/>
              </w:rPr>
              <w:t>3T Heater-Cooler litigation provision, legal expenses primarily related to 3T Heater-Cooler defense, costs related to the SNIA matter, MDR costs, gain from remeasurement of an investment and dividend</w:t>
            </w:r>
          </w:p>
        </w:tc>
      </w:tr>
      <w:tr>
        <w:trPr>
          <w:trHeight w:val="144"/>
        </w:trPr>
        <w:tc>
          <w:tcPr>
            <w:tcW w:w="240" w:type="dxa"/>
            <w:vAlign w:val="bottom"/>
          </w:tcPr>
          <w:p>
            <w:pPr>
              <w:spacing w:after="0"/>
              <w:rPr>
                <w:sz w:val="12"/>
                <w:szCs w:val="12"/>
                <w:color w:val="auto"/>
              </w:rPr>
            </w:pPr>
          </w:p>
        </w:tc>
        <w:tc>
          <w:tcPr>
            <w:tcW w:w="5020" w:type="dxa"/>
            <w:vAlign w:val="bottom"/>
          </w:tcPr>
          <w:p>
            <w:pPr>
              <w:ind w:left="80"/>
              <w:spacing w:after="0"/>
              <w:rPr>
                <w:sz w:val="20"/>
                <w:szCs w:val="20"/>
                <w:color w:val="auto"/>
              </w:rPr>
            </w:pPr>
            <w:r>
              <w:rPr>
                <w:rFonts w:ascii="Arial" w:cs="Arial" w:eastAsia="Arial" w:hAnsi="Arial"/>
                <w:sz w:val="12"/>
                <w:szCs w:val="12"/>
                <w:color w:val="auto"/>
              </w:rPr>
              <w:t>income</w:t>
            </w:r>
          </w:p>
        </w:tc>
        <w:tc>
          <w:tcPr>
            <w:tcW w:w="5700" w:type="dxa"/>
            <w:vAlign w:val="bottom"/>
          </w:tcPr>
          <w:p>
            <w:pPr>
              <w:spacing w:after="0"/>
              <w:rPr>
                <w:sz w:val="12"/>
                <w:szCs w:val="12"/>
                <w:color w:val="auto"/>
              </w:rPr>
            </w:pPr>
          </w:p>
        </w:tc>
      </w:tr>
      <w:tr>
        <w:trPr>
          <w:trHeight w:val="179"/>
        </w:trPr>
        <w:tc>
          <w:tcPr>
            <w:tcW w:w="240" w:type="dxa"/>
            <w:vAlign w:val="bottom"/>
          </w:tcPr>
          <w:p>
            <w:pPr>
              <w:spacing w:after="0"/>
              <w:rPr>
                <w:sz w:val="20"/>
                <w:szCs w:val="20"/>
                <w:color w:val="auto"/>
              </w:rPr>
            </w:pPr>
            <w:r>
              <w:rPr>
                <w:rFonts w:ascii="Arial" w:cs="Arial" w:eastAsia="Arial" w:hAnsi="Arial"/>
                <w:sz w:val="12"/>
                <w:szCs w:val="12"/>
                <w:color w:val="auto"/>
              </w:rPr>
              <w:t>(I)</w:t>
            </w:r>
          </w:p>
        </w:tc>
        <w:tc>
          <w:tcPr>
            <w:tcW w:w="5020" w:type="dxa"/>
            <w:vAlign w:val="bottom"/>
          </w:tcPr>
          <w:p>
            <w:pPr>
              <w:ind w:left="80"/>
              <w:spacing w:after="0"/>
              <w:rPr>
                <w:sz w:val="20"/>
                <w:szCs w:val="20"/>
                <w:color w:val="auto"/>
              </w:rPr>
            </w:pPr>
            <w:r>
              <w:rPr>
                <w:rFonts w:ascii="Arial" w:cs="Arial" w:eastAsia="Arial" w:hAnsi="Arial"/>
                <w:sz w:val="12"/>
                <w:szCs w:val="12"/>
                <w:color w:val="auto"/>
              </w:rPr>
              <w:t>Non-cash expenses associated with stock-based compensation costs</w:t>
            </w:r>
          </w:p>
        </w:tc>
        <w:tc>
          <w:tcPr>
            <w:tcW w:w="5700" w:type="dxa"/>
            <w:vAlign w:val="bottom"/>
          </w:tcPr>
          <w:p>
            <w:pPr>
              <w:spacing w:after="0"/>
              <w:rPr>
                <w:sz w:val="15"/>
                <w:szCs w:val="15"/>
                <w:color w:val="auto"/>
              </w:rPr>
            </w:pPr>
          </w:p>
        </w:tc>
      </w:tr>
      <w:tr>
        <w:trPr>
          <w:trHeight w:val="166"/>
        </w:trPr>
        <w:tc>
          <w:tcPr>
            <w:tcW w:w="240" w:type="dxa"/>
            <w:vAlign w:val="bottom"/>
          </w:tcPr>
          <w:p>
            <w:pPr>
              <w:spacing w:after="0"/>
              <w:rPr>
                <w:sz w:val="20"/>
                <w:szCs w:val="20"/>
                <w:color w:val="auto"/>
              </w:rPr>
            </w:pPr>
            <w:r>
              <w:rPr>
                <w:rFonts w:ascii="Arial" w:cs="Arial" w:eastAsia="Arial" w:hAnsi="Arial"/>
                <w:sz w:val="12"/>
                <w:szCs w:val="12"/>
                <w:color w:val="auto"/>
              </w:rPr>
              <w:t>(J)</w:t>
            </w:r>
          </w:p>
        </w:tc>
        <w:tc>
          <w:tcPr>
            <w:tcW w:w="5020" w:type="dxa"/>
            <w:vAlign w:val="bottom"/>
          </w:tcPr>
          <w:p>
            <w:pPr>
              <w:ind w:left="80"/>
              <w:spacing w:after="0"/>
              <w:rPr>
                <w:sz w:val="20"/>
                <w:szCs w:val="20"/>
                <w:color w:val="auto"/>
              </w:rPr>
            </w:pPr>
            <w:r>
              <w:rPr>
                <w:rFonts w:ascii="Arial" w:cs="Arial" w:eastAsia="Arial" w:hAnsi="Arial"/>
                <w:sz w:val="12"/>
                <w:szCs w:val="12"/>
                <w:color w:val="auto"/>
              </w:rPr>
              <w:t>Discrete tax items and the tax impact of intercompany transactions</w:t>
            </w:r>
          </w:p>
        </w:tc>
        <w:tc>
          <w:tcPr>
            <w:tcW w:w="5700" w:type="dxa"/>
            <w:vAlign w:val="bottom"/>
          </w:tcPr>
          <w:p>
            <w:pPr>
              <w:spacing w:after="0"/>
              <w:rPr>
                <w:sz w:val="14"/>
                <w:szCs w:val="14"/>
                <w:color w:val="auto"/>
              </w:rPr>
            </w:pPr>
          </w:p>
        </w:tc>
      </w:tr>
      <w:tr>
        <w:trPr>
          <w:trHeight w:val="130"/>
        </w:trPr>
        <w:tc>
          <w:tcPr>
            <w:tcW w:w="240" w:type="dxa"/>
            <w:vAlign w:val="bottom"/>
          </w:tcPr>
          <w:p>
            <w:pPr>
              <w:spacing w:after="0" w:line="130" w:lineRule="exact"/>
              <w:rPr>
                <w:sz w:val="20"/>
                <w:szCs w:val="20"/>
                <w:color w:val="auto"/>
              </w:rPr>
            </w:pPr>
            <w:r>
              <w:rPr>
                <w:rFonts w:ascii="Arial" w:cs="Arial" w:eastAsia="Arial" w:hAnsi="Arial"/>
                <w:sz w:val="12"/>
                <w:szCs w:val="12"/>
                <w:color w:val="auto"/>
              </w:rPr>
              <w:t>(K)</w:t>
            </w:r>
          </w:p>
        </w:tc>
        <w:tc>
          <w:tcPr>
            <w:tcW w:w="10720" w:type="dxa"/>
            <w:vAlign w:val="bottom"/>
            <w:gridSpan w:val="2"/>
          </w:tcPr>
          <w:p>
            <w:pPr>
              <w:ind w:left="80"/>
              <w:spacing w:after="0" w:line="130" w:lineRule="exact"/>
              <w:rPr>
                <w:sz w:val="20"/>
                <w:szCs w:val="20"/>
                <w:color w:val="auto"/>
              </w:rPr>
            </w:pPr>
            <w:r>
              <w:rPr>
                <w:rFonts w:ascii="Arial" w:cs="Arial" w:eastAsia="Arial" w:hAnsi="Arial"/>
                <w:sz w:val="12"/>
                <w:szCs w:val="12"/>
                <w:color w:val="auto"/>
              </w:rPr>
              <w:t>Non-cash interest expense on the Senior Secured Term Loan and Cash Exchangeable Senior Notes</w:t>
            </w:r>
          </w:p>
        </w:tc>
      </w:tr>
      <w:tr>
        <w:trPr>
          <w:trHeight w:val="245"/>
        </w:trPr>
        <w:tc>
          <w:tcPr>
            <w:tcW w:w="5260" w:type="dxa"/>
            <w:vAlign w:val="bottom"/>
            <w:gridSpan w:val="2"/>
          </w:tcPr>
          <w:p>
            <w:pPr>
              <w:spacing w:after="0"/>
              <w:rPr>
                <w:sz w:val="20"/>
                <w:szCs w:val="20"/>
                <w:color w:val="auto"/>
              </w:rPr>
            </w:pPr>
            <w:r>
              <w:rPr>
                <w:rFonts w:ascii="Arial" w:cs="Arial" w:eastAsia="Arial" w:hAnsi="Arial"/>
                <w:sz w:val="12"/>
                <w:szCs w:val="12"/>
                <w:color w:val="auto"/>
              </w:rPr>
              <w:t>* Numbers may not add precisely due to rounding.</w:t>
            </w:r>
          </w:p>
        </w:tc>
        <w:tc>
          <w:tcPr>
            <w:tcW w:w="5700" w:type="dxa"/>
            <w:vAlign w:val="bottom"/>
          </w:tcPr>
          <w:p>
            <w:pPr>
              <w:jc w:val="right"/>
              <w:ind w:right="5138"/>
              <w:spacing w:after="0"/>
              <w:rPr>
                <w:sz w:val="20"/>
                <w:szCs w:val="20"/>
                <w:color w:val="auto"/>
              </w:rPr>
            </w:pPr>
            <w:r>
              <w:rPr>
                <w:rFonts w:ascii="Arial" w:cs="Arial" w:eastAsia="Arial" w:hAnsi="Arial"/>
                <w:sz w:val="20"/>
                <w:szCs w:val="20"/>
                <w:color w:val="auto"/>
              </w:rPr>
              <w:t>18</w:t>
            </w:r>
          </w:p>
        </w:tc>
      </w:tr>
    </w:tbl>
    <w:p>
      <w:pPr>
        <w:sectPr>
          <w:pgSz w:w="11900" w:h="16838" w:orient="portrait"/>
          <w:cols w:equalWidth="0" w:num="1">
            <w:col w:w="11340"/>
          </w:cols>
          <w:pgMar w:left="320" w:top="763"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420" w:type="dxa"/>
            <w:vAlign w:val="bottom"/>
          </w:tcPr>
          <w:p>
            <w:pPr>
              <w:spacing w:after="0"/>
              <w:rPr>
                <w:sz w:val="20"/>
                <w:szCs w:val="20"/>
                <w:color w:val="auto"/>
              </w:rPr>
            </w:pPr>
            <w:r>
              <w:rPr>
                <w:rFonts w:ascii="Arial" w:cs="Arial" w:eastAsia="Arial" w:hAnsi="Arial"/>
                <w:sz w:val="14"/>
                <w:szCs w:val="14"/>
                <w:b w:val="1"/>
                <w:bCs w:val="1"/>
                <w:color w:val="auto"/>
              </w:rPr>
              <w:t>LIVANOVA PLC AND SUBSIDIARIES</w:t>
            </w:r>
          </w:p>
        </w:tc>
        <w:tc>
          <w:tcPr>
            <w:tcW w:w="2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420" w:type="dxa"/>
            <w:vAlign w:val="bottom"/>
          </w:tcPr>
          <w:p>
            <w:pPr>
              <w:spacing w:after="0"/>
              <w:rPr>
                <w:sz w:val="20"/>
                <w:szCs w:val="20"/>
                <w:color w:val="auto"/>
              </w:rPr>
            </w:pPr>
            <w:r>
              <w:rPr>
                <w:rFonts w:ascii="Arial" w:cs="Arial" w:eastAsia="Arial" w:hAnsi="Arial"/>
                <w:sz w:val="14"/>
                <w:szCs w:val="14"/>
                <w:b w:val="1"/>
                <w:bCs w:val="1"/>
                <w:color w:val="auto"/>
              </w:rPr>
              <w:t>CONDENSED CONSOLIDATED BALANCE SHEETS - UNAUDITED</w:t>
            </w: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42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20" w:type="dxa"/>
            <w:vAlign w:val="bottom"/>
          </w:tcPr>
          <w:p>
            <w:pPr>
              <w:spacing w:after="0"/>
              <w:rPr>
                <w:sz w:val="17"/>
                <w:szCs w:val="17"/>
                <w:color w:val="auto"/>
              </w:rPr>
            </w:pPr>
          </w:p>
        </w:tc>
        <w:tc>
          <w:tcPr>
            <w:tcW w:w="2440" w:type="dxa"/>
            <w:vAlign w:val="bottom"/>
            <w:gridSpan w:val="2"/>
          </w:tcPr>
          <w:p>
            <w:pPr>
              <w:ind w:left="560"/>
              <w:spacing w:after="0"/>
              <w:rPr>
                <w:sz w:val="20"/>
                <w:szCs w:val="20"/>
                <w:color w:val="auto"/>
              </w:rPr>
            </w:pPr>
            <w:r>
              <w:rPr>
                <w:rFonts w:ascii="Arial" w:cs="Arial" w:eastAsia="Arial" w:hAnsi="Arial"/>
                <w:sz w:val="14"/>
                <w:szCs w:val="14"/>
                <w:b w:val="1"/>
                <w:bCs w:val="1"/>
                <w:color w:val="auto"/>
              </w:rPr>
              <w:t>December 31, 2022</w:t>
            </w:r>
          </w:p>
        </w:tc>
        <w:tc>
          <w:tcPr>
            <w:tcW w:w="2340" w:type="dxa"/>
            <w:vAlign w:val="bottom"/>
          </w:tcPr>
          <w:p>
            <w:pPr>
              <w:jc w:val="right"/>
              <w:ind w:right="492"/>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68"/>
        </w:trPr>
        <w:tc>
          <w:tcPr>
            <w:tcW w:w="642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420" w:type="dxa"/>
            <w:vAlign w:val="bottom"/>
          </w:tcPr>
          <w:p>
            <w:pPr>
              <w:spacing w:after="0"/>
              <w:rPr>
                <w:sz w:val="20"/>
                <w:szCs w:val="20"/>
                <w:color w:val="auto"/>
              </w:rPr>
            </w:pPr>
            <w:r>
              <w:rPr>
                <w:rFonts w:ascii="Arial" w:cs="Arial" w:eastAsia="Arial" w:hAnsi="Arial"/>
                <w:sz w:val="14"/>
                <w:szCs w:val="14"/>
                <w:i w:val="1"/>
                <w:iCs w:val="1"/>
                <w:color w:val="auto"/>
              </w:rPr>
              <w:t>Current Assets:</w:t>
            </w: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Cash and cash equivalents</w:t>
            </w:r>
          </w:p>
        </w:tc>
        <w:tc>
          <w:tcPr>
            <w:tcW w:w="2340" w:type="dxa"/>
            <w:vAlign w:val="bottom"/>
          </w:tcPr>
          <w:p>
            <w:pPr>
              <w:jc w:val="right"/>
              <w:spacing w:after="0"/>
              <w:rPr>
                <w:sz w:val="20"/>
                <w:szCs w:val="20"/>
                <w:color w:val="auto"/>
              </w:rPr>
            </w:pPr>
            <w:r>
              <w:rPr>
                <w:rFonts w:ascii="Arial" w:cs="Arial" w:eastAsia="Arial" w:hAnsi="Arial"/>
                <w:sz w:val="14"/>
                <w:szCs w:val="14"/>
                <w:color w:val="auto"/>
              </w:rPr>
              <w:t>$214.2</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$208.0</w:t>
            </w: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Restricted cash</w:t>
            </w:r>
          </w:p>
        </w:tc>
        <w:tc>
          <w:tcPr>
            <w:tcW w:w="2340" w:type="dxa"/>
            <w:vAlign w:val="bottom"/>
          </w:tcPr>
          <w:p>
            <w:pPr>
              <w:jc w:val="right"/>
              <w:spacing w:after="0"/>
              <w:rPr>
                <w:sz w:val="20"/>
                <w:szCs w:val="20"/>
                <w:color w:val="auto"/>
              </w:rPr>
            </w:pPr>
            <w:r>
              <w:rPr>
                <w:rFonts w:ascii="Arial" w:cs="Arial" w:eastAsia="Arial" w:hAnsi="Arial"/>
                <w:sz w:val="14"/>
                <w:szCs w:val="14"/>
                <w:color w:val="auto"/>
              </w:rPr>
              <w:t>301.4</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Accounts receivable, net of allowance</w:t>
            </w:r>
          </w:p>
        </w:tc>
        <w:tc>
          <w:tcPr>
            <w:tcW w:w="2340" w:type="dxa"/>
            <w:vAlign w:val="bottom"/>
          </w:tcPr>
          <w:p>
            <w:pPr>
              <w:jc w:val="right"/>
              <w:spacing w:after="0"/>
              <w:rPr>
                <w:sz w:val="20"/>
                <w:szCs w:val="20"/>
                <w:color w:val="auto"/>
              </w:rPr>
            </w:pPr>
            <w:r>
              <w:rPr>
                <w:rFonts w:ascii="Arial" w:cs="Arial" w:eastAsia="Arial" w:hAnsi="Arial"/>
                <w:sz w:val="14"/>
                <w:szCs w:val="14"/>
                <w:color w:val="auto"/>
              </w:rPr>
              <w:t>183.1</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185.4</w:t>
            </w: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Inventories</w:t>
            </w:r>
          </w:p>
        </w:tc>
        <w:tc>
          <w:tcPr>
            <w:tcW w:w="2340" w:type="dxa"/>
            <w:vAlign w:val="bottom"/>
          </w:tcPr>
          <w:p>
            <w:pPr>
              <w:jc w:val="right"/>
              <w:spacing w:after="0"/>
              <w:rPr>
                <w:sz w:val="20"/>
                <w:szCs w:val="20"/>
                <w:color w:val="auto"/>
              </w:rPr>
            </w:pPr>
            <w:r>
              <w:rPr>
                <w:rFonts w:ascii="Arial" w:cs="Arial" w:eastAsia="Arial" w:hAnsi="Arial"/>
                <w:sz w:val="14"/>
                <w:szCs w:val="14"/>
                <w:color w:val="auto"/>
              </w:rPr>
              <w:t>129.4</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Prepaid and refundable taxes</w:t>
            </w:r>
          </w:p>
        </w:tc>
        <w:tc>
          <w:tcPr>
            <w:tcW w:w="2340" w:type="dxa"/>
            <w:vAlign w:val="bottom"/>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Current derivative assets</w:t>
            </w:r>
          </w:p>
        </w:tc>
        <w:tc>
          <w:tcPr>
            <w:tcW w:w="23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106.6</w:t>
            </w:r>
          </w:p>
        </w:tc>
        <w:tc>
          <w:tcPr>
            <w:tcW w:w="0" w:type="dxa"/>
            <w:vAlign w:val="bottom"/>
          </w:tcPr>
          <w:p>
            <w:pPr>
              <w:spacing w:after="0"/>
              <w:rPr>
                <w:sz w:val="1"/>
                <w:szCs w:val="1"/>
                <w:color w:val="auto"/>
              </w:rPr>
            </w:pPr>
          </w:p>
        </w:tc>
      </w:tr>
      <w:tr>
        <w:trPr>
          <w:trHeight w:val="197"/>
        </w:trPr>
        <w:tc>
          <w:tcPr>
            <w:tcW w:w="642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7"/>
                <w:szCs w:val="17"/>
                <w:color w:val="auto"/>
              </w:rPr>
            </w:pPr>
          </w:p>
        </w:tc>
        <w:tc>
          <w:tcPr>
            <w:tcW w:w="23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85"/>
        </w:trPr>
        <w:tc>
          <w:tcPr>
            <w:tcW w:w="6420" w:type="dxa"/>
            <w:vAlign w:val="bottom"/>
          </w:tcPr>
          <w:p>
            <w:pPr>
              <w:spacing w:after="0"/>
              <w:rPr>
                <w:sz w:val="20"/>
                <w:szCs w:val="20"/>
                <w:color w:val="auto"/>
              </w:rPr>
            </w:pPr>
            <w:r>
              <w:rPr>
                <w:rFonts w:ascii="Arial" w:cs="Arial" w:eastAsia="Arial" w:hAnsi="Arial"/>
                <w:sz w:val="14"/>
                <w:szCs w:val="14"/>
                <w:color w:val="auto"/>
              </w:rPr>
              <w:t>Total Current Assets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886.1</w:t>
            </w:r>
          </w:p>
        </w:tc>
        <w:tc>
          <w:tcPr>
            <w:tcW w:w="100" w:type="dxa"/>
            <w:vAlign w:val="bottom"/>
          </w:tcPr>
          <w:p>
            <w:pPr>
              <w:spacing w:after="0"/>
              <w:rPr>
                <w:sz w:val="16"/>
                <w:szCs w:val="16"/>
                <w:color w:val="auto"/>
              </w:rPr>
            </w:pPr>
          </w:p>
        </w:tc>
        <w:tc>
          <w:tcPr>
            <w:tcW w:w="23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679.2</w:t>
            </w:r>
          </w:p>
        </w:tc>
        <w:tc>
          <w:tcPr>
            <w:tcW w:w="0" w:type="dxa"/>
            <w:vAlign w:val="bottom"/>
          </w:tcPr>
          <w:p>
            <w:pPr>
              <w:spacing w:after="0"/>
              <w:rPr>
                <w:sz w:val="1"/>
                <w:szCs w:val="1"/>
                <w:color w:val="auto"/>
              </w:rPr>
            </w:pPr>
          </w:p>
        </w:tc>
      </w:tr>
      <w:tr>
        <w:trPr>
          <w:trHeight w:val="179"/>
        </w:trPr>
        <w:tc>
          <w:tcPr>
            <w:tcW w:w="6420" w:type="dxa"/>
            <w:vAlign w:val="bottom"/>
          </w:tcPr>
          <w:p>
            <w:pPr>
              <w:ind w:left="200"/>
              <w:spacing w:after="0"/>
              <w:rPr>
                <w:sz w:val="20"/>
                <w:szCs w:val="20"/>
                <w:color w:val="auto"/>
              </w:rPr>
            </w:pPr>
            <w:r>
              <w:rPr>
                <w:rFonts w:ascii="Arial" w:cs="Arial" w:eastAsia="Arial" w:hAnsi="Arial"/>
                <w:sz w:val="14"/>
                <w:szCs w:val="14"/>
                <w:color w:val="auto"/>
              </w:rPr>
              <w:t>Property, plant and equipment, net</w:t>
            </w:r>
          </w:p>
        </w:tc>
        <w:tc>
          <w:tcPr>
            <w:tcW w:w="2340" w:type="dxa"/>
            <w:vAlign w:val="bottom"/>
          </w:tcPr>
          <w:p>
            <w:pPr>
              <w:jc w:val="right"/>
              <w:spacing w:after="0"/>
              <w:rPr>
                <w:sz w:val="20"/>
                <w:szCs w:val="20"/>
                <w:color w:val="auto"/>
              </w:rPr>
            </w:pPr>
            <w:r>
              <w:rPr>
                <w:rFonts w:ascii="Arial" w:cs="Arial" w:eastAsia="Arial" w:hAnsi="Arial"/>
                <w:sz w:val="14"/>
                <w:szCs w:val="14"/>
                <w:color w:val="auto"/>
              </w:rPr>
              <w:t>147.2</w:t>
            </w:r>
          </w:p>
        </w:tc>
        <w:tc>
          <w:tcPr>
            <w:tcW w:w="100" w:type="dxa"/>
            <w:vAlign w:val="bottom"/>
          </w:tcPr>
          <w:p>
            <w:pPr>
              <w:spacing w:after="0"/>
              <w:rPr>
                <w:sz w:val="15"/>
                <w:szCs w:val="15"/>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Goodwill</w:t>
            </w:r>
          </w:p>
        </w:tc>
        <w:tc>
          <w:tcPr>
            <w:tcW w:w="2340" w:type="dxa"/>
            <w:vAlign w:val="bottom"/>
          </w:tcPr>
          <w:p>
            <w:pPr>
              <w:jc w:val="right"/>
              <w:spacing w:after="0"/>
              <w:rPr>
                <w:sz w:val="20"/>
                <w:szCs w:val="20"/>
                <w:color w:val="auto"/>
              </w:rPr>
            </w:pPr>
            <w:r>
              <w:rPr>
                <w:rFonts w:ascii="Arial" w:cs="Arial" w:eastAsia="Arial" w:hAnsi="Arial"/>
                <w:sz w:val="14"/>
                <w:szCs w:val="14"/>
                <w:color w:val="auto"/>
              </w:rPr>
              <w:t>768.8</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899.5</w:t>
            </w: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Intangible assets, net</w:t>
            </w:r>
          </w:p>
        </w:tc>
        <w:tc>
          <w:tcPr>
            <w:tcW w:w="2340" w:type="dxa"/>
            <w:vAlign w:val="bottom"/>
          </w:tcPr>
          <w:p>
            <w:pPr>
              <w:jc w:val="right"/>
              <w:spacing w:after="0"/>
              <w:rPr>
                <w:sz w:val="20"/>
                <w:szCs w:val="20"/>
                <w:color w:val="auto"/>
              </w:rPr>
            </w:pPr>
            <w:r>
              <w:rPr>
                <w:rFonts w:ascii="Arial" w:cs="Arial" w:eastAsia="Arial" w:hAnsi="Arial"/>
                <w:sz w:val="14"/>
                <w:szCs w:val="14"/>
                <w:color w:val="auto"/>
              </w:rPr>
              <w:t>368.6</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399.7</w:t>
            </w: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Operating lease assets</w:t>
            </w:r>
          </w:p>
        </w:tc>
        <w:tc>
          <w:tcPr>
            <w:tcW w:w="2340" w:type="dxa"/>
            <w:vAlign w:val="bottom"/>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Investments</w:t>
            </w:r>
          </w:p>
        </w:tc>
        <w:tc>
          <w:tcPr>
            <w:tcW w:w="234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Deferred tax assets</w:t>
            </w:r>
          </w:p>
        </w:tc>
        <w:tc>
          <w:tcPr>
            <w:tcW w:w="23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Long-term derivative assets</w:t>
            </w:r>
          </w:p>
        </w:tc>
        <w:tc>
          <w:tcPr>
            <w:tcW w:w="2340" w:type="dxa"/>
            <w:vAlign w:val="bottom"/>
          </w:tcPr>
          <w:p>
            <w:pPr>
              <w:jc w:val="right"/>
              <w:spacing w:after="0"/>
              <w:rPr>
                <w:sz w:val="20"/>
                <w:szCs w:val="20"/>
                <w:color w:val="auto"/>
              </w:rPr>
            </w:pPr>
            <w:r>
              <w:rPr>
                <w:rFonts w:ascii="Arial" w:cs="Arial" w:eastAsia="Arial" w:hAnsi="Arial"/>
                <w:sz w:val="14"/>
                <w:szCs w:val="14"/>
                <w:color w:val="auto"/>
              </w:rPr>
              <w:t>54.4</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6420" w:type="dxa"/>
            <w:vAlign w:val="bottom"/>
          </w:tcPr>
          <w:p>
            <w:pPr>
              <w:ind w:left="200"/>
              <w:spacing w:after="0"/>
              <w:rPr>
                <w:sz w:val="20"/>
                <w:szCs w:val="20"/>
                <w:color w:val="auto"/>
              </w:rPr>
            </w:pPr>
            <w:r>
              <w:rPr>
                <w:rFonts w:ascii="Arial" w:cs="Arial" w:eastAsia="Arial" w:hAnsi="Arial"/>
                <w:sz w:val="14"/>
                <w:szCs w:val="14"/>
                <w:color w:val="auto"/>
              </w:rPr>
              <w:t>Other assets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7"/>
                <w:szCs w:val="17"/>
                <w:color w:val="auto"/>
              </w:rPr>
            </w:pPr>
          </w:p>
        </w:tc>
        <w:tc>
          <w:tcPr>
            <w:tcW w:w="23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90"/>
        </w:trPr>
        <w:tc>
          <w:tcPr>
            <w:tcW w:w="6420" w:type="dxa"/>
            <w:vAlign w:val="bottom"/>
          </w:tcPr>
          <w:p>
            <w:pPr>
              <w:spacing w:after="0"/>
              <w:rPr>
                <w:sz w:val="20"/>
                <w:szCs w:val="20"/>
                <w:color w:val="auto"/>
              </w:rPr>
            </w:pPr>
            <w:r>
              <w:rPr>
                <w:rFonts w:ascii="Arial" w:cs="Arial" w:eastAsia="Arial" w:hAnsi="Arial"/>
                <w:sz w:val="14"/>
                <w:szCs w:val="14"/>
                <w:color w:val="auto"/>
              </w:rPr>
              <w:t>Total Assets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$2,294.8</w:t>
            </w:r>
          </w:p>
        </w:tc>
        <w:tc>
          <w:tcPr>
            <w:tcW w:w="100" w:type="dxa"/>
            <w:vAlign w:val="bottom"/>
          </w:tcPr>
          <w:p>
            <w:pPr>
              <w:spacing w:after="0"/>
              <w:rPr>
                <w:sz w:val="16"/>
                <w:szCs w:val="16"/>
                <w:color w:val="auto"/>
              </w:rPr>
            </w:pPr>
          </w:p>
        </w:tc>
        <w:tc>
          <w:tcPr>
            <w:tcW w:w="23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$2,201.0</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20" w:type="dxa"/>
            <w:vAlign w:val="bottom"/>
            <w:vMerge w:val="continue"/>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20" w:type="dxa"/>
            <w:vAlign w:val="bottom"/>
          </w:tcPr>
          <w:p>
            <w:pPr>
              <w:spacing w:after="0"/>
              <w:rPr>
                <w:sz w:val="20"/>
                <w:szCs w:val="20"/>
                <w:color w:val="auto"/>
              </w:rPr>
            </w:pPr>
            <w:r>
              <w:rPr>
                <w:rFonts w:ascii="Arial" w:cs="Arial" w:eastAsia="Arial" w:hAnsi="Arial"/>
                <w:sz w:val="14"/>
                <w:szCs w:val="14"/>
                <w:i w:val="1"/>
                <w:iCs w:val="1"/>
                <w:color w:val="auto"/>
              </w:rPr>
              <w:t>Current Liabilities:</w:t>
            </w:r>
          </w:p>
        </w:tc>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Current debt obligations</w:t>
            </w:r>
          </w:p>
        </w:tc>
        <w:tc>
          <w:tcPr>
            <w:tcW w:w="2340" w:type="dxa"/>
            <w:vAlign w:val="bottom"/>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$229.7</w:t>
            </w: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2340" w:type="dxa"/>
            <w:vAlign w:val="bottom"/>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Accrued liabilities and other</w:t>
            </w:r>
          </w:p>
        </w:tc>
        <w:tc>
          <w:tcPr>
            <w:tcW w:w="2340" w:type="dxa"/>
            <w:vAlign w:val="bottom"/>
          </w:tcPr>
          <w:p>
            <w:pPr>
              <w:jc w:val="right"/>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Current derivative liabilities</w:t>
            </w:r>
          </w:p>
        </w:tc>
        <w:tc>
          <w:tcPr>
            <w:tcW w:w="234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183.1</w:t>
            </w: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Current litigation provision liability</w:t>
            </w:r>
          </w:p>
        </w:tc>
        <w:tc>
          <w:tcPr>
            <w:tcW w:w="234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Taxes payable</w:t>
            </w:r>
          </w:p>
        </w:tc>
        <w:tc>
          <w:tcPr>
            <w:tcW w:w="234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97"/>
        </w:trPr>
        <w:tc>
          <w:tcPr>
            <w:tcW w:w="6420" w:type="dxa"/>
            <w:vAlign w:val="bottom"/>
          </w:tcPr>
          <w:p>
            <w:pPr>
              <w:ind w:left="200"/>
              <w:spacing w:after="0"/>
              <w:rPr>
                <w:sz w:val="20"/>
                <w:szCs w:val="20"/>
                <w:color w:val="auto"/>
              </w:rPr>
            </w:pPr>
            <w:r>
              <w:rPr>
                <w:rFonts w:ascii="Arial" w:cs="Arial" w:eastAsia="Arial" w:hAnsi="Arial"/>
                <w:sz w:val="14"/>
                <w:szCs w:val="14"/>
                <w:color w:val="auto"/>
              </w:rPr>
              <w:t>Accrued employee compensation and related benefits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w:t>
            </w:r>
          </w:p>
        </w:tc>
        <w:tc>
          <w:tcPr>
            <w:tcW w:w="100" w:type="dxa"/>
            <w:vAlign w:val="bottom"/>
          </w:tcPr>
          <w:p>
            <w:pPr>
              <w:spacing w:after="0"/>
              <w:rPr>
                <w:sz w:val="17"/>
                <w:szCs w:val="17"/>
                <w:color w:val="auto"/>
              </w:rPr>
            </w:pPr>
          </w:p>
        </w:tc>
        <w:tc>
          <w:tcPr>
            <w:tcW w:w="23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185"/>
        </w:trPr>
        <w:tc>
          <w:tcPr>
            <w:tcW w:w="642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297.4</w:t>
            </w:r>
          </w:p>
        </w:tc>
        <w:tc>
          <w:tcPr>
            <w:tcW w:w="100" w:type="dxa"/>
            <w:vAlign w:val="bottom"/>
          </w:tcPr>
          <w:p>
            <w:pPr>
              <w:spacing w:after="0"/>
              <w:rPr>
                <w:sz w:val="16"/>
                <w:szCs w:val="16"/>
                <w:color w:val="auto"/>
              </w:rPr>
            </w:pPr>
          </w:p>
        </w:tc>
        <w:tc>
          <w:tcPr>
            <w:tcW w:w="23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697.0</w:t>
            </w:r>
          </w:p>
        </w:tc>
        <w:tc>
          <w:tcPr>
            <w:tcW w:w="0" w:type="dxa"/>
            <w:vAlign w:val="bottom"/>
          </w:tcPr>
          <w:p>
            <w:pPr>
              <w:spacing w:after="0"/>
              <w:rPr>
                <w:sz w:val="1"/>
                <w:szCs w:val="1"/>
                <w:color w:val="auto"/>
              </w:rPr>
            </w:pPr>
          </w:p>
        </w:tc>
      </w:tr>
      <w:tr>
        <w:trPr>
          <w:trHeight w:val="179"/>
        </w:trPr>
        <w:tc>
          <w:tcPr>
            <w:tcW w:w="6420" w:type="dxa"/>
            <w:vAlign w:val="bottom"/>
          </w:tcPr>
          <w:p>
            <w:pPr>
              <w:ind w:left="200"/>
              <w:spacing w:after="0"/>
              <w:rPr>
                <w:sz w:val="20"/>
                <w:szCs w:val="20"/>
                <w:color w:val="auto"/>
              </w:rPr>
            </w:pPr>
            <w:r>
              <w:rPr>
                <w:rFonts w:ascii="Arial" w:cs="Arial" w:eastAsia="Arial" w:hAnsi="Arial"/>
                <w:sz w:val="14"/>
                <w:szCs w:val="14"/>
                <w:color w:val="auto"/>
              </w:rPr>
              <w:t>Long-term debt obligations</w:t>
            </w:r>
          </w:p>
        </w:tc>
        <w:tc>
          <w:tcPr>
            <w:tcW w:w="2340" w:type="dxa"/>
            <w:vAlign w:val="bottom"/>
          </w:tcPr>
          <w:p>
            <w:pPr>
              <w:jc w:val="right"/>
              <w:spacing w:after="0"/>
              <w:rPr>
                <w:sz w:val="20"/>
                <w:szCs w:val="20"/>
                <w:color w:val="auto"/>
              </w:rPr>
            </w:pPr>
            <w:r>
              <w:rPr>
                <w:rFonts w:ascii="Arial" w:cs="Arial" w:eastAsia="Arial" w:hAnsi="Arial"/>
                <w:sz w:val="14"/>
                <w:szCs w:val="14"/>
                <w:color w:val="auto"/>
              </w:rPr>
              <w:t>518.1</w:t>
            </w:r>
          </w:p>
        </w:tc>
        <w:tc>
          <w:tcPr>
            <w:tcW w:w="100" w:type="dxa"/>
            <w:vAlign w:val="bottom"/>
          </w:tcPr>
          <w:p>
            <w:pPr>
              <w:spacing w:after="0"/>
              <w:rPr>
                <w:sz w:val="15"/>
                <w:szCs w:val="15"/>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Contingent consideration</w:t>
            </w:r>
          </w:p>
        </w:tc>
        <w:tc>
          <w:tcPr>
            <w:tcW w:w="2340" w:type="dxa"/>
            <w:vAlign w:val="bottom"/>
          </w:tcPr>
          <w:p>
            <w:pPr>
              <w:jc w:val="right"/>
              <w:spacing w:after="0"/>
              <w:rPr>
                <w:sz w:val="20"/>
                <w:szCs w:val="20"/>
                <w:color w:val="auto"/>
              </w:rPr>
            </w:pPr>
            <w:r>
              <w:rPr>
                <w:rFonts w:ascii="Arial" w:cs="Arial" w:eastAsia="Arial" w:hAnsi="Arial"/>
                <w:sz w:val="14"/>
                <w:szCs w:val="14"/>
                <w:color w:val="auto"/>
              </w:rPr>
              <w:t>85.3</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Deferred tax liabilities</w:t>
            </w:r>
          </w:p>
        </w:tc>
        <w:tc>
          <w:tcPr>
            <w:tcW w:w="234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Long-term operating lease liabilities</w:t>
            </w:r>
          </w:p>
        </w:tc>
        <w:tc>
          <w:tcPr>
            <w:tcW w:w="234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Long-term employee compensation and related benefits</w:t>
            </w:r>
          </w:p>
        </w:tc>
        <w:tc>
          <w:tcPr>
            <w:tcW w:w="234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92"/>
        </w:trPr>
        <w:tc>
          <w:tcPr>
            <w:tcW w:w="6420" w:type="dxa"/>
            <w:vAlign w:val="bottom"/>
          </w:tcPr>
          <w:p>
            <w:pPr>
              <w:ind w:left="200"/>
              <w:spacing w:after="0"/>
              <w:rPr>
                <w:sz w:val="20"/>
                <w:szCs w:val="20"/>
                <w:color w:val="auto"/>
              </w:rPr>
            </w:pPr>
            <w:r>
              <w:rPr>
                <w:rFonts w:ascii="Arial" w:cs="Arial" w:eastAsia="Arial" w:hAnsi="Arial"/>
                <w:sz w:val="14"/>
                <w:szCs w:val="14"/>
                <w:color w:val="auto"/>
              </w:rPr>
              <w:t>Long-term derivative liabilities</w:t>
            </w:r>
          </w:p>
        </w:tc>
        <w:tc>
          <w:tcPr>
            <w:tcW w:w="2340" w:type="dxa"/>
            <w:vAlign w:val="bottom"/>
          </w:tcPr>
          <w:p>
            <w:pPr>
              <w:jc w:val="right"/>
              <w:spacing w:after="0"/>
              <w:rPr>
                <w:sz w:val="20"/>
                <w:szCs w:val="20"/>
                <w:color w:val="auto"/>
              </w:rPr>
            </w:pPr>
            <w:r>
              <w:rPr>
                <w:rFonts w:ascii="Arial" w:cs="Arial" w:eastAsia="Arial" w:hAnsi="Arial"/>
                <w:sz w:val="14"/>
                <w:szCs w:val="14"/>
                <w:color w:val="auto"/>
              </w:rPr>
              <w:t>85.7</w:t>
            </w:r>
          </w:p>
        </w:tc>
        <w:tc>
          <w:tcPr>
            <w:tcW w:w="100" w:type="dxa"/>
            <w:vAlign w:val="bottom"/>
          </w:tcPr>
          <w:p>
            <w:pPr>
              <w:spacing w:after="0"/>
              <w:rPr>
                <w:sz w:val="16"/>
                <w:szCs w:val="16"/>
                <w:color w:val="auto"/>
              </w:rPr>
            </w:pPr>
          </w:p>
        </w:tc>
        <w:tc>
          <w:tcPr>
            <w:tcW w:w="23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6420" w:type="dxa"/>
            <w:vAlign w:val="bottom"/>
          </w:tcPr>
          <w:p>
            <w:pPr>
              <w:ind w:left="200"/>
              <w:spacing w:after="0"/>
              <w:rPr>
                <w:sz w:val="20"/>
                <w:szCs w:val="20"/>
                <w:color w:val="auto"/>
              </w:rPr>
            </w:pPr>
            <w:r>
              <w:rPr>
                <w:rFonts w:ascii="Arial" w:cs="Arial" w:eastAsia="Arial" w:hAnsi="Arial"/>
                <w:sz w:val="14"/>
                <w:szCs w:val="14"/>
                <w:color w:val="auto"/>
              </w:rPr>
              <w:t>Other long-term liabilities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17"/>
                <w:szCs w:val="17"/>
                <w:color w:val="auto"/>
              </w:rPr>
            </w:pPr>
          </w:p>
        </w:tc>
        <w:tc>
          <w:tcPr>
            <w:tcW w:w="23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85"/>
        </w:trPr>
        <w:tc>
          <w:tcPr>
            <w:tcW w:w="6420" w:type="dxa"/>
            <w:vAlign w:val="bottom"/>
          </w:tcPr>
          <w:p>
            <w:pPr>
              <w:spacing w:after="0"/>
              <w:rPr>
                <w:sz w:val="20"/>
                <w:szCs w:val="20"/>
                <w:color w:val="auto"/>
              </w:rPr>
            </w:pPr>
            <w:r>
              <w:rPr>
                <w:rFonts w:ascii="Arial" w:cs="Arial" w:eastAsia="Arial" w:hAnsi="Arial"/>
                <w:sz w:val="14"/>
                <w:szCs w:val="14"/>
                <w:color w:val="auto"/>
              </w:rPr>
              <w:t>Total Liabilities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1,087.1</w:t>
            </w:r>
          </w:p>
        </w:tc>
        <w:tc>
          <w:tcPr>
            <w:tcW w:w="100" w:type="dxa"/>
            <w:vAlign w:val="bottom"/>
          </w:tcPr>
          <w:p>
            <w:pPr>
              <w:spacing w:after="0"/>
              <w:rPr>
                <w:sz w:val="16"/>
                <w:szCs w:val="16"/>
                <w:color w:val="auto"/>
              </w:rPr>
            </w:pPr>
          </w:p>
        </w:tc>
        <w:tc>
          <w:tcPr>
            <w:tcW w:w="23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906.3</w:t>
            </w:r>
          </w:p>
        </w:tc>
        <w:tc>
          <w:tcPr>
            <w:tcW w:w="0" w:type="dxa"/>
            <w:vAlign w:val="bottom"/>
          </w:tcPr>
          <w:p>
            <w:pPr>
              <w:spacing w:after="0"/>
              <w:rPr>
                <w:sz w:val="1"/>
                <w:szCs w:val="1"/>
                <w:color w:val="auto"/>
              </w:rPr>
            </w:pPr>
          </w:p>
        </w:tc>
      </w:tr>
      <w:tr>
        <w:trPr>
          <w:trHeight w:val="185"/>
        </w:trPr>
        <w:tc>
          <w:tcPr>
            <w:tcW w:w="642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1,207.6</w:t>
            </w:r>
          </w:p>
        </w:tc>
        <w:tc>
          <w:tcPr>
            <w:tcW w:w="100" w:type="dxa"/>
            <w:vAlign w:val="bottom"/>
          </w:tcPr>
          <w:p>
            <w:pPr>
              <w:spacing w:after="0"/>
              <w:rPr>
                <w:sz w:val="16"/>
                <w:szCs w:val="16"/>
                <w:color w:val="auto"/>
              </w:rPr>
            </w:pPr>
          </w:p>
        </w:tc>
        <w:tc>
          <w:tcPr>
            <w:tcW w:w="23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1,294.6</w:t>
            </w:r>
          </w:p>
        </w:tc>
        <w:tc>
          <w:tcPr>
            <w:tcW w:w="0" w:type="dxa"/>
            <w:vAlign w:val="bottom"/>
          </w:tcPr>
          <w:p>
            <w:pPr>
              <w:spacing w:after="0"/>
              <w:rPr>
                <w:sz w:val="1"/>
                <w:szCs w:val="1"/>
                <w:color w:val="auto"/>
              </w:rPr>
            </w:pPr>
          </w:p>
        </w:tc>
      </w:tr>
      <w:tr>
        <w:trPr>
          <w:trHeight w:val="190"/>
        </w:trPr>
        <w:tc>
          <w:tcPr>
            <w:tcW w:w="642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$2,294.8</w:t>
            </w:r>
          </w:p>
        </w:tc>
        <w:tc>
          <w:tcPr>
            <w:tcW w:w="100" w:type="dxa"/>
            <w:vAlign w:val="bottom"/>
          </w:tcPr>
          <w:p>
            <w:pPr>
              <w:spacing w:after="0"/>
              <w:rPr>
                <w:sz w:val="16"/>
                <w:szCs w:val="16"/>
                <w:color w:val="auto"/>
              </w:rPr>
            </w:pPr>
          </w:p>
        </w:tc>
        <w:tc>
          <w:tcPr>
            <w:tcW w:w="23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$2,201.0</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 Numbers may not add precisely due to rounding.</w:t>
      </w: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00"/>
          </w:cols>
          <w:pgMar w:left="360" w:top="1394"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color w:val="auto"/>
        </w:rPr>
        <w:t>LIVANOVA PLC AND SUBSIDIARIES</w:t>
      </w:r>
    </w:p>
    <w:p>
      <w:pPr>
        <w:spacing w:after="0" w:line="30" w:lineRule="exact"/>
        <w:rPr>
          <w:sz w:val="20"/>
          <w:szCs w:val="20"/>
          <w:color w:val="auto"/>
        </w:rPr>
      </w:pPr>
    </w:p>
    <w:p>
      <w:pPr>
        <w:ind w:right="1920"/>
        <w:spacing w:after="0" w:line="330" w:lineRule="auto"/>
        <w:rPr>
          <w:sz w:val="20"/>
          <w:szCs w:val="20"/>
          <w:color w:val="auto"/>
        </w:rPr>
      </w:pPr>
      <w:r>
        <w:rPr>
          <w:rFonts w:ascii="Arial" w:cs="Arial" w:eastAsia="Arial" w:hAnsi="Arial"/>
          <w:sz w:val="13"/>
          <w:szCs w:val="13"/>
          <w:b w:val="1"/>
          <w:bCs w:val="1"/>
          <w:color w:val="auto"/>
        </w:rPr>
        <w:t>CONDENSED CONSOLIDATED STATEMENTS OF CASH FLOWS - UNAUDITED (U.S. dollars in millions)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Operating Activities: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Net loss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Non-cash items included in net loss: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Impairment of goodwill</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Stock-based compensation</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Remeasurement of derivative instruments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Remeasurement of contingent consideration to fair value</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Amortization</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Depreciation</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Amortization of debt issuance costs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Amortization of operating lease assets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Deferred tax expense</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Loss on debt extinguishment</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Impairment of disposal group and loss on sale</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Other</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Changes in operating assets and liabilities:</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Accounts receivable, net</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Inventories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Other current and non-current assets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Accounts payable and accrued current and non-current liabilities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Taxes payable</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Litigation provision liability</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Net cash provided by operating activities</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Investing Activities:</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Purchases of property, plant and equipment</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Acquisitions, net of cash acquired</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Purchase of investments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Proceeds from sale of Heart Valves, net of cash disposed</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Proceeds from sale of Respicardia investment and loan</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Other</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Net cash (used in) provided by investing activities</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Financing Activities: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Proceeds from long-term debt obligations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Repayment of long-term debt obligations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Shares repurchased from employees for minimum tax withholding</w:t>
      </w:r>
    </w:p>
    <w:p>
      <w:pPr>
        <w:spacing w:after="0" w:line="30" w:lineRule="exact"/>
        <w:rPr>
          <w:sz w:val="20"/>
          <w:szCs w:val="20"/>
          <w:color w:val="auto"/>
        </w:rPr>
      </w:pPr>
    </w:p>
    <w:p>
      <w:pPr>
        <w:ind w:left="100" w:right="900"/>
        <w:spacing w:after="0" w:line="287" w:lineRule="auto"/>
        <w:rPr>
          <w:sz w:val="20"/>
          <w:szCs w:val="20"/>
          <w:color w:val="auto"/>
        </w:rPr>
      </w:pPr>
      <w:r>
        <w:rPr>
          <w:rFonts w:ascii="Arial" w:cs="Arial" w:eastAsia="Arial" w:hAnsi="Arial"/>
          <w:sz w:val="13"/>
          <w:szCs w:val="13"/>
          <w:color w:val="auto"/>
        </w:rPr>
        <w:t>Proceeds from deferred consideration from sale of Heart Valves, net of working capital adjustments Debt issuance costs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Proceeds from issuance of ordinary shares, net</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Payment of make-whole premium on long-term debt obligations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Payment of contingent consideration</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Other</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Net cash provided by (used in) financing activities</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Effect of exchange rate changes on cash, cash equivalents and restricted cash</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Net increase (decrease) in cash, cash equivalents and restricted cash</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660" w:type="dxa"/>
            <w:vAlign w:val="bottom"/>
          </w:tcPr>
          <w:p>
            <w:pPr>
              <w:spacing w:after="0"/>
              <w:rPr>
                <w:sz w:val="20"/>
                <w:szCs w:val="20"/>
                <w:color w:val="auto"/>
              </w:rPr>
            </w:pPr>
            <w:r>
              <w:rPr>
                <w:rFonts w:ascii="Arial" w:cs="Arial" w:eastAsia="Arial" w:hAnsi="Arial"/>
                <w:sz w:val="13"/>
                <w:szCs w:val="13"/>
                <w:color w:val="auto"/>
              </w:rPr>
              <w:t>Cash, cash equivalents and restricted cash at beginning of period</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660" w:type="dxa"/>
            <w:vAlign w:val="bottom"/>
          </w:tcPr>
          <w:p>
            <w:pPr>
              <w:spacing w:after="0"/>
              <w:rPr>
                <w:sz w:val="20"/>
                <w:szCs w:val="20"/>
                <w:color w:val="auto"/>
              </w:rPr>
            </w:pPr>
            <w:r>
              <w:rPr>
                <w:rFonts w:ascii="Arial" w:cs="Arial" w:eastAsia="Arial" w:hAnsi="Arial"/>
                <w:sz w:val="13"/>
                <w:szCs w:val="13"/>
                <w:color w:val="auto"/>
              </w:rPr>
              <w:t>Cash, cash equivalents and restricted cash at end of period</w:t>
            </w: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148"/>
        </w:trPr>
        <w:tc>
          <w:tcPr>
            <w:tcW w:w="4660" w:type="dxa"/>
            <w:vAlign w:val="bottom"/>
            <w:vMerge w:val="restart"/>
          </w:tcPr>
          <w:p>
            <w:pPr>
              <w:spacing w:after="0"/>
              <w:rPr>
                <w:sz w:val="20"/>
                <w:szCs w:val="20"/>
                <w:color w:val="auto"/>
              </w:rPr>
            </w:pPr>
            <w:r>
              <w:rPr>
                <w:rFonts w:ascii="Arial" w:cs="Arial" w:eastAsia="Arial" w:hAnsi="Arial"/>
                <w:sz w:val="13"/>
                <w:szCs w:val="13"/>
                <w:color w:val="auto"/>
              </w:rPr>
              <w:t>* Numbers may not add precisely due to rounding.</w:t>
            </w: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6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left="1040"/>
        <w:spacing w:after="0"/>
        <w:rPr>
          <w:sz w:val="20"/>
          <w:szCs w:val="20"/>
          <w:color w:val="auto"/>
        </w:rPr>
      </w:pPr>
      <w:r>
        <w:rPr>
          <w:rFonts w:ascii="Arial" w:cs="Arial" w:eastAsia="Arial" w:hAnsi="Arial"/>
          <w:sz w:val="13"/>
          <w:szCs w:val="13"/>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0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tcBorders>
          </w:tcPr>
          <w:p>
            <w:pPr>
              <w:spacing w:after="0"/>
              <w:rPr>
                <w:sz w:val="15"/>
                <w:szCs w:val="15"/>
                <w:color w:val="auto"/>
              </w:rPr>
            </w:pPr>
          </w:p>
        </w:tc>
        <w:tc>
          <w:tcPr>
            <w:tcW w:w="1780" w:type="dxa"/>
            <w:vAlign w:val="bottom"/>
            <w:tcBorders>
              <w:top w:val="single" w:sz="8" w:color="auto"/>
              <w:bottom w:val="single" w:sz="8" w:color="auto"/>
            </w:tcBorders>
          </w:tcPr>
          <w:p>
            <w:pPr>
              <w:jc w:val="right"/>
              <w:ind w:right="673"/>
              <w:spacing w:after="0"/>
              <w:rPr>
                <w:sz w:val="20"/>
                <w:szCs w:val="20"/>
                <w:color w:val="auto"/>
              </w:rPr>
            </w:pPr>
            <w:r>
              <w:rPr>
                <w:rFonts w:ascii="Arial" w:cs="Arial" w:eastAsia="Arial" w:hAnsi="Arial"/>
                <w:sz w:val="13"/>
                <w:szCs w:val="13"/>
                <w:b w:val="1"/>
                <w:bCs w:val="1"/>
                <w:color w:val="auto"/>
              </w:rPr>
              <w:t>2021</w:t>
            </w:r>
          </w:p>
        </w:tc>
      </w:tr>
      <w:tr>
        <w:trPr>
          <w:trHeight w:val="328"/>
        </w:trPr>
        <w:tc>
          <w:tcPr>
            <w:tcW w:w="1800" w:type="dxa"/>
            <w:vAlign w:val="bottom"/>
          </w:tcPr>
          <w:p>
            <w:pPr>
              <w:jc w:val="right"/>
              <w:spacing w:after="0"/>
              <w:rPr>
                <w:sz w:val="20"/>
                <w:szCs w:val="20"/>
                <w:color w:val="auto"/>
              </w:rPr>
            </w:pPr>
            <w:r>
              <w:rPr>
                <w:rFonts w:ascii="Arial" w:cs="Arial" w:eastAsia="Arial" w:hAnsi="Arial"/>
                <w:sz w:val="13"/>
                <w:szCs w:val="13"/>
                <w:color w:val="auto"/>
              </w:rPr>
              <w:t>($86.2)</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($135.8)</w:t>
            </w:r>
          </w:p>
        </w:tc>
      </w:tr>
      <w:tr>
        <w:trPr>
          <w:trHeight w:val="358"/>
        </w:trPr>
        <w:tc>
          <w:tcPr>
            <w:tcW w:w="1800" w:type="dxa"/>
            <w:vAlign w:val="bottom"/>
          </w:tcPr>
          <w:p>
            <w:pPr>
              <w:jc w:val="right"/>
              <w:spacing w:after="0"/>
              <w:rPr>
                <w:sz w:val="20"/>
                <w:szCs w:val="20"/>
                <w:color w:val="auto"/>
              </w:rPr>
            </w:pPr>
            <w:r>
              <w:rPr>
                <w:rFonts w:ascii="Arial" w:cs="Arial" w:eastAsia="Arial" w:hAnsi="Arial"/>
                <w:sz w:val="13"/>
                <w:szCs w:val="13"/>
                <w:color w:val="auto"/>
              </w:rPr>
              <w:t>129.4</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1800" w:type="dxa"/>
            <w:vAlign w:val="bottom"/>
          </w:tcPr>
          <w:p>
            <w:pPr>
              <w:jc w:val="right"/>
              <w:spacing w:after="0"/>
              <w:rPr>
                <w:sz w:val="20"/>
                <w:szCs w:val="20"/>
                <w:color w:val="auto"/>
              </w:rPr>
            </w:pPr>
            <w:r>
              <w:rPr>
                <w:rFonts w:ascii="Arial" w:cs="Arial" w:eastAsia="Arial" w:hAnsi="Arial"/>
                <w:sz w:val="13"/>
                <w:szCs w:val="13"/>
                <w:color w:val="auto"/>
              </w:rPr>
              <w:t>44.8</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40.6</w:t>
            </w:r>
          </w:p>
        </w:tc>
      </w:tr>
      <w:tr>
        <w:trPr>
          <w:trHeight w:val="179"/>
        </w:trPr>
        <w:tc>
          <w:tcPr>
            <w:tcW w:w="1800" w:type="dxa"/>
            <w:vAlign w:val="bottom"/>
          </w:tcPr>
          <w:p>
            <w:pPr>
              <w:jc w:val="right"/>
              <w:spacing w:after="0"/>
              <w:rPr>
                <w:sz w:val="20"/>
                <w:szCs w:val="20"/>
                <w:color w:val="auto"/>
              </w:rPr>
            </w:pPr>
            <w:r>
              <w:rPr>
                <w:rFonts w:ascii="Arial" w:cs="Arial" w:eastAsia="Arial" w:hAnsi="Arial"/>
                <w:sz w:val="13"/>
                <w:szCs w:val="13"/>
                <w:color w:val="auto"/>
              </w:rPr>
              <w:t>(38.7)</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17.6</w:t>
            </w:r>
          </w:p>
        </w:tc>
      </w:tr>
      <w:tr>
        <w:trPr>
          <w:trHeight w:val="179"/>
        </w:trPr>
        <w:tc>
          <w:tcPr>
            <w:tcW w:w="1800" w:type="dxa"/>
            <w:vAlign w:val="bottom"/>
          </w:tcPr>
          <w:p>
            <w:pPr>
              <w:jc w:val="right"/>
              <w:spacing w:after="0"/>
              <w:rPr>
                <w:sz w:val="20"/>
                <w:szCs w:val="20"/>
                <w:color w:val="auto"/>
              </w:rPr>
            </w:pPr>
            <w:r>
              <w:rPr>
                <w:rFonts w:ascii="Arial" w:cs="Arial" w:eastAsia="Arial" w:hAnsi="Arial"/>
                <w:sz w:val="13"/>
                <w:szCs w:val="13"/>
                <w:color w:val="auto"/>
              </w:rPr>
              <w:t>(29.9)</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0.6</w:t>
            </w:r>
          </w:p>
        </w:tc>
      </w:tr>
      <w:tr>
        <w:trPr>
          <w:trHeight w:val="179"/>
        </w:trPr>
        <w:tc>
          <w:tcPr>
            <w:tcW w:w="1800" w:type="dxa"/>
            <w:vAlign w:val="bottom"/>
          </w:tcPr>
          <w:p>
            <w:pPr>
              <w:jc w:val="right"/>
              <w:spacing w:after="0"/>
              <w:rPr>
                <w:sz w:val="20"/>
                <w:szCs w:val="20"/>
                <w:color w:val="auto"/>
              </w:rPr>
            </w:pPr>
            <w:r>
              <w:rPr>
                <w:rFonts w:ascii="Arial" w:cs="Arial" w:eastAsia="Arial" w:hAnsi="Arial"/>
                <w:sz w:val="13"/>
                <w:szCs w:val="13"/>
                <w:color w:val="auto"/>
              </w:rPr>
              <w:t>25.2</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26.5</w:t>
            </w:r>
          </w:p>
        </w:tc>
      </w:tr>
      <w:tr>
        <w:trPr>
          <w:trHeight w:val="179"/>
        </w:trPr>
        <w:tc>
          <w:tcPr>
            <w:tcW w:w="1800" w:type="dxa"/>
            <w:vAlign w:val="bottom"/>
          </w:tcPr>
          <w:p>
            <w:pPr>
              <w:jc w:val="right"/>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24.5</w:t>
            </w:r>
          </w:p>
        </w:tc>
      </w:tr>
      <w:tr>
        <w:trPr>
          <w:trHeight w:val="179"/>
        </w:trPr>
        <w:tc>
          <w:tcPr>
            <w:tcW w:w="1800" w:type="dxa"/>
            <w:vAlign w:val="bottom"/>
          </w:tcPr>
          <w:p>
            <w:pPr>
              <w:jc w:val="right"/>
              <w:spacing w:after="0"/>
              <w:rPr>
                <w:sz w:val="20"/>
                <w:szCs w:val="20"/>
                <w:color w:val="auto"/>
              </w:rPr>
            </w:pPr>
            <w:r>
              <w:rPr>
                <w:rFonts w:ascii="Arial" w:cs="Arial" w:eastAsia="Arial" w:hAnsi="Arial"/>
                <w:sz w:val="13"/>
                <w:szCs w:val="13"/>
                <w:color w:val="auto"/>
              </w:rPr>
              <w:t>21.3</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16.7</w:t>
            </w:r>
          </w:p>
        </w:tc>
      </w:tr>
      <w:tr>
        <w:trPr>
          <w:trHeight w:val="179"/>
        </w:trPr>
        <w:tc>
          <w:tcPr>
            <w:tcW w:w="1800" w:type="dxa"/>
            <w:vAlign w:val="bottom"/>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16.9</w:t>
            </w:r>
          </w:p>
        </w:tc>
      </w:tr>
      <w:tr>
        <w:trPr>
          <w:trHeight w:val="179"/>
        </w:trPr>
        <w:tc>
          <w:tcPr>
            <w:tcW w:w="180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79"/>
        </w:trPr>
        <w:tc>
          <w:tcPr>
            <w:tcW w:w="1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780" w:type="dxa"/>
            <w:vAlign w:val="bottom"/>
          </w:tcPr>
          <w:p>
            <w:pPr>
              <w:jc w:val="right"/>
              <w:spacing w:after="0"/>
              <w:rPr>
                <w:sz w:val="20"/>
                <w:szCs w:val="20"/>
                <w:color w:val="auto"/>
              </w:rPr>
            </w:pPr>
            <w:r>
              <w:rPr>
                <w:rFonts w:ascii="Arial" w:cs="Arial" w:eastAsia="Arial" w:hAnsi="Arial"/>
                <w:sz w:val="13"/>
                <w:szCs w:val="13"/>
                <w:color w:val="auto"/>
              </w:rPr>
              <w:t>60.2</w:t>
            </w:r>
          </w:p>
        </w:tc>
      </w:tr>
      <w:tr>
        <w:trPr>
          <w:trHeight w:val="179"/>
        </w:trPr>
        <w:tc>
          <w:tcPr>
            <w:tcW w:w="1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78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79"/>
        </w:trPr>
        <w:tc>
          <w:tcPr>
            <w:tcW w:w="180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0.7</w:t>
            </w:r>
          </w:p>
        </w:tc>
      </w:tr>
      <w:tr>
        <w:trPr>
          <w:trHeight w:val="358"/>
        </w:trPr>
        <w:tc>
          <w:tcPr>
            <w:tcW w:w="180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(15.7)</w:t>
            </w:r>
          </w:p>
        </w:tc>
      </w:tr>
      <w:tr>
        <w:trPr>
          <w:trHeight w:val="179"/>
        </w:trPr>
        <w:tc>
          <w:tcPr>
            <w:tcW w:w="1800" w:type="dxa"/>
            <w:vAlign w:val="bottom"/>
          </w:tcPr>
          <w:p>
            <w:pPr>
              <w:jc w:val="right"/>
              <w:spacing w:after="0"/>
              <w:rPr>
                <w:sz w:val="20"/>
                <w:szCs w:val="20"/>
                <w:color w:val="auto"/>
              </w:rPr>
            </w:pPr>
            <w:r>
              <w:rPr>
                <w:rFonts w:ascii="Arial" w:cs="Arial" w:eastAsia="Arial" w:hAnsi="Arial"/>
                <w:sz w:val="13"/>
                <w:szCs w:val="13"/>
                <w:color w:val="auto"/>
              </w:rPr>
              <w:t>(25.7)</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79"/>
        </w:trPr>
        <w:tc>
          <w:tcPr>
            <w:tcW w:w="180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24.1</w:t>
            </w:r>
          </w:p>
        </w:tc>
      </w:tr>
      <w:tr>
        <w:trPr>
          <w:trHeight w:val="179"/>
        </w:trPr>
        <w:tc>
          <w:tcPr>
            <w:tcW w:w="180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13.0</w:t>
            </w:r>
          </w:p>
        </w:tc>
      </w:tr>
      <w:tr>
        <w:trPr>
          <w:trHeight w:val="179"/>
        </w:trPr>
        <w:tc>
          <w:tcPr>
            <w:tcW w:w="180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0.1</w:t>
            </w:r>
          </w:p>
        </w:tc>
      </w:tr>
      <w:tr>
        <w:trPr>
          <w:trHeight w:val="185"/>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r>
      <w:tr>
        <w:trPr>
          <w:trHeight w:val="172"/>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69.9</w:t>
            </w:r>
          </w:p>
        </w:tc>
        <w:tc>
          <w:tcPr>
            <w:tcW w:w="100" w:type="dxa"/>
            <w:vAlign w:val="bottom"/>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102.5</w:t>
            </w:r>
          </w:p>
        </w:tc>
      </w:tr>
      <w:tr>
        <w:trPr>
          <w:trHeight w:val="333"/>
        </w:trPr>
        <w:tc>
          <w:tcPr>
            <w:tcW w:w="1800" w:type="dxa"/>
            <w:vAlign w:val="bottom"/>
          </w:tcPr>
          <w:p>
            <w:pPr>
              <w:jc w:val="right"/>
              <w:spacing w:after="0"/>
              <w:rPr>
                <w:sz w:val="20"/>
                <w:szCs w:val="20"/>
                <w:color w:val="auto"/>
              </w:rPr>
            </w:pPr>
            <w:r>
              <w:rPr>
                <w:rFonts w:ascii="Arial" w:cs="Arial" w:eastAsia="Arial" w:hAnsi="Arial"/>
                <w:sz w:val="13"/>
                <w:szCs w:val="13"/>
                <w:color w:val="auto"/>
              </w:rPr>
              <w:t>(26.5)</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(25.5)</w:t>
            </w:r>
          </w:p>
        </w:tc>
      </w:tr>
      <w:tr>
        <w:trPr>
          <w:trHeight w:val="179"/>
        </w:trPr>
        <w:tc>
          <w:tcPr>
            <w:tcW w:w="1800" w:type="dxa"/>
            <w:vAlign w:val="bottom"/>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79"/>
        </w:trPr>
        <w:tc>
          <w:tcPr>
            <w:tcW w:w="180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79"/>
        </w:trPr>
        <w:tc>
          <w:tcPr>
            <w:tcW w:w="1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780" w:type="dxa"/>
            <w:vAlign w:val="bottom"/>
          </w:tcPr>
          <w:p>
            <w:pPr>
              <w:jc w:val="right"/>
              <w:spacing w:after="0"/>
              <w:rPr>
                <w:sz w:val="20"/>
                <w:szCs w:val="20"/>
                <w:color w:val="auto"/>
              </w:rPr>
            </w:pPr>
            <w:r>
              <w:rPr>
                <w:rFonts w:ascii="Arial" w:cs="Arial" w:eastAsia="Arial" w:hAnsi="Arial"/>
                <w:sz w:val="13"/>
                <w:szCs w:val="13"/>
                <w:color w:val="auto"/>
              </w:rPr>
              <w:t>42.9</w:t>
            </w:r>
          </w:p>
        </w:tc>
      </w:tr>
      <w:tr>
        <w:trPr>
          <w:trHeight w:val="179"/>
        </w:trPr>
        <w:tc>
          <w:tcPr>
            <w:tcW w:w="1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780" w:type="dxa"/>
            <w:vAlign w:val="bottom"/>
          </w:tcPr>
          <w:p>
            <w:pPr>
              <w:jc w:val="right"/>
              <w:spacing w:after="0"/>
              <w:rPr>
                <w:sz w:val="20"/>
                <w:szCs w:val="20"/>
                <w:color w:val="auto"/>
              </w:rPr>
            </w:pPr>
            <w:r>
              <w:rPr>
                <w:rFonts w:ascii="Arial" w:cs="Arial" w:eastAsia="Arial" w:hAnsi="Arial"/>
                <w:sz w:val="13"/>
                <w:szCs w:val="13"/>
                <w:color w:val="auto"/>
              </w:rPr>
              <w:t>23.1</w:t>
            </w:r>
          </w:p>
        </w:tc>
      </w:tr>
      <w:tr>
        <w:trPr>
          <w:trHeight w:val="185"/>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r>
      <w:tr>
        <w:trPr>
          <w:trHeight w:val="172"/>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(38.4)</w:t>
            </w:r>
          </w:p>
        </w:tc>
        <w:tc>
          <w:tcPr>
            <w:tcW w:w="100" w:type="dxa"/>
            <w:vAlign w:val="bottom"/>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w:t>
            </w:r>
          </w:p>
        </w:tc>
      </w:tr>
      <w:tr>
        <w:trPr>
          <w:trHeight w:val="333"/>
        </w:trPr>
        <w:tc>
          <w:tcPr>
            <w:tcW w:w="1800" w:type="dxa"/>
            <w:vAlign w:val="bottom"/>
          </w:tcPr>
          <w:p>
            <w:pPr>
              <w:jc w:val="right"/>
              <w:spacing w:after="0"/>
              <w:rPr>
                <w:sz w:val="20"/>
                <w:szCs w:val="20"/>
                <w:color w:val="auto"/>
              </w:rPr>
            </w:pPr>
            <w:r>
              <w:rPr>
                <w:rFonts w:ascii="Arial" w:cs="Arial" w:eastAsia="Arial" w:hAnsi="Arial"/>
                <w:sz w:val="13"/>
                <w:szCs w:val="13"/>
                <w:color w:val="auto"/>
              </w:rPr>
              <w:t>507.5</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1800" w:type="dxa"/>
            <w:vAlign w:val="bottom"/>
          </w:tcPr>
          <w:p>
            <w:pPr>
              <w:jc w:val="right"/>
              <w:spacing w:after="0"/>
              <w:rPr>
                <w:sz w:val="20"/>
                <w:szCs w:val="20"/>
                <w:color w:val="auto"/>
              </w:rPr>
            </w:pPr>
            <w:r>
              <w:rPr>
                <w:rFonts w:ascii="Arial" w:cs="Arial" w:eastAsia="Arial" w:hAnsi="Arial"/>
                <w:sz w:val="13"/>
                <w:szCs w:val="13"/>
                <w:color w:val="auto"/>
              </w:rPr>
              <w:t>(223.5)</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(452.3)</w:t>
            </w:r>
          </w:p>
        </w:tc>
      </w:tr>
      <w:tr>
        <w:trPr>
          <w:trHeight w:val="179"/>
        </w:trPr>
        <w:tc>
          <w:tcPr>
            <w:tcW w:w="180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(12.9)</w:t>
            </w:r>
          </w:p>
        </w:tc>
      </w:tr>
      <w:tr>
        <w:trPr>
          <w:trHeight w:val="179"/>
        </w:trPr>
        <w:tc>
          <w:tcPr>
            <w:tcW w:w="180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9"/>
        </w:trPr>
        <w:tc>
          <w:tcPr>
            <w:tcW w:w="180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(2.5)</w:t>
            </w:r>
          </w:p>
        </w:tc>
      </w:tr>
      <w:tr>
        <w:trPr>
          <w:trHeight w:val="179"/>
        </w:trPr>
        <w:tc>
          <w:tcPr>
            <w:tcW w:w="1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780" w:type="dxa"/>
            <w:vAlign w:val="bottom"/>
          </w:tcPr>
          <w:p>
            <w:pPr>
              <w:jc w:val="right"/>
              <w:spacing w:after="0"/>
              <w:rPr>
                <w:sz w:val="20"/>
                <w:szCs w:val="20"/>
                <w:color w:val="auto"/>
              </w:rPr>
            </w:pPr>
            <w:r>
              <w:rPr>
                <w:rFonts w:ascii="Arial" w:cs="Arial" w:eastAsia="Arial" w:hAnsi="Arial"/>
                <w:sz w:val="13"/>
                <w:szCs w:val="13"/>
                <w:color w:val="auto"/>
              </w:rPr>
              <w:t>322.6</w:t>
            </w:r>
          </w:p>
        </w:tc>
      </w:tr>
      <w:tr>
        <w:trPr>
          <w:trHeight w:val="179"/>
        </w:trPr>
        <w:tc>
          <w:tcPr>
            <w:tcW w:w="1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780" w:type="dxa"/>
            <w:vAlign w:val="bottom"/>
          </w:tcPr>
          <w:p>
            <w:pPr>
              <w:jc w:val="right"/>
              <w:spacing w:after="0"/>
              <w:rPr>
                <w:sz w:val="20"/>
                <w:szCs w:val="20"/>
                <w:color w:val="auto"/>
              </w:rPr>
            </w:pPr>
            <w:r>
              <w:rPr>
                <w:rFonts w:ascii="Arial" w:cs="Arial" w:eastAsia="Arial" w:hAnsi="Arial"/>
                <w:sz w:val="13"/>
                <w:szCs w:val="13"/>
                <w:color w:val="auto"/>
              </w:rPr>
              <w:t>(35.6)</w:t>
            </w:r>
          </w:p>
        </w:tc>
      </w:tr>
      <w:tr>
        <w:trPr>
          <w:trHeight w:val="179"/>
        </w:trPr>
        <w:tc>
          <w:tcPr>
            <w:tcW w:w="1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78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85"/>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w:t>
            </w:r>
          </w:p>
        </w:tc>
      </w:tr>
      <w:tr>
        <w:trPr>
          <w:trHeight w:val="172"/>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280.1</w:t>
            </w:r>
          </w:p>
        </w:tc>
        <w:tc>
          <w:tcPr>
            <w:tcW w:w="100" w:type="dxa"/>
            <w:vAlign w:val="bottom"/>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(181.5)</w:t>
            </w:r>
          </w:p>
        </w:tc>
      </w:tr>
      <w:tr>
        <w:trPr>
          <w:trHeight w:val="166"/>
        </w:trPr>
        <w:tc>
          <w:tcPr>
            <w:tcW w:w="180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185"/>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307.6</w:t>
            </w:r>
          </w:p>
        </w:tc>
        <w:tc>
          <w:tcPr>
            <w:tcW w:w="100" w:type="dxa"/>
            <w:vAlign w:val="bottom"/>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(44.8)</w:t>
            </w:r>
          </w:p>
        </w:tc>
      </w:tr>
      <w:tr>
        <w:trPr>
          <w:trHeight w:val="172"/>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208.0</w:t>
            </w:r>
          </w:p>
        </w:tc>
        <w:tc>
          <w:tcPr>
            <w:tcW w:w="100" w:type="dxa"/>
            <w:vAlign w:val="bottom"/>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252.8</w:t>
            </w:r>
          </w:p>
        </w:tc>
      </w:tr>
      <w:tr>
        <w:trPr>
          <w:trHeight w:val="172"/>
        </w:trPr>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$515.6</w:t>
            </w:r>
          </w:p>
        </w:tc>
        <w:tc>
          <w:tcPr>
            <w:tcW w:w="100" w:type="dxa"/>
            <w:vAlign w:val="bottom"/>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$208.0</w:t>
            </w:r>
          </w:p>
        </w:tc>
      </w:tr>
      <w:tr>
        <w:trPr>
          <w:trHeight w:val="24"/>
        </w:trPr>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ectPr>
          <w:pgSz w:w="11900" w:h="16838" w:orient="portrait"/>
          <w:cols w:equalWidth="0" w:num="2">
            <w:col w:w="6820" w:space="720"/>
            <w:col w:w="3680"/>
          </w:cols>
          <w:pgMar w:left="340" w:top="617" w:right="339" w:bottom="1440" w:gutter="0" w:footer="0" w:header="0"/>
        </w:sectPr>
      </w:pPr>
    </w:p>
    <w:bookmarkStart w:id="23" w:name="page24"/>
    <w:bookmarkEnd w:id="23"/>
    <w:p>
      <w:pPr>
        <w:ind w:right="80"/>
        <w:spacing w:after="0" w:line="367" w:lineRule="auto"/>
        <w:rPr>
          <w:sz w:val="20"/>
          <w:szCs w:val="20"/>
          <w:color w:val="auto"/>
        </w:rPr>
      </w:pPr>
      <w:r>
        <w:rPr>
          <w:rFonts w:ascii="Arial" w:cs="Arial" w:eastAsia="Arial" w:hAnsi="Arial"/>
          <w:sz w:val="17"/>
          <w:szCs w:val="17"/>
          <w:color w:val="auto"/>
        </w:rPr>
        <w:t>The following table presents the reconciliation of GAAP diluted weighted average shares outstanding, used in the computation of GAAP diluted net loss per common share, to adjusted diluted weighted average shares outstanding, used in the computation of adjusted diluted earnings per common share (in millions of shares):</w:t>
      </w:r>
    </w:p>
    <w:p>
      <w:pPr>
        <w:ind w:left="20"/>
        <w:spacing w:after="0" w:line="234" w:lineRule="auto"/>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71393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9305" cy="825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20" w:right="1300"/>
        <w:spacing w:after="0" w:line="360" w:lineRule="auto"/>
        <w:rPr>
          <w:sz w:val="20"/>
          <w:szCs w:val="20"/>
          <w:color w:val="auto"/>
        </w:rPr>
      </w:pPr>
      <w:r>
        <w:rPr>
          <w:rFonts w:ascii="Arial" w:cs="Arial" w:eastAsia="Arial" w:hAnsi="Arial"/>
          <w:sz w:val="12"/>
          <w:szCs w:val="12"/>
          <w:color w:val="auto"/>
        </w:rPr>
        <w:t>GAAP diluted weighted average shares outstanding Add effects of stock-based compensation instruments</w:t>
      </w:r>
    </w:p>
    <w:p>
      <w:pPr>
        <w:ind w:left="20"/>
        <w:spacing w:after="0"/>
        <w:rPr>
          <w:sz w:val="20"/>
          <w:szCs w:val="20"/>
          <w:color w:val="auto"/>
        </w:rPr>
      </w:pPr>
      <w:r>
        <w:rPr>
          <w:rFonts w:ascii="Arial" w:cs="Arial" w:eastAsia="Arial" w:hAnsi="Arial"/>
          <w:sz w:val="13"/>
          <w:szCs w:val="13"/>
          <w:color w:val="auto"/>
        </w:rPr>
        <w:t xml:space="preserve">Adjusted diluted weighted average shares outstanding </w:t>
      </w:r>
      <w:r>
        <w:rPr>
          <w:rFonts w:ascii="Arial" w:cs="Arial" w:eastAsia="Arial" w:hAnsi="Arial"/>
          <w:sz w:val="16"/>
          <w:szCs w:val="16"/>
          <w:color w:val="auto"/>
          <w:vertAlign w:val="superscript"/>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Three Months Ended</w:t>
            </w:r>
          </w:p>
        </w:tc>
        <w:tc>
          <w:tcPr>
            <w:tcW w:w="28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w w:val="96"/>
              </w:rPr>
              <w:t>Year Ended December 31,</w:t>
            </w:r>
          </w:p>
        </w:tc>
        <w:tc>
          <w:tcPr>
            <w:tcW w:w="1120" w:type="dxa"/>
            <w:vAlign w:val="bottom"/>
            <w:tcBorders>
              <w:bottom w:val="single" w:sz="8" w:color="auto"/>
            </w:tcBorders>
          </w:tcPr>
          <w:p>
            <w:pPr>
              <w:spacing w:after="0"/>
              <w:rPr>
                <w:sz w:val="16"/>
                <w:szCs w:val="16"/>
                <w:color w:val="auto"/>
              </w:rPr>
            </w:pPr>
          </w:p>
        </w:tc>
      </w:tr>
      <w:tr>
        <w:trPr>
          <w:trHeight w:val="190"/>
        </w:trPr>
        <w:tc>
          <w:tcPr>
            <w:tcW w:w="2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December 31, 2021</w:t>
            </w:r>
          </w:p>
        </w:tc>
        <w:tc>
          <w:tcPr>
            <w:tcW w:w="1920" w:type="dxa"/>
            <w:vAlign w:val="bottom"/>
          </w:tcPr>
          <w:p>
            <w:pPr>
              <w:jc w:val="right"/>
              <w:ind w:right="7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jc w:val="right"/>
              <w:ind w:right="732"/>
              <w:spacing w:after="0"/>
              <w:rPr>
                <w:sz w:val="20"/>
                <w:szCs w:val="20"/>
                <w:color w:val="auto"/>
              </w:rPr>
            </w:pPr>
            <w:r>
              <w:rPr>
                <w:rFonts w:ascii="Arial" w:cs="Arial" w:eastAsia="Arial" w:hAnsi="Arial"/>
                <w:sz w:val="14"/>
                <w:szCs w:val="14"/>
                <w:b w:val="1"/>
                <w:bCs w:val="1"/>
                <w:color w:val="auto"/>
                <w:w w:val="96"/>
              </w:rPr>
              <w:t>2021</w:t>
            </w:r>
          </w:p>
        </w:tc>
      </w:tr>
      <w:tr>
        <w:trPr>
          <w:trHeight w:val="173"/>
        </w:trPr>
        <w:tc>
          <w:tcPr>
            <w:tcW w:w="1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53.3</w:t>
            </w:r>
          </w:p>
        </w:tc>
        <w:tc>
          <w:tcPr>
            <w:tcW w:w="80" w:type="dxa"/>
            <w:vAlign w:val="bottom"/>
          </w:tcPr>
          <w:p>
            <w:pPr>
              <w:spacing w:after="0"/>
              <w:rPr>
                <w:sz w:val="15"/>
                <w:szCs w:val="15"/>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50.6</w:t>
            </w:r>
          </w:p>
        </w:tc>
      </w:tr>
      <w:tr>
        <w:trPr>
          <w:trHeight w:val="197"/>
        </w:trPr>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r>
      <w:tr>
        <w:trPr>
          <w:trHeight w:val="185"/>
        </w:trPr>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w:t>
            </w:r>
          </w:p>
        </w:tc>
        <w:tc>
          <w:tcPr>
            <w:tcW w:w="80" w:type="dxa"/>
            <w:vAlign w:val="bottom"/>
          </w:tcPr>
          <w:p>
            <w:pPr>
              <w:spacing w:after="0"/>
              <w:rPr>
                <w:sz w:val="16"/>
                <w:szCs w:val="16"/>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w:t>
            </w:r>
          </w:p>
        </w:tc>
      </w:tr>
      <w:tr>
        <w:trPr>
          <w:trHeight w:val="24"/>
        </w:trPr>
        <w:tc>
          <w:tcPr>
            <w:tcW w:w="1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4560" w:space="720"/>
            <w:col w:w="5960"/>
          </w:cols>
          <w:pgMar w:left="320" w:top="1418" w:right="339" w:bottom="1440" w:gutter="0" w:footer="0" w:header="0"/>
          <w:type w:val="continuous"/>
        </w:sectPr>
      </w:pPr>
    </w:p>
    <w:p>
      <w:pPr>
        <w:spacing w:after="0" w:line="48" w:lineRule="exact"/>
        <w:rPr>
          <w:sz w:val="20"/>
          <w:szCs w:val="20"/>
          <w:color w:val="auto"/>
        </w:rPr>
      </w:pPr>
    </w:p>
    <w:p>
      <w:pPr>
        <w:ind w:left="440" w:right="340" w:hanging="421"/>
        <w:spacing w:after="0" w:line="226" w:lineRule="auto"/>
        <w:tabs>
          <w:tab w:leader="none" w:pos="4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Adjusted diluted weighted average shares outstanding is a non-GAAP measure and includes the effects of stock-based compensation instruments, as reconciled in the above table.</w:t>
      </w:r>
    </w:p>
    <w:p>
      <w:pPr>
        <w:spacing w:after="0" w:line="17" w:lineRule="exact"/>
        <w:rPr>
          <w:sz w:val="20"/>
          <w:szCs w:val="20"/>
          <w:color w:val="auto"/>
        </w:rPr>
      </w:pPr>
    </w:p>
    <w:p>
      <w:pPr>
        <w:ind w:left="440" w:hanging="421"/>
        <w:spacing w:after="0"/>
        <w:tabs>
          <w:tab w:leader="none" w:pos="4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Numbers may not add precisely due to rounding.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sectPr>
      <w:pgSz w:w="11900" w:h="16838" w:orient="portrait"/>
      <w:cols w:equalWidth="0" w:num="1">
        <w:col w:w="11240"/>
      </w:cols>
      <w:pgMar w:left="320" w:top="14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2"/>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upp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2023-02-22T05:15:10Z</dcterms:created>
  <dcterms:modified xsi:type="dcterms:W3CDTF">2023-02-22T05:15:10Z</dcterms:modified>
</cp:coreProperties>
</file>