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Gianotti Stefano</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08/05/2016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gridSpan w:val="2"/>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3,327</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08/05/2016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33" w:lineRule="exact"/>
              <w:rPr>
                <w:sz w:val="20"/>
                <w:szCs w:val="20"/>
                <w:color w:val="auto"/>
              </w:rPr>
            </w:pPr>
            <w:r>
              <w:rPr>
                <w:rFonts w:ascii="Arial" w:cs="Arial" w:eastAsia="Arial" w:hAnsi="Arial"/>
                <w:sz w:val="14"/>
                <w:szCs w:val="14"/>
                <w:color w:val="0000FF"/>
              </w:rPr>
              <w:t>3,327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line="133" w:lineRule="exact"/>
              <w:rPr>
                <w:sz w:val="20"/>
                <w:szCs w:val="20"/>
                <w:color w:val="auto"/>
              </w:rPr>
            </w:pPr>
            <w:r>
              <w:rPr>
                <w:rFonts w:ascii="Arial" w:cs="Arial" w:eastAsia="Arial" w:hAnsi="Arial"/>
                <w:sz w:val="14"/>
                <w:szCs w:val="14"/>
                <w:color w:val="0000FF"/>
                <w:w w:val="96"/>
              </w:rPr>
              <w:t>3,327</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August 5, 2017. The RSUs are subject to forfeiture prior to vesting in accordance with the terms of the LivaNova PLC 2015 Incentive Award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2019-12-09T01:12:35Z</dcterms:created>
  <dcterms:modified xsi:type="dcterms:W3CDTF">2019-12-09T01:12:35Z</dcterms:modified>
</cp:coreProperties>
</file>