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823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346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Shvartsburg Alex</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03/30/2023</w:t>
      </w:r>
    </w:p>
    <w:p>
      <w:pPr>
        <w:spacing w:after="0" w:line="20" w:lineRule="exact"/>
        <w:rPr>
          <w:sz w:val="24"/>
          <w:szCs w:val="24"/>
          <w:color w:val="auto"/>
        </w:rPr>
      </w:pPr>
      <w:r>
        <w:rPr>
          <w:sz w:val="24"/>
          <w:szCs w:val="24"/>
          <w:color w:val="auto"/>
        </w:rPr>
        <w:br w:type="column"/>
      </w: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204"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6"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548"/>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7"/>
                <w:szCs w:val="17"/>
                <w:color w:val="0000FF"/>
                <w:w w:val="93"/>
              </w:rPr>
              <w:t>392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6,976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jc w:val="center"/>
              <w:ind w:left="119"/>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185</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42.71</w:t>
            </w: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6,791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7"/>
                <w:szCs w:val="17"/>
                <w:color w:val="0000FF"/>
                <w:w w:val="93"/>
              </w:rPr>
              <w:t>705</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7,496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jc w:val="center"/>
              <w:ind w:left="119"/>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332</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42.71</w:t>
            </w: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7,164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7"/>
                <w:szCs w:val="17"/>
                <w:color w:val="0000FF"/>
                <w:w w:val="93"/>
              </w:rPr>
              <w:t>853</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8,017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7"/>
                <w:szCs w:val="17"/>
                <w:color w:val="0000FF"/>
                <w:w w:val="85"/>
              </w:rPr>
              <w:t>401</w:t>
            </w:r>
            <w:r>
              <w:rPr>
                <w:rFonts w:ascii="Times New Roman" w:cs="Times New Roman" w:eastAsia="Times New Roman" w:hAnsi="Times New Roman"/>
                <w:sz w:val="21"/>
                <w:szCs w:val="21"/>
                <w:color w:val="008000"/>
                <w:w w:val="85"/>
                <w:vertAlign w:val="superscript"/>
              </w:rPr>
              <w:t>(2)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42.71</w:t>
            </w: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7,616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jc w:val="center"/>
              <w:ind w:left="119"/>
              <w:spacing w:after="0"/>
              <w:rPr>
                <w:sz w:val="20"/>
                <w:szCs w:val="20"/>
                <w:color w:val="auto"/>
              </w:rPr>
            </w:pPr>
            <w:r>
              <w:rPr>
                <w:rFonts w:ascii="Times New Roman" w:cs="Times New Roman" w:eastAsia="Times New Roman" w:hAnsi="Times New Roman"/>
                <w:sz w:val="17"/>
                <w:szCs w:val="17"/>
                <w:color w:val="0000FF"/>
                <w:w w:val="93"/>
              </w:rPr>
              <w:t>914</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29"/>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8,530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528"/>
              <w:spacing w:after="0"/>
              <w:rPr>
                <w:sz w:val="20"/>
                <w:szCs w:val="20"/>
                <w:color w:val="auto"/>
              </w:rPr>
            </w:pPr>
            <w:r>
              <w:rPr>
                <w:rFonts w:ascii="Times New Roman" w:cs="Times New Roman" w:eastAsia="Times New Roman" w:hAnsi="Times New Roman"/>
                <w:sz w:val="17"/>
                <w:szCs w:val="17"/>
                <w:color w:val="0000FF"/>
                <w:w w:val="98"/>
              </w:rPr>
              <w:t>03/30/2023</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jc w:val="center"/>
              <w:ind w:left="119"/>
              <w:spacing w:after="0" w:line="306" w:lineRule="exact"/>
              <w:rPr>
                <w:sz w:val="20"/>
                <w:szCs w:val="20"/>
                <w:color w:val="auto"/>
              </w:rPr>
            </w:pPr>
            <w:r>
              <w:rPr>
                <w:rFonts w:ascii="Times New Roman" w:cs="Times New Roman" w:eastAsia="Times New Roman" w:hAnsi="Times New Roman"/>
                <w:sz w:val="33"/>
                <w:szCs w:val="33"/>
                <w:color w:val="0000FF"/>
                <w:w w:val="78"/>
                <w:vertAlign w:val="subscript"/>
              </w:rPr>
              <w:t>430</w:t>
            </w:r>
            <w:r>
              <w:rPr>
                <w:rFonts w:ascii="Times New Roman" w:cs="Times New Roman" w:eastAsia="Times New Roman" w:hAnsi="Times New Roman"/>
                <w:sz w:val="11"/>
                <w:szCs w:val="11"/>
                <w:color w:val="008000"/>
                <w:w w:val="78"/>
              </w:rPr>
              <w:t>(2)</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42.71</w:t>
            </w:r>
          </w:p>
        </w:tc>
        <w:tc>
          <w:tcPr>
            <w:tcW w:w="1280" w:type="dxa"/>
            <w:vAlign w:val="bottom"/>
            <w:tcBorders>
              <w:bottom w:val="single" w:sz="8" w:color="2C2C2C"/>
            </w:tcBorders>
            <w:gridSpan w:val="3"/>
          </w:tcPr>
          <w:p>
            <w:pPr>
              <w:jc w:val="right"/>
              <w:ind w:right="400"/>
              <w:spacing w:after="0"/>
              <w:rPr>
                <w:sz w:val="20"/>
                <w:szCs w:val="20"/>
                <w:color w:val="auto"/>
              </w:rPr>
            </w:pPr>
            <w:r>
              <w:rPr>
                <w:rFonts w:ascii="Times New Roman" w:cs="Times New Roman" w:eastAsia="Times New Roman" w:hAnsi="Times New Roman"/>
                <w:sz w:val="17"/>
                <w:szCs w:val="17"/>
                <w:color w:val="0000FF"/>
              </w:rPr>
              <w:t>8,100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392</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392</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25"/>
                <w:szCs w:val="25"/>
                <w:color w:val="0000FF"/>
                <w:w w:val="84"/>
                <w:vertAlign w:val="subscript"/>
              </w:rPr>
              <w:t>0</w:t>
            </w:r>
            <w:r>
              <w:rPr>
                <w:rFonts w:ascii="Times New Roman" w:cs="Times New Roman" w:eastAsia="Times New Roman" w:hAnsi="Times New Roman"/>
                <w:sz w:val="11"/>
                <w:szCs w:val="11"/>
                <w:color w:val="008000"/>
                <w:w w:val="84"/>
              </w:rPr>
              <w:t>(5)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705</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705</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w w:val="89"/>
              </w:rPr>
              <w:t>705</w:t>
            </w:r>
            <w:r>
              <w:rPr>
                <w:rFonts w:ascii="Times New Roman" w:cs="Times New Roman" w:eastAsia="Times New Roman" w:hAnsi="Times New Roman"/>
                <w:sz w:val="21"/>
                <w:szCs w:val="21"/>
                <w:color w:val="008000"/>
                <w:w w:val="89"/>
                <w:vertAlign w:val="superscript"/>
              </w:rPr>
              <w:t>(5)</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853</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853</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1,706</w:t>
            </w:r>
            <w:r>
              <w:rPr>
                <w:rFonts w:ascii="Times New Roman" w:cs="Times New Roman" w:eastAsia="Times New Roman" w:hAnsi="Times New Roman"/>
                <w:sz w:val="21"/>
                <w:szCs w:val="21"/>
                <w:color w:val="008000"/>
                <w:w w:val="92"/>
                <w:vertAlign w:val="superscript"/>
              </w:rPr>
              <w:t>(5)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914</w:t>
            </w: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914</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2,742</w:t>
            </w:r>
            <w:r>
              <w:rPr>
                <w:rFonts w:ascii="Times New Roman" w:cs="Times New Roman" w:eastAsia="Times New Roman" w:hAnsi="Times New Roman"/>
                <w:sz w:val="21"/>
                <w:szCs w:val="21"/>
                <w:color w:val="008000"/>
                <w:w w:val="92"/>
                <w:vertAlign w:val="superscript"/>
              </w:rPr>
              <w:t>(5)</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9,456</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9,456</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9,456</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4,728</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4,728</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4,728</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4,728</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4,728</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9,456</w:t>
            </w:r>
          </w:p>
        </w:tc>
        <w:tc>
          <w:tcPr>
            <w:tcW w:w="30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9,456</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0"/>
              <w:spacing w:after="0"/>
              <w:rPr>
                <w:sz w:val="20"/>
                <w:szCs w:val="20"/>
                <w:color w:val="auto"/>
              </w:rPr>
            </w:pPr>
            <w:r>
              <w:rPr>
                <w:rFonts w:ascii="Times New Roman" w:cs="Times New Roman" w:eastAsia="Times New Roman" w:hAnsi="Times New Roman"/>
                <w:sz w:val="13"/>
                <w:szCs w:val="13"/>
                <w:color w:val="0000FF"/>
              </w:rPr>
              <w:t>9,456</w:t>
            </w:r>
          </w:p>
        </w:tc>
        <w:tc>
          <w:tcPr>
            <w:tcW w:w="260" w:type="dxa"/>
            <w:vAlign w:val="bottom"/>
          </w:tcPr>
          <w:p>
            <w:pPr>
              <w:spacing w:after="0"/>
              <w:rPr>
                <w:sz w:val="15"/>
                <w:szCs w:val="15"/>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20,089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42.71</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03/30/2023</w:t>
            </w:r>
          </w:p>
        </w:tc>
        <w:tc>
          <w:tcPr>
            <w:tcW w:w="1060" w:type="dxa"/>
            <w:vAlign w:val="bottom"/>
          </w:tcPr>
          <w:p>
            <w:pPr>
              <w:spacing w:after="0"/>
              <w:rPr>
                <w:sz w:val="11"/>
                <w:szCs w:val="11"/>
                <w:color w:val="auto"/>
              </w:rPr>
            </w:pPr>
          </w:p>
        </w:tc>
        <w:tc>
          <w:tcPr>
            <w:tcW w:w="62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20,089</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3"/>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60"/>
              <w:spacing w:after="0" w:line="128" w:lineRule="exact"/>
              <w:rPr>
                <w:sz w:val="20"/>
                <w:szCs w:val="20"/>
                <w:color w:val="auto"/>
              </w:rPr>
            </w:pPr>
            <w:r>
              <w:rPr>
                <w:rFonts w:ascii="Times New Roman" w:cs="Times New Roman" w:eastAsia="Times New Roman" w:hAnsi="Times New Roman"/>
                <w:sz w:val="13"/>
                <w:szCs w:val="13"/>
                <w:color w:val="0000FF"/>
                <w:w w:val="94"/>
              </w:rPr>
              <w:t>20,089</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ind w:right="13"/>
              <w:spacing w:after="0" w:line="141"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-4064000</wp:posOffset>
            </wp:positionV>
            <wp:extent cx="29210" cy="4069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0697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1" w:lineRule="exact"/>
        <w:rPr>
          <w:rFonts w:ascii="Times New Roman" w:cs="Times New Roman" w:eastAsia="Times New Roman" w:hAnsi="Times New Roman"/>
          <w:sz w:val="13"/>
          <w:szCs w:val="13"/>
          <w:color w:val="008000"/>
        </w:rPr>
      </w:pPr>
    </w:p>
    <w:p>
      <w:pPr>
        <w:ind w:left="40" w:right="4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9"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2019, reporting person was granted RSUs subject to a four-year vesting schedule, the first vesting for which occurred on March 30, 2020.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number of derivative securities beneficially owned following reported transaction for this specific grant.</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schedule, the first vesting for which occurred on March 30, 2021. The RSUs are subject to forfeiture prior to vesting in accordance with the terms of the Plan and the award agreement.</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60"/>
        <w:spacing w:after="0" w:line="251"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schedule, the first vesting for which occurred on March 30, 2022.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ind w:right="300"/>
        <w:spacing w:after="0" w:line="251"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schedule, the first vesting for which occured on March 30, 2023. The RSUs are subject to forfeiture prior to vesting in accordance with the terms of the Plan and the award agreement.</w:t>
      </w:r>
    </w:p>
    <w:p>
      <w:pPr>
        <w:spacing w:after="0" w:line="19" w:lineRule="exact"/>
        <w:rPr>
          <w:rFonts w:ascii="Times New Roman" w:cs="Times New Roman" w:eastAsia="Times New Roman" w:hAnsi="Times New Roman"/>
          <w:sz w:val="13"/>
          <w:szCs w:val="13"/>
          <w:color w:val="008000"/>
        </w:rPr>
      </w:pPr>
    </w:p>
    <w:p>
      <w:pPr>
        <w:spacing w:after="0" w:line="251"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19" w:lineRule="exact"/>
        <w:rPr>
          <w:rFonts w:ascii="Times New Roman" w:cs="Times New Roman" w:eastAsia="Times New Roman" w:hAnsi="Times New Roman"/>
          <w:sz w:val="13"/>
          <w:szCs w:val="13"/>
          <w:color w:val="008000"/>
        </w:rPr>
      </w:pPr>
    </w:p>
    <w:p>
      <w:pPr>
        <w:ind w:right="60"/>
        <w:spacing w:after="0" w:line="251"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schedule, the first vesting occurring on March 30, 2024. The RSUs are subject to forfeiture prior to vesting in accordance with the terms of the 2022 Plan and the award agreement.</w:t>
      </w:r>
    </w:p>
    <w:p>
      <w:pPr>
        <w:spacing w:after="0" w:line="19"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1"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free cash flow (FCF) for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right="100"/>
        <w:spacing w:after="0" w:line="238"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the Company's total shareholder return (TSR) for the three-year period beginning on January 1, 2023 and ending December 31, 2025 relative to the total shareholder return of a peer group of companies, as determined by the 2022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right="240"/>
        <w:spacing w:after="0" w:line="251"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stock appreciation rights (SARs) subject to a four-year vesting schedule, the first vesting occurring on March 30, 2024. The SARs are subject to forfeiture prior to vesting in accordance with the terms of the 2022 Plan and the award agreement.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03/30/2023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2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7"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POWER OF ATTORNEY</w:t>
      </w:r>
    </w:p>
    <w:p>
      <w:pPr>
        <w:spacing w:after="0" w:line="207" w:lineRule="exact"/>
        <w:rPr>
          <w:sz w:val="20"/>
          <w:szCs w:val="20"/>
          <w:color w:val="auto"/>
        </w:rPr>
      </w:pPr>
    </w:p>
    <w:p>
      <w:pPr>
        <w:ind w:right="340" w:firstLine="613"/>
        <w:spacing w:after="0" w:line="293"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3" w:lineRule="exact"/>
        <w:rPr>
          <w:sz w:val="20"/>
          <w:szCs w:val="20"/>
          <w:color w:val="auto"/>
        </w:rPr>
      </w:pPr>
    </w:p>
    <w:p>
      <w:pPr>
        <w:ind w:left="1220" w:hanging="605"/>
        <w:spacing w:after="0" w:line="300"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5" w:lineRule="exact"/>
        <w:rPr>
          <w:rFonts w:ascii="Times New Roman" w:cs="Times New Roman" w:eastAsia="Times New Roman" w:hAnsi="Times New Roman"/>
          <w:sz w:val="19"/>
          <w:szCs w:val="19"/>
          <w:color w:val="auto"/>
        </w:rPr>
      </w:pPr>
    </w:p>
    <w:p>
      <w:pPr>
        <w:ind w:left="1220" w:right="160" w:hanging="605"/>
        <w:spacing w:after="0" w:line="300" w:lineRule="auto"/>
        <w:tabs>
          <w:tab w:leader="none" w:pos="12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5" w:lineRule="exact"/>
        <w:rPr>
          <w:rFonts w:ascii="Times New Roman" w:cs="Times New Roman" w:eastAsia="Times New Roman" w:hAnsi="Times New Roman"/>
          <w:sz w:val="19"/>
          <w:szCs w:val="19"/>
          <w:color w:val="auto"/>
        </w:rPr>
      </w:pPr>
    </w:p>
    <w:p>
      <w:pPr>
        <w:jc w:val="both"/>
        <w:ind w:left="1220" w:right="20" w:hanging="605"/>
        <w:spacing w:after="0" w:line="303" w:lineRule="auto"/>
        <w:tabs>
          <w:tab w:leader="none" w:pos="1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w:t>
      </w:r>
    </w:p>
    <w:p>
      <w:pPr>
        <w:ind w:left="1220" w:right="40"/>
        <w:spacing w:after="0" w:line="3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such attorney-in-fact on behalf of the undersigned pursuant to this Power of Attorney shall be in such form and shall contain such terms and conditions as such attorney-in-fact may approve in such attorney-in-fact’s discretion.</w:t>
      </w:r>
    </w:p>
    <w:p>
      <w:pPr>
        <w:spacing w:after="0" w:line="117" w:lineRule="exact"/>
        <w:rPr>
          <w:sz w:val="20"/>
          <w:szCs w:val="20"/>
          <w:color w:val="auto"/>
        </w:rPr>
      </w:pPr>
    </w:p>
    <w:p>
      <w:pPr>
        <w:ind w:firstLine="613"/>
        <w:spacing w:after="0" w:line="289"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7" w:lineRule="exact"/>
        <w:rPr>
          <w:sz w:val="20"/>
          <w:szCs w:val="20"/>
          <w:color w:val="auto"/>
        </w:rPr>
      </w:pPr>
    </w:p>
    <w:p>
      <w:pPr>
        <w:ind w:right="140" w:firstLine="613"/>
        <w:spacing w:after="0" w:line="287" w:lineRule="auto"/>
        <w:rPr>
          <w:sz w:val="20"/>
          <w:szCs w:val="20"/>
          <w:color w:val="auto"/>
        </w:rPr>
      </w:pPr>
      <w:r>
        <w:rPr>
          <w:rFonts w:ascii="Times New Roman" w:cs="Times New Roman" w:eastAsia="Times New Roman" w:hAnsi="Times New Roman"/>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7" w:lineRule="exact"/>
        <w:rPr>
          <w:sz w:val="20"/>
          <w:szCs w:val="20"/>
          <w:color w:val="auto"/>
        </w:rPr>
      </w:pPr>
    </w:p>
    <w:p>
      <w:pPr>
        <w:ind w:right="120" w:firstLine="613"/>
        <w:spacing w:after="0" w:line="321" w:lineRule="auto"/>
        <w:rPr>
          <w:sz w:val="20"/>
          <w:szCs w:val="20"/>
          <w:color w:val="auto"/>
        </w:rPr>
      </w:pPr>
      <w:r>
        <w:rPr>
          <w:rFonts w:ascii="Times New Roman" w:cs="Times New Roman" w:eastAsia="Times New Roman" w:hAnsi="Times New Roman"/>
          <w:sz w:val="19"/>
          <w:szCs w:val="19"/>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5" w:lineRule="exact"/>
        <w:rPr>
          <w:sz w:val="20"/>
          <w:szCs w:val="20"/>
          <w:color w:val="auto"/>
        </w:rPr>
      </w:pPr>
    </w:p>
    <w:p>
      <w:pPr>
        <w:ind w:right="20" w:firstLine="613"/>
        <w:spacing w:after="0" w:line="293"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xml:space="preserve">IN WITNESS WHEREOF, the undersigned has caused this Power of Attorney to be executed as of this </w:t>
      </w:r>
      <w:r>
        <w:rPr>
          <w:rFonts w:ascii="Times New Roman" w:cs="Times New Roman" w:eastAsia="Times New Roman" w:hAnsi="Times New Roman"/>
          <w:sz w:val="19"/>
          <w:szCs w:val="19"/>
          <w:u w:val="single" w:color="auto"/>
          <w:color w:val="auto"/>
        </w:rPr>
        <w:t>28th</w:t>
      </w:r>
      <w:r>
        <w:rPr>
          <w:rFonts w:ascii="Times New Roman" w:cs="Times New Roman" w:eastAsia="Times New Roman" w:hAnsi="Times New Roman"/>
          <w:sz w:val="19"/>
          <w:szCs w:val="19"/>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Alex Shvartsburg</w:t>
      </w:r>
    </w:p>
    <w:sectPr>
      <w:pgSz w:w="11900" w:h="16838" w:orient="portrait"/>
      <w:cols w:equalWidth="0" w:num="1">
        <w:col w:w="10960"/>
      </w:cols>
      <w:pgMar w:left="460" w:top="3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2023-04-03T17:14:27Z</dcterms:created>
  <dcterms:modified xsi:type="dcterms:W3CDTF">2023-04-03T17:14:27Z</dcterms:modified>
</cp:coreProperties>
</file>