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McDonald Damien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4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03/15/2022</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3,182</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81,273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03/15/2022</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1,496</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72.89</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79,777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3,182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03/15/2022</w:t>
            </w:r>
          </w:p>
        </w:tc>
        <w:tc>
          <w:tcPr>
            <w:tcW w:w="108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76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3,182</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70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RSUs subject to a four-year vesting schedule, the first vesting occurring on March 15, 2019. The RSUs are subject to forfeiture prior to vesting in accordance with the terms of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03/17/2022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2022-03-17T09:36:15Z</dcterms:created>
  <dcterms:modified xsi:type="dcterms:W3CDTF">2022-03-17T09:36:15Z</dcterms:modified>
</cp:coreProperties>
</file>