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6"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1"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36830</wp:posOffset>
            </wp:positionH>
            <wp:positionV relativeFrom="paragraph">
              <wp:posOffset>-238760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3"/>
        </w:trPr>
        <w:tc>
          <w:tcPr>
            <w:tcW w:w="6360" w:type="dxa"/>
            <w:vAlign w:val="bottom"/>
          </w:tcPr>
          <w:p>
            <w:pPr>
              <w:jc w:val="center"/>
              <w:ind w:right="94"/>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60" w:type="dxa"/>
            <w:vAlign w:val="bottom"/>
            <w:vMerge w:val="restart"/>
          </w:tcPr>
          <w:p>
            <w:pPr>
              <w:jc w:val="center"/>
              <w:ind w:right="94"/>
              <w:spacing w:after="0" w:line="144"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3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360" w:type="dxa"/>
            <w:vAlign w:val="bottom"/>
            <w:vMerge w:val="restart"/>
          </w:tcPr>
          <w:p>
            <w:pPr>
              <w:jc w:val="center"/>
              <w:ind w:right="114"/>
              <w:spacing w:after="0"/>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6"/>
        </w:trPr>
        <w:tc>
          <w:tcPr>
            <w:tcW w:w="63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3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6360" w:type="dxa"/>
            <w:vAlign w:val="bottom"/>
            <w:vMerge w:val="restart"/>
          </w:tcPr>
          <w:p>
            <w:pPr>
              <w:jc w:val="center"/>
              <w:ind w:right="9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3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5301615</wp:posOffset>
            </wp:positionH>
            <wp:positionV relativeFrom="paragraph">
              <wp:posOffset>-640715</wp:posOffset>
            </wp:positionV>
            <wp:extent cx="59055" cy="6540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050"/>
                    </a:xfrm>
                    <a:prstGeom prst="rect">
                      <a:avLst/>
                    </a:prstGeom>
                    <a:noFill/>
                  </pic:spPr>
                </pic:pic>
              </a:graphicData>
            </a:graphic>
          </wp:anchor>
        </w:drawing>
        <w:drawing>
          <wp:anchor simplePos="0" relativeHeight="251657728" behindDoc="1" locked="0" layoutInCell="0" allowOverlap="1">
            <wp:simplePos x="0" y="0"/>
            <wp:positionH relativeFrom="column">
              <wp:posOffset>4027170</wp:posOffset>
            </wp:positionH>
            <wp:positionV relativeFrom="paragraph">
              <wp:posOffset>-640715</wp:posOffset>
            </wp:positionV>
            <wp:extent cx="59055" cy="6540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05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-1595755</wp:posOffset>
            </wp:positionH>
            <wp:positionV relativeFrom="paragraph">
              <wp:posOffset>23495</wp:posOffset>
            </wp:positionV>
            <wp:extent cx="6990715" cy="5557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0715" cy="5557520"/>
                    </a:xfrm>
                    <a:prstGeom prst="rect">
                      <a:avLst/>
                    </a:prstGeom>
                    <a:noFill/>
                  </pic:spPr>
                </pic:pic>
              </a:graphicData>
            </a:graphic>
          </wp:anchor>
        </w:drawing>
      </w:r>
    </w:p>
    <w:p>
      <w:pPr>
        <w:spacing w:after="0" w:line="111" w:lineRule="exact"/>
        <w:rPr>
          <w:sz w:val="24"/>
          <w:szCs w:val="24"/>
          <w:color w:val="auto"/>
        </w:rPr>
      </w:pPr>
    </w:p>
    <w:p>
      <w:pPr>
        <w:sectPr>
          <w:pgSz w:w="11900" w:h="16838" w:orient="portrait"/>
          <w:cols w:equalWidth="0" w:num="2">
            <w:col w:w="2180" w:space="320"/>
            <w:col w:w="8580"/>
          </w:cols>
          <w:pgMar w:left="460" w:top="224" w:right="359" w:bottom="1440" w:gutter="0" w:footer="0" w:header="0"/>
        </w:sectPr>
      </w:pPr>
    </w:p>
    <w:p>
      <w:pPr>
        <w:spacing w:after="0" w:line="5"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Shvartsburg Alex</w:t>
        </w:r>
      </w:hyperlink>
    </w:p>
    <w:p>
      <w:pPr>
        <w:spacing w:after="0" w:line="308"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4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340" w:type="dxa"/>
            <w:vAlign w:val="bottom"/>
          </w:tcPr>
          <w:p>
            <w:pPr>
              <w:ind w:left="240"/>
              <w:spacing w:after="0"/>
              <w:rPr>
                <w:sz w:val="20"/>
                <w:szCs w:val="20"/>
                <w:color w:val="auto"/>
              </w:rPr>
            </w:pPr>
            <w:r>
              <w:rPr>
                <w:rFonts w:ascii="Arial" w:cs="Arial" w:eastAsia="Arial" w:hAnsi="Arial"/>
                <w:sz w:val="13"/>
                <w:szCs w:val="13"/>
                <w:color w:val="auto"/>
              </w:rPr>
              <w:t>(First)</w:t>
            </w:r>
          </w:p>
        </w:tc>
        <w:tc>
          <w:tcPr>
            <w:tcW w:w="1320" w:type="dxa"/>
            <w:vAlign w:val="bottom"/>
          </w:tcPr>
          <w:p>
            <w:pPr>
              <w:ind w:left="140"/>
              <w:spacing w:after="0"/>
              <w:rPr>
                <w:sz w:val="20"/>
                <w:szCs w:val="20"/>
                <w:color w:val="auto"/>
              </w:rPr>
            </w:pPr>
            <w:r>
              <w:rPr>
                <w:rFonts w:ascii="Arial" w:cs="Arial" w:eastAsia="Arial" w:hAnsi="Arial"/>
                <w:sz w:val="13"/>
                <w:szCs w:val="13"/>
                <w:color w:val="auto"/>
              </w:rPr>
              <w:t>(Middle)</w:t>
            </w:r>
          </w:p>
        </w:tc>
      </w:tr>
      <w:tr>
        <w:trPr>
          <w:trHeight w:val="276"/>
        </w:trPr>
        <w:tc>
          <w:tcPr>
            <w:tcW w:w="40" w:type="dxa"/>
            <w:vAlign w:val="bottom"/>
          </w:tcPr>
          <w:p>
            <w:pPr>
              <w:spacing w:after="0"/>
              <w:rPr>
                <w:sz w:val="24"/>
                <w:szCs w:val="24"/>
                <w:color w:val="auto"/>
              </w:rPr>
            </w:pPr>
          </w:p>
        </w:tc>
        <w:tc>
          <w:tcPr>
            <w:tcW w:w="2320" w:type="dxa"/>
            <w:vAlign w:val="bottom"/>
            <w:gridSpan w:val="2"/>
          </w:tcPr>
          <w:p>
            <w:pPr>
              <w:spacing w:after="0"/>
              <w:rPr>
                <w:sz w:val="20"/>
                <w:szCs w:val="20"/>
                <w:color w:val="auto"/>
              </w:rPr>
            </w:pPr>
            <w:r>
              <w:rPr>
                <w:rFonts w:ascii="Arial" w:cs="Arial" w:eastAsia="Arial" w:hAnsi="Arial"/>
                <w:sz w:val="17"/>
                <w:szCs w:val="17"/>
                <w:color w:val="0000FF"/>
              </w:rPr>
              <w:t>20 EASTBOURNE TERRACE</w:t>
            </w:r>
          </w:p>
        </w:tc>
        <w:tc>
          <w:tcPr>
            <w:tcW w:w="1320" w:type="dxa"/>
            <w:vAlign w:val="bottom"/>
          </w:tcPr>
          <w:p>
            <w:pPr>
              <w:spacing w:after="0"/>
              <w:rPr>
                <w:sz w:val="24"/>
                <w:szCs w:val="24"/>
                <w:color w:val="auto"/>
              </w:rPr>
            </w:pPr>
          </w:p>
        </w:tc>
      </w:tr>
      <w:tr>
        <w:trPr>
          <w:trHeight w:val="207"/>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340" w:type="dxa"/>
            <w:vAlign w:val="bottom"/>
            <w:tcBorders>
              <w:bottom w:val="single" w:sz="8" w:color="9A9A9A"/>
            </w:tcBorders>
          </w:tcPr>
          <w:p>
            <w:pPr>
              <w:spacing w:after="0"/>
              <w:rPr>
                <w:sz w:val="18"/>
                <w:szCs w:val="18"/>
                <w:color w:val="auto"/>
              </w:rPr>
            </w:pPr>
          </w:p>
        </w:tc>
        <w:tc>
          <w:tcPr>
            <w:tcW w:w="1320" w:type="dxa"/>
            <w:vAlign w:val="bottom"/>
            <w:tcBorders>
              <w:bottom w:val="single" w:sz="8" w:color="9A9A9A"/>
            </w:tcBorders>
          </w:tcPr>
          <w:p>
            <w:pPr>
              <w:spacing w:after="0"/>
              <w:rPr>
                <w:sz w:val="18"/>
                <w:szCs w:val="18"/>
                <w:color w:val="auto"/>
              </w:rPr>
            </w:pPr>
          </w:p>
        </w:tc>
      </w:tr>
      <w:tr>
        <w:trPr>
          <w:trHeight w:val="262"/>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36"/>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Arial" w:cs="Arial" w:eastAsia="Arial" w:hAnsi="Arial"/>
                <w:sz w:val="17"/>
                <w:szCs w:val="17"/>
                <w:color w:val="0000FF"/>
              </w:rPr>
              <w:t>LONDON</w:t>
            </w:r>
          </w:p>
        </w:tc>
        <w:tc>
          <w:tcPr>
            <w:tcW w:w="1340" w:type="dxa"/>
            <w:vAlign w:val="bottom"/>
          </w:tcPr>
          <w:p>
            <w:pPr>
              <w:ind w:left="240"/>
              <w:spacing w:after="0"/>
              <w:rPr>
                <w:sz w:val="20"/>
                <w:szCs w:val="20"/>
                <w:color w:val="auto"/>
              </w:rPr>
            </w:pPr>
            <w:r>
              <w:rPr>
                <w:rFonts w:ascii="Arial" w:cs="Arial" w:eastAsia="Arial" w:hAnsi="Arial"/>
                <w:sz w:val="17"/>
                <w:szCs w:val="17"/>
                <w:color w:val="0000FF"/>
              </w:rPr>
              <w:t>X0</w:t>
            </w:r>
          </w:p>
        </w:tc>
        <w:tc>
          <w:tcPr>
            <w:tcW w:w="1320" w:type="dxa"/>
            <w:vAlign w:val="bottom"/>
          </w:tcPr>
          <w:p>
            <w:pPr>
              <w:ind w:left="140"/>
              <w:spacing w:after="0"/>
              <w:rPr>
                <w:sz w:val="20"/>
                <w:szCs w:val="20"/>
                <w:color w:val="auto"/>
              </w:rPr>
            </w:pPr>
            <w:r>
              <w:rPr>
                <w:rFonts w:ascii="Arial" w:cs="Arial" w:eastAsia="Arial" w:hAnsi="Arial"/>
                <w:sz w:val="17"/>
                <w:szCs w:val="17"/>
                <w:color w:val="0000FF"/>
              </w:rPr>
              <w:t>W26LG</w:t>
            </w:r>
          </w:p>
        </w:tc>
      </w:tr>
      <w:tr>
        <w:trPr>
          <w:trHeight w:val="154"/>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340" w:type="dxa"/>
            <w:vAlign w:val="bottom"/>
          </w:tcPr>
          <w:p>
            <w:pPr>
              <w:ind w:left="240"/>
              <w:spacing w:after="0"/>
              <w:rPr>
                <w:sz w:val="20"/>
                <w:szCs w:val="20"/>
                <w:color w:val="auto"/>
              </w:rPr>
            </w:pPr>
            <w:r>
              <w:rPr>
                <w:rFonts w:ascii="Arial" w:cs="Arial" w:eastAsia="Arial" w:hAnsi="Arial"/>
                <w:sz w:val="13"/>
                <w:szCs w:val="13"/>
                <w:color w:val="auto"/>
              </w:rPr>
              <w:t>(State)</w:t>
            </w:r>
          </w:p>
        </w:tc>
        <w:tc>
          <w:tcPr>
            <w:tcW w:w="1320" w:type="dxa"/>
            <w:vAlign w:val="bottom"/>
          </w:tcPr>
          <w:p>
            <w:pPr>
              <w:ind w:left="1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80" w:type="dxa"/>
            <w:vAlign w:val="bottom"/>
          </w:tcPr>
          <w:p>
            <w:pPr>
              <w:spacing w:after="0"/>
              <w:rPr>
                <w:sz w:val="12"/>
                <w:szCs w:val="12"/>
                <w:color w:val="auto"/>
              </w:rPr>
            </w:pPr>
          </w:p>
        </w:tc>
        <w:tc>
          <w:tcPr>
            <w:tcW w:w="3760" w:type="dxa"/>
            <w:vAlign w:val="bottom"/>
            <w:gridSpan w:val="3"/>
          </w:tcPr>
          <w:p>
            <w:pPr>
              <w:spacing w:after="0" w:line="140" w:lineRule="exact"/>
              <w:rPr>
                <w:rFonts w:ascii="Arial" w:cs="Arial" w:eastAsia="Arial" w:hAnsi="Arial"/>
                <w:sz w:val="16"/>
                <w:szCs w:val="16"/>
                <w:color w:val="0000EE"/>
              </w:rPr>
            </w:pPr>
            <w:hyperlink r:id="rId13">
              <w:r>
                <w:rPr>
                  <w:rFonts w:ascii="Arial" w:cs="Arial" w:eastAsia="Arial" w:hAnsi="Arial"/>
                  <w:sz w:val="16"/>
                  <w:szCs w:val="16"/>
                  <w:color w:val="0000EE"/>
                </w:rPr>
                <w:t xml:space="preserve">LivaNova PLC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LIVN</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98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980" w:type="dxa"/>
            <w:vAlign w:val="bottom"/>
            <w:gridSpan w:val="2"/>
            <w:vMerge w:val="continue"/>
          </w:tcPr>
          <w:p>
            <w:pPr>
              <w:spacing w:after="0"/>
              <w:rPr>
                <w:sz w:val="3"/>
                <w:szCs w:val="3"/>
                <w:color w:val="auto"/>
              </w:rPr>
            </w:pPr>
          </w:p>
        </w:tc>
        <w:tc>
          <w:tcPr>
            <w:tcW w:w="13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480" w:type="dxa"/>
            <w:vAlign w:val="bottom"/>
          </w:tcPr>
          <w:p>
            <w:pPr>
              <w:spacing w:after="0"/>
              <w:rPr>
                <w:sz w:val="3"/>
                <w:szCs w:val="3"/>
                <w:color w:val="auto"/>
              </w:rPr>
            </w:pP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4"/>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4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5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7"/>
        </w:trPr>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2480" w:type="dxa"/>
            <w:vAlign w:val="bottom"/>
            <w:tcBorders>
              <w:bottom w:val="single" w:sz="8" w:color="2C2C2C"/>
            </w:tcBorders>
          </w:tcPr>
          <w:p>
            <w:pPr>
              <w:spacing w:after="0"/>
              <w:rPr>
                <w:sz w:val="7"/>
                <w:szCs w:val="7"/>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5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300" w:type="dxa"/>
            <w:vAlign w:val="bottom"/>
            <w:vMerge w:val="restart"/>
          </w:tcPr>
          <w:p>
            <w:pPr>
              <w:ind w:left="1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6"/>
                <w:szCs w:val="6"/>
                <w:color w:val="auto"/>
              </w:rPr>
            </w:pPr>
          </w:p>
        </w:tc>
        <w:tc>
          <w:tcPr>
            <w:tcW w:w="1500" w:type="dxa"/>
            <w:vAlign w:val="bottom"/>
            <w:vMerge w:val="continue"/>
          </w:tcPr>
          <w:p>
            <w:pPr>
              <w:spacing w:after="0"/>
              <w:rPr>
                <w:sz w:val="6"/>
                <w:szCs w:val="6"/>
                <w:color w:val="auto"/>
              </w:rPr>
            </w:pPr>
          </w:p>
        </w:tc>
        <w:tc>
          <w:tcPr>
            <w:tcW w:w="13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480" w:type="dxa"/>
            <w:vAlign w:val="bottom"/>
            <w:vMerge w:val="continue"/>
          </w:tcPr>
          <w:p>
            <w:pPr>
              <w:spacing w:after="0"/>
              <w:rPr>
                <w:sz w:val="11"/>
                <w:szCs w:val="11"/>
                <w:color w:val="auto"/>
              </w:rPr>
            </w:pPr>
          </w:p>
        </w:tc>
        <w:tc>
          <w:tcPr>
            <w:tcW w:w="1500" w:type="dxa"/>
            <w:vAlign w:val="bottom"/>
          </w:tcPr>
          <w:p>
            <w:pPr>
              <w:ind w:left="100"/>
              <w:spacing w:after="0" w:line="128" w:lineRule="exact"/>
              <w:rPr>
                <w:sz w:val="20"/>
                <w:szCs w:val="20"/>
                <w:color w:val="auto"/>
              </w:rPr>
            </w:pPr>
            <w:r>
              <w:rPr>
                <w:rFonts w:ascii="Arial" w:cs="Arial" w:eastAsia="Arial" w:hAnsi="Arial"/>
                <w:sz w:val="13"/>
                <w:szCs w:val="13"/>
                <w:color w:val="auto"/>
              </w:rPr>
              <w:t>below)</w:t>
            </w:r>
          </w:p>
        </w:tc>
        <w:tc>
          <w:tcPr>
            <w:tcW w:w="1300" w:type="dxa"/>
            <w:vAlign w:val="bottom"/>
          </w:tcPr>
          <w:p>
            <w:pPr>
              <w:ind w:left="16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7"/>
        </w:trPr>
        <w:tc>
          <w:tcPr>
            <w:tcW w:w="1360" w:type="dxa"/>
            <w:vAlign w:val="bottom"/>
            <w:gridSpan w:val="3"/>
          </w:tcPr>
          <w:p>
            <w:pPr>
              <w:ind w:left="80"/>
              <w:spacing w:after="0"/>
              <w:rPr>
                <w:sz w:val="20"/>
                <w:szCs w:val="20"/>
                <w:color w:val="auto"/>
              </w:rPr>
            </w:pPr>
            <w:r>
              <w:rPr>
                <w:rFonts w:ascii="Arial" w:cs="Arial" w:eastAsia="Arial" w:hAnsi="Arial"/>
                <w:sz w:val="17"/>
                <w:szCs w:val="17"/>
                <w:color w:val="0000FF"/>
              </w:rPr>
              <w:t>06/15/2023</w:t>
            </w:r>
          </w:p>
        </w:tc>
        <w:tc>
          <w:tcPr>
            <w:tcW w:w="24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500" w:type="dxa"/>
            <w:vAlign w:val="bottom"/>
            <w:vMerge w:val="restart"/>
          </w:tcPr>
          <w:p>
            <w:pPr>
              <w:ind w:left="1000"/>
              <w:spacing w:after="0"/>
              <w:rPr>
                <w:sz w:val="20"/>
                <w:szCs w:val="20"/>
                <w:color w:val="auto"/>
              </w:rPr>
            </w:pPr>
            <w:r>
              <w:rPr>
                <w:rFonts w:ascii="Arial" w:cs="Arial" w:eastAsia="Arial" w:hAnsi="Arial"/>
                <w:sz w:val="17"/>
                <w:szCs w:val="17"/>
                <w:color w:val="0000FF"/>
              </w:rPr>
              <w:t>CFO</w:t>
            </w: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480" w:type="dxa"/>
            <w:vAlign w:val="bottom"/>
          </w:tcPr>
          <w:p>
            <w:pPr>
              <w:spacing w:after="0"/>
              <w:rPr>
                <w:sz w:val="6"/>
                <w:szCs w:val="6"/>
                <w:color w:val="auto"/>
              </w:rPr>
            </w:pPr>
          </w:p>
        </w:tc>
        <w:tc>
          <w:tcPr>
            <w:tcW w:w="480" w:type="dxa"/>
            <w:vAlign w:val="bottom"/>
          </w:tcPr>
          <w:p>
            <w:pPr>
              <w:spacing w:after="0"/>
              <w:rPr>
                <w:sz w:val="6"/>
                <w:szCs w:val="6"/>
                <w:color w:val="auto"/>
              </w:rPr>
            </w:pPr>
          </w:p>
        </w:tc>
        <w:tc>
          <w:tcPr>
            <w:tcW w:w="1500" w:type="dxa"/>
            <w:vAlign w:val="bottom"/>
            <w:vMerge w:val="continue"/>
          </w:tcPr>
          <w:p>
            <w:pPr>
              <w:spacing w:after="0"/>
              <w:rPr>
                <w:sz w:val="6"/>
                <w:szCs w:val="6"/>
                <w:color w:val="auto"/>
              </w:rPr>
            </w:pPr>
          </w:p>
        </w:tc>
        <w:tc>
          <w:tcPr>
            <w:tcW w:w="1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7"/>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6"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8"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8" w:lineRule="exact"/>
        <w:rPr>
          <w:sz w:val="24"/>
          <w:szCs w:val="24"/>
          <w:color w:val="auto"/>
        </w:rPr>
      </w:pPr>
    </w:p>
    <w:p>
      <w:pPr>
        <w:ind w:left="340" w:right="5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5" w:lineRule="exact"/>
        <w:rPr>
          <w:sz w:val="24"/>
          <w:szCs w:val="24"/>
          <w:color w:val="auto"/>
        </w:rPr>
      </w:pPr>
    </w:p>
    <w:p>
      <w:pPr>
        <w:sectPr>
          <w:pgSz w:w="11900" w:h="16838" w:orient="portrait"/>
          <w:cols w:equalWidth="0" w:num="2">
            <w:col w:w="3760" w:space="80"/>
            <w:col w:w="7240"/>
          </w:cols>
          <w:pgMar w:left="460" w:top="224"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320" w:type="dxa"/>
            <w:vAlign w:val="bottom"/>
          </w:tcPr>
          <w:p>
            <w:pPr>
              <w:spacing w:after="0"/>
              <w:rPr>
                <w:sz w:val="13"/>
                <w:szCs w:val="13"/>
                <w:color w:val="auto"/>
              </w:rPr>
            </w:pPr>
          </w:p>
        </w:tc>
        <w:tc>
          <w:tcPr>
            <w:tcW w:w="170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ind w:left="640"/>
              <w:spacing w:after="0" w:line="129" w:lineRule="exact"/>
              <w:rPr>
                <w:sz w:val="20"/>
                <w:szCs w:val="20"/>
                <w:color w:val="auto"/>
              </w:rPr>
            </w:pPr>
            <w:r>
              <w:rPr>
                <w:rFonts w:ascii="Arial" w:cs="Arial" w:eastAsia="Arial" w:hAnsi="Arial"/>
                <w:sz w:val="12"/>
                <w:szCs w:val="12"/>
                <w:b w:val="1"/>
                <w:bCs w:val="1"/>
                <w:color w:val="auto"/>
              </w:rPr>
              <w:t>Date</w:t>
            </w:r>
          </w:p>
        </w:tc>
        <w:tc>
          <w:tcPr>
            <w:tcW w:w="520" w:type="dxa"/>
            <w:vAlign w:val="bottom"/>
          </w:tcPr>
          <w:p>
            <w:pPr>
              <w:spacing w:after="0"/>
              <w:rPr>
                <w:sz w:val="11"/>
                <w:szCs w:val="11"/>
                <w:color w:val="auto"/>
              </w:rPr>
            </w:pPr>
          </w:p>
        </w:tc>
        <w:tc>
          <w:tcPr>
            <w:tcW w:w="102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9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6"/>
          </w:tcPr>
          <w:p>
            <w:pPr>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102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9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2"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20" w:type="dxa"/>
            <w:vAlign w:val="bottom"/>
            <w:gridSpan w:val="4"/>
          </w:tcPr>
          <w:p>
            <w:pPr>
              <w:ind w:left="100"/>
              <w:spacing w:after="0" w:line="132" w:lineRule="exact"/>
              <w:rPr>
                <w:sz w:val="20"/>
                <w:szCs w:val="20"/>
                <w:color w:val="auto"/>
              </w:rPr>
            </w:pPr>
            <w:r>
              <w:rPr>
                <w:rFonts w:ascii="Arial" w:cs="Arial" w:eastAsia="Arial" w:hAnsi="Arial"/>
                <w:sz w:val="12"/>
                <w:szCs w:val="12"/>
                <w:b w:val="1"/>
                <w:bCs w:val="1"/>
                <w:color w:val="auto"/>
              </w:rPr>
              <w:t>(Month/Day/Year)  8)</w:t>
            </w: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520" w:type="dxa"/>
            <w:vAlign w:val="bottom"/>
          </w:tcPr>
          <w:p>
            <w:pPr>
              <w:spacing w:after="0"/>
              <w:rPr>
                <w:sz w:val="6"/>
                <w:szCs w:val="6"/>
                <w:color w:val="auto"/>
              </w:rPr>
            </w:pPr>
          </w:p>
        </w:tc>
        <w:tc>
          <w:tcPr>
            <w:tcW w:w="26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w w:val="93"/>
              </w:rPr>
              <w:t>(A) or</w:t>
            </w: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5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32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52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4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3"/>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06/15/2023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M</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93"/>
              </w:rPr>
              <w:t>1,577</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A</w:t>
            </w:r>
          </w:p>
        </w:tc>
        <w:tc>
          <w:tcPr>
            <w:tcW w:w="580" w:type="dxa"/>
            <w:vAlign w:val="bottom"/>
            <w:tcBorders>
              <w:bottom w:val="single" w:sz="8" w:color="2C2C2C"/>
            </w:tcBorders>
            <w:gridSpan w:val="2"/>
          </w:tcPr>
          <w:p>
            <w:pPr>
              <w:jc w:val="center"/>
              <w:spacing w:after="0" w:line="317"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(1)</w:t>
            </w:r>
          </w:p>
        </w:tc>
        <w:tc>
          <w:tcPr>
            <w:tcW w:w="16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9,677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3"/>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Ordinary Shares</w:t>
            </w:r>
          </w:p>
        </w:tc>
        <w:tc>
          <w:tcPr>
            <w:tcW w:w="110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740"/>
              <w:spacing w:after="0"/>
              <w:rPr>
                <w:sz w:val="20"/>
                <w:szCs w:val="20"/>
                <w:color w:val="auto"/>
              </w:rPr>
            </w:pPr>
            <w:r>
              <w:rPr>
                <w:rFonts w:ascii="Arial" w:cs="Arial" w:eastAsia="Arial" w:hAnsi="Arial"/>
                <w:sz w:val="17"/>
                <w:szCs w:val="17"/>
                <w:color w:val="0000FF"/>
              </w:rPr>
              <w:t>06/15/2023</w:t>
            </w:r>
          </w:p>
        </w:tc>
        <w:tc>
          <w:tcPr>
            <w:tcW w:w="26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spacing w:after="0"/>
              <w:rPr>
                <w:sz w:val="20"/>
                <w:szCs w:val="20"/>
                <w:color w:val="auto"/>
              </w:rPr>
            </w:pPr>
            <w:r>
              <w:rPr>
                <w:rFonts w:ascii="Arial" w:cs="Arial" w:eastAsia="Arial" w:hAnsi="Arial"/>
                <w:sz w:val="13"/>
                <w:szCs w:val="13"/>
                <w:color w:val="0000FF"/>
              </w:rPr>
              <w:t>F</w:t>
            </w:r>
          </w:p>
        </w:tc>
        <w:tc>
          <w:tcPr>
            <w:tcW w:w="3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0000FF"/>
                <w:w w:val="87"/>
              </w:rPr>
              <w:t>742</w:t>
            </w:r>
            <w:r>
              <w:rPr>
                <w:rFonts w:ascii="Arial" w:cs="Arial" w:eastAsia="Arial" w:hAnsi="Arial"/>
                <w:sz w:val="21"/>
                <w:szCs w:val="21"/>
                <w:color w:val="008000"/>
                <w:w w:val="87"/>
                <w:vertAlign w:val="superscript"/>
              </w:rPr>
              <w:t>(2)</w:t>
            </w:r>
          </w:p>
        </w:tc>
        <w:tc>
          <w:tcPr>
            <w:tcW w:w="56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gridSpan w:val="3"/>
          </w:tcPr>
          <w:p>
            <w:pPr>
              <w:jc w:val="center"/>
              <w:ind w:right="41"/>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48.4</w:t>
            </w:r>
          </w:p>
        </w:tc>
        <w:tc>
          <w:tcPr>
            <w:tcW w:w="1160" w:type="dxa"/>
            <w:vAlign w:val="bottom"/>
            <w:tcBorders>
              <w:bottom w:val="single" w:sz="8" w:color="2C2C2C"/>
            </w:tcBorders>
            <w:gridSpan w:val="2"/>
          </w:tcPr>
          <w:p>
            <w:pPr>
              <w:ind w:left="380"/>
              <w:spacing w:after="0"/>
              <w:rPr>
                <w:sz w:val="20"/>
                <w:szCs w:val="20"/>
                <w:color w:val="auto"/>
              </w:rPr>
            </w:pPr>
            <w:r>
              <w:rPr>
                <w:rFonts w:ascii="Arial" w:cs="Arial" w:eastAsia="Arial" w:hAnsi="Arial"/>
                <w:sz w:val="17"/>
                <w:szCs w:val="17"/>
                <w:color w:val="0000FF"/>
              </w:rPr>
              <w:t>8,935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5"/>
          </w:tcPr>
          <w:p>
            <w:pPr>
              <w:ind w:left="9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380" w:type="dxa"/>
            <w:vAlign w:val="bottom"/>
            <w:gridSpan w:val="12"/>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1160" w:type="dxa"/>
            <w:vAlign w:val="bottom"/>
            <w:tcBorders>
              <w:bottom w:val="single" w:sz="8" w:color="2C2C2C"/>
            </w:tcBorders>
            <w:gridSpan w:val="3"/>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3"/>
          </w:tcPr>
          <w:p>
            <w:pPr>
              <w:ind w:left="40"/>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480" w:type="dxa"/>
            <w:vAlign w:val="bottom"/>
          </w:tcPr>
          <w:p>
            <w:pPr>
              <w:spacing w:after="0"/>
              <w:rPr>
                <w:sz w:val="11"/>
                <w:szCs w:val="11"/>
                <w:color w:val="auto"/>
              </w:rPr>
            </w:pPr>
          </w:p>
        </w:tc>
        <w:tc>
          <w:tcPr>
            <w:tcW w:w="6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20" w:type="dxa"/>
            <w:vAlign w:val="bottom"/>
            <w:gridSpan w:val="4"/>
          </w:tcPr>
          <w:p>
            <w:pPr>
              <w:ind w:left="40"/>
              <w:spacing w:after="0" w:line="132" w:lineRule="exact"/>
              <w:rPr>
                <w:sz w:val="20"/>
                <w:szCs w:val="20"/>
                <w:color w:val="auto"/>
              </w:rPr>
            </w:pPr>
            <w:r>
              <w:rPr>
                <w:rFonts w:ascii="Arial" w:cs="Arial" w:eastAsia="Arial" w:hAnsi="Arial"/>
                <w:sz w:val="12"/>
                <w:szCs w:val="12"/>
                <w:b w:val="1"/>
                <w:bCs w:val="1"/>
                <w:color w:val="auto"/>
              </w:rPr>
              <w:t>Security (Instr. 3</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and 4)</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Date</w:t>
            </w:r>
          </w:p>
        </w:tc>
        <w:tc>
          <w:tcPr>
            <w:tcW w:w="8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2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700" w:type="dxa"/>
            <w:vAlign w:val="bottom"/>
            <w:gridSpan w:val="2"/>
            <w:vMerge w:val="continue"/>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w w:val="95"/>
              </w:rPr>
              <w:t>Exercisable</w:t>
            </w:r>
          </w:p>
        </w:tc>
        <w:tc>
          <w:tcPr>
            <w:tcW w:w="80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vMerge w:val="continue"/>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Restricted</w:t>
            </w:r>
          </w:p>
        </w:tc>
        <w:tc>
          <w:tcPr>
            <w:tcW w:w="7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Ordinary</w:t>
            </w:r>
          </w:p>
        </w:tc>
        <w:tc>
          <w:tcPr>
            <w:tcW w:w="520" w:type="dxa"/>
            <w:vAlign w:val="bottom"/>
            <w:vMerge w:val="restart"/>
          </w:tcPr>
          <w:p>
            <w:pPr>
              <w:ind w:left="40"/>
              <w:spacing w:after="0"/>
              <w:rPr>
                <w:sz w:val="20"/>
                <w:szCs w:val="20"/>
                <w:color w:val="auto"/>
              </w:rPr>
            </w:pPr>
            <w:r>
              <w:rPr>
                <w:rFonts w:ascii="Arial" w:cs="Arial" w:eastAsia="Arial" w:hAnsi="Arial"/>
                <w:sz w:val="17"/>
                <w:szCs w:val="17"/>
                <w:color w:val="0000FF"/>
              </w:rPr>
              <w:t>1,577</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700" w:type="dxa"/>
            <w:vAlign w:val="bottom"/>
          </w:tcPr>
          <w:p>
            <w:pPr>
              <w:ind w:left="60"/>
              <w:spacing w:after="0" w:line="128" w:lineRule="exact"/>
              <w:rPr>
                <w:sz w:val="20"/>
                <w:szCs w:val="20"/>
                <w:color w:val="auto"/>
              </w:rPr>
            </w:pPr>
            <w:r>
              <w:rPr>
                <w:rFonts w:ascii="Arial" w:cs="Arial" w:eastAsia="Arial" w:hAnsi="Arial"/>
                <w:sz w:val="13"/>
                <w:szCs w:val="13"/>
                <w:color w:val="0000FF"/>
              </w:rPr>
              <w:t>Stock</w:t>
            </w:r>
          </w:p>
        </w:tc>
        <w:tc>
          <w:tcPr>
            <w:tcW w:w="780" w:type="dxa"/>
            <w:vAlign w:val="bottom"/>
          </w:tcPr>
          <w:p>
            <w:pPr>
              <w:ind w:left="320"/>
              <w:spacing w:after="0"/>
              <w:rPr>
                <w:sz w:val="20"/>
                <w:szCs w:val="20"/>
                <w:color w:val="auto"/>
              </w:rPr>
            </w:pPr>
            <w:r>
              <w:rPr>
                <w:rFonts w:ascii="Arial" w:cs="Arial" w:eastAsia="Arial" w:hAnsi="Arial"/>
                <w:sz w:val="11"/>
                <w:szCs w:val="11"/>
                <w:color w:val="008000"/>
              </w:rPr>
              <w:t>(3)</w:t>
            </w:r>
          </w:p>
        </w:tc>
        <w:tc>
          <w:tcPr>
            <w:tcW w:w="1100" w:type="dxa"/>
            <w:vAlign w:val="bottom"/>
          </w:tcPr>
          <w:p>
            <w:pPr>
              <w:ind w:left="260"/>
              <w:spacing w:after="0" w:line="128" w:lineRule="exact"/>
              <w:rPr>
                <w:sz w:val="20"/>
                <w:szCs w:val="20"/>
                <w:color w:val="auto"/>
              </w:rPr>
            </w:pPr>
            <w:r>
              <w:rPr>
                <w:rFonts w:ascii="Arial" w:cs="Arial" w:eastAsia="Arial" w:hAnsi="Arial"/>
                <w:sz w:val="13"/>
                <w:szCs w:val="13"/>
                <w:color w:val="0000FF"/>
              </w:rPr>
              <w:t>06/15/2023</w:t>
            </w:r>
          </w:p>
        </w:tc>
        <w:tc>
          <w:tcPr>
            <w:tcW w:w="1120" w:type="dxa"/>
            <w:vAlign w:val="bottom"/>
          </w:tcPr>
          <w:p>
            <w:pPr>
              <w:spacing w:after="0"/>
              <w:rPr>
                <w:sz w:val="11"/>
                <w:szCs w:val="11"/>
                <w:color w:val="auto"/>
              </w:rPr>
            </w:pPr>
          </w:p>
        </w:tc>
        <w:tc>
          <w:tcPr>
            <w:tcW w:w="520" w:type="dxa"/>
            <w:vAlign w:val="bottom"/>
          </w:tcPr>
          <w:p>
            <w:pPr>
              <w:ind w:left="180"/>
              <w:spacing w:after="0" w:line="128" w:lineRule="exact"/>
              <w:rPr>
                <w:sz w:val="20"/>
                <w:szCs w:val="20"/>
                <w:color w:val="auto"/>
              </w:rPr>
            </w:pPr>
            <w:r>
              <w:rPr>
                <w:rFonts w:ascii="Arial" w:cs="Arial" w:eastAsia="Arial" w:hAnsi="Arial"/>
                <w:sz w:val="13"/>
                <w:szCs w:val="13"/>
                <w:color w:val="0000FF"/>
              </w:rPr>
              <w:t>M</w:t>
            </w:r>
          </w:p>
        </w:tc>
        <w:tc>
          <w:tcPr>
            <w:tcW w:w="260" w:type="dxa"/>
            <w:vAlign w:val="bottom"/>
          </w:tcPr>
          <w:p>
            <w:pPr>
              <w:spacing w:after="0"/>
              <w:rPr>
                <w:sz w:val="11"/>
                <w:szCs w:val="11"/>
                <w:color w:val="auto"/>
              </w:rPr>
            </w:pPr>
          </w:p>
        </w:tc>
        <w:tc>
          <w:tcPr>
            <w:tcW w:w="760" w:type="dxa"/>
            <w:vAlign w:val="bottom"/>
          </w:tcPr>
          <w:p>
            <w:pPr>
              <w:ind w:left="380"/>
              <w:spacing w:after="0" w:line="128" w:lineRule="exact"/>
              <w:rPr>
                <w:sz w:val="20"/>
                <w:szCs w:val="20"/>
                <w:color w:val="auto"/>
              </w:rPr>
            </w:pPr>
            <w:r>
              <w:rPr>
                <w:rFonts w:ascii="Arial" w:cs="Arial" w:eastAsia="Arial" w:hAnsi="Arial"/>
                <w:sz w:val="13"/>
                <w:szCs w:val="13"/>
                <w:color w:val="0000FF"/>
              </w:rPr>
              <w:t>1,577</w:t>
            </w:r>
          </w:p>
        </w:tc>
        <w:tc>
          <w:tcPr>
            <w:tcW w:w="700" w:type="dxa"/>
            <w:vAlign w:val="bottom"/>
            <w:gridSpan w:val="2"/>
          </w:tcPr>
          <w:p>
            <w:pPr>
              <w:jc w:val="center"/>
              <w:spacing w:after="0"/>
              <w:rPr>
                <w:sz w:val="20"/>
                <w:szCs w:val="20"/>
                <w:color w:val="auto"/>
              </w:rPr>
            </w:pPr>
            <w:r>
              <w:rPr>
                <w:rFonts w:ascii="Arial" w:cs="Arial" w:eastAsia="Arial" w:hAnsi="Arial"/>
                <w:sz w:val="11"/>
                <w:szCs w:val="11"/>
                <w:color w:val="008000"/>
              </w:rPr>
              <w:t>(4)</w:t>
            </w:r>
          </w:p>
        </w:tc>
        <w:tc>
          <w:tcPr>
            <w:tcW w:w="320" w:type="dxa"/>
            <w:vAlign w:val="bottom"/>
          </w:tcPr>
          <w:p>
            <w:pPr>
              <w:spacing w:after="0"/>
              <w:rPr>
                <w:sz w:val="11"/>
                <w:szCs w:val="11"/>
                <w:color w:val="auto"/>
              </w:rPr>
            </w:pPr>
          </w:p>
        </w:tc>
        <w:tc>
          <w:tcPr>
            <w:tcW w:w="480" w:type="dxa"/>
            <w:vAlign w:val="bottom"/>
          </w:tcPr>
          <w:p>
            <w:pPr>
              <w:ind w:left="40"/>
              <w:spacing w:after="0"/>
              <w:rPr>
                <w:sz w:val="20"/>
                <w:szCs w:val="20"/>
                <w:color w:val="auto"/>
              </w:rPr>
            </w:pPr>
            <w:r>
              <w:rPr>
                <w:rFonts w:ascii="Arial" w:cs="Arial" w:eastAsia="Arial" w:hAnsi="Arial"/>
                <w:sz w:val="11"/>
                <w:szCs w:val="11"/>
                <w:color w:val="008000"/>
              </w:rPr>
              <w:t>(4)</w:t>
            </w:r>
          </w:p>
        </w:tc>
        <w:tc>
          <w:tcPr>
            <w:tcW w:w="640" w:type="dxa"/>
            <w:vAlign w:val="bottom"/>
            <w:gridSpan w:val="2"/>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20" w:type="dxa"/>
            <w:vAlign w:val="bottom"/>
          </w:tcPr>
          <w:p>
            <w:pPr>
              <w:ind w:left="80"/>
              <w:spacing w:after="0" w:line="12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40" w:type="dxa"/>
            <w:vAlign w:val="bottom"/>
          </w:tcPr>
          <w:p>
            <w:pPr>
              <w:ind w:left="300"/>
              <w:spacing w:after="0" w:line="128" w:lineRule="exact"/>
              <w:rPr>
                <w:sz w:val="20"/>
                <w:szCs w:val="20"/>
                <w:color w:val="auto"/>
              </w:rPr>
            </w:pPr>
            <w:r>
              <w:rPr>
                <w:rFonts w:ascii="Arial" w:cs="Arial" w:eastAsia="Arial" w:hAnsi="Arial"/>
                <w:sz w:val="13"/>
                <w:szCs w:val="13"/>
                <w:color w:val="0000FF"/>
                <w:w w:val="98"/>
              </w:rPr>
              <w:t>1,576</w:t>
            </w:r>
          </w:p>
        </w:tc>
        <w:tc>
          <w:tcPr>
            <w:tcW w:w="280" w:type="dxa"/>
            <w:vAlign w:val="bottom"/>
          </w:tcPr>
          <w:p>
            <w:pPr>
              <w:spacing w:after="0"/>
              <w:rPr>
                <w:sz w:val="11"/>
                <w:szCs w:val="11"/>
                <w:color w:val="auto"/>
              </w:rPr>
            </w:pPr>
          </w:p>
        </w:tc>
        <w:tc>
          <w:tcPr>
            <w:tcW w:w="680" w:type="dxa"/>
            <w:vAlign w:val="bottom"/>
          </w:tcPr>
          <w:p>
            <w:pPr>
              <w:ind w:left="320"/>
              <w:spacing w:after="0" w:line="128"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Arial" w:cs="Arial" w:eastAsia="Arial" w:hAnsi="Arial"/>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ind w:left="20"/>
              <w:spacing w:after="0" w:line="146" w:lineRule="exact"/>
              <w:rPr>
                <w:sz w:val="20"/>
                <w:szCs w:val="20"/>
                <w:color w:val="auto"/>
              </w:rPr>
            </w:pPr>
            <w:r>
              <w:rPr>
                <w:rFonts w:ascii="Arial" w:cs="Arial" w:eastAsia="Arial" w:hAnsi="Arial"/>
                <w:sz w:val="13"/>
                <w:szCs w:val="13"/>
                <w:color w:val="0000FF"/>
              </w:rPr>
              <w:t>Shares</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520" w:type="dxa"/>
            <w:vAlign w:val="bottom"/>
          </w:tcPr>
          <w:p>
            <w:pPr>
              <w:spacing w:after="0"/>
              <w:rPr>
                <w:sz w:val="3"/>
                <w:szCs w:val="3"/>
                <w:color w:val="auto"/>
              </w:rPr>
            </w:pPr>
          </w:p>
        </w:tc>
        <w:tc>
          <w:tcPr>
            <w:tcW w:w="2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-2141220</wp:posOffset>
            </wp:positionV>
            <wp:extent cx="29210" cy="21456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45665"/>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6" w:lineRule="exact"/>
        <w:rPr>
          <w:sz w:val="24"/>
          <w:szCs w:val="24"/>
          <w:color w:val="auto"/>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had vested restricted stock units (RSUs) settled in ordinary shares of LivaNova PLC (the Company), GBP 1.00 par value.</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referenced shares were withheld from distribution at the request of reporting person to satisfy tax liability.</w:t>
      </w:r>
    </w:p>
    <w:p>
      <w:pPr>
        <w:spacing w:after="0" w:line="48" w:lineRule="exact"/>
        <w:rPr>
          <w:rFonts w:ascii="Arial" w:cs="Arial" w:eastAsia="Arial" w:hAnsi="Arial"/>
          <w:sz w:val="13"/>
          <w:szCs w:val="13"/>
          <w:color w:val="008000"/>
        </w:rPr>
      </w:pPr>
    </w:p>
    <w:p>
      <w:pPr>
        <w:ind w:left="40" w:right="28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one ordinary share of the Company, GBP 1.00 par value, in accordance with the terms of the LivaNova PLC 2015 Incentive Award Plan (the Plan) and the award agreement.</w:t>
      </w:r>
    </w:p>
    <w:p>
      <w:pPr>
        <w:spacing w:after="0" w:line="21" w:lineRule="exact"/>
        <w:rPr>
          <w:rFonts w:ascii="Arial" w:cs="Arial" w:eastAsia="Arial" w:hAnsi="Arial"/>
          <w:sz w:val="13"/>
          <w:szCs w:val="13"/>
          <w:color w:val="008000"/>
        </w:rPr>
      </w:pPr>
    </w:p>
    <w:p>
      <w:pPr>
        <w:ind w:left="40" w:right="260" w:firstLine="5"/>
        <w:spacing w:after="0" w:line="258"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June 15, 2020, reporting person was granted RSUs subject to a four-year vesting schedule, the first vesting for which occurred on June 15, 2021. The RSUs are subject to forfeiture prior to vesting in accordance with the terms of the Plan and the award agreement.</w:t>
      </w:r>
    </w:p>
    <w:p>
      <w:pPr>
        <w:spacing w:after="0" w:line="1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60" w:type="dxa"/>
            <w:vAlign w:val="bottom"/>
            <w:gridSpan w:val="2"/>
          </w:tcPr>
          <w:p>
            <w:pPr>
              <w:spacing w:after="0"/>
              <w:rPr>
                <w:sz w:val="20"/>
                <w:szCs w:val="20"/>
                <w:color w:val="auto"/>
              </w:rPr>
            </w:pPr>
            <w:r>
              <w:rPr>
                <w:rFonts w:ascii="Arial" w:cs="Arial" w:eastAsia="Arial" w:hAnsi="Arial"/>
                <w:sz w:val="17"/>
                <w:szCs w:val="17"/>
                <w:color w:val="0000FF"/>
              </w:rPr>
              <w:t>/s/ Sarah K. Mohr, POA</w:t>
            </w:r>
          </w:p>
        </w:tc>
        <w:tc>
          <w:tcPr>
            <w:tcW w:w="940" w:type="dxa"/>
            <w:vAlign w:val="bottom"/>
            <w:gridSpan w:val="2"/>
          </w:tcPr>
          <w:p>
            <w:pPr>
              <w:ind w:left="140"/>
              <w:spacing w:after="0"/>
              <w:rPr>
                <w:sz w:val="20"/>
                <w:szCs w:val="20"/>
                <w:color w:val="auto"/>
              </w:rPr>
            </w:pPr>
            <w:r>
              <w:rPr>
                <w:rFonts w:ascii="Arial" w:cs="Arial" w:eastAsia="Arial" w:hAnsi="Arial"/>
                <w:sz w:val="17"/>
                <w:szCs w:val="17"/>
                <w:color w:val="0000FF"/>
                <w:w w:val="91"/>
              </w:rPr>
              <w:t>06/20/2023</w:t>
            </w:r>
          </w:p>
        </w:tc>
      </w:tr>
      <w:tr>
        <w:trPr>
          <w:trHeight w:val="20"/>
        </w:trPr>
        <w:tc>
          <w:tcPr>
            <w:tcW w:w="16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29"/>
        </w:trPr>
        <w:tc>
          <w:tcPr>
            <w:tcW w:w="206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40" w:type="dxa"/>
            <w:vAlign w:val="bottom"/>
            <w:gridSpan w:val="2"/>
          </w:tcPr>
          <w:p>
            <w:pPr>
              <w:ind w:left="140"/>
              <w:spacing w:after="0"/>
              <w:rPr>
                <w:sz w:val="20"/>
                <w:szCs w:val="20"/>
                <w:color w:val="auto"/>
              </w:rPr>
            </w:pPr>
            <w:r>
              <w:rPr>
                <w:rFonts w:ascii="Arial" w:cs="Arial" w:eastAsia="Arial" w:hAnsi="Arial"/>
                <w:sz w:val="13"/>
                <w:szCs w:val="13"/>
                <w:color w:val="auto"/>
              </w:rPr>
              <w:t>Date</w:t>
            </w:r>
          </w:p>
        </w:tc>
      </w:tr>
    </w:tbl>
    <w:p>
      <w:pPr>
        <w:spacing w:after="0" w:line="3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8" w:lineRule="exact"/>
        <w:rPr>
          <w:sz w:val="24"/>
          <w:szCs w:val="24"/>
          <w:color w:val="auto"/>
        </w:rPr>
      </w:pPr>
    </w:p>
    <w:p>
      <w:pPr>
        <w:jc w:val="both"/>
        <w:ind w:left="40" w:right="342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4" w:right="35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9"/>
          <w:szCs w:val="19"/>
          <w:b w:val="1"/>
          <w:bCs w:val="1"/>
          <w:u w:val="single" w:color="auto"/>
          <w:color w:val="auto"/>
        </w:rPr>
        <w:t>POWER OF ATTORNEY</w:t>
      </w:r>
    </w:p>
    <w:p>
      <w:pPr>
        <w:spacing w:after="0" w:line="223" w:lineRule="exact"/>
        <w:rPr>
          <w:sz w:val="20"/>
          <w:szCs w:val="20"/>
          <w:color w:val="auto"/>
        </w:rPr>
      </w:pPr>
    </w:p>
    <w:p>
      <w:pPr>
        <w:ind w:firstLine="634"/>
        <w:spacing w:after="0" w:line="305" w:lineRule="auto"/>
        <w:rPr>
          <w:sz w:val="20"/>
          <w:szCs w:val="20"/>
          <w:color w:val="auto"/>
        </w:rPr>
      </w:pPr>
      <w:r>
        <w:rPr>
          <w:rFonts w:ascii="Arial" w:cs="Arial" w:eastAsia="Arial" w:hAnsi="Arial"/>
          <w:sz w:val="19"/>
          <w:szCs w:val="19"/>
          <w:color w:val="auto"/>
        </w:rPr>
        <w:t>Know all by these presents, that the undersigned hereby constitutes and appoints each of (i) the General Counsel of LivaNova PLC, a public limited company organized under the laws of England and Wales (the “Company”), who is currently Keyna Skeffington and the Company’s internal counsel who is currently Sarah K. Mohr, and their respective successors, signing singly, the undersigned’s true and lawful attorney-in-fact to:</w:t>
      </w:r>
    </w:p>
    <w:p>
      <w:pPr>
        <w:spacing w:after="0" w:line="130" w:lineRule="exact"/>
        <w:rPr>
          <w:sz w:val="20"/>
          <w:szCs w:val="20"/>
          <w:color w:val="auto"/>
        </w:rPr>
      </w:pPr>
    </w:p>
    <w:p>
      <w:pPr>
        <w:ind w:left="1280" w:right="40" w:hanging="641"/>
        <w:spacing w:after="0" w:line="336" w:lineRule="auto"/>
        <w:tabs>
          <w:tab w:leader="none" w:pos="12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 for and on behalf of the undersigned, in the undersigned’s capacity as a director or officer of the Company, Forms 3 and 4 (including amendments thereto) in accordance with Section 16(a) of the Securities Exchange Act of 1934 and the rules and regulations thereunder and a Form ID, Uniform Application for Access Codes to File on EDGAR;</w:t>
      </w:r>
    </w:p>
    <w:p>
      <w:pPr>
        <w:spacing w:after="0" w:line="107" w:lineRule="exact"/>
        <w:rPr>
          <w:rFonts w:ascii="Arial" w:cs="Arial" w:eastAsia="Arial" w:hAnsi="Arial"/>
          <w:sz w:val="18"/>
          <w:szCs w:val="18"/>
          <w:color w:val="auto"/>
        </w:rPr>
      </w:pPr>
    </w:p>
    <w:p>
      <w:pPr>
        <w:ind w:left="1280" w:right="80" w:hanging="641"/>
        <w:spacing w:after="0" w:line="355"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do and perform any and all acts for and on behalf of the undersigned which may be necessary or desirable to complete and executed any such Forms 3 or 4 or Form ID and timely file such forms (including amendments thereto) and application with the United States Securities and Exchange Commission and any stock exchange or similar authority; and</w:t>
      </w:r>
    </w:p>
    <w:p>
      <w:pPr>
        <w:spacing w:after="0" w:line="109" w:lineRule="exact"/>
        <w:rPr>
          <w:rFonts w:ascii="Arial" w:cs="Arial" w:eastAsia="Arial" w:hAnsi="Arial"/>
          <w:sz w:val="17"/>
          <w:szCs w:val="17"/>
          <w:color w:val="auto"/>
        </w:rPr>
      </w:pPr>
    </w:p>
    <w:p>
      <w:pPr>
        <w:ind w:left="1280" w:right="40" w:hanging="641"/>
        <w:spacing w:after="0" w:line="344" w:lineRule="auto"/>
        <w:tabs>
          <w:tab w:leader="none" w:pos="12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20" w:lineRule="exact"/>
        <w:rPr>
          <w:sz w:val="20"/>
          <w:szCs w:val="20"/>
          <w:color w:val="auto"/>
        </w:rPr>
      </w:pPr>
    </w:p>
    <w:p>
      <w:pPr>
        <w:ind w:right="40" w:firstLine="634"/>
        <w:spacing w:after="0" w:line="316" w:lineRule="auto"/>
        <w:rPr>
          <w:sz w:val="20"/>
          <w:szCs w:val="20"/>
          <w:color w:val="auto"/>
        </w:rPr>
      </w:pPr>
      <w:r>
        <w:rPr>
          <w:rFonts w:ascii="Arial" w:cs="Arial" w:eastAsia="Arial" w:hAnsi="Arial"/>
          <w:sz w:val="18"/>
          <w:szCs w:val="18"/>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Securities Exchange Act of 1934.</w:t>
      </w:r>
    </w:p>
    <w:p>
      <w:pPr>
        <w:spacing w:after="0" w:line="125" w:lineRule="exact"/>
        <w:rPr>
          <w:sz w:val="20"/>
          <w:szCs w:val="20"/>
          <w:color w:val="auto"/>
        </w:rPr>
      </w:pPr>
    </w:p>
    <w:p>
      <w:pPr>
        <w:ind w:firstLine="634"/>
        <w:spacing w:after="0" w:line="299" w:lineRule="auto"/>
        <w:rPr>
          <w:sz w:val="20"/>
          <w:szCs w:val="20"/>
          <w:color w:val="auto"/>
        </w:rPr>
      </w:pPr>
      <w:r>
        <w:rPr>
          <w:rFonts w:ascii="Arial" w:cs="Arial" w:eastAsia="Arial" w:hAnsi="Arial"/>
          <w:sz w:val="19"/>
          <w:szCs w:val="19"/>
          <w:color w:val="auto"/>
        </w:rPr>
        <w:t>The undersigned agrees that each such attorney-in-fact herein may rely entirely on information furnished orally or in writing by the undersigned to such attorney-in-fact. The undersigned also agrees to indemnify and hold harmless the Company and each such attorney-in-fact against any losses, claims, damages or liabilities (or actions in these respects) that arise out of or are based upon any untrue statements or omission of necessary facts in the information provided by the undersigned to such attorney-in-fact for purposes of executing, acknowledging, delivering or filing Forms 3 or 4 (including amendments thereto) or Form ID and agrees to reimburse the Company and such attorney-in-fact for any legal or other expenses reasonably incurred in connection with investigating or defending against any such loss, claim, damage, liability or action.</w:t>
      </w:r>
    </w:p>
    <w:p>
      <w:pPr>
        <w:spacing w:after="0" w:line="141" w:lineRule="exact"/>
        <w:rPr>
          <w:sz w:val="20"/>
          <w:szCs w:val="20"/>
          <w:color w:val="auto"/>
        </w:rPr>
      </w:pPr>
    </w:p>
    <w:p>
      <w:pPr>
        <w:ind w:right="40" w:firstLine="634"/>
        <w:spacing w:after="0" w:line="351" w:lineRule="auto"/>
        <w:rPr>
          <w:sz w:val="20"/>
          <w:szCs w:val="20"/>
          <w:color w:val="auto"/>
        </w:rPr>
      </w:pPr>
      <w:r>
        <w:rPr>
          <w:rFonts w:ascii="Arial" w:cs="Arial" w:eastAsia="Arial" w:hAnsi="Arial"/>
          <w:sz w:val="18"/>
          <w:szCs w:val="18"/>
          <w:color w:val="auto"/>
        </w:rPr>
        <w:t>This Power of Attorney supersedes any power of attorney previously executed by the undersigned regarding the purposes outlined in the first paragraph hereof, and the authority of the attorneys-in-fact named in any such power of attorney is hereby revoked.</w:t>
      </w:r>
    </w:p>
    <w:p>
      <w:pPr>
        <w:spacing w:after="0" w:line="94" w:lineRule="exact"/>
        <w:rPr>
          <w:sz w:val="20"/>
          <w:szCs w:val="20"/>
          <w:color w:val="auto"/>
        </w:rPr>
      </w:pPr>
    </w:p>
    <w:p>
      <w:pPr>
        <w:ind w:right="80" w:firstLine="634"/>
        <w:spacing w:after="0" w:line="305" w:lineRule="auto"/>
        <w:rPr>
          <w:sz w:val="20"/>
          <w:szCs w:val="20"/>
          <w:color w:val="auto"/>
        </w:rPr>
      </w:pPr>
      <w:r>
        <w:rPr>
          <w:rFonts w:ascii="Arial" w:cs="Arial" w:eastAsia="Arial" w:hAnsi="Arial"/>
          <w:sz w:val="19"/>
          <w:szCs w:val="19"/>
          <w:color w:val="auto"/>
        </w:rPr>
        <w:t>This Power of Attorney shall remain in full force and effect until the undersigned is no longer required to file Forms 3 or 4 with respect to the undersigned’s holdings of and transactions in securities issued by the Company, unless earlier (a) revoked by the undersigned in a signed writing delivered to the foregoing attorneys-in-fact or (b) superseded by a new power of attorney regarding the purposes outlined the first paragraph hereof dated as of a later date.</w:t>
      </w:r>
    </w:p>
    <w:p>
      <w:pPr>
        <w:spacing w:after="0" w:line="130" w:lineRule="exact"/>
        <w:rPr>
          <w:sz w:val="20"/>
          <w:szCs w:val="20"/>
          <w:color w:val="auto"/>
        </w:rPr>
      </w:pPr>
    </w:p>
    <w:p>
      <w:pPr>
        <w:ind w:left="640"/>
        <w:spacing w:after="0"/>
        <w:rPr>
          <w:sz w:val="20"/>
          <w:szCs w:val="20"/>
          <w:color w:val="auto"/>
        </w:rPr>
      </w:pPr>
      <w:r>
        <w:rPr>
          <w:rFonts w:ascii="Arial" w:cs="Arial" w:eastAsia="Arial" w:hAnsi="Arial"/>
          <w:sz w:val="17"/>
          <w:szCs w:val="17"/>
          <w:color w:val="auto"/>
        </w:rPr>
        <w:t xml:space="preserve">IN WITNESS WHEREOF, the undersigned has caused this Power of Attorney to be executed as of this </w:t>
      </w:r>
      <w:r>
        <w:rPr>
          <w:rFonts w:ascii="Arial" w:cs="Arial" w:eastAsia="Arial" w:hAnsi="Arial"/>
          <w:sz w:val="17"/>
          <w:szCs w:val="17"/>
          <w:u w:val="single" w:color="auto"/>
          <w:color w:val="auto"/>
        </w:rPr>
        <w:t>28th</w:t>
      </w:r>
      <w:r>
        <w:rPr>
          <w:rFonts w:ascii="Arial" w:cs="Arial" w:eastAsia="Arial" w:hAnsi="Arial"/>
          <w:sz w:val="17"/>
          <w:szCs w:val="17"/>
          <w:color w:val="auto"/>
        </w:rPr>
        <w:t xml:space="preserve"> day of October 2020.</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9"/>
          <w:szCs w:val="19"/>
          <w:color w:val="auto"/>
        </w:rPr>
        <w:t>/s/ Alex Shvartsburg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-10160</wp:posOffset>
            </wp:positionV>
            <wp:extent cx="13696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color w:val="auto"/>
        </w:rPr>
        <w:t>Alex Shvartsburg</w:t>
      </w:r>
    </w:p>
    <w:sectPr>
      <w:pgSz w:w="11900" w:h="16838" w:orient="portrait"/>
      <w:cols w:equalWidth="0" w:num="1">
        <w:col w:w="10960"/>
      </w:cols>
      <w:pgMar w:left="460" w:top="35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2" Type="http://schemas.openxmlformats.org/officeDocument/2006/relationships/hyperlink" Target="http://www.sec.gov/cgi-bin/browse-edgar?action=getcompany&amp;CIK=0001830830" TargetMode="External"/><Relationship Id="rId13" Type="http://schemas.openxmlformats.org/officeDocument/2006/relationships/hyperlink" Target="http://www.sec.gov/cgi-bin/browse-edgar?action=getcompany&amp;CIK=0001639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2023-06-20T14:45:58Z</dcterms:created>
  <dcterms:modified xsi:type="dcterms:W3CDTF">2023-06-20T14:45:58Z</dcterms:modified>
</cp:coreProperties>
</file>