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074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0749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O'Kane Sharon</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06/29/2021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4" w:val="left"/>
          <w:tab w:leader="none" w:pos="208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15" w:space="720"/>
            <w:col w:w="3345"/>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600" w:type="dxa"/>
            <w:vAlign w:val="bottom"/>
            <w:gridSpan w:val="6"/>
          </w:tcPr>
          <w:p>
            <w:pPr>
              <w:ind w:left="60"/>
              <w:spacing w:after="0" w:line="128" w:lineRule="exact"/>
              <w:rPr>
                <w:sz w:val="20"/>
                <w:szCs w:val="20"/>
                <w:color w:val="auto"/>
              </w:rPr>
            </w:pPr>
            <w:r>
              <w:rPr>
                <w:rFonts w:ascii="Arial" w:cs="Arial" w:eastAsia="Arial" w:hAnsi="Arial"/>
                <w:sz w:val="12"/>
                <w:szCs w:val="12"/>
                <w:b w:val="1"/>
                <w:bCs w:val="1"/>
                <w:color w:val="auto"/>
              </w:rPr>
              <w:t>Transaction  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00" w:type="dxa"/>
            <w:vAlign w:val="bottom"/>
            <w:gridSpan w:val="2"/>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06/29/2021</w:t>
            </w: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6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2,337</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7,360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06/29/2021</w:t>
            </w: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1,099</w:t>
            </w:r>
            <w:r>
              <w:rPr>
                <w:rFonts w:ascii="Arial" w:cs="Arial" w:eastAsia="Arial" w:hAnsi="Arial"/>
                <w:sz w:val="21"/>
                <w:szCs w:val="21"/>
                <w:color w:val="008000"/>
                <w:vertAlign w:val="superscript"/>
              </w:rPr>
              <w:t>(2)</w:t>
            </w:r>
          </w:p>
        </w:tc>
        <w:tc>
          <w:tcPr>
            <w:tcW w:w="5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85.43</w:t>
            </w: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6,261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gridSpan w:val="2"/>
            <w:vMerge w:val="restart"/>
          </w:tcPr>
          <w:p>
            <w:pPr>
              <w:ind w:left="32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ind w:left="220"/>
              <w:spacing w:after="0"/>
              <w:rPr>
                <w:sz w:val="20"/>
                <w:szCs w:val="20"/>
                <w:color w:val="auto"/>
              </w:rPr>
            </w:pPr>
            <w:r>
              <w:rPr>
                <w:rFonts w:ascii="Arial" w:cs="Arial" w:eastAsia="Arial" w:hAnsi="Arial"/>
                <w:sz w:val="11"/>
                <w:szCs w:val="11"/>
                <w:color w:val="008000"/>
              </w:rPr>
              <w:t>(4)</w:t>
            </w:r>
          </w:p>
        </w:tc>
        <w:tc>
          <w:tcPr>
            <w:tcW w:w="640" w:type="dxa"/>
            <w:vAlign w:val="bottom"/>
            <w:gridSpan w:val="2"/>
            <w:vMerge w:val="restart"/>
          </w:tcPr>
          <w:p>
            <w:pPr>
              <w:ind w:left="4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2,337</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vMerge w:val="restart"/>
          </w:tcPr>
          <w:p>
            <w:pPr>
              <w:ind w:left="320"/>
              <w:spacing w:after="0"/>
              <w:rPr>
                <w:sz w:val="20"/>
                <w:szCs w:val="20"/>
                <w:color w:val="auto"/>
              </w:rPr>
            </w:pPr>
            <w:r>
              <w:rPr>
                <w:rFonts w:ascii="Arial" w:cs="Arial" w:eastAsia="Arial" w:hAnsi="Arial"/>
                <w:sz w:val="26"/>
                <w:szCs w:val="26"/>
                <w:color w:val="0000FF"/>
                <w:vertAlign w:val="subscript"/>
              </w:rPr>
              <w:t>0</w:t>
            </w:r>
            <w:r>
              <w:rPr>
                <w:rFonts w:ascii="Arial" w:cs="Arial" w:eastAsia="Arial" w:hAnsi="Arial"/>
                <w:sz w:val="11"/>
                <w:szCs w:val="11"/>
                <w:color w:val="008000"/>
              </w:rPr>
              <w:t>(5)</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06/29/2021</w:t>
            </w:r>
          </w:p>
        </w:tc>
        <w:tc>
          <w:tcPr>
            <w:tcW w:w="1080" w:type="dxa"/>
            <w:vAlign w:val="bottom"/>
          </w:tcPr>
          <w:p>
            <w:pPr>
              <w:spacing w:after="0"/>
              <w:rPr>
                <w:sz w:val="5"/>
                <w:szCs w:val="5"/>
                <w:color w:val="auto"/>
              </w:rPr>
            </w:pPr>
          </w:p>
        </w:tc>
        <w:tc>
          <w:tcPr>
            <w:tcW w:w="62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5"/>
                <w:szCs w:val="5"/>
                <w:color w:val="auto"/>
              </w:rPr>
            </w:pPr>
          </w:p>
        </w:tc>
        <w:tc>
          <w:tcPr>
            <w:tcW w:w="76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2,337</w:t>
            </w: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restart"/>
          </w:tcPr>
          <w:p>
            <w:pPr>
              <w:ind w:left="2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5" w:lineRule="exact"/>
        <w:rPr>
          <w:rFonts w:ascii="Arial" w:cs="Arial" w:eastAsia="Arial" w:hAnsi="Arial"/>
          <w:sz w:val="13"/>
          <w:szCs w:val="13"/>
          <w:color w:val="008000"/>
        </w:rPr>
      </w:pPr>
    </w:p>
    <w:p>
      <w:pPr>
        <w:ind w:left="40" w:right="24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29, 2020, reporting person was granted RSUs to vest and forfeiture restrictions thereon to lapse on June 29, 2021, subject to continued service during the vesting period and the RSU Agreement.</w:t>
      </w:r>
    </w:p>
    <w:p>
      <w:pPr>
        <w:spacing w:after="0" w:line="57" w:lineRule="exact"/>
        <w:rPr>
          <w:rFonts w:ascii="Arial" w:cs="Arial" w:eastAsia="Arial" w:hAnsi="Arial"/>
          <w:sz w:val="12"/>
          <w:szCs w:val="12"/>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number reflects the number of derivative securities beneficially owned following reported transaction for this specific grant.</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Sarah K. Mohr, POA</w:t>
            </w:r>
          </w:p>
        </w:tc>
        <w:tc>
          <w:tcPr>
            <w:tcW w:w="5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07/01/2021</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5598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2021-07-01T18:02:35Z</dcterms:created>
  <dcterms:modified xsi:type="dcterms:W3CDTF">2021-07-01T18:02:35Z</dcterms:modified>
</cp:coreProperties>
</file>