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18288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3810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U.S. Securities and Exchange Commission</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100 F Street N.E.</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August 5, 2026</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Re: Notice of Disclosure Filed in Exchange Act Quarterly Report under Section 219 of the Iran Threat Reduction and Syria Human Rights Act of 2012 and Section 13(r) of the Securities Exchange Act of 1934</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before="0" w:after="0"/>
        <w:jc w:val="left"/>
        <w:rPr/>
      </w:pPr>
      <w:r>
        <w:rPr/>
      </w:r>
    </w:p>
    <w:p>
      <w:pPr>
        <w:pStyle w:val="TextBody"/>
        <w:bidi w:val="0"/>
        <w:spacing w:lineRule="auto" w:line="333" w:before="0" w:after="0"/>
        <w:jc w:val="left"/>
        <w:rPr/>
      </w:pPr>
      <w:r>
        <w:rPr>
          <w:rFonts w:ascii="Times New Roman;serif" w:hAnsi="Times New Roman;serif"/>
          <w:b w:val="false"/>
          <w:color w:val="000000"/>
          <w:sz w:val="24"/>
        </w:rPr>
        <w:t xml:space="preserve">Pursuant to Section 219 of the Iran Threat Reduction and Syria Human Rights Act of 2012 and Section 13(r) of the Securities Exchange Act of 1934, as amended, notice is hereby provided that LivaNova PLC has made disclosure pursuant to those provisions in its Quarterly Report on Form 10-Q for the period ended June 30, 2026, which was filed with the Securities and Exchange Commission on August 5, 2026. The disclosure can be found within Part II, Item 5. </w:t>
      </w:r>
      <w:r>
        <w:rPr>
          <w:rFonts w:ascii="Times New Roman;serif" w:hAnsi="Times New Roman;serif"/>
          <w:b w:val="false"/>
          <w:i/>
          <w:color w:val="000000"/>
          <w:sz w:val="24"/>
        </w:rPr>
        <w:t>Other Information</w:t>
      </w:r>
      <w:r>
        <w:rPr>
          <w:color w:val="000000"/>
        </w:rPr>
        <w:t xml:space="preserve"> </w:t>
      </w:r>
      <w:r>
        <w:rPr>
          <w:rFonts w:ascii="Times New Roman;serif" w:hAnsi="Times New Roman;serif"/>
          <w:b w:val="false"/>
          <w:color w:val="000000"/>
          <w:sz w:val="24"/>
        </w:rPr>
        <w:t>in the Quarterly Report on Form 10-Q.</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Respectfully submitted,</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LivaNova PLC</w:t>
      </w:r>
    </w:p>
    <w:p>
      <w:pPr>
        <w:pStyle w:val="TextBody"/>
        <w:bidi w:val="0"/>
        <w:spacing w:before="0" w:after="0"/>
        <w:jc w:val="left"/>
        <w:rPr/>
      </w:pPr>
      <w:r>
        <w:rPr/>
      </w:r>
    </w:p>
    <w:p>
      <w:pPr>
        <w:pStyle w:val="TextBody"/>
        <w:bidi w:val="0"/>
        <w:spacing w:before="0" w:after="0"/>
        <w:jc w:val="left"/>
        <w:rPr/>
      </w:pPr>
      <w:r>
        <w:rPr/>
      </w:r>
    </w:p>
    <w:tbl>
      <w:tblPr>
        <w:tblW w:w="3795" w:type="dxa"/>
        <w:jc w:val="left"/>
        <w:tblInd w:w="0" w:type="dxa"/>
        <w:tblLayout w:type="fixed"/>
        <w:tblCellMar>
          <w:top w:w="28" w:type="dxa"/>
          <w:left w:w="28" w:type="dxa"/>
          <w:bottom w:w="28" w:type="dxa"/>
          <w:right w:w="28" w:type="dxa"/>
        </w:tblCellMar>
      </w:tblPr>
      <w:tblGrid>
        <w:gridCol w:w="168"/>
        <w:gridCol w:w="148"/>
        <w:gridCol w:w="149"/>
        <w:gridCol w:w="975"/>
        <w:gridCol w:w="975"/>
        <w:gridCol w:w="1380"/>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 VLADIMIR MAKATSARIA</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Vladimir Makatsaria</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bl>
    <w:p>
      <w:pPr>
        <w:pStyle w:val="TextBody"/>
        <w:bidi w:val="0"/>
        <w:spacing w:before="0" w:after="40"/>
        <w:jc w:val="left"/>
        <w:rPr/>
      </w:pPr>
      <w:r>
        <w:rPr/>
      </w:r>
    </w:p>
    <w:p>
      <w:pPr>
        <w:pStyle w:val="TextBody"/>
        <w:bidi w:val="0"/>
        <w:spacing w:before="0" w:after="40"/>
        <w:jc w:val="left"/>
        <w:rPr/>
      </w:pPr>
      <w:r>
        <w:rPr/>
      </w:r>
    </w:p>
    <w:tbl>
      <w:tblPr>
        <w:tblW w:w="3420" w:type="dxa"/>
        <w:jc w:val="left"/>
        <w:tblInd w:w="0" w:type="dxa"/>
        <w:tblLayout w:type="fixed"/>
        <w:tblCellMar>
          <w:top w:w="28" w:type="dxa"/>
          <w:left w:w="28" w:type="dxa"/>
          <w:bottom w:w="28" w:type="dxa"/>
          <w:right w:w="28" w:type="dxa"/>
        </w:tblCellMar>
      </w:tblPr>
      <w:tblGrid>
        <w:gridCol w:w="168"/>
        <w:gridCol w:w="148"/>
        <w:gridCol w:w="149"/>
        <w:gridCol w:w="866"/>
        <w:gridCol w:w="866"/>
        <w:gridCol w:w="1223"/>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 ALEX SHVARTSBURG</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Alex Shvartsburg</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Words>
  <Characters>844</Characters>
  <CharactersWithSpaces>990</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