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290"/>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4"/>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Moore Daniel Jeffrey</w:t>
              </w:r>
            </w:hyperlink>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5"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-1138555</wp:posOffset>
            </wp:positionV>
            <wp:extent cx="6991985" cy="626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626300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20 EASTBOURNE TERRACE</w:t>
            </w:r>
          </w:p>
        </w:tc>
        <w:tc>
          <w:tcPr>
            <w:tcW w:w="13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320" w:type="dxa"/>
            <w:vAlign w:val="bottom"/>
          </w:tcPr>
          <w:p>
            <w:pPr>
              <w:ind w:left="240"/>
              <w:spacing w:after="0"/>
              <w:rPr>
                <w:sz w:val="20"/>
                <w:szCs w:val="20"/>
                <w:color w:val="auto"/>
              </w:rPr>
            </w:pPr>
            <w:r>
              <w:rPr>
                <w:rFonts w:ascii="Arial" w:cs="Arial" w:eastAsia="Arial" w:hAnsi="Arial"/>
                <w:sz w:val="17"/>
                <w:szCs w:val="17"/>
                <w:color w:val="0000FF"/>
              </w:rPr>
              <w:t>X0</w:t>
            </w:r>
          </w:p>
        </w:tc>
        <w:tc>
          <w:tcPr>
            <w:tcW w:w="1340" w:type="dxa"/>
            <w:vAlign w:val="bottom"/>
          </w:tcPr>
          <w:p>
            <w:pPr>
              <w:ind w:left="16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5"/>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06/15/2023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4"/>
        </w:trPr>
        <w:tc>
          <w:tcPr>
            <w:tcW w:w="18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95"/>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sectPr>
          <w:pgSz w:w="11900" w:h="16838" w:orient="portrait"/>
          <w:cols w:equalWidth="0" w:num="2">
            <w:col w:w="3760" w:space="100"/>
            <w:col w:w="7220"/>
          </w:cols>
          <w:pgMar w:left="460" w:top="223" w:right="359" w:bottom="1440" w:gutter="0" w:footer="0" w:header="0"/>
          <w:type w:val="continuous"/>
        </w:sectPr>
      </w:pPr>
    </w:p>
    <w:p>
      <w:pPr>
        <w:ind w:left="416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2,082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27,978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7"/>
              </w:rPr>
              <w:t>444</w:t>
            </w:r>
            <w:r>
              <w:rPr>
                <w:rFonts w:ascii="Arial" w:cs="Arial" w:eastAsia="Arial" w:hAnsi="Arial"/>
                <w:sz w:val="21"/>
                <w:szCs w:val="21"/>
                <w:color w:val="008000"/>
                <w:w w:val="87"/>
                <w:vertAlign w:val="superscript"/>
              </w:rPr>
              <w:t>(2)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27,534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2,082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3"/>
                <w:szCs w:val="13"/>
                <w:color w:val="0000FF"/>
              </w:rPr>
              <w:t>2,082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0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2,680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0"/>
                <w:szCs w:val="10"/>
                <w:color w:val="auto"/>
              </w:rPr>
            </w:pPr>
          </w:p>
        </w:tc>
        <w:tc>
          <w:tcPr>
            <w:tcW w:w="420" w:type="dxa"/>
            <w:vAlign w:val="bottom"/>
          </w:tcPr>
          <w:p>
            <w:pPr>
              <w:ind w:left="60"/>
              <w:spacing w:after="0" w:line="126" w:lineRule="exact"/>
              <w:rPr>
                <w:sz w:val="20"/>
                <w:szCs w:val="20"/>
                <w:color w:val="auto"/>
              </w:rPr>
            </w:pPr>
            <w:r>
              <w:rPr>
                <w:rFonts w:ascii="Arial" w:cs="Arial" w:eastAsia="Arial" w:hAnsi="Arial"/>
                <w:sz w:val="13"/>
                <w:szCs w:val="13"/>
                <w:color w:val="0000FF"/>
              </w:rPr>
              <w:t>2,680</w:t>
            </w:r>
          </w:p>
        </w:tc>
        <w:tc>
          <w:tcPr>
            <w:tcW w:w="460" w:type="dxa"/>
            <w:vAlign w:val="bottom"/>
          </w:tcPr>
          <w:p>
            <w:pPr>
              <w:spacing w:after="0"/>
              <w:rPr>
                <w:sz w:val="10"/>
                <w:szCs w:val="1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ind w:left="24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26" w:lineRule="exact"/>
              <w:rPr>
                <w:sz w:val="20"/>
                <w:szCs w:val="20"/>
                <w:color w:val="auto"/>
              </w:rPr>
            </w:pPr>
            <w:r>
              <w:rPr>
                <w:rFonts w:ascii="Arial" w:cs="Arial" w:eastAsia="Arial" w:hAnsi="Arial"/>
                <w:sz w:val="13"/>
                <w:szCs w:val="13"/>
                <w:color w:val="0000FF"/>
              </w:rPr>
              <w:t>2,680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-2223770</wp:posOffset>
            </wp:positionV>
            <wp:extent cx="29210" cy="2228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2288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2023, reporting person was granted RSUs to vest and forfeiture restrictions thereon to lapse on June 15, 2024, subject to continued service during the vesting period and the award agreement.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Daniel J. Moore</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06/20/2023</w:t>
            </w:r>
          </w:p>
        </w:tc>
      </w:tr>
      <w:tr>
        <w:trPr>
          <w:trHeight w:val="20"/>
        </w:trPr>
        <w:tc>
          <w:tcPr>
            <w:tcW w:w="1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400857" TargetMode="External"/><Relationship Id="rId9"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2023-06-20T14:24:03Z</dcterms:created>
  <dcterms:modified xsi:type="dcterms:W3CDTF">2023-06-20T14:24:03Z</dcterms:modified>
</cp:coreProperties>
</file>