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5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18415</wp:posOffset>
            </wp:positionV>
            <wp:extent cx="7324725" cy="5502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50291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40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Manko Douglas John</w:t>
        </w:r>
      </w:hyperlink>
    </w:p>
    <w:p>
      <w:pPr>
        <w:spacing w:after="0" w:line="31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03/15/2018</w:t>
      </w:r>
    </w:p>
    <w:p>
      <w:pPr>
        <w:spacing w:after="0" w:line="20" w:lineRule="exact"/>
        <w:rPr>
          <w:sz w:val="24"/>
          <w:szCs w:val="24"/>
          <w:color w:val="auto"/>
        </w:rPr>
      </w:pPr>
      <w:r>
        <w:rPr>
          <w:sz w:val="24"/>
          <w:szCs w:val="24"/>
          <w:color w:val="auto"/>
        </w:rPr>
        <w:br w:type="column"/>
      </w:r>
    </w:p>
    <w:p>
      <w:pPr>
        <w:ind w:left="2" w:right="700" w:hanging="2"/>
        <w:spacing w:after="0" w:line="244"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2"/>
        <w:spacing w:after="0"/>
        <w:rPr>
          <w:sz w:val="20"/>
          <w:szCs w:val="20"/>
          <w:color w:val="auto"/>
        </w:rPr>
      </w:pPr>
      <w:r>
        <w:rPr>
          <w:rFonts w:ascii="Arial" w:cs="Arial" w:eastAsia="Arial" w:hAnsi="Arial"/>
          <w:sz w:val="17"/>
          <w:szCs w:val="17"/>
          <w:color w:val="0000FF"/>
        </w:rPr>
        <w:t>Chief Accounting Officer</w:t>
      </w:r>
    </w:p>
    <w:p>
      <w:pPr>
        <w:spacing w:after="0" w:line="321" w:lineRule="exact"/>
        <w:rPr>
          <w:sz w:val="24"/>
          <w:szCs w:val="24"/>
          <w:color w:val="auto"/>
        </w:rPr>
      </w:pPr>
    </w:p>
    <w:p>
      <w:pPr>
        <w:sectPr>
          <w:pgSz w:w="11900" w:h="16838" w:orient="portrait"/>
          <w:cols w:equalWidth="0" w:num="3">
            <w:col w:w="3340" w:space="720"/>
            <w:col w:w="3258" w:space="720"/>
            <w:col w:w="3482"/>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00" w:type="dxa"/>
            <w:vAlign w:val="bottom"/>
          </w:tcPr>
          <w:p>
            <w:pPr>
              <w:ind w:left="260"/>
              <w:spacing w:after="0"/>
              <w:rPr>
                <w:sz w:val="20"/>
                <w:szCs w:val="20"/>
                <w:color w:val="auto"/>
              </w:rPr>
            </w:pPr>
            <w:r>
              <w:rPr>
                <w:rFonts w:ascii="Arial" w:cs="Arial" w:eastAsia="Arial" w:hAnsi="Arial"/>
                <w:sz w:val="17"/>
                <w:szCs w:val="17"/>
                <w:color w:val="0000FF"/>
              </w:rPr>
              <w:t>X0</w:t>
            </w:r>
          </w:p>
        </w:tc>
        <w:tc>
          <w:tcPr>
            <w:tcW w:w="1680" w:type="dxa"/>
            <w:vAlign w:val="bottom"/>
          </w:tcPr>
          <w:p>
            <w:pPr>
              <w:ind w:left="440"/>
              <w:spacing w:after="0"/>
              <w:rPr>
                <w:sz w:val="20"/>
                <w:szCs w:val="20"/>
                <w:color w:val="auto"/>
              </w:rPr>
            </w:pPr>
            <w:r>
              <w:rPr>
                <w:rFonts w:ascii="Arial" w:cs="Arial" w:eastAsia="Arial" w:hAnsi="Arial"/>
                <w:sz w:val="17"/>
                <w:szCs w:val="17"/>
                <w:color w:val="0000FF"/>
              </w:rPr>
              <w:t>W2 6LG</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Derivative</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(Instr. 3 and 4)</w:t>
            </w:r>
          </w:p>
        </w:tc>
        <w:tc>
          <w:tcPr>
            <w:tcW w:w="54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88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03/15/2018</w:t>
            </w:r>
          </w:p>
        </w:tc>
        <w:tc>
          <w:tcPr>
            <w:tcW w:w="112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rPr>
              <w:t>1,131</w:t>
            </w:r>
          </w:p>
        </w:tc>
        <w:tc>
          <w:tcPr>
            <w:tcW w:w="28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tcPr>
          <w:p>
            <w:pPr>
              <w:jc w:val="center"/>
              <w:spacing w:after="0"/>
              <w:rPr>
                <w:sz w:val="20"/>
                <w:szCs w:val="20"/>
                <w:color w:val="auto"/>
              </w:rPr>
            </w:pPr>
            <w:r>
              <w:rPr>
                <w:rFonts w:ascii="Arial" w:cs="Arial" w:eastAsia="Arial" w:hAnsi="Arial"/>
                <w:sz w:val="13"/>
                <w:szCs w:val="13"/>
                <w:color w:val="0000FF"/>
                <w:w w:val="92"/>
              </w:rPr>
              <w:t>Restricted</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1,131</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85"/>
              </w:rPr>
              <w:t>5,165</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00FF"/>
                <w:w w:val="94"/>
              </w:rPr>
              <w:t>Stock Units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00FF"/>
                <w:w w:val="96"/>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3,690</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2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Appreciation</w:t>
            </w:r>
          </w:p>
        </w:tc>
        <w:tc>
          <w:tcPr>
            <w:tcW w:w="800" w:type="dxa"/>
            <w:vAlign w:val="bottom"/>
            <w:vMerge w:val="continue"/>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03/15/2018</w:t>
            </w:r>
          </w:p>
        </w:tc>
        <w:tc>
          <w:tcPr>
            <w:tcW w:w="1120" w:type="dxa"/>
            <w:vAlign w:val="bottom"/>
          </w:tcPr>
          <w:p>
            <w:pPr>
              <w:spacing w:after="0"/>
              <w:rPr>
                <w:sz w:val="5"/>
                <w:szCs w:val="5"/>
                <w:color w:val="auto"/>
              </w:rPr>
            </w:pPr>
          </w:p>
        </w:tc>
        <w:tc>
          <w:tcPr>
            <w:tcW w:w="80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3,690</w:t>
            </w: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0"/>
              </w:rPr>
              <w:t>23,762</w:t>
            </w:r>
          </w:p>
        </w:tc>
        <w:tc>
          <w:tcPr>
            <w:tcW w:w="740" w:type="dxa"/>
            <w:vAlign w:val="bottom"/>
            <w:vMerge w:val="restart"/>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8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5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03/15/2018</w:t>
            </w:r>
          </w:p>
        </w:tc>
        <w:tc>
          <w:tcPr>
            <w:tcW w:w="112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rPr>
              <w:t>1,131</w:t>
            </w:r>
          </w:p>
        </w:tc>
        <w:tc>
          <w:tcPr>
            <w:tcW w:w="28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880" w:type="dxa"/>
            <w:vAlign w:val="bottom"/>
          </w:tcPr>
          <w:p>
            <w:pPr>
              <w:jc w:val="center"/>
              <w:spacing w:after="0"/>
              <w:rPr>
                <w:sz w:val="20"/>
                <w:szCs w:val="20"/>
                <w:color w:val="auto"/>
              </w:rPr>
            </w:pPr>
            <w:r>
              <w:rPr>
                <w:rFonts w:ascii="Arial" w:cs="Arial" w:eastAsia="Arial" w:hAnsi="Arial"/>
                <w:sz w:val="13"/>
                <w:szCs w:val="13"/>
                <w:color w:val="0000FF"/>
                <w:w w:val="88"/>
              </w:rPr>
              <w:t>Performance</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1,131</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85"/>
              </w:rPr>
              <w:t>6,296</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00FF"/>
                <w:w w:val="94"/>
              </w:rPr>
              <w:t>Stock Units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03/15/2018</w:t>
            </w:r>
          </w:p>
        </w:tc>
        <w:tc>
          <w:tcPr>
            <w:tcW w:w="112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rPr>
              <w:t>1,131</w:t>
            </w:r>
          </w:p>
        </w:tc>
        <w:tc>
          <w:tcPr>
            <w:tcW w:w="28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880" w:type="dxa"/>
            <w:vAlign w:val="bottom"/>
          </w:tcPr>
          <w:p>
            <w:pPr>
              <w:jc w:val="center"/>
              <w:spacing w:after="0"/>
              <w:rPr>
                <w:sz w:val="20"/>
                <w:szCs w:val="20"/>
                <w:color w:val="auto"/>
              </w:rPr>
            </w:pPr>
            <w:r>
              <w:rPr>
                <w:rFonts w:ascii="Arial" w:cs="Arial" w:eastAsia="Arial" w:hAnsi="Arial"/>
                <w:sz w:val="13"/>
                <w:szCs w:val="13"/>
                <w:color w:val="0000FF"/>
                <w:w w:val="88"/>
              </w:rPr>
              <w:t>Performance</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1,131</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85"/>
              </w:rPr>
              <w:t>7,427</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00FF"/>
                <w:w w:val="94"/>
              </w:rPr>
              <w:t>Stock Units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4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March 15, 2018, subject to continued service during the vesting period.</w:t>
      </w:r>
    </w:p>
    <w:p>
      <w:pPr>
        <w:spacing w:after="0" w:line="59"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88.38 Conversion or Exercise Price of Derivative Security.</w:t>
      </w:r>
    </w:p>
    <w:p>
      <w:pPr>
        <w:spacing w:after="0" w:line="48" w:lineRule="exact"/>
        <w:rPr>
          <w:rFonts w:ascii="Arial" w:cs="Arial" w:eastAsia="Arial" w:hAnsi="Arial"/>
          <w:sz w:val="13"/>
          <w:szCs w:val="13"/>
          <w:color w:val="008000"/>
        </w:rPr>
      </w:pPr>
    </w:p>
    <w:p>
      <w:pPr>
        <w:ind w:left="40" w:right="16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award agreement, the SARs shall vest in equal installments of 25% on each of the first four anniversaries of the grant date, March 15, 2018.</w:t>
      </w:r>
    </w:p>
    <w:p>
      <w:pPr>
        <w:spacing w:after="0" w:line="22" w:lineRule="exact"/>
        <w:rPr>
          <w:rFonts w:ascii="Arial" w:cs="Arial" w:eastAsia="Arial" w:hAnsi="Arial"/>
          <w:sz w:val="13"/>
          <w:szCs w:val="13"/>
          <w:color w:val="008000"/>
        </w:rPr>
      </w:pPr>
    </w:p>
    <w:p>
      <w:pPr>
        <w:ind w:left="40" w:right="140" w:firstLine="5"/>
        <w:spacing w:after="0" w:line="241"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1,131 PSUs to vest or lapse on the filing of the Company's Annual Report on Form 10-K for the fiscal year ending December 31, 2020 ("2020 Form 10-K") based on the rank of the Company's total shareholder return for the three-year period ending December 31, 2020 relative to the total shareholder return of a benchmark group of companies. The form of agreement for this award was filed with the Securities and Exchange Commission in a Current Report on Form 8-K on March 16, 2018. The number included in column 5 of Table II reflects the target number of PSUs eligible for vesting.</w:t>
      </w:r>
    </w:p>
    <w:p>
      <w:pPr>
        <w:spacing w:after="0" w:line="31" w:lineRule="exact"/>
        <w:rPr>
          <w:rFonts w:ascii="Arial" w:cs="Arial" w:eastAsia="Arial" w:hAnsi="Arial"/>
          <w:sz w:val="13"/>
          <w:szCs w:val="13"/>
          <w:color w:val="008000"/>
        </w:rPr>
      </w:pPr>
    </w:p>
    <w:p>
      <w:pPr>
        <w:ind w:left="40" w:right="320" w:firstLine="5"/>
        <w:spacing w:after="0" w:line="245"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1,131 PSUs to vest or lapse on the filing of the Company's 2020 Form 10-K based on how the Company's cumulative adjusted free cash flow for fiscal years 2018, 2019 and 2020 compares to a target. The form of agreement for this award was filed with the Securities and Exchange Commission on March 16, 2018. The number included in column 5 of Table II reflects the target number of PSUs eligible for vesting.</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Arial" w:cs="Arial" w:eastAsia="Arial" w:hAnsi="Arial"/>
                <w:sz w:val="17"/>
                <w:szCs w:val="17"/>
                <w:color w:val="0000FF"/>
                <w:w w:val="91"/>
              </w:rPr>
              <w:t>Douglas J. Manko</w:t>
            </w:r>
          </w:p>
        </w:tc>
        <w:tc>
          <w:tcPr>
            <w:tcW w:w="84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03/19/2018</w:t>
            </w:r>
          </w:p>
        </w:tc>
      </w:tr>
      <w:tr>
        <w:trPr>
          <w:trHeight w:val="20"/>
        </w:trPr>
        <w:tc>
          <w:tcPr>
            <w:tcW w:w="1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5438"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2019-12-24T09:00:13Z</dcterms:created>
  <dcterms:modified xsi:type="dcterms:W3CDTF">2019-12-24T09:00:13Z</dcterms:modified>
</cp:coreProperties>
</file>