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-232410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-601345</wp:posOffset>
            </wp:positionV>
            <wp:extent cx="8255" cy="6019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-608965</wp:posOffset>
            </wp:positionV>
            <wp:extent cx="8255" cy="6096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-584835</wp:posOffset>
            </wp:positionV>
            <wp:extent cx="1268730" cy="561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56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125" cy="16021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McDonald Damien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LIVN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" w:right="640" w:hanging="2"/>
        <w:spacing w:after="0" w:line="236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42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5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149225</wp:posOffset>
            </wp:positionV>
            <wp:extent cx="6969125" cy="1715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1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13,352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70,251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6,276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76.74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63,975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7,275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3,420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76.74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67,830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13,352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13,352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7,275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7,275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-2121535</wp:posOffset>
            </wp:positionV>
            <wp:extent cx="7034530" cy="2163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had vested restricted stock units (RSUs) settled in ordinary shares of LivaNova PLC (the Company), GBP 1.00 par value.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referenced shares were withheld from distribution at the request of reporting person to satisfy tax liability.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had vested performance stock units (PSUs) settled in ordinary shares of the Company.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contingent right to receive one ordinary share of the Company in accordance with the terms of the LivaNova PLC 2015 Incentive Award Plan (the Plan) and the award agreement.</w:t>
      </w:r>
    </w:p>
    <w:p>
      <w:pPr>
        <w:spacing w:after="0" w:line="5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5, 2017, reporting person was granted RSUs, of which the last 25% vested on March 1, 2021.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number reflects the number of derivative securities beneficially owned following reported transaction for this specific grant.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PSU represents a contingent right to receive one ordinary share of the Company in accordance with the terms of the Plan and the award agreement.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1"/>
        <w:spacing w:after="0" w:line="24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15, 2018, reporting person was granted PSUs to vest or lapse on the filing of the Company's 2020 Form 10-K based on how the Company's cumulative adjusted free cash flow for fiscal years 2018, 2019 and 2020 compares to a target.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Sarah K. Mohr, POA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03/03/2021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6894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2021-03-03T18:25:40Z</dcterms:created>
  <dcterms:modified xsi:type="dcterms:W3CDTF">2021-03-03T18:25:40Z</dcterms:modified>
</cp:coreProperties>
</file>