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4819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48190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MORRISON HUGH 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LivaNova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LIVN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12/15/2017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LONDON</w:t>
            </w:r>
          </w:p>
        </w:tc>
        <w:tc>
          <w:tcPr>
            <w:tcW w:w="1100" w:type="dxa"/>
            <w:vAlign w:val="bottom"/>
          </w:tcPr>
          <w:p>
            <w:pPr>
              <w:ind w:left="260"/>
              <w:spacing w:after="0"/>
              <w:rPr>
                <w:sz w:val="20"/>
                <w:szCs w:val="20"/>
                <w:color w:val="auto"/>
              </w:rPr>
            </w:pPr>
            <w:r>
              <w:rPr>
                <w:rFonts w:ascii="Arial" w:cs="Arial" w:eastAsia="Arial" w:hAnsi="Arial"/>
                <w:sz w:val="18"/>
                <w:szCs w:val="18"/>
                <w:color w:val="0000FF"/>
              </w:rPr>
              <w:t>X0</w:t>
            </w:r>
          </w:p>
        </w:tc>
        <w:tc>
          <w:tcPr>
            <w:tcW w:w="1680" w:type="dxa"/>
            <w:vAlign w:val="bottom"/>
          </w:tcPr>
          <w:p>
            <w:pPr>
              <w:ind w:left="420"/>
              <w:spacing w:after="0"/>
              <w:rPr>
                <w:sz w:val="20"/>
                <w:szCs w:val="20"/>
                <w:color w:val="auto"/>
              </w:rPr>
            </w:pPr>
            <w:r>
              <w:rPr>
                <w:rFonts w:ascii="Arial" w:cs="Arial" w:eastAsia="Arial" w:hAnsi="Arial"/>
                <w:sz w:val="18"/>
                <w:szCs w:val="18"/>
                <w:color w:val="0000FF"/>
              </w:rPr>
              <w:t>W2 6LG</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right"/>
              <w:ind w:right="241"/>
              <w:spacing w:after="0"/>
              <w:rPr>
                <w:sz w:val="20"/>
                <w:szCs w:val="20"/>
                <w:color w:val="auto"/>
              </w:rPr>
            </w:pPr>
            <w:r>
              <w:rPr>
                <w:rFonts w:ascii="Arial" w:cs="Arial" w:eastAsia="Arial" w:hAnsi="Arial"/>
                <w:sz w:val="11"/>
                <w:szCs w:val="11"/>
                <w:color w:val="008000"/>
              </w:rPr>
              <w:t>(2)</w:t>
            </w:r>
          </w:p>
        </w:tc>
        <w:tc>
          <w:tcPr>
            <w:tcW w:w="720" w:type="dxa"/>
            <w:vAlign w:val="bottom"/>
            <w:vMerge w:val="restart"/>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1,715</w:t>
            </w: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720" w:type="dxa"/>
            <w:vAlign w:val="bottom"/>
          </w:tcPr>
          <w:p>
            <w:pPr>
              <w:ind w:left="60"/>
              <w:spacing w:after="0" w:line="133"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1"/>
                <w:szCs w:val="11"/>
                <w:color w:val="auto"/>
              </w:rPr>
            </w:pPr>
          </w:p>
        </w:tc>
        <w:tc>
          <w:tcPr>
            <w:tcW w:w="1140" w:type="dxa"/>
            <w:vAlign w:val="bottom"/>
          </w:tcPr>
          <w:p>
            <w:pPr>
              <w:jc w:val="right"/>
              <w:ind w:right="198"/>
              <w:spacing w:after="0" w:line="133" w:lineRule="exact"/>
              <w:rPr>
                <w:sz w:val="20"/>
                <w:szCs w:val="20"/>
                <w:color w:val="auto"/>
              </w:rPr>
            </w:pPr>
            <w:r>
              <w:rPr>
                <w:rFonts w:ascii="Arial" w:cs="Arial" w:eastAsia="Arial" w:hAnsi="Arial"/>
                <w:sz w:val="14"/>
                <w:szCs w:val="14"/>
                <w:color w:val="0000FF"/>
              </w:rPr>
              <w:t>12/15/2017</w:t>
            </w:r>
          </w:p>
        </w:tc>
        <w:tc>
          <w:tcPr>
            <w:tcW w:w="1140" w:type="dxa"/>
            <w:vAlign w:val="bottom"/>
          </w:tcPr>
          <w:p>
            <w:pPr>
              <w:spacing w:after="0"/>
              <w:rPr>
                <w:sz w:val="11"/>
                <w:szCs w:val="11"/>
                <w:color w:val="auto"/>
              </w:rPr>
            </w:pPr>
          </w:p>
        </w:tc>
        <w:tc>
          <w:tcPr>
            <w:tcW w:w="820" w:type="dxa"/>
            <w:vAlign w:val="bottom"/>
          </w:tcPr>
          <w:p>
            <w:pPr>
              <w:ind w:left="160"/>
              <w:spacing w:after="0" w:line="133" w:lineRule="exact"/>
              <w:rPr>
                <w:sz w:val="20"/>
                <w:szCs w:val="20"/>
                <w:color w:val="auto"/>
              </w:rPr>
            </w:pPr>
            <w:r>
              <w:rPr>
                <w:rFonts w:ascii="Arial" w:cs="Arial" w:eastAsia="Arial" w:hAnsi="Arial"/>
                <w:sz w:val="14"/>
                <w:szCs w:val="14"/>
                <w:color w:val="0000FF"/>
              </w:rPr>
              <w:t>A</w:t>
            </w:r>
          </w:p>
        </w:tc>
        <w:tc>
          <w:tcPr>
            <w:tcW w:w="500" w:type="dxa"/>
            <w:vAlign w:val="bottom"/>
          </w:tcPr>
          <w:p>
            <w:pPr>
              <w:ind w:left="100"/>
              <w:spacing w:after="0" w:line="133" w:lineRule="exact"/>
              <w:rPr>
                <w:sz w:val="20"/>
                <w:szCs w:val="20"/>
                <w:color w:val="auto"/>
              </w:rPr>
            </w:pPr>
            <w:r>
              <w:rPr>
                <w:rFonts w:ascii="Arial" w:cs="Arial" w:eastAsia="Arial" w:hAnsi="Arial"/>
                <w:sz w:val="14"/>
                <w:szCs w:val="14"/>
                <w:color w:val="0000FF"/>
              </w:rPr>
              <w:t>1,715</w:t>
            </w:r>
          </w:p>
        </w:tc>
        <w:tc>
          <w:tcPr>
            <w:tcW w:w="28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720" w:type="dxa"/>
            <w:vAlign w:val="bottom"/>
          </w:tcPr>
          <w:p>
            <w:pPr>
              <w:ind w:left="300"/>
              <w:spacing w:after="0" w:line="13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ind w:left="340"/>
              <w:spacing w:after="0" w:line="133" w:lineRule="exact"/>
              <w:rPr>
                <w:sz w:val="20"/>
                <w:szCs w:val="20"/>
                <w:color w:val="auto"/>
              </w:rPr>
            </w:pPr>
            <w:r>
              <w:rPr>
                <w:rFonts w:ascii="Arial" w:cs="Arial" w:eastAsia="Arial" w:hAnsi="Arial"/>
                <w:sz w:val="14"/>
                <w:szCs w:val="14"/>
                <w:color w:val="0000FF"/>
              </w:rPr>
              <w:t>1,715</w:t>
            </w:r>
          </w:p>
        </w:tc>
        <w:tc>
          <w:tcPr>
            <w:tcW w:w="760" w:type="dxa"/>
            <w:vAlign w:val="bottom"/>
          </w:tcPr>
          <w:p>
            <w:pPr>
              <w:ind w:left="340"/>
              <w:spacing w:after="0" w:line="133"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180"/>
              <w:spacing w:after="0" w:line="149" w:lineRule="exact"/>
              <w:rPr>
                <w:sz w:val="20"/>
                <w:szCs w:val="20"/>
                <w:color w:val="auto"/>
              </w:rPr>
            </w:pPr>
            <w:r>
              <w:rPr>
                <w:rFonts w:ascii="Arial" w:cs="Arial" w:eastAsia="Arial" w:hAnsi="Arial"/>
                <w:sz w:val="14"/>
                <w:szCs w:val="14"/>
                <w:color w:val="0000FF"/>
              </w:rPr>
              <w:t>Stock</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72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restricted stock unit ("RSU") represents a contingent right to receive one ordinary share ("Ordinary Share") of LivaNova PLC (the "Company") or, at the option of the Company, a cash settlement in accordance with the terms of the LivaNova PLC 2015 Incentive Award Plan.</w:t>
      </w:r>
    </w:p>
    <w:p>
      <w:pPr>
        <w:spacing w:after="0" w:line="30" w:lineRule="exact"/>
        <w:rPr>
          <w:rFonts w:ascii="Arial" w:cs="Arial" w:eastAsia="Arial" w:hAnsi="Arial"/>
          <w:sz w:val="14"/>
          <w:szCs w:val="14"/>
          <w:color w:val="008000"/>
        </w:rPr>
      </w:pPr>
    </w:p>
    <w:p>
      <w:pPr>
        <w:ind w:left="40" w:right="3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 was granted RSUs that vest and all forfeiture restrictions thereon shall lapse on December 15, 2018. The RSUs are subject to forfeiture prior to vesting in accordance with the terms of the LivaNova PLC 2015 Incentive Award Plan.</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Sarah K. Mohr POA</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12/19/2017</w:t>
            </w:r>
          </w:p>
        </w:tc>
      </w:tr>
      <w:tr>
        <w:trPr>
          <w:trHeight w:val="20"/>
        </w:trPr>
        <w:tc>
          <w:tcPr>
            <w:tcW w:w="1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4337"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2019-12-24T09:00:50Z</dcterms:created>
  <dcterms:modified xsi:type="dcterms:W3CDTF">2019-12-24T09:00:50Z</dcterms:modified>
</cp:coreProperties>
</file>