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ind w:left="3500"/>
        <w:spacing w:after="0" w:line="197"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line="210" w:lineRule="auto"/>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4080" w:right="1340" w:hanging="2728"/>
        <w:spacing w:after="0" w:line="264" w:lineRule="auto"/>
        <w:tabs>
          <w:tab w:leader="none" w:pos="166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March 31, 2026</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3320" w:right="1340" w:hanging="1974"/>
        <w:spacing w:after="0" w:line="288" w:lineRule="auto"/>
        <w:tabs>
          <w:tab w:leader="none" w:pos="165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175895</wp:posOffset>
            </wp:positionV>
            <wp:extent cx="164592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LivaNova PLC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England and Wales </w:t>
            </w:r>
            <w:r>
              <w:rPr>
                <w:rFonts w:ascii="Times New Roman" w:cs="Times New Roman" w:eastAsia="Times New Roman" w:hAnsi="Times New Roman"/>
                <w:sz w:val="16"/>
                <w:szCs w:val="16"/>
                <w:i w:val="1"/>
                <w:iCs w:val="1"/>
                <w:color w:val="FFFFFF"/>
              </w:rPr>
              <w:t>...................</w:t>
            </w:r>
          </w:p>
        </w:tc>
        <w:tc>
          <w:tcPr>
            <w:tcW w:w="3880" w:type="dxa"/>
            <w:vAlign w:val="bottom"/>
            <w:gridSpan w:val="2"/>
          </w:tcPr>
          <w:p>
            <w:pPr>
              <w:jc w:val="right"/>
              <w:ind w:right="2739"/>
              <w:spacing w:after="0"/>
              <w:rPr>
                <w:sz w:val="20"/>
                <w:szCs w:val="20"/>
                <w:color w:val="auto"/>
              </w:rPr>
            </w:pPr>
            <w:r>
              <w:rPr>
                <w:rFonts w:ascii="Times New Roman" w:cs="Times New Roman" w:eastAsia="Times New Roman" w:hAnsi="Times New Roman"/>
                <w:sz w:val="16"/>
                <w:szCs w:val="16"/>
                <w:b w:val="1"/>
                <w:bCs w:val="1"/>
                <w:color w:val="auto"/>
              </w:rPr>
              <w:t>98-1268150</w:t>
            </w:r>
          </w:p>
        </w:tc>
        <w:tc>
          <w:tcPr>
            <w:tcW w:w="1300" w:type="dxa"/>
            <w:vAlign w:val="bottom"/>
          </w:tcPr>
          <w:p>
            <w:pPr>
              <w:spacing w:after="0"/>
              <w:rPr>
                <w:sz w:val="16"/>
                <w:szCs w:val="16"/>
                <w:color w:val="auto"/>
              </w:rPr>
            </w:pPr>
          </w:p>
        </w:tc>
      </w:tr>
      <w:tr>
        <w:trPr>
          <w:trHeight w:val="189"/>
        </w:trPr>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 xml:space="preserve">(State or other jurisdiction of </w:t>
            </w:r>
            <w:r>
              <w:rPr>
                <w:rFonts w:ascii="Times New Roman" w:cs="Times New Roman" w:eastAsia="Times New Roman" w:hAnsi="Times New Roman"/>
                <w:sz w:val="16"/>
                <w:szCs w:val="16"/>
                <w:i w:val="1"/>
                <w:iCs w:val="1"/>
                <w:color w:val="FFFFFF"/>
                <w:w w:val="95"/>
              </w:rPr>
              <w:t>..........</w:t>
            </w:r>
          </w:p>
        </w:tc>
        <w:tc>
          <w:tcPr>
            <w:tcW w:w="5180" w:type="dxa"/>
            <w:vAlign w:val="bottom"/>
            <w:gridSpan w:val="3"/>
          </w:tcPr>
          <w:p>
            <w:pPr>
              <w:jc w:val="center"/>
              <w:ind w:right="3660"/>
              <w:spacing w:after="0"/>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4"/>
              </w:rPr>
              <w:t xml:space="preserve">incorporation or organization) </w:t>
            </w:r>
            <w:r>
              <w:rPr>
                <w:rFonts w:ascii="Times New Roman" w:cs="Times New Roman" w:eastAsia="Times New Roman" w:hAnsi="Times New Roman"/>
                <w:sz w:val="16"/>
                <w:szCs w:val="16"/>
                <w:i w:val="1"/>
                <w:iCs w:val="1"/>
                <w:color w:val="FFFFFF"/>
                <w:w w:val="94"/>
              </w:rPr>
              <w:t>........</w:t>
            </w:r>
          </w:p>
        </w:tc>
        <w:tc>
          <w:tcPr>
            <w:tcW w:w="5180" w:type="dxa"/>
            <w:vAlign w:val="bottom"/>
            <w:gridSpan w:val="3"/>
          </w:tcPr>
          <w:p>
            <w:pPr>
              <w:jc w:val="center"/>
              <w:ind w:right="3660"/>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341"/>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60" w:type="dxa"/>
            <w:vAlign w:val="bottom"/>
            <w:gridSpan w:val="7"/>
          </w:tcPr>
          <w:p>
            <w:pPr>
              <w:jc w:val="center"/>
              <w:ind w:right="2980"/>
              <w:spacing w:after="0"/>
              <w:rPr>
                <w:sz w:val="20"/>
                <w:szCs w:val="20"/>
                <w:color w:val="auto"/>
              </w:rPr>
            </w:pPr>
            <w:r>
              <w:rPr>
                <w:rFonts w:ascii="Times New Roman" w:cs="Times New Roman" w:eastAsia="Times New Roman" w:hAnsi="Times New Roman"/>
                <w:sz w:val="16"/>
                <w:szCs w:val="16"/>
                <w:b w:val="1"/>
                <w:bCs w:val="1"/>
                <w:color w:val="auto"/>
              </w:rPr>
              <w:t>20 Eastbourne Terrace, London, United Kingdom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W2 6LG</w:t>
            </w:r>
          </w:p>
        </w:tc>
      </w:tr>
      <w:tr>
        <w:trPr>
          <w:trHeight w:val="212"/>
        </w:trPr>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FFFFFF"/>
              </w:rPr>
              <w:t xml:space="preserve">....................... </w:t>
            </w:r>
            <w:r>
              <w:rPr>
                <w:rFonts w:ascii="Times New Roman" w:cs="Times New Roman" w:eastAsia="Times New Roman" w:hAnsi="Times New Roman"/>
                <w:sz w:val="16"/>
                <w:szCs w:val="16"/>
                <w:i w:val="1"/>
                <w:iCs w:val="1"/>
                <w:color w:val="000000"/>
              </w:rPr>
              <w:t>(Zip Code)</w:t>
            </w:r>
          </w:p>
        </w:tc>
      </w:tr>
      <w:tr>
        <w:trPr>
          <w:trHeight w:val="384"/>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60" w:type="dxa"/>
            <w:vAlign w:val="bottom"/>
            <w:gridSpan w:val="7"/>
          </w:tcPr>
          <w:p>
            <w:pPr>
              <w:jc w:val="center"/>
              <w:ind w:right="2960"/>
              <w:spacing w:after="0"/>
              <w:rPr>
                <w:sz w:val="20"/>
                <w:szCs w:val="20"/>
                <w:color w:val="auto"/>
              </w:rPr>
            </w:pPr>
            <w:r>
              <w:rPr>
                <w:rFonts w:ascii="Times New Roman" w:cs="Times New Roman" w:eastAsia="Times New Roman" w:hAnsi="Times New Roman"/>
                <w:sz w:val="16"/>
                <w:szCs w:val="16"/>
                <w:i w:val="1"/>
                <w:iCs w:val="1"/>
                <w:color w:val="auto"/>
              </w:rPr>
              <w:t>Registrant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 xml:space="preserve">s telephone number, including area code: </w:t>
            </w:r>
            <w:r>
              <w:rPr>
                <w:rFonts w:ascii="Times New Roman" w:cs="Times New Roman" w:eastAsia="Times New Roman" w:hAnsi="Times New Roman"/>
                <w:sz w:val="16"/>
                <w:szCs w:val="16"/>
                <w:b w:val="1"/>
                <w:bCs w:val="1"/>
                <w:color w:val="auto"/>
              </w:rPr>
              <w:t>(44) (0) 203 325-0660</w:t>
            </w:r>
          </w:p>
        </w:tc>
      </w:tr>
      <w:tr>
        <w:trPr>
          <w:trHeight w:val="223"/>
        </w:trPr>
        <w:tc>
          <w:tcPr>
            <w:tcW w:w="1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91"/>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60" w:type="dxa"/>
            <w:vAlign w:val="bottom"/>
            <w:gridSpan w:val="7"/>
          </w:tcPr>
          <w:p>
            <w:pPr>
              <w:jc w:val="center"/>
              <w:ind w:right="29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16"/>
        </w:trPr>
        <w:tc>
          <w:tcPr>
            <w:tcW w:w="1820" w:type="dxa"/>
            <w:vAlign w:val="bottom"/>
          </w:tcPr>
          <w:p>
            <w:pPr>
              <w:spacing w:after="0"/>
              <w:rPr>
                <w:sz w:val="24"/>
                <w:szCs w:val="24"/>
                <w:color w:val="auto"/>
              </w:rPr>
            </w:pPr>
          </w:p>
        </w:tc>
        <w:tc>
          <w:tcPr>
            <w:tcW w:w="2000" w:type="dxa"/>
            <w:vAlign w:val="bottom"/>
            <w:gridSpan w:val="2"/>
          </w:tcPr>
          <w:p>
            <w:pPr>
              <w:jc w:val="center"/>
              <w:ind w:right="75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86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Trading Symbol(s)</w:t>
            </w:r>
          </w:p>
        </w:tc>
        <w:tc>
          <w:tcPr>
            <w:tcW w:w="51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3820" w:type="dxa"/>
            <w:vAlign w:val="bottom"/>
            <w:gridSpan w:val="3"/>
          </w:tcPr>
          <w:p>
            <w:pPr>
              <w:jc w:val="center"/>
              <w:ind w:left="919"/>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86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LIVN</w:t>
            </w:r>
          </w:p>
        </w:tc>
        <w:tc>
          <w:tcPr>
            <w:tcW w:w="1020" w:type="dxa"/>
            <w:vAlign w:val="bottom"/>
          </w:tcPr>
          <w:p>
            <w:pPr>
              <w:spacing w:after="0"/>
              <w:rPr>
                <w:sz w:val="20"/>
                <w:szCs w:val="20"/>
                <w:color w:val="auto"/>
              </w:rPr>
            </w:pPr>
          </w:p>
        </w:tc>
        <w:tc>
          <w:tcPr>
            <w:tcW w:w="4160" w:type="dxa"/>
            <w:vAlign w:val="bottom"/>
            <w:gridSpan w:val="2"/>
          </w:tcPr>
          <w:p>
            <w:pPr>
              <w:jc w:val="center"/>
              <w:ind w:right="1320"/>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8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7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236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115"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Class</w:t>
            </w:r>
          </w:p>
        </w:tc>
        <w:tc>
          <w:tcPr>
            <w:tcW w:w="5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Outstanding on April 29, 2026</w:t>
            </w:r>
          </w:p>
        </w:tc>
      </w:tr>
      <w:tr>
        <w:trPr>
          <w:trHeight w:val="216"/>
        </w:trPr>
        <w:tc>
          <w:tcPr>
            <w:tcW w:w="58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Ordinary Shares - £1.00 par value per share</w:t>
            </w:r>
          </w:p>
        </w:tc>
        <w:tc>
          <w:tcPr>
            <w:tcW w:w="5420" w:type="dxa"/>
            <w:vAlign w:val="bottom"/>
          </w:tcPr>
          <w:p>
            <w:pPr>
              <w:jc w:val="right"/>
              <w:ind w:right="2379"/>
              <w:spacing w:after="0"/>
              <w:rPr>
                <w:sz w:val="20"/>
                <w:szCs w:val="20"/>
                <w:color w:val="auto"/>
              </w:rPr>
            </w:pPr>
            <w:r>
              <w:rPr>
                <w:rFonts w:ascii="Times New Roman" w:cs="Times New Roman" w:eastAsia="Times New Roman" w:hAnsi="Times New Roman"/>
                <w:sz w:val="16"/>
                <w:szCs w:val="16"/>
                <w:color w:val="auto"/>
              </w:rPr>
              <w:t>54,933,538</w:t>
            </w:r>
          </w:p>
        </w:tc>
      </w:tr>
      <w:tr>
        <w:trPr>
          <w:trHeight w:val="688"/>
        </w:trPr>
        <w:tc>
          <w:tcPr>
            <w:tcW w:w="58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LIVANOVA PLC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Item</w:t>
            </w: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3"/>
        </w:trPr>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Definitions</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w:t>
            </w:r>
          </w:p>
        </w:tc>
      </w:tr>
      <w:tr>
        <w:trPr>
          <w:trHeight w:val="230"/>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Intellectual Property, Trademarks, and Trade Names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Cautionary Note About Forward-Looking Statements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r>
      <w:tr>
        <w:trPr>
          <w:trHeight w:val="223"/>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rPr>
              <w:t>5</w:t>
            </w:r>
          </w:p>
        </w:tc>
      </w:tr>
      <w:tr>
        <w:trPr>
          <w:trHeight w:val="22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30"/>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2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29"/>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29"/>
        </w:trPr>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0000FF"/>
                <w:w w:val="97"/>
              </w:rPr>
              <w:t>1A.</w:t>
            </w: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3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29"/>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3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29"/>
        </w:trPr>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2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00" w:type="dxa"/>
            <w:vAlign w:val="bottom"/>
          </w:tcPr>
          <w:p>
            <w:pPr>
              <w:spacing w:after="0"/>
              <w:rPr>
                <w:sz w:val="19"/>
                <w:szCs w:val="19"/>
                <w:color w:val="auto"/>
              </w:rPr>
            </w:pPr>
          </w:p>
        </w:tc>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30"/>
        </w:trPr>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1640"/>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for the quarter ended March 31, 2026, the following terms and abbreviations have the meanings listed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and the “Company” refer to LivaNova PLC and its consolidated subsidiaries.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856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78"/>
        </w:trPr>
        <w:tc>
          <w:tcPr>
            <w:tcW w:w="4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2016</w:t>
            </w:r>
          </w:p>
        </w:tc>
        <w:tc>
          <w:tcPr>
            <w:tcW w:w="21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Decision</w:t>
            </w:r>
          </w:p>
        </w:tc>
        <w:tc>
          <w:tcPr>
            <w:tcW w:w="140" w:type="dxa"/>
            <w:vAlign w:val="bottom"/>
            <w:tcBorders>
              <w:top w:val="single" w:sz="8" w:color="CCEEFF"/>
            </w:tcBorders>
            <w:shd w:val="clear" w:color="auto" w:fill="CCEEFF"/>
          </w:tcPr>
          <w:p>
            <w:pPr>
              <w:spacing w:after="0"/>
              <w:rPr>
                <w:sz w:val="15"/>
                <w:szCs w:val="15"/>
                <w:color w:val="auto"/>
              </w:rPr>
            </w:pPr>
          </w:p>
        </w:tc>
        <w:tc>
          <w:tcPr>
            <w:tcW w:w="856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Decision by the Court of Milan in 2016 to dismiss all legal actions of SNIA and of the Public Administrations and to</w:t>
            </w:r>
          </w:p>
        </w:tc>
      </w:tr>
      <w:tr>
        <w:trPr>
          <w:trHeight w:val="234"/>
        </w:trPr>
        <w:tc>
          <w:tcPr>
            <w:tcW w:w="4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further require the Public Administrations to pay Sorin €292,000 for legal fees</w:t>
            </w:r>
          </w:p>
        </w:tc>
      </w:tr>
      <w:tr>
        <w:trPr>
          <w:trHeight w:val="184"/>
        </w:trPr>
        <w:tc>
          <w:tcPr>
            <w:tcW w:w="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2021</w:t>
            </w:r>
          </w:p>
        </w:tc>
        <w:tc>
          <w:tcPr>
            <w:tcW w:w="2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First Lien Credit Agreement</w:t>
            </w: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First Lien Credit Agreement between LivaNova PLC and its wholly-owned subsidiary, LivaNova USA, Inc., and</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Goldman Sachs Bank USA, as First Lien Administrative Agent and First Lien Collateral Agent, entered into on</w:t>
            </w:r>
          </w:p>
        </w:tc>
      </w:tr>
      <w:tr>
        <w:trPr>
          <w:trHeight w:val="230"/>
        </w:trPr>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 2021</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Capped Calls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Privately-negotiated capped call transactions entered into with certain financial institutions</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bifurcated embedded derivative associated with the 2025 Notes</w:t>
            </w:r>
          </w:p>
        </w:tc>
      </w:tr>
      <w:tr>
        <w:trPr>
          <w:trHeight w:val="184"/>
        </w:trPr>
        <w:tc>
          <w:tcPr>
            <w:tcW w:w="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Form 10-K</w:t>
            </w: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LivaNova PLC’s Annual Report on Form 10-K for the year ended December 31, 2025, filed with the SEC on</w:t>
            </w:r>
          </w:p>
        </w:tc>
      </w:tr>
      <w:tr>
        <w:trPr>
          <w:trHeight w:val="234"/>
        </w:trPr>
        <w:tc>
          <w:tcPr>
            <w:tcW w:w="4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25, 2026</w:t>
            </w:r>
          </w:p>
        </w:tc>
      </w:tr>
      <w:tr>
        <w:trPr>
          <w:trHeight w:val="184"/>
        </w:trPr>
        <w:tc>
          <w:tcPr>
            <w:tcW w:w="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2025</w:t>
            </w:r>
          </w:p>
        </w:tc>
        <w:tc>
          <w:tcPr>
            <w:tcW w:w="22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Notes</w:t>
            </w: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$287.5 million aggregate principal amount 3.00% unsecured cash exchangeable senior notes due December 15, 2025,</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by private placement to qualified institutional buyers pursuant to Rule 144A under the Securities Act, issued by</w:t>
            </w:r>
          </w:p>
        </w:tc>
      </w:tr>
      <w:tr>
        <w:trPr>
          <w:trHeight w:val="229"/>
        </w:trPr>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 USA on June 17, 2020</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Capped Calls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Privately-negotiated capped call transactions entered into with certain financial institutions</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bifurcated embedded derivative associated with the 2029 Notes</w:t>
            </w:r>
          </w:p>
        </w:tc>
      </w:tr>
      <w:tr>
        <w:trPr>
          <w:trHeight w:val="184"/>
        </w:trPr>
        <w:tc>
          <w:tcPr>
            <w:tcW w:w="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2029</w:t>
            </w:r>
          </w:p>
        </w:tc>
        <w:tc>
          <w:tcPr>
            <w:tcW w:w="22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Notes</w:t>
            </w: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$345.0 million aggregate principal amount 2.50% unsecured convertible senior notes due 2029 by private placement</w:t>
            </w:r>
          </w:p>
        </w:tc>
      </w:tr>
      <w:tr>
        <w:trPr>
          <w:trHeight w:val="180"/>
        </w:trPr>
        <w:tc>
          <w:tcPr>
            <w:tcW w:w="4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to qualified institutional buyers pursuant to Rule 144A under the Securities Act, issued by LivaNova PLC on March</w:t>
            </w:r>
          </w:p>
        </w:tc>
      </w:tr>
      <w:tr>
        <w:trPr>
          <w:trHeight w:val="230"/>
        </w:trPr>
        <w:tc>
          <w:tcPr>
            <w:tcW w:w="4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8, 2024</w:t>
            </w:r>
          </w:p>
        </w:tc>
      </w:tr>
      <w:tr>
        <w:trPr>
          <w:trHeight w:val="229"/>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CFO</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40"/>
        </w:trPr>
        <w:tc>
          <w:tcPr>
            <w:tcW w:w="25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560" w:type="dxa"/>
            <w:vAlign w:val="bottom"/>
          </w:tcPr>
          <w:p>
            <w:pPr>
              <w:spacing w:after="0"/>
              <w:rPr>
                <w:sz w:val="3"/>
                <w:szCs w:val="3"/>
                <w:color w:val="auto"/>
              </w:rPr>
            </w:pPr>
          </w:p>
        </w:tc>
      </w:tr>
      <w:tr>
        <w:trPr>
          <w:trHeight w:val="23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Court of Appeal</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Court of Appeal in Milan</w:t>
            </w:r>
          </w:p>
        </w:tc>
      </w:tr>
      <w:tr>
        <w:trPr>
          <w:trHeight w:val="184"/>
        </w:trPr>
        <w:tc>
          <w:tcPr>
            <w:tcW w:w="268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Delayed Draw Term Facility</w:t>
            </w: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$50.0 million delayed draw term facility under the 2021 First Lien Credit Agreement, resulting from the Incremental</w:t>
            </w:r>
          </w:p>
        </w:tc>
      </w:tr>
      <w:tr>
        <w:trPr>
          <w:trHeight w:val="234"/>
        </w:trPr>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Amendment No. 2</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Drug-resistant epilepsy</w:t>
            </w:r>
          </w:p>
        </w:tc>
      </w:tr>
      <w:tr>
        <w:trPr>
          <w:trHeight w:val="184"/>
        </w:trPr>
        <w:tc>
          <w:tcPr>
            <w:tcW w:w="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DTD</w:t>
            </w: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Difficult-to-treat Depression - The Company’s broader business and strategic communications reference DTD as the</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preferred disease state when speaking more broadly about depression treatment, as it is a more inclusive and clinically</w:t>
            </w:r>
          </w:p>
        </w:tc>
      </w:tr>
      <w:tr>
        <w:trPr>
          <w:trHeight w:val="176"/>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evolving concept that encompasses patients whose depression continues to cause significant burden despite usual</w:t>
            </w:r>
          </w:p>
        </w:tc>
      </w:tr>
      <w:tr>
        <w:trPr>
          <w:trHeight w:val="184"/>
        </w:trPr>
        <w:tc>
          <w:tcPr>
            <w:tcW w:w="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treatment efforts. Meanwhile, LivaNova’s RECOVER clinical study defines the patient population using the inclusion</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criteria for TRD, typically characterized by major depressive disorder that does not adequately respond to at least two</w:t>
            </w:r>
          </w:p>
        </w:tc>
      </w:tr>
      <w:tr>
        <w:trPr>
          <w:trHeight w:val="175"/>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different antidepressant treatments given at an appropriate dose and duration. As a result, the Company uses TRD in</w:t>
            </w:r>
          </w:p>
        </w:tc>
      </w:tr>
      <w:tr>
        <w:trPr>
          <w:trHeight w:val="184"/>
        </w:trPr>
        <w:tc>
          <w:tcPr>
            <w:tcW w:w="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context of the RECOVER study to maintain consistency with the study protocol approved by the U.S. Centers for</w:t>
            </w:r>
          </w:p>
        </w:tc>
      </w:tr>
      <w:tr>
        <w:trPr>
          <w:trHeight w:val="180"/>
        </w:trPr>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Medicare &amp; Medicaid Services. References to either term in this filing are context-dependent but describe</w:t>
            </w:r>
          </w:p>
        </w:tc>
      </w:tr>
      <w:tr>
        <w:trPr>
          <w:trHeight w:val="230"/>
        </w:trPr>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overlapping populations.</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ECJ</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Court of Justice</w:t>
            </w:r>
          </w:p>
        </w:tc>
      </w:tr>
      <w:tr>
        <w:trPr>
          <w:trHeight w:val="229"/>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Embedded Derivatives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bifurcated embedded derivatives associated with the 2025 Notes and 2029 Notes, collectively</w:t>
            </w:r>
          </w:p>
        </w:tc>
      </w:tr>
      <w:tr>
        <w:trPr>
          <w:trHeight w:val="230"/>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Securities Exchange Act of 1934, as amended</w:t>
            </w:r>
          </w:p>
        </w:tc>
      </w:tr>
      <w:tr>
        <w:trPr>
          <w:trHeight w:val="230"/>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Food and Drug Administration</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FX</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HLM</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Heart-lung machine</w:t>
            </w:r>
          </w:p>
        </w:tc>
      </w:tr>
      <w:tr>
        <w:trPr>
          <w:trHeight w:val="184"/>
        </w:trPr>
        <w:tc>
          <w:tcPr>
            <w:tcW w:w="268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ImThera</w:t>
            </w:r>
          </w:p>
        </w:tc>
        <w:tc>
          <w:tcPr>
            <w:tcW w:w="8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ImThera Medical, Inc. was a company developing an implantable neurostimulation device system for the treatment of</w:t>
            </w:r>
          </w:p>
        </w:tc>
      </w:tr>
      <w:tr>
        <w:trPr>
          <w:trHeight w:val="234"/>
        </w:trPr>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obstructive sleep apnea that LivaNova acquired in 2018</w:t>
            </w:r>
          </w:p>
        </w:tc>
      </w:tr>
      <w:tr>
        <w:trPr>
          <w:trHeight w:val="184"/>
        </w:trPr>
        <w:tc>
          <w:tcPr>
            <w:tcW w:w="268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Incremental Facility Amendment</w:t>
            </w: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 incremental facility amendment to the 2021 First Lien Credit Agreement, dated July 6, 2022</w:t>
            </w:r>
          </w:p>
        </w:tc>
      </w:tr>
      <w:tr>
        <w:trPr>
          <w:trHeight w:val="234"/>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No. 2</w:t>
            </w:r>
          </w:p>
        </w:tc>
        <w:tc>
          <w:tcPr>
            <w:tcW w:w="2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spacing w:after="0"/>
              <w:rPr>
                <w:sz w:val="20"/>
                <w:szCs w:val="20"/>
                <w:color w:val="auto"/>
              </w:rPr>
            </w:pPr>
          </w:p>
        </w:tc>
      </w:tr>
      <w:tr>
        <w:trPr>
          <w:trHeight w:val="796"/>
        </w:trPr>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420" w:type="dxa"/>
            <w:vAlign w:val="bottom"/>
            <w:tcBorders>
              <w:bottom w:val="single" w:sz="8" w:color="9A9A9A"/>
            </w:tcBorders>
          </w:tcPr>
          <w:p>
            <w:pPr>
              <w:spacing w:after="0"/>
              <w:rPr>
                <w:sz w:val="20"/>
                <w:szCs w:val="20"/>
                <w:color w:val="auto"/>
              </w:rPr>
            </w:pPr>
          </w:p>
        </w:tc>
        <w:tc>
          <w:tcPr>
            <w:tcW w:w="21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w:t>
            </w:r>
          </w:p>
        </w:tc>
        <w:tc>
          <w:tcPr>
            <w:tcW w:w="856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Incremental Facility Amendment</w:t>
            </w:r>
          </w:p>
        </w:tc>
        <w:tc>
          <w:tcPr>
            <w:tcW w:w="140" w:type="dxa"/>
            <w:vAlign w:val="bottom"/>
          </w:tcPr>
          <w:p>
            <w:pPr>
              <w:spacing w:after="0"/>
              <w:rPr>
                <w:sz w:val="14"/>
                <w:szCs w:val="14"/>
                <w:color w:val="auto"/>
              </w:rPr>
            </w:pPr>
          </w:p>
        </w:tc>
        <w:tc>
          <w:tcPr>
            <w:tcW w:w="856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An incremental facility amendment to the 2021 First Lien Credit Agreement, dated March 8, 2024</w:t>
            </w:r>
          </w:p>
        </w:tc>
      </w:tr>
      <w:tr>
        <w:trPr>
          <w:trHeight w:val="23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3</w:t>
            </w:r>
          </w:p>
        </w:tc>
        <w:tc>
          <w:tcPr>
            <w:tcW w:w="8560" w:type="dxa"/>
            <w:vAlign w:val="bottom"/>
          </w:tcPr>
          <w:p>
            <w:pPr>
              <w:spacing w:after="0"/>
              <w:rPr>
                <w:sz w:val="20"/>
                <w:szCs w:val="20"/>
                <w:color w:val="auto"/>
              </w:rPr>
            </w:pPr>
          </w:p>
        </w:tc>
      </w:tr>
      <w:tr>
        <w:trPr>
          <w:trHeight w:val="180"/>
        </w:trPr>
        <w:tc>
          <w:tcPr>
            <w:tcW w:w="26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Initial Term Facility</w:t>
            </w:r>
          </w:p>
        </w:tc>
        <w:tc>
          <w:tcPr>
            <w:tcW w:w="85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$300.0 million term facility under the 2021 First Lien Credit Agreement, resulting from the Incremental Facility</w:t>
            </w:r>
          </w:p>
        </w:tc>
      </w:tr>
      <w:tr>
        <w:trPr>
          <w:trHeight w:val="243"/>
        </w:trPr>
        <w:tc>
          <w:tcPr>
            <w:tcW w:w="2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No. 2</w:t>
            </w:r>
          </w:p>
        </w:tc>
      </w:tr>
      <w:tr>
        <w:trPr>
          <w:trHeight w:val="176"/>
        </w:trPr>
        <w:tc>
          <w:tcPr>
            <w:tcW w:w="2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ISIN</w:t>
            </w:r>
          </w:p>
        </w:tc>
        <w:tc>
          <w:tcPr>
            <w:tcW w:w="8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National Inspectorate for Nuclear Safety and Radiation Protection, a sub-body of the Italian Ministry of Economic</w:t>
            </w:r>
          </w:p>
        </w:tc>
      </w:tr>
      <w:tr>
        <w:trPr>
          <w:trHeight w:val="239"/>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r>
      <w:tr>
        <w:trPr>
          <w:trHeight w:val="234"/>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PLC</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public limited company organized under the laws of England and Wales on February 20, 2015</w:t>
            </w: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LivaNova USA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 USA, Inc.</w:t>
            </w: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LSM</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LivaNova Site Management S.r.l.</w:t>
            </w: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MedTech</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technology</w:t>
            </w: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OBBBA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OSA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Obstructive sleep apnea</w:t>
            </w: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PMA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Premarket approval</w:t>
            </w: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Administrations</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Italian Ministry of the Environment and other Italian government agencies</w:t>
            </w: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This Quarterly Report on Form 10-Q</w:t>
            </w: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w:t>
            </w: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Securities Act of 1933, as amended</w:t>
            </w: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S.p.A.</w:t>
            </w:r>
          </w:p>
        </w:tc>
      </w:tr>
      <w:tr>
        <w:trPr>
          <w:trHeight w:val="22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SNIA Litigation Guarantee</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first demand bank guarantee of €270.0 million in connection with the SNIA environmental litigation</w:t>
            </w: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Sorin</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Sorin S.p.A.</w:t>
            </w: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Initial Term Facility, together with the Delayed Draw Term Facility</w:t>
            </w:r>
          </w:p>
        </w:tc>
      </w:tr>
      <w:tr>
        <w:trPr>
          <w:trHeight w:val="175"/>
        </w:trPr>
        <w:tc>
          <w:tcPr>
            <w:tcW w:w="2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TRD</w:t>
            </w:r>
          </w:p>
        </w:tc>
        <w:tc>
          <w:tcPr>
            <w:tcW w:w="8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Treatment-resistant Depression - LivaNova’s RECOVER clinical study defines the patient population using the</w:t>
            </w:r>
          </w:p>
        </w:tc>
      </w:tr>
      <w:tr>
        <w:trPr>
          <w:trHeight w:val="184"/>
        </w:trPr>
        <w:tc>
          <w:tcPr>
            <w:tcW w:w="2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inclusion criteria for TRD, typically characterized by major depressive disorder that does not adequately respond to at</w:t>
            </w:r>
          </w:p>
        </w:tc>
      </w:tr>
      <w:tr>
        <w:trPr>
          <w:trHeight w:val="180"/>
        </w:trPr>
        <w:tc>
          <w:tcPr>
            <w:tcW w:w="2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least two different antidepressant treatments given at an appropriate dose and duration. As a result, the Company uses</w:t>
            </w:r>
          </w:p>
        </w:tc>
      </w:tr>
      <w:tr>
        <w:trPr>
          <w:trHeight w:val="176"/>
        </w:trPr>
        <w:tc>
          <w:tcPr>
            <w:tcW w:w="2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TRD in the context of the RECOVER study to maintain consistency with the study protocol approved by the U.S.</w:t>
            </w:r>
          </w:p>
        </w:tc>
      </w:tr>
      <w:tr>
        <w:trPr>
          <w:trHeight w:val="184"/>
        </w:trPr>
        <w:tc>
          <w:tcPr>
            <w:tcW w:w="2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Centers  for  Medicare  and  Medicaid  Services.  Meanwhile,  the  Company’s  broader  business  and  strategic</w:t>
            </w:r>
          </w:p>
        </w:tc>
      </w:tr>
      <w:tr>
        <w:trPr>
          <w:trHeight w:val="180"/>
        </w:trPr>
        <w:tc>
          <w:tcPr>
            <w:tcW w:w="2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communications reference DTD as the preferred disease state when speaking more broadly about depression</w:t>
            </w:r>
          </w:p>
        </w:tc>
      </w:tr>
      <w:tr>
        <w:trPr>
          <w:trHeight w:val="175"/>
        </w:trPr>
        <w:tc>
          <w:tcPr>
            <w:tcW w:w="2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treatment, as it is a more inclusive and clinically evolving concept that encompasses patients whose depression</w:t>
            </w:r>
          </w:p>
        </w:tc>
      </w:tr>
      <w:tr>
        <w:trPr>
          <w:trHeight w:val="184"/>
        </w:trPr>
        <w:tc>
          <w:tcPr>
            <w:tcW w:w="2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5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continues to cause significant burden despite usual treatment efforts. References to either term in this filing are</w:t>
            </w:r>
          </w:p>
        </w:tc>
      </w:tr>
      <w:tr>
        <w:trPr>
          <w:trHeight w:val="234"/>
        </w:trPr>
        <w:tc>
          <w:tcPr>
            <w:tcW w:w="2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context-dependent but describe overlapping populations.</w:t>
            </w: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9"/>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r>
      <w:tr>
        <w:trPr>
          <w:trHeight w:val="23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w:t>
            </w:r>
          </w:p>
        </w:tc>
      </w:tr>
      <w:tr>
        <w:trPr>
          <w:trHeight w:val="234"/>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VNS Therapy</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LivaNova Vagus Nerve Stimulation Therapy</w:t>
            </w:r>
          </w:p>
        </w:tc>
      </w:tr>
      <w:tr>
        <w:trPr>
          <w:trHeight w:val="792"/>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25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85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ind w:left="2220"/>
        <w:spacing w:after="0"/>
        <w:rPr>
          <w:sz w:val="20"/>
          <w:szCs w:val="20"/>
          <w:color w:val="auto"/>
        </w:rPr>
      </w:pPr>
      <w:r>
        <w:rPr>
          <w:rFonts w:ascii="Times New Roman" w:cs="Times New Roman" w:eastAsia="Times New Roman" w:hAnsi="Times New Roman"/>
          <w:sz w:val="22"/>
          <w:szCs w:val="22"/>
          <w:b w:val="1"/>
          <w:bCs w:val="1"/>
          <w:color w:val="auto"/>
        </w:rPr>
        <w:t>INTELLECTUAL PROPERTY, TRADEMARKS, AND TRADE NAMES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may contain references to LivaNova’s proprietary intellectual property, including among others:</w:t>
      </w:r>
    </w:p>
    <w:p>
      <w:pPr>
        <w:spacing w:after="0" w:line="127" w:lineRule="exact"/>
        <w:rPr>
          <w:sz w:val="20"/>
          <w:szCs w:val="20"/>
          <w:color w:val="auto"/>
        </w:rPr>
      </w:pPr>
    </w:p>
    <w:p>
      <w:pPr>
        <w:jc w:val="both"/>
        <w:ind w:left="660" w:hanging="328"/>
        <w:spacing w:after="0" w:line="22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LivaNova’s Neuromodulation systems, the VNS Therapy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 and LivaNova’s proprietary pulse generator products: Model 102 (Pulse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102R (Pulse Duo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103 (Demipulse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104 (Demipulse Duo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106 (AspireSR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1000 (SenTiva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Model 1000-D (SenTiva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Duo), and Model 8103 (Symmetry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32" w:lineRule="exact"/>
        <w:rPr>
          <w:rFonts w:ascii="Times New Roman" w:cs="Times New Roman" w:eastAsia="Times New Roman" w:hAnsi="Times New Roman"/>
          <w:sz w:val="18"/>
          <w:szCs w:val="18"/>
          <w:color w:val="auto"/>
        </w:rPr>
      </w:pPr>
    </w:p>
    <w:p>
      <w:pPr>
        <w:ind w:left="660" w:hanging="328"/>
        <w:spacing w:after="0" w:line="24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LivaNova’s Cardiopulmonary products and systems: Essenz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S5</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S5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B-Capta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Inspire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Heartlink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XTRA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3T Heater-Cooler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Connect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Revolution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ProtekDuo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TandemHeart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LivaNova’s obstructive sleep apnea system: ImThera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aura6000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PolySync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symbol, but such references are not intended to indicate in any way that the Company will not assert, to the fullest extent under applicable law, LivaNova’s rights to these trademarks and trade names.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ABOUT FORWARD-LOOKING STATEMENTS</w:t>
      </w:r>
    </w:p>
    <w:p>
      <w:pPr>
        <w:spacing w:after="0" w:line="1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shareholders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adverse changes in export and import costs and other trade restrictions as well as uncertainty over global tariffs; risks relating to supply chain pressures; failure to protect, maintain, or upgrade LivaNova’s IT systems or products, or safeguard against cybersecurity incidents, service disruptions, or data corruption; costs of complying with privacy and security of personal information requirements and laws; changes in technology, including the development of superior or alternative technology or devices by competitors and/or competition from providers of alternative medical therapies; risks related to AI integration and regulation; failure of investments, alliances, acquisitions, or divestitures to achieve expected returns;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talent, maintain an effective succession plan, and negotiate successfully with local works councils; failure to obtain or maintain approvals, clearance, or reimbursement in relation to the Company’s products; unfavorable results from clinical studies or failure to meet milestones; global healthcare policy changes that may lead to restricted access and pricing as well as payback requirements and limited reimbursement; failure to comply with rules relating to healthcare goods and services as well as anti-bribery laws; the unfavorable impact of pending or existing climate change;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changes in tax laws and regulations, including exposure to additional income tax liabilities; risks relating to the Company’s indebtedness; risks associated with potential government shutdowns; the potential for impairments of intangible assets, goodwill, and other long-lived assets; risks associated with public health crises; risks associated with shareholder activism;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that could cause LivaNova’s actual results to differ from projected results are described in: (1) “Part II, Item 1A. Risk Factors” and elsewhere in this Report and the Company’s other Quarterly Reports on Form 10-Q, (2) the Company’s 2025 Form 10-K, (3) the Company’s reports and registration statements filed with and furnished from time to time to the SEC, and (4) other announcements LivaNova makes from time to time.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The following discussion and analysis should be read in conjunction with the Company’s unaudited condensed consolidated financial statements and related notes included elsewhere in this Report. Operating results for the three months ended March 31, 2026 are not necessarily indicative of future results, including the full fiscal year. Also refer to the Company’s “Annual Consolidated Financial Statements,” “Notes” thereto, “Management’s Discussion and Analysis of Financial Condition and Results of Operations,” and “Risk Factors” contained in LivaNova’s 2025 Form 10-K and in the Company’s Quarterly Reports on Form 10-Q.</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Information and Currency of Financial Statements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financial information included in this Report has been prepared in accordance with U.S. GAAP. The reporting currency of the Company’s condensed consolidated financial statements is USD.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55"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22"/>
          <w:szCs w:val="22"/>
          <w:b w:val="1"/>
          <w:bCs w:val="1"/>
          <w:color w:val="auto"/>
        </w:rPr>
        <w:t>LIVANOVA PLC AND SUBSIDIARIES CONDENSED CONSOLIDATED STATEMENTS OF INCOME (LOSS)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7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9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316,855</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100,601</w:t>
            </w: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216,254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129,146</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37,879</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(360,393)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r>
      <w:tr>
        <w:trPr>
          <w:trHeight w:val="22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(315,646)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1"/>
        </w:trPr>
        <w:tc>
          <w:tcPr>
            <w:tcW w:w="818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22,294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(327,322)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8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54,421</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LIVANOVA PLC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(LOSS)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4420" w:type="dxa"/>
            <w:vAlign w:val="bottom"/>
            <w:gridSpan w:val="2"/>
          </w:tcPr>
          <w:p>
            <w:pPr>
              <w:jc w:val="right"/>
              <w:ind w:right="231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43"/>
        </w:trPr>
        <w:tc>
          <w:tcPr>
            <w:tcW w:w="4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41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r>
      <w:tr>
        <w:trPr>
          <w:trHeight w:val="225"/>
        </w:trPr>
        <w:tc>
          <w:tcPr>
            <w:tcW w:w="410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22,294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(327,322)</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(10,731)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4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(10,731)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37,442</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11,563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(289,880)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LIVANOVA PLC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78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7"/>
        </w:trPr>
        <w:tc>
          <w:tcPr>
            <w:tcW w:w="724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Current Assets: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635,552</w:t>
            </w:r>
          </w:p>
        </w:tc>
        <w:tc>
          <w:tcPr>
            <w:tcW w:w="0" w:type="dxa"/>
            <w:vAlign w:val="bottom"/>
          </w:tcPr>
          <w:p>
            <w:pPr>
              <w:spacing w:after="0"/>
              <w:rPr>
                <w:sz w:val="1"/>
                <w:szCs w:val="1"/>
                <w:color w:val="auto"/>
              </w:rPr>
            </w:pPr>
          </w:p>
        </w:tc>
      </w:tr>
      <w:tr>
        <w:trPr>
          <w:trHeight w:val="162"/>
        </w:trPr>
        <w:tc>
          <w:tcPr>
            <w:tcW w:w="7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Accounts receivable, net of allowance of $10,309 as of March 31, 2026 and $12,527 as of December 31,</w:t>
            </w:r>
          </w:p>
        </w:tc>
        <w:tc>
          <w:tcPr>
            <w:tcW w:w="24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229,273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215,985</w:t>
            </w:r>
          </w:p>
        </w:tc>
        <w:tc>
          <w:tcPr>
            <w:tcW w:w="0" w:type="dxa"/>
            <w:vAlign w:val="bottom"/>
          </w:tcPr>
          <w:p>
            <w:pPr>
              <w:spacing w:after="0"/>
              <w:rPr>
                <w:sz w:val="1"/>
                <w:szCs w:val="1"/>
                <w:color w:val="auto"/>
              </w:rPr>
            </w:pPr>
          </w:p>
        </w:tc>
      </w:tr>
      <w:tr>
        <w:trPr>
          <w:trHeight w:val="213"/>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164,701</w:t>
            </w:r>
          </w:p>
        </w:tc>
        <w:tc>
          <w:tcPr>
            <w:tcW w:w="0" w:type="dxa"/>
            <w:vAlign w:val="bottom"/>
          </w:tcPr>
          <w:p>
            <w:pPr>
              <w:spacing w:after="0"/>
              <w:rPr>
                <w:sz w:val="1"/>
                <w:szCs w:val="1"/>
                <w:color w:val="auto"/>
              </w:rPr>
            </w:pPr>
          </w:p>
        </w:tc>
      </w:tr>
      <w:tr>
        <w:trPr>
          <w:trHeight w:val="213"/>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48,606</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36,769</w:t>
            </w:r>
          </w:p>
        </w:tc>
        <w:tc>
          <w:tcPr>
            <w:tcW w:w="0" w:type="dxa"/>
            <w:vAlign w:val="bottom"/>
          </w:tcPr>
          <w:p>
            <w:pPr>
              <w:spacing w:after="0"/>
              <w:rPr>
                <w:sz w:val="1"/>
                <w:szCs w:val="1"/>
                <w:color w:val="auto"/>
              </w:rPr>
            </w:pPr>
          </w:p>
        </w:tc>
      </w:tr>
      <w:tr>
        <w:trPr>
          <w:trHeight w:val="207"/>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1,014,237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1,101,613</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242,603</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792,840</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229,964</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55,519</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20,291</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110,983</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derivative assets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36,551</w:t>
            </w:r>
          </w:p>
        </w:tc>
        <w:tc>
          <w:tcPr>
            <w:tcW w:w="0" w:type="dxa"/>
            <w:vAlign w:val="bottom"/>
          </w:tcPr>
          <w:p>
            <w:pPr>
              <w:spacing w:after="0"/>
              <w:rPr>
                <w:sz w:val="1"/>
                <w:szCs w:val="1"/>
                <w:color w:val="auto"/>
              </w:rPr>
            </w:pPr>
          </w:p>
        </w:tc>
      </w:tr>
      <w:tr>
        <w:trPr>
          <w:trHeight w:val="21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0" w:type="dxa"/>
            <w:vAlign w:val="bottom"/>
          </w:tcPr>
          <w:p>
            <w:pPr>
              <w:spacing w:after="0"/>
              <w:rPr>
                <w:sz w:val="1"/>
                <w:szCs w:val="1"/>
                <w:color w:val="auto"/>
              </w:rPr>
            </w:pPr>
          </w:p>
        </w:tc>
      </w:tr>
      <w:tr>
        <w:trPr>
          <w:trHeight w:val="235"/>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2,516,351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2,606,053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Current Liabilities: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31,472</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97,157</w:t>
            </w:r>
          </w:p>
        </w:tc>
        <w:tc>
          <w:tcPr>
            <w:tcW w:w="0" w:type="dxa"/>
            <w:vAlign w:val="bottom"/>
          </w:tcPr>
          <w:p>
            <w:pPr>
              <w:spacing w:after="0"/>
              <w:rPr>
                <w:sz w:val="1"/>
                <w:szCs w:val="1"/>
                <w:color w:val="auto"/>
              </w:rPr>
            </w:pPr>
          </w:p>
        </w:tc>
      </w:tr>
      <w:tr>
        <w:trPr>
          <w:trHeight w:val="213"/>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94,573</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SNIA environmental liability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396,242</w:t>
            </w:r>
          </w:p>
        </w:tc>
        <w:tc>
          <w:tcPr>
            <w:tcW w:w="0" w:type="dxa"/>
            <w:vAlign w:val="bottom"/>
          </w:tcPr>
          <w:p>
            <w:pPr>
              <w:spacing w:after="0"/>
              <w:rPr>
                <w:sz w:val="1"/>
                <w:szCs w:val="1"/>
                <w:color w:val="auto"/>
              </w:rPr>
            </w:pPr>
          </w:p>
        </w:tc>
      </w:tr>
      <w:tr>
        <w:trPr>
          <w:trHeight w:val="213"/>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contingent consideration</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50,030</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litigation provision liability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0" w:type="dxa"/>
            <w:vAlign w:val="bottom"/>
          </w:tcPr>
          <w:p>
            <w:pPr>
              <w:spacing w:after="0"/>
              <w:rPr>
                <w:sz w:val="1"/>
                <w:szCs w:val="1"/>
                <w:color w:val="auto"/>
              </w:rPr>
            </w:pPr>
          </w:p>
        </w:tc>
      </w:tr>
      <w:tr>
        <w:trPr>
          <w:trHeight w:val="213"/>
        </w:trPr>
        <w:tc>
          <w:tcPr>
            <w:tcW w:w="7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payable</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33,133</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related benefits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92,913</w:t>
            </w:r>
          </w:p>
        </w:tc>
        <w:tc>
          <w:tcPr>
            <w:tcW w:w="0" w:type="dxa"/>
            <w:vAlign w:val="bottom"/>
          </w:tcPr>
          <w:p>
            <w:pPr>
              <w:spacing w:after="0"/>
              <w:rPr>
                <w:sz w:val="1"/>
                <w:szCs w:val="1"/>
                <w:color w:val="auto"/>
              </w:rPr>
            </w:pPr>
          </w:p>
        </w:tc>
      </w:tr>
      <w:tr>
        <w:trPr>
          <w:trHeight w:val="207"/>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762,478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808,072</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345,185</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42,045</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9,590</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48,327</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employee compensation and related benefits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13,574</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derivative liabilities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83,904</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55,369</w:t>
            </w:r>
          </w:p>
        </w:tc>
        <w:tc>
          <w:tcPr>
            <w:tcW w:w="0" w:type="dxa"/>
            <w:vAlign w:val="bottom"/>
          </w:tcPr>
          <w:p>
            <w:pPr>
              <w:spacing w:after="0"/>
              <w:rPr>
                <w:sz w:val="1"/>
                <w:szCs w:val="1"/>
                <w:color w:val="auto"/>
              </w:rPr>
            </w:pPr>
          </w:p>
        </w:tc>
      </w:tr>
      <w:tr>
        <w:trPr>
          <w:trHeight w:val="207"/>
        </w:trPr>
        <w:tc>
          <w:tcPr>
            <w:tcW w:w="7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1,406,066</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5)</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Shareholders’ Equity:</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2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Ordinary Shares, £1.00 par value: Unlimited shares authorized; 55,537,746 shares issued and 54,901,316</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outstanding as of March 31, 2026; 55,535,181 shares issued and 54,649,085 shares outstanding as of</w:t>
            </w:r>
          </w:p>
        </w:tc>
        <w:tc>
          <w:tcPr>
            <w:tcW w:w="24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84,564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84,564</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24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2,254,756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2,254,980</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0" w:type="dxa"/>
            <w:vAlign w:val="bottom"/>
          </w:tcPr>
          <w:p>
            <w:pPr>
              <w:spacing w:after="0"/>
              <w:rPr>
                <w:sz w:val="1"/>
                <w:szCs w:val="1"/>
                <w:color w:val="auto"/>
              </w:rPr>
            </w:pPr>
          </w:p>
        </w:tc>
      </w:tr>
      <w:tr>
        <w:trPr>
          <w:trHeight w:val="21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(1,123,427)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(1,145,721)</w:t>
            </w:r>
          </w:p>
        </w:tc>
        <w:tc>
          <w:tcPr>
            <w:tcW w:w="0" w:type="dxa"/>
            <w:vAlign w:val="bottom"/>
          </w:tcPr>
          <w:p>
            <w:pPr>
              <w:spacing w:after="0"/>
              <w:rPr>
                <w:sz w:val="1"/>
                <w:szCs w:val="1"/>
                <w:color w:val="auto"/>
              </w:rPr>
            </w:pPr>
          </w:p>
        </w:tc>
      </w:tr>
      <w:tr>
        <w:trPr>
          <w:trHeight w:val="165"/>
        </w:trPr>
        <w:tc>
          <w:tcPr>
            <w:tcW w:w="7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at cost, 636,430 ordinary shares as of March 31, 2026; 886,096 ordinary shares as of</w:t>
            </w:r>
          </w:p>
        </w:tc>
        <w:tc>
          <w:tcPr>
            <w:tcW w:w="24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1,211,326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1,199,987</w:t>
            </w:r>
          </w:p>
        </w:tc>
        <w:tc>
          <w:tcPr>
            <w:tcW w:w="0" w:type="dxa"/>
            <w:vAlign w:val="bottom"/>
          </w:tcPr>
          <w:p>
            <w:pPr>
              <w:spacing w:after="0"/>
              <w:rPr>
                <w:sz w:val="1"/>
                <w:szCs w:val="1"/>
                <w:color w:val="auto"/>
              </w:rPr>
            </w:pPr>
          </w:p>
        </w:tc>
      </w:tr>
      <w:tr>
        <w:trPr>
          <w:trHeight w:val="235"/>
        </w:trPr>
        <w:tc>
          <w:tcPr>
            <w:tcW w:w="7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2,516,351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2,606,053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43" w:right="3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type w:val="continuous"/>
        </w:sectPr>
      </w:pPr>
    </w:p>
    <w:bookmarkStart w:id="9" w:name="page10"/>
    <w:bookmarkEnd w:id="9"/>
    <w:p>
      <w:pPr>
        <w:jc w:val="center"/>
        <w:ind w:left="380" w:right="2320"/>
        <w:spacing w:after="0" w:line="261" w:lineRule="auto"/>
        <w:rPr>
          <w:sz w:val="20"/>
          <w:szCs w:val="20"/>
          <w:color w:val="auto"/>
        </w:rPr>
      </w:pPr>
      <w:r>
        <w:rPr>
          <w:rFonts w:ascii="Times New Roman" w:cs="Times New Roman" w:eastAsia="Times New Roman" w:hAnsi="Times New Roman"/>
          <w:sz w:val="22"/>
          <w:szCs w:val="22"/>
          <w:b w:val="1"/>
          <w:bCs w:val="1"/>
          <w:color w:val="auto"/>
        </w:rPr>
        <w:t>LIVANOVA PLC AND SUBSIDIARIES CONDENSED CONSOLIDATED STATEMENTS OF CASH FLOWS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2920" w:type="dxa"/>
            <w:vAlign w:val="bottom"/>
            <w:gridSpan w:val="4"/>
            <w:vMerge w:val="restart"/>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2"/>
        </w:trPr>
        <w:tc>
          <w:tcPr>
            <w:tcW w:w="8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3"/>
        </w:trPr>
        <w:tc>
          <w:tcPr>
            <w:tcW w:w="8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(327,322)</w:t>
            </w: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Remeasurement of contingent consideration to fair value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Remeasurement of derivative instruments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Impairments of investments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investment revaluation - Ceribell, Inc.</w:t>
            </w: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current and non-current liabilities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payable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Litigation provision liability</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SNIA environmental liability</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360,393</w:t>
            </w:r>
          </w:p>
        </w:tc>
        <w:tc>
          <w:tcPr>
            <w:tcW w:w="0" w:type="dxa"/>
            <w:vAlign w:val="bottom"/>
          </w:tcPr>
          <w:p>
            <w:pPr>
              <w:spacing w:after="0"/>
              <w:rPr>
                <w:sz w:val="1"/>
                <w:szCs w:val="1"/>
                <w:color w:val="auto"/>
              </w:rPr>
            </w:pPr>
          </w:p>
        </w:tc>
      </w:tr>
      <w:tr>
        <w:trPr>
          <w:trHeight w:val="20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15,216</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long-term debt obligations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207"/>
        </w:trPr>
        <w:tc>
          <w:tcPr>
            <w:tcW w:w="80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(95,846)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635,552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723,556</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539,706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738,437</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investing and financing transactions: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 included in 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1"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LIVANOVA PLC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Unaudited Condensed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 of Presentation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LivaNova and the notes thereto as of and for the three months ended March 31, 2026 and 2025 have been prepared in accordance with U.S. GAAP for interim financial information and the instructions to Form 10-Q and Article 10 of Regulation S-X. The accompanying condensed consolidated balance sheet of LivaNova as of December 31, 2025 has been derived from audited consolidated financial statements contained in LivaNova’s 2025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months ended March 31, 2026, and are not necessarily indicative of the results that may be expected for the year ending December 31, 2026. The financial information presented herein should be read in conjunction with the audited consolidated financial statements and notes thereto accompanying LivaNova’s 2025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Revision of Previously Issued Financial Statements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the second quarter of 2025, the Company identified and corrected an immaterial error related to the classification of certain employee costs in the Cardiopulmonary segment between cost of sales and selling, general, and administrative expense in the consolidated statements of income (loss). This misclassification understated cost of sales and overstated selling, general, and administrative expense by equal and offsetting amounts, with no impact to operating income (loss) or net income (loss) for the three months ended March 31, 2025. The Company evaluated the error and determined that the related impact was not material to the consolidated statements of income (loss) for any prior period and had no impact on the consolidated balance sheets, statements of comprehensive income (loss), statements of cash flows, or statements of shareholders’ equity for the above period. The Company has revised the previously issued condensed consolidated statements of income (loss) for the three months ended March 31, 2025 to correct for the error, and these revisions are reflected in this Form 10-Q. A summary of the corrections to the impacted financial statement line items in the previously issued consolidated statements of income (loss) and disaggregated Cardiopulmonary segment income disclosure for each affected period is presented in “Note 13. Revision of Previously Issued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Accounting Policies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LivaNova’s significant accounting policies are included within “Note 2. Basis of Presentation, Use of Accounting Estimates, and Significant Accounting Policies” and “Note 3. Revenue Recognition” of LivaNova’s 2025 Form 10-K.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Derivatives and Risk Management</w:t>
      </w:r>
    </w:p>
    <w:p>
      <w:pPr>
        <w:spacing w:after="0" w:line="11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Due to the global nature of LivaNova’s operations, the Company is exposed to FX fluctuations. LivaNova enters into FX derivative contracts to reduce the impact of FX fluctuations on earnings and cash flow.</w:t>
      </w:r>
    </w:p>
    <w:p>
      <w:pPr>
        <w:spacing w:after="0" w:line="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LivaNova is also exposed to equity price risk in connection with its 2029 Notes, including exchange/conversion and settlement provisions based on the price of its ordinary shares at exchange/conversion or maturity of the 2029 Notes. The 2029 Capped Calls associated with the 2029 Notes also include settlement provisions that are based on the price of LivaNova’s ordinary shares, subject to a capped price per share.</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derivatives are intended to serve as economic hedges and follow the cash flows of the economic hedged item. LivaNova does not enter into derivative contracts for speculative purposes.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had no designated hedging instruments as of March 31, 2026 and December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Freestanding FX Derivatives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LivaNova uses freestanding derivative forward contracts to offset the variability of the value associated with intercompany loans denominated in a foreign currency. The gross notional amount of freestanding FX derivative contracts outstanding as of March 31, 2026 and December 31, 2025 was $128.2 million and $113.2 million, respectively. LivaNova recorded net losses of $2.2 million for the three months ended March 31, 2026 and net gains of $10.4 million for the three months ended March 31, 2025 from freestanding derivatives. These amounts, together with foreign currency remeasurement gains and losses on the underlying intercompany loans, are included in foreign exchange and other income/(expense) in LivaNova’s condensed consolidated statements of income (loss).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Capped Call Derivatives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Capped Call Transactions are carried on the condensed consolidated balance sheets as a derivative asset at their estimated fair value and are adjusted at the end of each reporting period, with unrealized gain or loss reflected in foreign exchange and other income/(expense) in the condensed consolidated statements of income (loss). The Capped Call Transactions are measured at fair value using the Black-Scholes model utilizing observable and unobservable market data, including share price, remaining contractual term, expected volatility, risk-free interest rate, and expected dividend yield, as applicable. For additional information, refer to “Note 3. Fair Value Measurements,” and “Note 11. Supplemental Financial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2029 Capped Calls</w:t>
      </w:r>
    </w:p>
    <w:p>
      <w:pPr>
        <w:spacing w:after="0" w:line="1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March 2024, LivaNova issued the 2029 Notes. In connection with the pricing of the 2029 Notes, the Company entered into related privately-negotiated capped call transactions with certain financial institutions. Under the 2029 Capped Calls, the Company purchased a capped call option with an initial strike price of $69.40 and an initial cap price of $94.28 per share. The strike price, which is subject to certain adjustments, corresponds to the initial conversion price of the 2029 Notes. The 2029 Capped Calls are intended to offset any cash payments and/or cash equivalent value of ordinary shares upon conversion of the 2029 Notes if the market value per ordinary share is greater than the strike price, with such offsets being subject to the initial cap price of $94.28 per share. However, the proceeds under the 2029 Capped Calls are limited to the initial cap price in the event the Company’s share price exceeds the cap price at the time of conversion. The 2029 Capped Calls expire on March 15, 2029, and must be settled in cash. The 2029 Capped Calls are subject to anti-dilution adjustments substantially similar to those applicable to the 2029 Notes and cover the number of LivaNova’s ordinary shares underlying the 2029 Notes. If the 2029 Capped Calls are terminated early, settlement occurs at their termination value, which is equal to their fair value at the time of the early termination.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Capped Calls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June 2020, LivaNova issued the 2025 Notes. In connection with the pricing of the 2025 Notes, the Company entered into related privately-negotiated capped call transactions with certain financial institutions. Under the 2025 Capped Calls, the Company purchased a capped call option with an initial strike price of $60.98 and an initial cap price of $100.00 per share. The strike price, subject to certain adjustments, corresponds to the initial exchange price of the 2025 Notes. The 2025 Capped Calls were intended to offset any cash payments upon exchange of the 2025 Notes in excess of the principal amount. In connection with the issuance of the 2029 Notes, the Company repurchased an aggregate principal amount of $230.0 million of the 2025 Notes and unwound a corresponding portion of the 2025 Capped Calls at the fair value of such portion of the 2025 Capped Calls. The Company received $22.5 million in cash consideration, the fair value of the terminated portion, upon settlement. The remaining 2025 Capped Calls expired with a fair value of zero on December 15,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Embedded Derivatives</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2025 Notes included, and the 2029 Notes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condensed consolidated statements of income (loss). For additional information, refer to “Note 11. Supplemental Financial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 Presentation</w:t>
      </w:r>
    </w:p>
    <w:p>
      <w:pPr>
        <w:spacing w:after="0" w:line="1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LivaNova offsets fair value amounts associated with its derivative instruments that are executed with the same counterparty under master netting arrangements on the Company’s condensed consolidated balance sheets. Master netting arrangements include a right to set off or net together purchases and sales of similar products in the settlement process.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tables present the fair value and the location of derivative contracts reported on the condensed consolidated balance sheets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5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Capped Calls</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Embedded Derivative</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derivative liabilities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93,254</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2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155"/>
        </w:trPr>
        <w:tc>
          <w:tcPr>
            <w:tcW w:w="34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46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2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93,867</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4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84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60" w:type="dxa"/>
            <w:vAlign w:val="bottom"/>
            <w:tcBorders>
              <w:bottom w:val="single" w:sz="8" w:color="auto"/>
            </w:tcBorders>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5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Capped Calls</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3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Embedded Derivative</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derivative liabilities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83,904</w:t>
            </w:r>
          </w:p>
        </w:tc>
        <w:tc>
          <w:tcPr>
            <w:tcW w:w="0" w:type="dxa"/>
            <w:vAlign w:val="bottom"/>
          </w:tcPr>
          <w:p>
            <w:pPr>
              <w:spacing w:after="0"/>
              <w:rPr>
                <w:sz w:val="1"/>
                <w:szCs w:val="1"/>
                <w:color w:val="auto"/>
              </w:rPr>
            </w:pPr>
          </w:p>
        </w:tc>
      </w:tr>
      <w:tr>
        <w:trPr>
          <w:trHeight w:val="184"/>
        </w:trPr>
        <w:tc>
          <w:tcPr>
            <w:tcW w:w="40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24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derivative contracts</w:t>
            </w: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0"/>
                <w:szCs w:val="20"/>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64"/>
        </w:trPr>
        <w:tc>
          <w:tcPr>
            <w:tcW w:w="34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2460" w:type="dxa"/>
            <w:vAlign w:val="bottom"/>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36,716</w:t>
            </w:r>
          </w:p>
        </w:tc>
        <w:tc>
          <w:tcPr>
            <w:tcW w:w="2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84,003</w:t>
            </w:r>
          </w:p>
        </w:tc>
        <w:tc>
          <w:tcPr>
            <w:tcW w:w="0" w:type="dxa"/>
            <w:vAlign w:val="bottom"/>
          </w:tcPr>
          <w:p>
            <w:pPr>
              <w:spacing w:after="0"/>
              <w:rPr>
                <w:sz w:val="1"/>
                <w:szCs w:val="1"/>
                <w:color w:val="auto"/>
              </w:rPr>
            </w:pPr>
          </w:p>
        </w:tc>
      </w:tr>
      <w:tr>
        <w:trPr>
          <w:trHeight w:val="20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4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84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Fair Value Measurements</w:t>
      </w:r>
    </w:p>
    <w:p>
      <w:pPr>
        <w:spacing w:after="0" w:line="1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LivaNova reviews its fair value hierarchy classification on a quarterly basis. Changes in the ability to observe valuation inputs may result in a reclassification of levels for certain securities in the fair value hierarchy. There were no transfers between Level 1, Level 2, or Level 3 for the three months ended March 31, 2026 and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and Liabilities Measured at Fair Value on a Recurring Basis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level in the fair value hierarchy at which the Company’s assets and liabilities are measured on a recurring basis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 Inputs</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Considered as: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 - 2029 Capped Calls</w:t>
            </w:r>
          </w:p>
        </w:tc>
        <w:tc>
          <w:tcPr>
            <w:tcW w:w="17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convertible notes receivable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tc>
        <w:tc>
          <w:tcPr>
            <w:tcW w:w="17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 - 2029 Embedded Derivative</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102,730</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196,597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195,984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7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 Inputs</w:t>
            </w:r>
          </w:p>
        </w:tc>
      </w:tr>
      <w:tr>
        <w:trPr>
          <w:trHeight w:val="238"/>
        </w:trPr>
        <w:tc>
          <w:tcPr>
            <w:tcW w:w="6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Considered as: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4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6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 - freestanding instruments (FX)</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assets - 2029 Capped Calls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36,551</w:t>
            </w:r>
          </w:p>
        </w:tc>
      </w:tr>
      <w:tr>
        <w:trPr>
          <w:trHeight w:val="229"/>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convertible notes receivable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39,551</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6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 - freestanding instruments (FX)</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liabilities - 2029 Embedded Derivative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83,904</w:t>
            </w:r>
          </w:p>
        </w:tc>
      </w:tr>
      <w:tr>
        <w:trPr>
          <w:trHeight w:val="230"/>
        </w:trPr>
        <w:tc>
          <w:tcPr>
            <w:tcW w:w="6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ImThera contingent consideration arrangements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92,075</w:t>
            </w:r>
          </w:p>
        </w:tc>
      </w:tr>
      <w:tr>
        <w:trPr>
          <w:trHeight w:val="223"/>
        </w:trPr>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176,078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175,979</w:t>
            </w:r>
          </w:p>
        </w:tc>
      </w:tr>
      <w:tr>
        <w:trPr>
          <w:trHeight w:val="21"/>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Reconciliation of Level 3 Assets and Liabilities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reconciliations of recurring fair value measurements that use significant unobservable inputs (Level 3)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Investment in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ImThera Contingent</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Derivative Assets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Liabilities - 2029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gridSpan w:val="2"/>
            <w:vMerge w:val="restart"/>
          </w:tcPr>
          <w:p>
            <w:pPr>
              <w:jc w:val="center"/>
              <w:ind w:right="220"/>
              <w:spacing w:after="0" w:line="191" w:lineRule="exact"/>
              <w:rPr>
                <w:sz w:val="20"/>
                <w:szCs w:val="20"/>
                <w:color w:val="auto"/>
              </w:rPr>
            </w:pPr>
            <w:r>
              <w:rPr>
                <w:rFonts w:ascii="Times New Roman" w:cs="Times New Roman" w:eastAsia="Times New Roman" w:hAnsi="Times New Roman"/>
                <w:sz w:val="18"/>
                <w:szCs w:val="18"/>
                <w:b w:val="1"/>
                <w:bCs w:val="1"/>
                <w:color w:val="auto"/>
                <w:w w:val="99"/>
              </w:rPr>
              <w:t>Convertible Notes</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gridSpan w:val="3"/>
            <w:vMerge w:val="restart"/>
          </w:tcPr>
          <w:p>
            <w:pPr>
              <w:jc w:val="center"/>
              <w:ind w:right="260"/>
              <w:spacing w:after="0" w:line="191" w:lineRule="exact"/>
              <w:rPr>
                <w:sz w:val="20"/>
                <w:szCs w:val="20"/>
                <w:color w:val="auto"/>
              </w:rPr>
            </w:pPr>
            <w:r>
              <w:rPr>
                <w:rFonts w:ascii="Times New Roman" w:cs="Times New Roman" w:eastAsia="Times New Roman" w:hAnsi="Times New Roman"/>
                <w:sz w:val="18"/>
                <w:szCs w:val="18"/>
                <w:b w:val="1"/>
                <w:bCs w:val="1"/>
                <w:color w:val="auto"/>
              </w:rPr>
              <w:t>Embedded</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60" w:type="dxa"/>
            <w:vAlign w:val="bottom"/>
            <w:vMerge w:val="restart"/>
          </w:tcPr>
          <w:p>
            <w:pPr>
              <w:jc w:val="center"/>
              <w:ind w:right="90"/>
              <w:spacing w:after="0" w:line="191" w:lineRule="exact"/>
              <w:rPr>
                <w:sz w:val="20"/>
                <w:szCs w:val="20"/>
                <w:color w:val="auto"/>
              </w:rPr>
            </w:pPr>
            <w:r>
              <w:rPr>
                <w:rFonts w:ascii="Times New Roman" w:cs="Times New Roman" w:eastAsia="Times New Roman" w:hAnsi="Times New Roman"/>
                <w:sz w:val="18"/>
                <w:szCs w:val="18"/>
                <w:b w:val="1"/>
                <w:bCs w:val="1"/>
                <w:color w:val="auto"/>
              </w:rPr>
              <w:t>Arrangements</w:t>
            </w:r>
          </w:p>
        </w:tc>
        <w:tc>
          <w:tcPr>
            <w:tcW w:w="0" w:type="dxa"/>
            <w:vAlign w:val="bottom"/>
          </w:tcPr>
          <w:p>
            <w:pPr>
              <w:spacing w:after="0"/>
              <w:rPr>
                <w:sz w:val="1"/>
                <w:szCs w:val="1"/>
                <w:color w:val="auto"/>
              </w:rPr>
            </w:pPr>
          </w:p>
        </w:tc>
      </w:tr>
      <w:tr>
        <w:trPr>
          <w:trHeight w:val="123"/>
        </w:trPr>
        <w:tc>
          <w:tcPr>
            <w:tcW w:w="2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gridSpan w:val="4"/>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auto"/>
              </w:rPr>
              <w:t>2029 Capped Calls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center"/>
              <w:ind w:right="358"/>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tcPr>
          <w:p>
            <w:pPr>
              <w:jc w:val="center"/>
              <w:ind w:right="240"/>
              <w:spacing w:after="0" w:line="228" w:lineRule="exact"/>
              <w:rPr>
                <w:sz w:val="20"/>
                <w:szCs w:val="20"/>
                <w:color w:val="auto"/>
              </w:rPr>
            </w:pPr>
            <w:r>
              <w:rPr>
                <w:rFonts w:ascii="Times New Roman" w:cs="Times New Roman" w:eastAsia="Times New Roman" w:hAnsi="Times New Roman"/>
                <w:sz w:val="18"/>
                <w:szCs w:val="18"/>
                <w:b w:val="1"/>
                <w:bCs w:val="1"/>
                <w:color w:val="auto"/>
                <w:w w:val="95"/>
              </w:rPr>
              <w:t xml:space="preserve">Derivative </w:t>
            </w:r>
            <w:r>
              <w:rPr>
                <w:rFonts w:ascii="Times New Roman" w:cs="Times New Roman" w:eastAsia="Times New Roman" w:hAnsi="Times New Roman"/>
                <w:sz w:val="23"/>
                <w:szCs w:val="23"/>
                <w:b w:val="1"/>
                <w:bCs w:val="1"/>
                <w:color w:val="auto"/>
                <w:w w:val="95"/>
                <w:vertAlign w:val="superscript"/>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4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92,075</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Changes in fair value </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ImThera Contingent</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6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Derivative Assets -</w:t>
            </w:r>
          </w:p>
        </w:tc>
        <w:tc>
          <w:tcPr>
            <w:tcW w:w="40" w:type="dxa"/>
            <w:vAlign w:val="bottom"/>
          </w:tcPr>
          <w:p>
            <w:pPr>
              <w:spacing w:after="0"/>
              <w:rPr>
                <w:sz w:val="20"/>
                <w:szCs w:val="20"/>
                <w:color w:val="auto"/>
              </w:rPr>
            </w:pPr>
          </w:p>
        </w:tc>
        <w:tc>
          <w:tcPr>
            <w:tcW w:w="17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Derivative Assets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Liabilities - 2025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Liabilities - 2029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1680" w:type="dxa"/>
            <w:vAlign w:val="bottom"/>
            <w:gridSpan w:val="3"/>
          </w:tcPr>
          <w:p>
            <w:pPr>
              <w:jc w:val="center"/>
              <w:ind w:right="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2025 Capped Calls</w:t>
            </w:r>
          </w:p>
        </w:tc>
        <w:tc>
          <w:tcPr>
            <w:tcW w:w="40" w:type="dxa"/>
            <w:vAlign w:val="bottom"/>
          </w:tcPr>
          <w:p>
            <w:pPr>
              <w:spacing w:after="0"/>
              <w:rPr>
                <w:sz w:val="16"/>
                <w:szCs w:val="16"/>
                <w:color w:val="auto"/>
              </w:rPr>
            </w:pPr>
          </w:p>
        </w:tc>
        <w:tc>
          <w:tcPr>
            <w:tcW w:w="1700" w:type="dxa"/>
            <w:vAlign w:val="bottom"/>
            <w:gridSpan w:val="4"/>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2029 Capped Calls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Embedded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Embedded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Arrangements</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center"/>
              <w:ind w:right="338"/>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ind w:right="318"/>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Derivative </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Derivative </w:t>
            </w:r>
            <w:r>
              <w:rPr>
                <w:rFonts w:ascii="Times New Roman" w:cs="Times New Roman" w:eastAsia="Times New Roman" w:hAnsi="Times New Roman"/>
                <w:sz w:val="18"/>
                <w:szCs w:val="18"/>
                <w:b w:val="1"/>
                <w:bCs w:val="1"/>
                <w:color w:val="auto"/>
                <w:vertAlign w:val="superscript"/>
              </w:rPr>
              <w:t>(1)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0"/>
              <w:spacing w:after="0" w:line="162"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84,218</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Changes in fair value </w:t>
            </w:r>
            <w:r>
              <w:rPr>
                <w:rFonts w:ascii="Times New Roman" w:cs="Times New Roman" w:eastAsia="Times New Roman" w:hAnsi="Times New Roman"/>
                <w:sz w:val="23"/>
                <w:szCs w:val="23"/>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Gains and losses are recorded in foreign exchange and other income/(expense) in the condensed consolidated statements of income (loss).</w:t>
      </w:r>
    </w:p>
    <w:p>
      <w:pPr>
        <w:spacing w:after="0" w:line="10" w:lineRule="exact"/>
        <w:rPr>
          <w:rFonts w:ascii="Times New Roman" w:cs="Times New Roman" w:eastAsia="Times New Roman" w:hAnsi="Times New Roman"/>
          <w:sz w:val="21"/>
          <w:szCs w:val="21"/>
          <w:color w:val="auto"/>
          <w:vertAlign w:val="superscript"/>
        </w:rPr>
      </w:pPr>
    </w:p>
    <w:p>
      <w:pPr>
        <w:jc w:val="both"/>
        <w:ind w:left="660" w:hanging="328"/>
        <w:spacing w:after="0" w:line="235" w:lineRule="auto"/>
        <w:tabs>
          <w:tab w:leader="none" w:pos="648"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March 31, 2026, the contingent consideration change in fair value resulted in an increase of $1.1 million recorded to cost of sales and an increase of $9.6 million recorded to R&amp;D. For the three months ended March 31, 2025, the contingent consideration change in fair value was primarily recorded to R&amp;D.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 Price Volatility</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share price volatility utilized in determining the fair value of LivaNova’s 2029 Capped Call derivative assets and 2029 Embedded Derivative liability as of March 31, 2026 was 39%. In general, an increase in LivaNova’s share price or share price volatility would increase the fair value of the embedded and capped call derivatives, which would result in an increase in net expense. As the remaining time to the expiration of the derivatives decreases, the fair value of the derivatives decreases. The future impact of the derivatives on net income (loss) depends on how significant inputs, such as share price volatility, and time to the expiration of the derivatives, change in relation to other inputs.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Contingent Consideration Arrangements</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ImThera business combination involved contingent consideration arrangements comprised of potential cash payments upon the achievement of a certain regulatory milestone and a sales-based earnout associated with sales of products. The sales-based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4" w:name="page15"/>
    <w:bookmarkEnd w:id="14"/>
    <w:p>
      <w:pPr>
        <w:spacing w:after="0" w:line="297" w:lineRule="auto"/>
        <w:rPr>
          <w:sz w:val="20"/>
          <w:szCs w:val="20"/>
          <w:color w:val="auto"/>
        </w:rPr>
      </w:pPr>
      <w:r>
        <w:rPr>
          <w:rFonts w:ascii="Times New Roman" w:cs="Times New Roman" w:eastAsia="Times New Roman" w:hAnsi="Times New Roman"/>
          <w:sz w:val="18"/>
          <w:szCs w:val="18"/>
          <w:color w:val="auto"/>
        </w:rPr>
        <w:t>earnouts are valued using projected sales from LivaNova’s internal strategic plan. These arrangements are Level 3 fair value measurements and include the following significant unobservable inputs as of March 31, 2026:</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ImThera Acquisition</w:t>
            </w:r>
          </w:p>
        </w:tc>
        <w:tc>
          <w:tcPr>
            <w:tcW w:w="28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9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0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Inputs</w:t>
            </w: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milestone-based payment</w:t>
            </w:r>
          </w:p>
        </w:tc>
        <w:tc>
          <w:tcPr>
            <w:tcW w:w="12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6.9%</w:t>
            </w:r>
          </w:p>
        </w:tc>
      </w:tr>
      <w:tr>
        <w:trPr>
          <w:trHeight w:val="230"/>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Probability of payment </w:t>
            </w:r>
            <w:r>
              <w:rPr>
                <w:rFonts w:ascii="Times New Roman" w:cs="Times New Roman" w:eastAsia="Times New Roman" w:hAnsi="Times New Roman"/>
                <w:sz w:val="23"/>
                <w:szCs w:val="23"/>
                <w:color w:val="auto"/>
                <w:vertAlign w:val="superscript"/>
              </w:rPr>
              <w:t>(1)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payment year</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70"/>
        </w:trPr>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2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Monte-Carlo simulation</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Risk-adjusted discount rate</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11.7%</w:t>
            </w:r>
          </w:p>
        </w:tc>
      </w:tr>
      <w:tr>
        <w:trPr>
          <w:trHeight w:val="230"/>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risk discount rate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 - 7.7%</w:t>
            </w:r>
          </w:p>
        </w:tc>
      </w:tr>
      <w:tr>
        <w:trPr>
          <w:trHeight w:val="229"/>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r>
      <w:tr>
        <w:trPr>
          <w:trHeight w:val="229"/>
        </w:trPr>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payment years</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2028 - 2029</w:t>
            </w:r>
          </w:p>
        </w:tc>
      </w:tr>
    </w:tbl>
    <w:p>
      <w:pPr>
        <w:spacing w:after="0" w:line="189" w:lineRule="exact"/>
        <w:rPr>
          <w:sz w:val="20"/>
          <w:szCs w:val="20"/>
          <w:color w:val="auto"/>
        </w:rPr>
      </w:pPr>
    </w:p>
    <w:p>
      <w:pPr>
        <w:ind w:left="660" w:right="20" w:hanging="328"/>
        <w:spacing w:after="0" w:line="232"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March 2026, the Company achieved the regulatory milestone upon PMA by the FDA. As a result, the probability of payment was increased to 100% and will be paid within 90 days of milestone achievement.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carrying value of LivaNova’s long-term debt including the current portion as of March 31, 2026 and December 31, 2025 was $285.3 million and $376.1 million, respectively. The fair value of the 2029 Notes, excluding the conversion feature, as of March 31, 2026 and December 31, 2025 was $306.0 million and $315.2 million, respectively. The fair value was estimated using a discounted cash flow model and is classified as Level 2 within the fair value hierarchy. For all other long-term debt obligations, LivaNova believes the carrying value approximates fair value. The fair values and principal values consider the terms of the related debt and exclude the impacts of debt discounts and hedging activity.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Financing Arrangements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LivaNova’s long-term debt obligations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280,172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275,599</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2029</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Facilities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376,063</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 obligations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285,160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345,185</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 and Term Facilities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outstanding principal amount of LivaNova’s short-term unsecured revolving credit agreements and other agreements with various banks was $2.5 million and $0.6 million as of March 31, 2026 and December 31, 2025, respectively, with an interest rate of 5.33% as of March 31, 2026.</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8, 2024, LivaNova and LivaNova USA entered into Incremental Facility Amendment No. 3, which provides for LivaNova USA to obtain revolving commitments in an aggregate principal amount of $225.0 million, and matures on March 8, 2029. There were no outstanding borrowings under the revolving facilities under the 2021 First Lien Credit Agreement as of March 31, 2026 and December 31, 2025. As of both March 31, 2026 and December 31, 2025, the applicable commitment fee percentage was 0.25% per annum. As of March 31, 2026, the Company was in compliance with the financial covenants contained in the 2021 First Lien Credit Agreement.</w:t>
      </w:r>
    </w:p>
    <w:p>
      <w:pPr>
        <w:spacing w:after="0" w:line="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January 8, 2026, LivaNova paid $95.9 million in an early repayment of the remaining amount outstanding under the Term Facilities in full. The early repayment resulted in the recognition of a loss on debt extinguishment of $0.9 million for the three months ended March 31, 2026, associated with the write-off of the remaining unamortized debt issuance costs, and is included within interest expense in the condensed consolidated statements of income (loss).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color w:val="auto"/>
        </w:rPr>
        <w:t>2029 Notes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effective interest rate of the 2029 Notes was 9.84% as of March 31, 2026. The unamortized debt discount and issuance costs related to the 2029 Notes as of March 31, 2026 and December 31, 2025 were $64.8 million and $69.4 million, respectively. As of March 31, 2026, the conditions for conversion were not met. The Company included its obligations from the 2029 Notes and the associated embedded derivative as long-term liabilities in the condensed consolidated balance sheet as of March 31, 2026, and the 2029 Notes are not convertible for the three months ending June 30, 2026. For additional information regarding the 2029 Notes, refer to LivaNova’s 2025 Form 10-K.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Commitments and Contingencies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Saluggia Site Hazardous Substances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The national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there is no legal obligation to deliver any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March 31, 2026 was $41.0 million (€35.5 million), which represented the estimated low end of the range of loss, with an estimated maximum end of the range of loss of $54.6 million (€47.3 million). The estimated liability as of December 31, 2025 was $41.8 million (€35.6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SNIA Environmental Litigation</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Sorin was created as a result of a spin-off from SNIA in 2004. SNIA subsequently became insolvent, and the Public Administrations sought compensation from SNIA in an aggregate amount of approximately $4.0 billion for remediation costs relating to the environmental damage at chemical sites previously operated by SNIA’s other subsidiaries. 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2015, Sorin was merged into LivaNova.</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the Court of Milan dismissed all legal actions of SNIA and of the Public Administrations, further requiring the Public Administrations to pay Sorin €292,000 ($336,677 as of March 31, 2026) for legal fees. The Public Administrations appealed the 2016 Decision to the Court of Appeal. In March 2019, the Court of Appeal issued a partial decision on the merits declaring LivaNova jointly liable with SNIA for SNIA’s environmental liabilities in an amount up to the fair value of the net worth received by Sorin because of the spin-off of Sorin from SNIA in 2004, an estimated €572.1 million ($659.6 million as of March 31, 2026). LivaNova appealed the partial decision on liability to the Italian Supreme Court in August 2019.</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2021, the Court of Appeal delivered the remainder of its decision, ordering LivaNova to pay damages of €453.6 million ($523.0 million as of March 31, 2026). LivaNova appealed the decision on damages in December 2021. In February 2022, the Court of Appeal notified the Company that it granted the Company a suspension with respect to the payment of damages until a decision was reached on the appeal to the Italian Supreme Court, subject to LivaNova providing a first demand bank guarantee of €270.0 million ($311.3 million as of March 31, 2026); LivaNova delivered the SNIA Litigation Guarantee in March 2022.</w:t>
      </w:r>
    </w:p>
    <w:p>
      <w:pPr>
        <w:spacing w:after="0" w:line="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In November 2022, the Italian Supreme Court issued a procedural document whereby the Italian Supreme Court referred a question on the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In July 2024, the ECJ issued a judgment, stating that a demerged company can be held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spacing w:after="0" w:line="274" w:lineRule="auto"/>
        <w:rPr>
          <w:sz w:val="20"/>
          <w:szCs w:val="20"/>
          <w:color w:val="auto"/>
        </w:rPr>
      </w:pPr>
      <w:r>
        <w:rPr>
          <w:rFonts w:ascii="Times New Roman" w:cs="Times New Roman" w:eastAsia="Times New Roman" w:hAnsi="Times New Roman"/>
          <w:sz w:val="18"/>
          <w:szCs w:val="18"/>
          <w:color w:val="auto"/>
        </w:rPr>
        <w:t>responsible for liabilities not established prior to a demerger as long as the liabilities derive from the conduct of a demerged company prior to the demerger. The ECJ judgment also states that national law should determine whether liability for damages stemming from conduct after a demerger can be assigned to a demerged company.</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however, the Italian Supreme Court also ruled that the Company should not be held responsible for certain payments previously approved by the Court of Appeal in the amount of €157.3 million ($181.3 million as of March 31, 2026). The case was referred back to the Court of Appeal to implement the decisions respecting costs and damages in accordance with the judgment of the Italian Supreme Court.</w:t>
      </w:r>
    </w:p>
    <w:p>
      <w:pPr>
        <w:spacing w:after="0" w:line="8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On March 31, 2025, as a result of the decision by the Italian Supreme Court, the SNIA Litigation Guarantee was terminated, and the restriction on the cash deposit held as collateral was released. For additional information on the financing of the guarantee, refer to “Note 11. Supplemental Financial Information.”</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On May 15, 2025, as a procedural step, the Public Administrations served the Company with a filing to return the proceedings to the Court of Appeal. In addition to seeking a return of the case to the Court of Appeal, the Public Administrations asserted that the Court of Appeal forgo an examination of the amounts disapproved by the Italian Supreme Court and instead impose costs of €108.8 million ($125.4 million as of March 31, 2026) at a minimum. These assertions are counter to the decision of the Italian Supreme Court’s judgment, which disapproved costs of €157.3 million ($181.3 million as of March 31, 2026). The Public Administrations’ filing is not a legal judgment or demand for payment.</w:t>
      </w:r>
    </w:p>
    <w:p>
      <w:pPr>
        <w:spacing w:after="0" w:line="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At a hearing on January 28, 2026, the Court of Appeal scheduled a hearing for June 24, 2026 to allow the parties to discuss a possible out-of-court resolution of the matter. Discussions remain ongoing, and there can be no assurance that they will result in a settlement.</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As a result of the March 14, 2025 decision by the Italian Supreme Court, the Company recorded a current liability in the first quarter of 2025. As of March 31, 2026, the current liability on the consolidated balance sheet was €337.8 million ($389.5 million), representing the Company’s best estimate inclusive of estimated costs, fees, interest, and taxes. These estimated costs do not include the Company’s legal fees, which are expensed as incurred and included in SG&amp;A in LivaNova’s condensed consolidated statements of income (loss). As of the date of this filing, the Company believes the amount recorded for the SNIA matter remains its best estimate and has determined that it has sufficient resources to satisfy the liability.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Liability Litigation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be involved in litigation involving LivaNova’s 3T device. The litigation includes the cases remaining in the federal multi-district litigation in the U.S. District Court for the Middle District of Pennsylvania and various U.S. state courts, as well as claims in jurisdictions outside the United States. As of May 6, 2026, the Company was aware of approximately 60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of March 31, 2026 and December 31, 2025, the provision for these matters was $12.6 million and $15.6 million, respectively. While the amount accrued represents LivaNova’s best estimate for those worldwide filed and unfiled claims of which LivaNova is aware and believes are both probable and estimable at this time, the actual liability for resolution of these matters may vary from the Company’s provision. A provision has not been recorded for any claims where a potential loss is not determined to be probable, or a potential loss or range of potential loss is not reasonably estimable at this time.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litigation provision liability for the three months ended March 31, 2026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r>
      <w:tr>
        <w:trPr>
          <w:trHeight w:val="229"/>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FX and other</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2026</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12,641</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as of March 31, 2026</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9,643</w:t>
            </w:r>
          </w:p>
        </w:tc>
      </w:tr>
      <w:tr>
        <w:trPr>
          <w:trHeight w:val="248"/>
        </w:trPr>
        <w:tc>
          <w:tcPr>
            <w:tcW w:w="88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Long-term portion as of March 31, 2026 </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Adjustments to the litigation provision are included in other operating expense on the condensed consolidated statements of income (loss).</w:t>
      </w:r>
    </w:p>
    <w:p>
      <w:pPr>
        <w:spacing w:after="0" w:line="10"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long-term liabilities on the condensed consolidated balance sheets.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Italian MedTech Payback Measure</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2015, the Italian Parliament introduced a law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2024, the Constitutional Court upheld the payback law, and it entered into force in August 2025. In June 2025, the Italian government introduced a settlement mechanism for 2015-2018 obligations, in which the Company elected to participate. In September 2025, the Company paid €3.5 million ($4.0 million as of March 31, 2026), representing full settlement of its obligations for that period, and reversed the remaining $3.8 million reserve associated with those years. As of March 31, 2026 and December 31, 2025, the Company had a reserve of $13.3 million and $12.8 million, respectively, reflecting its best estimate of the full potential obligation for 2019 to present; however, the actual liability could vary. The reserve is included in accrued liabilities and other in the condensed consolidated balance sheets. Amounts recognized associated with the Italian MedTech payback measure are recorded as a reduction to net revenue in the condensed consolidated statements of income (loss).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Matters</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 is the subject of various pending or threatened legal actions and proceedings that arise in the ordinary course of LivaNova’s business. These matters are subject to many uncertainties and outcomes that are not predictable and may not be known for extended periods of time. Since the outcome of these matters cannot be predicted with certainty, the costs associated with them could have a material adverse effect on LivaNova’s consolidated results of operations, financial condition, and/or cash flows.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Shareholders’ Equity</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present the condensed consolidated statements of shareholders’ equity as of and for the three months ended March 31, 2026 and 2025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10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Shares -</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0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0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(1,145,721)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1,199,987</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(1,123,427)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1,211,326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1,320,258</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(327,322)</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1,034,298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The tables below present the changes in AOCI, net of tax, for the three months ended March 31, 2026 and 2025 (in thousands):</w:t>
            </w: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9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r>
      <w:tr>
        <w:trPr>
          <w:trHeight w:val="175"/>
        </w:trPr>
        <w:tc>
          <w:tcPr>
            <w:tcW w:w="9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43"/>
        </w:trPr>
        <w:tc>
          <w:tcPr>
            <w:tcW w:w="95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r>
      <w:tr>
        <w:trPr>
          <w:trHeight w:val="22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reclassifications, net of tax</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r>
      <w:tr>
        <w:trPr>
          <w:trHeight w:val="229"/>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amounts from AOCI, net of tax</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loss, net of tax</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w:t>
            </w:r>
          </w:p>
        </w:tc>
      </w:tr>
      <w:tr>
        <w:trPr>
          <w:trHeight w:val="248"/>
        </w:trPr>
        <w:tc>
          <w:tcPr>
            <w:tcW w:w="9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hanging="328"/>
        <w:spacing w:after="0" w:line="232"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Taxes were not provided for foreign currency translation adjustments, as translation adjustments are related to earnings that are intended to be reinvested in the countries where earned.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r>
      <w:tr>
        <w:trPr>
          <w:trHeight w:val="184"/>
        </w:trPr>
        <w:tc>
          <w:tcPr>
            <w:tcW w:w="9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Translation</w:t>
            </w:r>
          </w:p>
        </w:tc>
      </w:tr>
      <w:tr>
        <w:trPr>
          <w:trHeight w:val="230"/>
        </w:trPr>
        <w:tc>
          <w:tcPr>
            <w:tcW w:w="9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70"/>
              <w:spacing w:after="0" w:line="230" w:lineRule="exact"/>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(80,170)</w:t>
            </w:r>
          </w:p>
        </w:tc>
      </w:tr>
      <w:tr>
        <w:trPr>
          <w:trHeight w:val="230"/>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 net of tax</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37,442</w:t>
            </w:r>
          </w:p>
        </w:tc>
      </w:tr>
      <w:tr>
        <w:trPr>
          <w:trHeight w:val="229"/>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amounts from AOCI, net of tax</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net of tax</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37,442</w:t>
            </w:r>
          </w:p>
        </w:tc>
      </w:tr>
      <w:tr>
        <w:trPr>
          <w:trHeight w:val="248"/>
        </w:trPr>
        <w:tc>
          <w:tcPr>
            <w:tcW w:w="9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(42,728)</w:t>
            </w: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hanging="328"/>
        <w:spacing w:after="0" w:line="232"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Taxes were not provided for foreign currency translation adjustments, as translation adjustments are related to earnings that are intended to be reinvested in the countries where earned.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Share-Based Incentive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Share-Based Compensation Expense</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of share-based compensation expense recognized in LivaNova’s condensed consolidated statements of income (loss) by type of arrangement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Service-based SARs</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performance-based RSUs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performance-based RSUs</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share purchase plan</w:t>
            </w: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722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w:t>
            </w:r>
          </w:p>
        </w:tc>
      </w:tr>
      <w:tr>
        <w:trPr>
          <w:trHeight w:val="20"/>
        </w:trPr>
        <w:tc>
          <w:tcPr>
            <w:tcW w:w="7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Share-based compensation granted for the three months ended March 31, 2026, representing potential shares and their weighted average grant date fair values by type, is as follows (shares in thousands, fair value in dollars):</w:t>
      </w:r>
    </w:p>
    <w:p>
      <w:pPr>
        <w:spacing w:after="0" w:line="104"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20" w:type="dxa"/>
            <w:vAlign w:val="bottom"/>
          </w:tcPr>
          <w:p>
            <w:pPr>
              <w:spacing w:after="0"/>
              <w:rPr>
                <w:sz w:val="14"/>
                <w:szCs w:val="14"/>
                <w:color w:val="auto"/>
              </w:rPr>
            </w:pPr>
          </w:p>
        </w:tc>
        <w:tc>
          <w:tcPr>
            <w:tcW w:w="142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 Grant</w:t>
            </w:r>
          </w:p>
        </w:tc>
        <w:tc>
          <w:tcPr>
            <w:tcW w:w="0" w:type="dxa"/>
            <w:vAlign w:val="bottom"/>
          </w:tcPr>
          <w:p>
            <w:pPr>
              <w:spacing w:after="0"/>
              <w:rPr>
                <w:sz w:val="1"/>
                <w:szCs w:val="1"/>
                <w:color w:val="auto"/>
              </w:rPr>
            </w:pPr>
          </w:p>
        </w:tc>
      </w:tr>
      <w:tr>
        <w:trPr>
          <w:trHeight w:val="243"/>
        </w:trPr>
        <w:tc>
          <w:tcPr>
            <w:tcW w:w="72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306"/>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Performance-based RSUs </w:t>
            </w:r>
            <w:r>
              <w:rPr>
                <w:rFonts w:ascii="Times New Roman" w:cs="Times New Roman" w:eastAsia="Times New Roman" w:hAnsi="Times New Roman"/>
                <w:sz w:val="23"/>
                <w:szCs w:val="23"/>
                <w:color w:val="auto"/>
                <w:vertAlign w:val="superscript"/>
              </w:rPr>
              <w:t>(1) (2)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660" w:hanging="328"/>
        <w:spacing w:after="0" w:line="243"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Awards cliff vest after three years and are subject to performance conditions, including the rank of LivaNova’s total shareholder return for the three-year period ending December 31, 2028 relative to the total shareholder returns of the S&amp;P Healthcare Equipment Select Constituents index, as well as the achievement of specified cumulative revenue growth and adjusted EPS performance thresholds.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left="660" w:hanging="328"/>
        <w:spacing w:after="0" w:line="232"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shares based on an assumed 100% performance achievement. Performance-based RSU awards have a minimum and maximum possible achievement level of 0% and 200%,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Income Taxes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LivaNova’s effective income tax rate for the three months ended March 31, 2026 and 2025 was 15.8% and (3.7)%, respectively. The changes in the effective tax rates for the three months ended March 31, 2026, compared to the prior year period, were primarily attributable to year-over-year changes in income before income tax in countries with varying statutory tax rates, certain discrete tax items, including the SNIA environmental liability, and changes in valuation allowances.</w:t>
      </w:r>
    </w:p>
    <w:p>
      <w:pPr>
        <w:spacing w:after="0" w:line="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OBBBA was enacted in the U.S. on July 4, 2025 and includes significant provisions, such as the permanent extension of certain expiring provisions of the Tax Cuts and Jobs Act, modifications to the international tax framework, and the restoration of favorable tax treatment for certain business provisions. LivaNova has accounted for the relevant changes within its annual effective tax rate and cash taxes.</w:t>
      </w:r>
    </w:p>
    <w:p>
      <w:pPr>
        <w:spacing w:after="0" w:line="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considers all available evidence (both positive and negative) in determining whether a valuation allowance is required. Depending on operating results in the future, a release of a valuation allowance could occur within the next 12 months. The timing and amount of the valuation allowance release could vary based on the Company’s assessment of all available evidence.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Earnings (Loss) Per Share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basic and diluted earnings (loss) per share:</w:t>
      </w:r>
    </w:p>
    <w:p>
      <w:pPr>
        <w:spacing w:after="0" w:line="160"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94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0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4"/>
        </w:trPr>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reconciliations of net income (loss) and weighted average shares outstanding used in the calculations of basic and diluted earnings (loss) per share (in thousands):</w:t>
      </w:r>
    </w:p>
    <w:p>
      <w:pPr>
        <w:spacing w:after="0" w:line="96"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94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4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 basic and 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(327,322)</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Add: Dilutive effect of share-based compensation and convertible debt instruments </w:t>
            </w:r>
            <w:r>
              <w:rPr>
                <w:rFonts w:ascii="Times New Roman" w:cs="Times New Roman" w:eastAsia="Times New Roman" w:hAnsi="Times New Roman"/>
                <w:sz w:val="23"/>
                <w:szCs w:val="23"/>
                <w:color w:val="auto"/>
                <w:vertAlign w:val="superscript"/>
              </w:rPr>
              <w:t>(1) (2)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60" w:hanging="328"/>
        <w:spacing w:after="0" w:line="232"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months ended March 31, 2026 and 2025, the 2029 Notes were outstanding and potentially dilutive securities but were excluded from the computation of diluted earnings (loss) per share because their effect would have been anti-dilutive.</w:t>
      </w:r>
    </w:p>
    <w:p>
      <w:pPr>
        <w:spacing w:after="0" w:line="1" w:lineRule="exact"/>
        <w:rPr>
          <w:rFonts w:ascii="Times New Roman" w:cs="Times New Roman" w:eastAsia="Times New Roman" w:hAnsi="Times New Roman"/>
          <w:sz w:val="21"/>
          <w:szCs w:val="21"/>
          <w:color w:val="auto"/>
          <w:vertAlign w:val="superscript"/>
        </w:rPr>
      </w:pPr>
    </w:p>
    <w:p>
      <w:pPr>
        <w:ind w:left="660" w:hanging="328"/>
        <w:spacing w:after="0" w:line="228"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Excluded from the computation of diluted earnings (loss) per share were shares underlying stock options, SARs, and RSUs totaling 0.1 million and 4.6 million for the three months ended March 31, 2026 and 2025, respectively, because to include them would have been anti-dilutive under the treasury stock method.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Segment and Geographic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Segment Information</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w:t>
      </w:r>
    </w:p>
    <w:p>
      <w:pPr>
        <w:spacing w:after="0" w:line="4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71" w:lineRule="auto"/>
        <w:rPr>
          <w:sz w:val="20"/>
          <w:szCs w:val="20"/>
          <w:color w:val="auto"/>
        </w:rPr>
      </w:pPr>
      <w:r>
        <w:rPr>
          <w:rFonts w:ascii="Times New Roman" w:cs="Times New Roman" w:eastAsia="Times New Roman" w:hAnsi="Times New Roman"/>
          <w:sz w:val="18"/>
          <w:szCs w:val="18"/>
          <w:color w:val="auto"/>
        </w:rPr>
        <w:t>LivaNova’s Neuromodulation segment is engaged in the design, development, manufacture, marketing, and sale of devices that deliver neuromodulation therapy for treating DRE and DTD. Neuromodulation products include the VNS Therapy System, which consists of an implantable pulse generator, a lead that connects the generator to the vagus nerve, and other accessories. This segment also includes the design and development of neurostimulation devices for treating OSA.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by operating segment and geographic region (in thousands):</w:t>
      </w:r>
    </w:p>
    <w:p>
      <w:pPr>
        <w:spacing w:after="0" w:line="154"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1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60,834</w:t>
            </w:r>
          </w:p>
        </w:tc>
        <w:tc>
          <w:tcPr>
            <w:tcW w:w="0" w:type="dxa"/>
            <w:vAlign w:val="bottom"/>
          </w:tcPr>
          <w:p>
            <w:pPr>
              <w:spacing w:after="0"/>
              <w:rPr>
                <w:sz w:val="1"/>
                <w:szCs w:val="1"/>
                <w:color w:val="auto"/>
              </w:rPr>
            </w:pPr>
          </w:p>
        </w:tc>
      </w:tr>
      <w:tr>
        <w:trPr>
          <w:trHeight w:val="229"/>
        </w:trPr>
        <w:tc>
          <w:tcPr>
            <w:tcW w:w="81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70,979</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208,655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176,320</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138,893</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Other Revenue </w:t>
            </w:r>
            <w:r>
              <w:rPr>
                <w:rFonts w:ascii="Times New Roman" w:cs="Times New Roman" w:eastAsia="Times New Roman" w:hAnsi="Times New Roman"/>
                <w:sz w:val="23"/>
                <w:szCs w:val="23"/>
                <w:b w:val="1"/>
                <w:bCs w:val="1"/>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87,990</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60" w:hanging="328"/>
        <w:spacing w:after="0" w:line="232"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Times New Roman" w:cs="Times New Roman" w:eastAsia="Times New Roman" w:hAnsi="Times New Roman"/>
          <w:sz w:val="21"/>
          <w:szCs w:val="21"/>
          <w:color w:val="auto"/>
          <w:vertAlign w:val="superscript"/>
        </w:rPr>
      </w:pPr>
    </w:p>
    <w:p>
      <w:pPr>
        <w:ind w:left="640" w:hanging="308"/>
        <w:spacing w:after="0" w:line="201" w:lineRule="auto"/>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Revenue” includes rental and site services income not allocated to segments.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LivaNova defines segment income as operating income before restructuring expense, amortization of intangible assets, the Saluggia site provision, merger and integration expense, and other income and expense not allocated to segments. Other income and expense not allocated to segments primarily includes corporate expense and rental income. LivaNova’s CODM is the Company’s CEO, who is regularly provided the results comprising segment income to make strategic business decisions, including, but not limited to, evaluation of the Company’s business portfolio, R&amp;D investment decisions, and consideration of the Company’s organizational structure.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income to consolidated income (loss) before income tax (in thousands):</w:t>
      </w:r>
    </w:p>
    <w:p>
      <w:pPr>
        <w:spacing w:after="0" w:line="160"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92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40" w:type="dxa"/>
            <w:vAlign w:val="bottom"/>
            <w:tcBorders>
              <w:bottom w:val="single" w:sz="8" w:color="CCEEFF"/>
            </w:tcBorders>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3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3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income</w:t>
            </w:r>
          </w:p>
        </w:tc>
        <w:tc>
          <w:tcPr>
            <w:tcW w:w="3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3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3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(1)</w:t>
            </w:r>
          </w:p>
        </w:tc>
        <w:tc>
          <w:tcPr>
            <w:tcW w:w="3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3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4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9A9A9A"/>
            </w:tcBorders>
          </w:tcPr>
          <w:p>
            <w:pPr>
              <w:spacing w:after="0"/>
              <w:rPr>
                <w:sz w:val="20"/>
                <w:szCs w:val="20"/>
                <w:color w:val="auto"/>
              </w:rPr>
            </w:pPr>
          </w:p>
        </w:tc>
        <w:tc>
          <w:tcPr>
            <w:tcW w:w="370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left="660" w:right="20" w:hanging="328"/>
        <w:spacing w:after="0" w:line="232" w:lineRule="auto"/>
        <w:tabs>
          <w:tab w:leader="none" w:pos="64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expense” includes contractual interest expense associated with LivaNova’s short- and long-term financing arrangements and the amortization of debt discount and issuance costs of $4.8 million and $5.7 million for the three months ended March 31, 2026 and 2025,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segment income, including significant expenses, of LivaNova’s reportable segments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Cardiopulmonary</w:t>
            </w:r>
          </w:p>
        </w:tc>
        <w:tc>
          <w:tcPr>
            <w:tcW w:w="340" w:type="dxa"/>
            <w:vAlign w:val="bottom"/>
          </w:tcPr>
          <w:p>
            <w:pPr>
              <w:spacing w:after="0"/>
              <w:rPr>
                <w:sz w:val="20"/>
                <w:szCs w:val="20"/>
                <w:color w:val="auto"/>
              </w:rPr>
            </w:pPr>
          </w:p>
        </w:tc>
        <w:tc>
          <w:tcPr>
            <w:tcW w:w="272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Neuromodulation</w:t>
            </w:r>
          </w:p>
        </w:tc>
      </w:tr>
      <w:tr>
        <w:trPr>
          <w:trHeight w:val="169"/>
        </w:trPr>
        <w:tc>
          <w:tcPr>
            <w:tcW w:w="50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gridSpan w:val="4"/>
          </w:tcPr>
          <w:p>
            <w:pPr>
              <w:jc w:val="center"/>
              <w:ind w:right="3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gridSpan w:val="4"/>
          </w:tcPr>
          <w:p>
            <w:pPr>
              <w:jc w:val="center"/>
              <w:ind w:right="3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5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r>
      <w:tr>
        <w:trPr>
          <w:trHeight w:val="225"/>
        </w:trPr>
        <w:tc>
          <w:tcPr>
            <w:tcW w:w="5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138,893</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47,570</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3T litigation provision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7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1,045,189</w:t>
            </w:r>
          </w:p>
        </w:tc>
        <w:tc>
          <w:tcPr>
            <w:tcW w:w="0" w:type="dxa"/>
            <w:vAlign w:val="bottom"/>
          </w:tcPr>
          <w:p>
            <w:pPr>
              <w:spacing w:after="0"/>
              <w:rPr>
                <w:sz w:val="1"/>
                <w:szCs w:val="1"/>
                <w:color w:val="auto"/>
              </w:rPr>
            </w:pPr>
          </w:p>
        </w:tc>
      </w:tr>
      <w:tr>
        <w:trPr>
          <w:trHeight w:val="230"/>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639,742</w:t>
            </w:r>
          </w:p>
        </w:tc>
        <w:tc>
          <w:tcPr>
            <w:tcW w:w="0" w:type="dxa"/>
            <w:vAlign w:val="bottom"/>
          </w:tcPr>
          <w:p>
            <w:pPr>
              <w:spacing w:after="0"/>
              <w:rPr>
                <w:sz w:val="1"/>
                <w:szCs w:val="1"/>
                <w:color w:val="auto"/>
              </w:rPr>
            </w:pPr>
          </w:p>
        </w:tc>
      </w:tr>
      <w:tr>
        <w:trPr>
          <w:trHeight w:val="229"/>
        </w:trPr>
        <w:tc>
          <w:tcPr>
            <w:tcW w:w="72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921,122</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2,516,351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2,606,053</w:t>
            </w:r>
          </w:p>
        </w:tc>
        <w:tc>
          <w:tcPr>
            <w:tcW w:w="0" w:type="dxa"/>
            <w:vAlign w:val="bottom"/>
          </w:tcPr>
          <w:p>
            <w:pPr>
              <w:spacing w:after="0"/>
              <w:rPr>
                <w:sz w:val="1"/>
                <w:szCs w:val="1"/>
                <w:color w:val="auto"/>
              </w:rPr>
            </w:pPr>
          </w:p>
        </w:tc>
      </w:tr>
      <w:tr>
        <w:trPr>
          <w:trHeight w:val="20"/>
        </w:trPr>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6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“Other assets” primarily include corporate assets not allocated to segments.</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540" w:type="dxa"/>
            <w:vAlign w:val="bottom"/>
            <w:vMerge w:val="continue"/>
          </w:tcPr>
          <w:p>
            <w:pPr>
              <w:spacing w:after="0"/>
              <w:rPr>
                <w:sz w:val="24"/>
                <w:szCs w:val="24"/>
                <w:color w:val="auto"/>
              </w:rPr>
            </w:pPr>
          </w:p>
        </w:tc>
        <w:tc>
          <w:tcPr>
            <w:tcW w:w="6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540" w:type="dxa"/>
            <w:vAlign w:val="bottom"/>
          </w:tcPr>
          <w:p>
            <w:pPr>
              <w:spacing w:after="0"/>
              <w:rPr>
                <w:sz w:val="7"/>
                <w:szCs w:val="7"/>
                <w:color w:val="auto"/>
              </w:rPr>
            </w:pPr>
          </w:p>
        </w:tc>
        <w:tc>
          <w:tcPr>
            <w:tcW w:w="6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by segment (in thousands):</w:t>
      </w:r>
    </w:p>
    <w:p>
      <w:pPr>
        <w:spacing w:after="0" w:line="154"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29"/>
        </w:trPr>
        <w:tc>
          <w:tcPr>
            <w:tcW w:w="8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capital expenditures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r>
      <w:tr>
        <w:trPr>
          <w:trHeight w:val="223"/>
        </w:trPr>
        <w:tc>
          <w:tcPr>
            <w:tcW w:w="8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w:t>
            </w:r>
          </w:p>
        </w:tc>
      </w:tr>
      <w:tr>
        <w:trPr>
          <w:trHeight w:val="21"/>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capital expenditures” primarily includes corporate capital expenditures not allocated to segments.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carrying amount of goodwill by reportable segment for the three months ended March 31, 2026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792,840</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3"/>
        </w:trPr>
        <w:tc>
          <w:tcPr>
            <w:tcW w:w="52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7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7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15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Geographic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property, plant, and equipment, net by geographic region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147,303</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w:t>
            </w:r>
          </w:p>
        </w:tc>
      </w:tr>
      <w:tr>
        <w:trPr>
          <w:trHeight w:val="223"/>
        </w:trPr>
        <w:tc>
          <w:tcPr>
            <w:tcW w:w="7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242,603</w:t>
            </w:r>
          </w:p>
        </w:tc>
      </w:tr>
      <w:tr>
        <w:trPr>
          <w:trHeight w:val="21"/>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Supplemental Financial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inventories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76,026</w:t>
            </w:r>
          </w:p>
        </w:tc>
      </w:tr>
      <w:tr>
        <w:trPr>
          <w:trHeight w:val="223"/>
        </w:trPr>
        <w:tc>
          <w:tcPr>
            <w:tcW w:w="7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164,701</w:t>
            </w: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of March 31, 2026 and December 31, 2025, inventories included adjustments totaling $19.1 million and $18.0 million, respectively, to record balances at the lower of cost or net realizable value.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accrued liabilities and other (in thousands):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4"/>
        </w:trPr>
        <w:tc>
          <w:tcPr>
            <w:tcW w:w="7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professional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18,396</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Italian MedTech payback measure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accrual</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agents, returns, and other</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derivative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26,989</w:t>
            </w:r>
          </w:p>
        </w:tc>
      </w:tr>
      <w:tr>
        <w:trPr>
          <w:trHeight w:val="248"/>
        </w:trPr>
        <w:tc>
          <w:tcPr>
            <w:tcW w:w="7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94,573</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of March 31, 2026 and December 31, 2025, contract liabilities totaling $20.8 million and $17.9 million, respectively, were included in accrued liabilities and other long-term liabilities in the condensed consolidated balance sheets.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presents the items included in foreign exchange and other income/(expense) on the condensed consolidated statements of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4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2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Fair value adjustment - 2029 Embedded Derivative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30"/>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- 2029 Capped Calls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investment</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FX fluctuations</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revaluation - Ceribell, Inc.</w:t>
            </w:r>
          </w:p>
        </w:tc>
        <w:tc>
          <w:tcPr>
            <w:tcW w:w="12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29"/>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- 2025 Embedded Derivative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30"/>
        </w:trPr>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- 2025 Capped Calls </w:t>
            </w:r>
            <w:r>
              <w:rPr>
                <w:rFonts w:ascii="Times New Roman" w:cs="Times New Roman" w:eastAsia="Times New Roman" w:hAnsi="Times New Roman"/>
                <w:sz w:val="23"/>
                <w:szCs w:val="23"/>
                <w:color w:val="auto"/>
                <w:vertAlign w:val="superscript"/>
              </w:rPr>
              <w:t>(1)</w:t>
            </w:r>
          </w:p>
        </w:tc>
        <w:tc>
          <w:tcPr>
            <w:tcW w:w="12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722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w:t>
            </w:r>
          </w:p>
        </w:tc>
      </w:tr>
      <w:tr>
        <w:trPr>
          <w:trHeight w:val="20"/>
        </w:trPr>
        <w:tc>
          <w:tcPr>
            <w:tcW w:w="7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3. Fair Value Measurements.”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New Accounting Pronouncements</w:t>
      </w:r>
    </w:p>
    <w:p>
      <w:pPr>
        <w:spacing w:after="0" w:line="1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 presents a description of future adoptions of new ASUs issued by the FASB that may have an impact on LivaNova’s consolidated financial statements when adopted: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Issue Date &amp; Standard</w:t>
            </w:r>
          </w:p>
        </w:tc>
        <w:tc>
          <w:tcPr>
            <w:tcW w:w="420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20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Assessment</w:t>
            </w:r>
          </w:p>
        </w:tc>
      </w:tr>
      <w:tr>
        <w:trPr>
          <w:trHeight w:val="156"/>
        </w:trPr>
        <w:tc>
          <w:tcPr>
            <w:tcW w:w="224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November 2024 ASU No.</w:t>
            </w:r>
          </w:p>
        </w:tc>
        <w:tc>
          <w:tcPr>
            <w:tcW w:w="10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This ASU requires disclosure in the notes to financial</w:t>
            </w:r>
          </w:p>
        </w:tc>
        <w:tc>
          <w:tcPr>
            <w:tcW w:w="10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This ASU will be effective for</w:t>
            </w:r>
          </w:p>
        </w:tc>
        <w:tc>
          <w:tcPr>
            <w:tcW w:w="12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63"/>
        </w:trPr>
        <w:tc>
          <w:tcPr>
            <w:tcW w:w="234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2024-03, </w:t>
            </w:r>
            <w:r>
              <w:rPr>
                <w:rFonts w:ascii="Times New Roman" w:cs="Times New Roman" w:eastAsia="Times New Roman" w:hAnsi="Times New Roman"/>
                <w:sz w:val="17"/>
                <w:szCs w:val="17"/>
                <w:i w:val="1"/>
                <w:iCs w:val="1"/>
                <w:color w:val="auto"/>
              </w:rPr>
              <w:t>Income Statement—</w:t>
            </w:r>
          </w:p>
        </w:tc>
        <w:tc>
          <w:tcPr>
            <w:tcW w:w="420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statements of additional information disaggregating</w:t>
            </w:r>
          </w:p>
        </w:tc>
        <w:tc>
          <w:tcPr>
            <w:tcW w:w="26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annual periods beginning after</w:t>
            </w:r>
          </w:p>
        </w:tc>
        <w:tc>
          <w:tcPr>
            <w:tcW w:w="20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75"/>
        </w:trPr>
        <w:tc>
          <w:tcPr>
            <w:tcW w:w="2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i w:val="1"/>
                <w:iCs w:val="1"/>
                <w:color w:val="auto"/>
              </w:rPr>
              <w:t>Reporting Comprehensive</w:t>
            </w:r>
          </w:p>
        </w:tc>
        <w:tc>
          <w:tcPr>
            <w:tcW w:w="4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specific expense categories underlying certain income</w:t>
            </w:r>
          </w:p>
        </w:tc>
        <w:tc>
          <w:tcPr>
            <w:tcW w:w="2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December 15, 2026, and interim</w:t>
            </w:r>
          </w:p>
        </w:tc>
        <w:tc>
          <w:tcPr>
            <w:tcW w:w="2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standard will have on the</w:t>
            </w:r>
          </w:p>
        </w:tc>
      </w:tr>
      <w:tr>
        <w:trPr>
          <w:trHeight w:val="174"/>
        </w:trPr>
        <w:tc>
          <w:tcPr>
            <w:tcW w:w="23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Income—Expense</w:t>
            </w:r>
          </w:p>
        </w:tc>
        <w:tc>
          <w:tcPr>
            <w:tcW w:w="42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statement expense line items, including employee</w:t>
            </w:r>
          </w:p>
        </w:tc>
        <w:tc>
          <w:tcPr>
            <w:tcW w:w="26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periods beginning after December</w:t>
            </w:r>
          </w:p>
        </w:tc>
        <w:tc>
          <w:tcPr>
            <w:tcW w:w="20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Company’s consolidated</w:t>
            </w:r>
          </w:p>
        </w:tc>
      </w:tr>
      <w:tr>
        <w:trPr>
          <w:trHeight w:val="163"/>
        </w:trPr>
        <w:tc>
          <w:tcPr>
            <w:tcW w:w="234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Disaggregation Disclosures</w:t>
            </w:r>
          </w:p>
        </w:tc>
        <w:tc>
          <w:tcPr>
            <w:tcW w:w="420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compensation, depreciation, and intangible asset</w:t>
            </w:r>
          </w:p>
        </w:tc>
        <w:tc>
          <w:tcPr>
            <w:tcW w:w="2680" w:type="dxa"/>
            <w:vAlign w:val="bottom"/>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15, 2027. This ASU may be applied</w:t>
            </w:r>
          </w:p>
        </w:tc>
        <w:tc>
          <w:tcPr>
            <w:tcW w:w="20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financial statements and</w:t>
            </w:r>
          </w:p>
        </w:tc>
      </w:tr>
      <w:tr>
        <w:trPr>
          <w:trHeight w:val="175"/>
        </w:trPr>
        <w:tc>
          <w:tcPr>
            <w:tcW w:w="2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i w:val="1"/>
                <w:iCs w:val="1"/>
                <w:color w:val="auto"/>
              </w:rPr>
              <w:t>(Subtopic 220-40):</w:t>
            </w:r>
          </w:p>
        </w:tc>
        <w:tc>
          <w:tcPr>
            <w:tcW w:w="4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amortization, as well as certain other disclosures to</w:t>
            </w:r>
          </w:p>
        </w:tc>
        <w:tc>
          <w:tcPr>
            <w:tcW w:w="2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on either a prospective or</w:t>
            </w:r>
          </w:p>
        </w:tc>
        <w:tc>
          <w:tcPr>
            <w:tcW w:w="2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related disclosures.</w:t>
            </w:r>
          </w:p>
        </w:tc>
      </w:tr>
      <w:tr>
        <w:trPr>
          <w:trHeight w:val="174"/>
        </w:trPr>
        <w:tc>
          <w:tcPr>
            <w:tcW w:w="23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Disaggregation of Income</w:t>
            </w:r>
          </w:p>
        </w:tc>
        <w:tc>
          <w:tcPr>
            <w:tcW w:w="420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provide enhanced transparency into the nature and</w:t>
            </w:r>
          </w:p>
        </w:tc>
        <w:tc>
          <w:tcPr>
            <w:tcW w:w="26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retrospective basis, with early</w:t>
            </w:r>
          </w:p>
        </w:tc>
        <w:tc>
          <w:tcPr>
            <w:tcW w:w="2020" w:type="dxa"/>
            <w:vAlign w:val="bottom"/>
            <w:shd w:val="clear" w:color="auto" w:fill="CCEEFF"/>
          </w:tcPr>
          <w:p>
            <w:pPr>
              <w:spacing w:after="0"/>
              <w:rPr>
                <w:sz w:val="15"/>
                <w:szCs w:val="15"/>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Statement Expenses</w:t>
            </w: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function of expenses.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adoption permitted.</w:t>
            </w:r>
          </w:p>
        </w:tc>
        <w:tc>
          <w:tcPr>
            <w:tcW w:w="2020" w:type="dxa"/>
            <w:vAlign w:val="bottom"/>
            <w:shd w:val="clear" w:color="auto" w:fill="CCEEFF"/>
          </w:tcPr>
          <w:p>
            <w:pPr>
              <w:spacing w:after="0"/>
              <w:rPr>
                <w:sz w:val="19"/>
                <w:szCs w:val="19"/>
                <w:color w:val="auto"/>
              </w:rPr>
            </w:pPr>
          </w:p>
        </w:tc>
      </w:tr>
      <w:tr>
        <w:trPr>
          <w:trHeight w:val="162"/>
        </w:trPr>
        <w:tc>
          <w:tcPr>
            <w:tcW w:w="23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7"/>
                <w:szCs w:val="17"/>
                <w:color w:val="auto"/>
              </w:rPr>
              <w:t>September 2025 ASU No.</w:t>
            </w:r>
          </w:p>
        </w:tc>
        <w:tc>
          <w:tcPr>
            <w:tcW w:w="42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7"/>
                <w:szCs w:val="17"/>
                <w:color w:val="auto"/>
              </w:rPr>
              <w:t>This ASU updates the cost capitalization threshold for</w:t>
            </w:r>
          </w:p>
        </w:tc>
        <w:tc>
          <w:tcPr>
            <w:tcW w:w="26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7"/>
                <w:szCs w:val="17"/>
                <w:color w:val="auto"/>
              </w:rPr>
              <w:t>This ASU will be effective for</w:t>
            </w:r>
          </w:p>
        </w:tc>
        <w:tc>
          <w:tcPr>
            <w:tcW w:w="20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LivaNova is currently</w:t>
            </w:r>
          </w:p>
        </w:tc>
      </w:tr>
      <w:tr>
        <w:trPr>
          <w:trHeight w:val="163"/>
        </w:trPr>
        <w:tc>
          <w:tcPr>
            <w:tcW w:w="23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2025-06, </w:t>
            </w:r>
            <w:r>
              <w:rPr>
                <w:rFonts w:ascii="Times New Roman" w:cs="Times New Roman" w:eastAsia="Times New Roman" w:hAnsi="Times New Roman"/>
                <w:sz w:val="17"/>
                <w:szCs w:val="17"/>
                <w:i w:val="1"/>
                <w:iCs w:val="1"/>
                <w:color w:val="auto"/>
              </w:rPr>
              <w:t>Intangibles—</w:t>
            </w:r>
          </w:p>
        </w:tc>
        <w:tc>
          <w:tcPr>
            <w:tcW w:w="42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internal-use software development costs by removing all</w:t>
            </w: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annual periods beginning after</w:t>
            </w:r>
          </w:p>
        </w:tc>
        <w:tc>
          <w:tcPr>
            <w:tcW w:w="202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evaluating the effect this</w:t>
            </w:r>
          </w:p>
        </w:tc>
      </w:tr>
      <w:tr>
        <w:trPr>
          <w:trHeight w:val="176"/>
        </w:trPr>
        <w:tc>
          <w:tcPr>
            <w:tcW w:w="2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i w:val="1"/>
                <w:iCs w:val="1"/>
                <w:color w:val="auto"/>
              </w:rPr>
              <w:t>Goodwill and Other—Internal-</w:t>
            </w:r>
          </w:p>
        </w:tc>
        <w:tc>
          <w:tcPr>
            <w:tcW w:w="4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references to software project development stages and</w:t>
            </w:r>
          </w:p>
        </w:tc>
        <w:tc>
          <w:tcPr>
            <w:tcW w:w="2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December 15, 2027, and interim</w:t>
            </w:r>
          </w:p>
        </w:tc>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standard will have on the</w:t>
            </w:r>
          </w:p>
        </w:tc>
      </w:tr>
      <w:tr>
        <w:trPr>
          <w:trHeight w:val="174"/>
        </w:trPr>
        <w:tc>
          <w:tcPr>
            <w:tcW w:w="23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Use Software (Subtopic 350-</w:t>
            </w:r>
          </w:p>
        </w:tc>
        <w:tc>
          <w:tcPr>
            <w:tcW w:w="42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providing new guidance on how to evaluate whether the</w:t>
            </w:r>
          </w:p>
        </w:tc>
        <w:tc>
          <w:tcPr>
            <w:tcW w:w="2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periods within those annual</w:t>
            </w:r>
          </w:p>
        </w:tc>
        <w:tc>
          <w:tcPr>
            <w:tcW w:w="202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Company’s consolidated</w:t>
            </w:r>
          </w:p>
        </w:tc>
      </w:tr>
      <w:tr>
        <w:trPr>
          <w:trHeight w:val="163"/>
        </w:trPr>
        <w:tc>
          <w:tcPr>
            <w:tcW w:w="234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i w:val="1"/>
                <w:iCs w:val="1"/>
                <w:color w:val="auto"/>
              </w:rPr>
              <w:t>40): Targeted Improvements to</w:t>
            </w:r>
          </w:p>
        </w:tc>
        <w:tc>
          <w:tcPr>
            <w:tcW w:w="420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probable-to-complete recognition threshold has been met.</w:t>
            </w:r>
          </w:p>
        </w:tc>
        <w:tc>
          <w:tcPr>
            <w:tcW w:w="26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reporting periods, with early</w:t>
            </w:r>
          </w:p>
        </w:tc>
        <w:tc>
          <w:tcPr>
            <w:tcW w:w="202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financial statements and</w:t>
            </w:r>
          </w:p>
        </w:tc>
      </w:tr>
      <w:tr>
        <w:trPr>
          <w:trHeight w:val="175"/>
        </w:trPr>
        <w:tc>
          <w:tcPr>
            <w:tcW w:w="23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i w:val="1"/>
                <w:iCs w:val="1"/>
                <w:color w:val="auto"/>
              </w:rPr>
              <w:t>the Accounting for Internal-Use</w:t>
            </w:r>
          </w:p>
        </w:tc>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adoption permitted. The transition</w:t>
            </w:r>
          </w:p>
        </w:tc>
        <w:tc>
          <w:tcPr>
            <w:tcW w:w="20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related disclosures.</w:t>
            </w:r>
          </w:p>
        </w:tc>
      </w:tr>
      <w:tr>
        <w:trPr>
          <w:trHeight w:val="174"/>
        </w:trPr>
        <w:tc>
          <w:tcPr>
            <w:tcW w:w="23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i w:val="1"/>
                <w:iCs w:val="1"/>
                <w:color w:val="auto"/>
              </w:rPr>
              <w:t>Software</w:t>
            </w:r>
          </w:p>
        </w:tc>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method may be prospective,</w:t>
            </w:r>
          </w:p>
        </w:tc>
        <w:tc>
          <w:tcPr>
            <w:tcW w:w="2020" w:type="dxa"/>
            <w:vAlign w:val="bottom"/>
          </w:tcPr>
          <w:p>
            <w:pPr>
              <w:spacing w:after="0"/>
              <w:rPr>
                <w:sz w:val="15"/>
                <w:szCs w:val="15"/>
                <w:color w:val="auto"/>
              </w:rPr>
            </w:pPr>
          </w:p>
        </w:tc>
      </w:tr>
      <w:tr>
        <w:trPr>
          <w:trHeight w:val="222"/>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modified, or retrospective.</w:t>
            </w:r>
          </w:p>
        </w:tc>
        <w:tc>
          <w:tcPr>
            <w:tcW w:w="202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Revision of Previously Issued Financial Statements</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discussed in “Note 1. Unaudited Condensed Consolidated Financial Statements,” the Company identified and corrected an immaterial error related to the classification of certain employee costs in the Cardiopulmonary segment between cost of sales and selling, general, and administrative expense in the consolidated statements of income (loss).</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corrections to the impacted financial statement line items in the Company’s financial statements previously issued in the unaudited March 31, 2025 Quarterly Report on Form 10-Q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6"/>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12"/>
        </w:trPr>
        <w:tc>
          <w:tcPr>
            <w:tcW w:w="5300" w:type="dxa"/>
            <w:vAlign w:val="bottom"/>
          </w:tcPr>
          <w:p>
            <w:pPr>
              <w:spacing w:after="0"/>
              <w:rPr>
                <w:sz w:val="24"/>
                <w:szCs w:val="24"/>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Previously Reported</w:t>
            </w:r>
          </w:p>
        </w:tc>
        <w:tc>
          <w:tcPr>
            <w:tcW w:w="300" w:type="dxa"/>
            <w:vAlign w:val="bottom"/>
          </w:tcPr>
          <w:p>
            <w:pPr>
              <w:spacing w:after="0"/>
              <w:rPr>
                <w:sz w:val="24"/>
                <w:szCs w:val="24"/>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46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8"/>
              </w:rPr>
              <w:t>4,521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100,601</w:t>
            </w:r>
          </w:p>
        </w:tc>
        <w:tc>
          <w:tcPr>
            <w:tcW w:w="20" w:type="dxa"/>
            <w:vAlign w:val="bottom"/>
          </w:tcPr>
          <w:p>
            <w:pPr>
              <w:spacing w:after="0"/>
              <w:rPr>
                <w:sz w:val="19"/>
                <w:szCs w:val="19"/>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216,254</w:t>
            </w:r>
          </w:p>
        </w:tc>
        <w:tc>
          <w:tcPr>
            <w:tcW w:w="20" w:type="dxa"/>
            <w:vAlign w:val="bottom"/>
          </w:tcPr>
          <w:p>
            <w:pPr>
              <w:spacing w:after="0"/>
              <w:rPr>
                <w:sz w:val="19"/>
                <w:szCs w:val="19"/>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129,146</w:t>
            </w:r>
          </w:p>
        </w:tc>
        <w:tc>
          <w:tcPr>
            <w:tcW w:w="20" w:type="dxa"/>
            <w:vAlign w:val="bottom"/>
          </w:tcPr>
          <w:p>
            <w:pPr>
              <w:spacing w:after="0"/>
              <w:rPr>
                <w:sz w:val="19"/>
                <w:szCs w:val="19"/>
                <w:color w:val="auto"/>
              </w:rPr>
            </w:pPr>
          </w:p>
        </w:tc>
      </w:tr>
      <w:tr>
        <w:trPr>
          <w:trHeight w:val="850"/>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3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7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corrections to the impacted Cardiopulmonary disaggregated segment income table line items in “Note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and Segment Information” previously included in the unaudited March 31, 2025 Quarterly Report on Form 10-Q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6"/>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12"/>
        </w:trPr>
        <w:tc>
          <w:tcPr>
            <w:tcW w:w="5300" w:type="dxa"/>
            <w:vAlign w:val="bottom"/>
          </w:tcPr>
          <w:p>
            <w:pPr>
              <w:spacing w:after="0"/>
              <w:rPr>
                <w:sz w:val="24"/>
                <w:szCs w:val="24"/>
                <w:color w:val="auto"/>
              </w:rPr>
            </w:pP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Previously Reported</w:t>
            </w:r>
          </w:p>
        </w:tc>
        <w:tc>
          <w:tcPr>
            <w:tcW w:w="30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44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84,920</w:t>
            </w:r>
          </w:p>
        </w:tc>
        <w:tc>
          <w:tcPr>
            <w:tcW w:w="20" w:type="dxa"/>
            <w:vAlign w:val="bottom"/>
          </w:tcPr>
          <w:p>
            <w:pPr>
              <w:spacing w:after="0"/>
              <w:rPr>
                <w:sz w:val="19"/>
                <w:szCs w:val="19"/>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53,959</w:t>
            </w:r>
          </w:p>
        </w:tc>
        <w:tc>
          <w:tcPr>
            <w:tcW w:w="20" w:type="dxa"/>
            <w:vAlign w:val="bottom"/>
          </w:tcPr>
          <w:p>
            <w:pPr>
              <w:spacing w:after="0"/>
              <w:rPr>
                <w:sz w:val="20"/>
                <w:szCs w:val="20"/>
                <w:color w:val="auto"/>
              </w:rPr>
            </w:pPr>
          </w:p>
        </w:tc>
      </w:tr>
      <w:tr>
        <w:trPr>
          <w:trHeight w:val="846"/>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53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7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ind w:right="20"/>
        <w:spacing w:after="0" w:line="287"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condensed consolidated financial statements and related notes, which appear elsewhere in this Report, and with LivaNova’s 2025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2025 Form 10-K, as updated and supplemented by LivaNova’s Quarterly Reports on Form 10-Q, including in Part II, Item 1A. and elsewhere in this Report. The accompanying unaudited condensed consolidated financial statements of LivaNova and its consolidated subsidiaries have been prepared in accordance with U.S. GAAP on an interim basis. The capitalized terms used below are defined in the “Definitions” section and in the notes to LivaNova’s condensed consolidated financial statements in this Report.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the Business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 PLC is a market-leading global medical technology company. The Company designs, develops, manufactures, markets, and sells products, therapies, and services that are consistent with LivaNova’s mission to “create ingenious medical solutions that ignite patient turnarounds.” LivaNova is a public limited company organized under the laws of England and Wales and is headquartered in London, England. LivaNova’s ordinary shares are listed for trading on the Nasdaq under the symbol “LIVN.”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Macroeconomic Environment and Global Supply Chain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macroeconomic environment, including FX volatility, inflationary pressures, and geopolitical instability, and global supply chain challenges have impacted and may continue to impact LivaNova’s business, consolidated results of operations, financial condition, and/or cash flows.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While LivaNova has business continuity plans in place, the impact of the ongoing challenges the Company is navigating, along with their potential escalation, may adversely affect its business.</w:t>
      </w:r>
    </w:p>
    <w:p>
      <w:pPr>
        <w:spacing w:after="0" w:line="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the impact that the imposition of tariffs and changes to global trade policies could have on the Company’s results of operations is uncertain. A significant number of LivaNova’s Cardiopulmonary products and component parts are sourced and produced outside of the U.S., including in Italy and Germany. Similarly, LivaNova manufactures its Neuromodulation products in the U.S., which are then often distributed internationally. For additional information, see “Part I, Item 1A. Risk Factors” of the Company’s 2025 Form 10-K.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Segments</w:t>
      </w:r>
    </w:p>
    <w:p>
      <w:pPr>
        <w:spacing w:after="0" w:line="1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 For additional information regarding LivaNova’s reportable segments, historical financial information, and its methodology for the presentation of financial results, refer to the condensed consolidated financial statements and accompanying notes of this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 In particular, the Cardiopulmonary segment includes the Essenz Perfusion System, the Company’s next-generation HLM with an embedded patient monitor for tailored patient care strategies and sensing technology for data-driven decision-making during cardiopulmonary bypass procedures.</w:t>
      </w:r>
    </w:p>
    <w:p>
      <w:pPr>
        <w:spacing w:after="0" w:line="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Information on the Cardiopulmonary segment that could potentially impact LivaNova’s condensed consolidated financial statements and related disclosures is incorporated by reference to “Note 5. Commitments and Contingencies: Product Liability Litigation” in the condensed consolidated financial statements in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LivaNova’s Neuromodulation segment is engaged in the design, development, manufacture, marketing, and sale of devices that deliver neuromodulation therapy for treating DRE and DTD, as well as the design and development of neurostimulation devices for treating OSA.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71" w:lineRule="auto"/>
        <w:rPr>
          <w:sz w:val="20"/>
          <w:szCs w:val="20"/>
          <w:color w:val="auto"/>
        </w:rPr>
      </w:pPr>
      <w:r>
        <w:rPr>
          <w:rFonts w:ascii="Times New Roman" w:cs="Times New Roman" w:eastAsia="Times New Roman" w:hAnsi="Times New Roman"/>
          <w:sz w:val="18"/>
          <w:szCs w:val="18"/>
          <w:color w:val="auto"/>
        </w:rPr>
        <w:t>The segment’s principal product for DRE and DTD, the VNS Therapy System, consists of an implantable pulse generator and connective lead that stimulates the left vagus nerve, surgical equipment to assist with the implant procedure, and equipment and instruction manuals that enable a treating healthcare professional to set parameters for a patient’s pulse generator. The lead does not need to be removed to replace a generator with a depleted battery.</w:t>
      </w:r>
    </w:p>
    <w:p>
      <w:pPr>
        <w:spacing w:after="0" w:line="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Neuromodulation segment also includes devices for the treatment of OSA, which are designed to stimulate the hypoglossal nerve and activate specific tongue and palate muscles to help keep the airway open during sleep. On March 18, 2026, the FDA granted PMA for the aura6000 System for the treatment of adult patients with moderate to severe OSA who have failed, do not tolerate, or are ineligible for first-line therapies, such as positive airway pressure.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a discussion of LivaNova’s critical accounting estimates, see “Management’s Discussion and Analysis of Financial Condition and Results of Operations” included in the 2025 Form 10-K. For the three months ended March 31, 2026, there were no material changes to the application of critical accounting policies and estimates previously disclosed in LivaNova’s 2025 Form 10-K.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LivaNova’s condensed consolidated results of operations (in thousands):</w:t>
      </w:r>
    </w:p>
    <w:p>
      <w:pPr>
        <w:spacing w:after="0" w:line="160"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93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316,855</w:t>
            </w:r>
          </w:p>
        </w:tc>
      </w:tr>
      <w:tr>
        <w:trPr>
          <w:trHeight w:val="230"/>
        </w:trPr>
        <w:tc>
          <w:tcPr>
            <w:tcW w:w="8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100,601</w:t>
            </w:r>
          </w:p>
        </w:tc>
      </w:tr>
      <w:tr>
        <w:trPr>
          <w:trHeight w:val="223"/>
        </w:trPr>
        <w:tc>
          <w:tcPr>
            <w:tcW w:w="82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216,254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129,146</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37,879</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SNIA environmental liability expense</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(360,393)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 income/(expense)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r>
      <w:tr>
        <w:trPr>
          <w:trHeight w:val="22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(315,646)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(327,322)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hanging="328"/>
        <w:spacing w:after="0" w:line="232" w:lineRule="auto"/>
        <w:tabs>
          <w:tab w:leader="none" w:pos="64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above table presents revised financial results, as discussed in “Note 1. Unaudited Condensed Consolidated Financial Statements” and “Note 13. Revision of Previously Issued Financial Statements” in the condensed consolidated financial statements in this Report.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color w:val="auto"/>
        </w:rPr>
        <w:t>Net 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by operating segment and geographic region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Cardiopulmonary</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9"/>
        </w:trPr>
        <w:tc>
          <w:tcPr>
            <w:tcW w:w="70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208,655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176,320</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0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Other Revenue </w:t>
            </w:r>
            <w:r>
              <w:rPr>
                <w:rFonts w:ascii="Times New Roman" w:cs="Times New Roman" w:eastAsia="Times New Roman" w:hAnsi="Times New Roman"/>
                <w:sz w:val="23"/>
                <w:szCs w:val="23"/>
                <w:b w:val="1"/>
                <w:bCs w:val="1"/>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0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87,990</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60" w:hanging="328"/>
        <w:spacing w:after="0" w:line="232" w:lineRule="auto"/>
        <w:tabs>
          <w:tab w:leader="none" w:pos="64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6"/>
          <w:szCs w:val="16"/>
          <w:color w:val="auto"/>
        </w:rPr>
        <w:t>“Other Revenue” includes rental and site services income not allocated to segments.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segment income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Cardiopulmonary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Neuromodulation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52,353</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8"/>
        </w:trPr>
        <w:tc>
          <w:tcPr>
            <w:tcW w:w="7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89" w:lineRule="exact"/>
        <w:rPr>
          <w:sz w:val="20"/>
          <w:szCs w:val="20"/>
          <w:color w:val="auto"/>
        </w:rPr>
      </w:pPr>
    </w:p>
    <w:p>
      <w:pPr>
        <w:ind w:left="660" w:hanging="328"/>
        <w:spacing w:after="0" w:line="232"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a reconciliation of segment income to consolidated income (loss) before income tax, refer to “Note 10. Segment and Geographic Information” in the condensed consolidated financial statements in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Cardiopulmonary</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Cardiopulmonary net revenue for the three months ended March 31, 2026 increased 18.3% to $208.7 million compared to the three months ended March 31, 2025, with growth across all regions, driven by Essenz Perfusion System sales, strong consumables demand, and favorable realized price.</w:t>
      </w:r>
    </w:p>
    <w:p>
      <w:pPr>
        <w:spacing w:after="0" w:line="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Cardiopulmonary segment income for the three months ended March 31, 2026 was $30.1 million, compared to segment income of $24.7 million for the three months ended March 31, 2025. The increase in segment income primarily resulted from an increase in net revenue, as described above.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Neuromodulation</w:t>
      </w:r>
    </w:p>
    <w:p>
      <w:pPr>
        <w:spacing w:after="0" w:line="1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Neuromodulation net revenue for the three months ended March 31, 2026 increased 9.3% to $151.8 million compared to the three months ended March 31, 2025, with growth across all regions, driven by total implant growth and favorable realized price.</w:t>
      </w:r>
    </w:p>
    <w:p>
      <w:pPr>
        <w:spacing w:after="0" w:line="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Neuromodulation segment income for the three months ended March 31, 2026 was $44.2 million, compared to $52.4 million for the three months ended March 31, 2025. The decrease in segment income primarily resulted from $9.7 million of higher expense from the net unfavorable change in fair value of contingent consideration arrangements associated with the ImThera</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right="20"/>
        <w:spacing w:after="0" w:line="297" w:lineRule="auto"/>
        <w:rPr>
          <w:sz w:val="20"/>
          <w:szCs w:val="20"/>
          <w:color w:val="auto"/>
        </w:rPr>
      </w:pPr>
      <w:r>
        <w:rPr>
          <w:rFonts w:ascii="Times New Roman" w:cs="Times New Roman" w:eastAsia="Times New Roman" w:hAnsi="Times New Roman"/>
          <w:sz w:val="18"/>
          <w:szCs w:val="18"/>
          <w:color w:val="auto"/>
        </w:rPr>
        <w:t>acquisition, as well as a $5.5 million increase in R&amp;D expense associated with the design and development of neurostimulation devices for treating OSA, partially offset by an increase in net revenue, as described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 and Expenses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costs and expenses as a percentage of net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408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7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3"/>
                <w:szCs w:val="23"/>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84" w:lineRule="exact"/>
        <w:rPr>
          <w:sz w:val="20"/>
          <w:szCs w:val="20"/>
          <w:color w:val="auto"/>
        </w:rPr>
      </w:pPr>
    </w:p>
    <w:p>
      <w:pPr>
        <w:ind w:left="660" w:hanging="328"/>
        <w:spacing w:after="0" w:line="232" w:lineRule="auto"/>
        <w:tabs>
          <w:tab w:leader="none" w:pos="64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above table and commentary below present revised financial results, as discussed in “Note 1. Unaudited Condensed Consolidated Financial Statements” and “Note 13. Revision of Previously Issued Financial Statements” in the condensed consolidated financial statements in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consists of direct labor, allocated manufacturing overhead, and the acquisition of raw materials and components.</w:t>
      </w:r>
    </w:p>
    <w:p>
      <w:pPr>
        <w:spacing w:after="0" w:line="13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Cost of sales as a percentage of net revenue was 32.7% for the three months ended March 31, 2026, representing an increase of 1.0 percentage points compared to the three months ended March 31, 2025, primarily due to unfavorable product mix.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Selling, General, and Administrative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 consists of sales, marketing, general, and administrative activities.</w:t>
      </w:r>
    </w:p>
    <w:p>
      <w:pPr>
        <w:spacing w:after="0" w:line="11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SG&amp;A expense as a percentage of net revenue was 39.6% for the three months ended March 31, 2026, representing a decrease of 1.2 percentage points compared to the three months ended March 31, 2025, primarily driven by fixed cost leverage.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consists of product design and development efforts, clinical study programs, and regulatory activities.</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R&amp;D expense as a percentage of net revenue was 16.2% for the three months ended March 31, 2026, representing an increase of 4.2 percentage points compared to the three months ended March 31, 2025, primarily due to $8.9 million of higher expense from the net unfavorable change in fair value of the milestone-based contingent consideration arrangement associated with the ImThera acquisition, as well as a $5.5 million increase in costs associated with the design and development of neurostimulation devices for treating OSA.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SNIA Environmental Liability Expense</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As a result of the decision by the Italian Supreme Court, the Company recorded €333.3 million ($360.4 million) as SNIA environmental liability expense for the three months ended March 31, 2025. For additional information, refer to “Note 5. Commitments and Contingencies” in the condensed consolidated financial statements in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w:t>
      </w:r>
    </w:p>
    <w:p>
      <w:pPr>
        <w:spacing w:after="0" w:line="12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expense decreased to $8.3 million for the three months ended March 31, 2026, compared to $15.3 million for the three months ended March 31, 2025, primarily due to repayments of the Term Facilities and 2025 Notes. For additional information, refer to “Note 4. Financing Arrangements” in the condensed consolidated financial statements in this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Exchange and Other Income/(Expense)</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gains and losses associated with LivaNova’s investments.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jc w:val="both"/>
        <w:spacing w:after="0" w:line="274" w:lineRule="auto"/>
        <w:rPr>
          <w:sz w:val="20"/>
          <w:szCs w:val="20"/>
          <w:color w:val="auto"/>
        </w:rPr>
      </w:pPr>
      <w:r>
        <w:rPr>
          <w:rFonts w:ascii="Times New Roman" w:cs="Times New Roman" w:eastAsia="Times New Roman" w:hAnsi="Times New Roman"/>
          <w:sz w:val="18"/>
          <w:szCs w:val="18"/>
          <w:color w:val="auto"/>
        </w:rPr>
        <w:t>Foreign exchange and other income/(expense) was expense of $5.7 million for the three months ended March 31, 2026, compared to income of $11.4 million for the three months ended March 31, 2025. For additional information, refer to “Note 11. Supplemental Financial Information” in the condensed consolidated financial statements in this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Expense</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LivaNova’s effective income tax rate for the three months ended March 31, 2026 and 2025 was 15.8% and (3.7)%, respectively. The changes in the effective tax rates for the three months ended March 31, 2026, compared to the prior year period, were primarily attributable to year-over-year changes in income before income tax in countries with varying statutory tax rates, certain discrete tax items, including the SNIA environmental liability, and changes in valuation allowances.</w:t>
      </w:r>
    </w:p>
    <w:p>
      <w:pPr>
        <w:spacing w:after="0" w:line="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OBBBA was enacted in the U.S. on July 4, 2025 and includes significant provisions, such as the permanent extension of certain expiring provisions of the Tax Cuts and Jobs Act, modifications to the international tax framework, and the restoration of favorable tax treatment for certain business provisions. LivaNova has accounted for the relevant changes within its annual effective tax rate and cash taxes.</w:t>
      </w:r>
    </w:p>
    <w:p>
      <w:pPr>
        <w:spacing w:after="0" w:line="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considers all available evidence (both positive and negative) in determining whether a valuation allowance is required. Depending on operating results in the future, a release of a valuation allowance could occur within the next 12 months. The timing and amount of the valuation allowance release could vary based on the Company’s assessment of all available evidence.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commitments and contingencies, including the SNIA environmental liability,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in the 2025 Form 10-K, as well as “Note 5. Commitments and Contingencies” in the condensed consolidated financial statements in this Report.</w:t>
      </w:r>
    </w:p>
    <w:p>
      <w:pPr>
        <w:spacing w:after="0" w:line="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related to LivaNova’s liquidity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Short-term Liquidity</w:t>
            </w: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635,552</w:t>
            </w: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Availability under the 2021 First Lien Credit Agreement</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55"/>
        </w:trPr>
        <w:tc>
          <w:tcPr>
            <w:tcW w:w="7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860,552</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1,101,613</w:t>
            </w: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808,072</w:t>
            </w:r>
          </w:p>
        </w:tc>
        <w:tc>
          <w:tcPr>
            <w:tcW w:w="0" w:type="dxa"/>
            <w:vAlign w:val="bottom"/>
          </w:tcPr>
          <w:p>
            <w:pPr>
              <w:spacing w:after="0"/>
              <w:rPr>
                <w:sz w:val="1"/>
                <w:szCs w:val="1"/>
                <w:color w:val="auto"/>
              </w:rPr>
            </w:pPr>
          </w:p>
        </w:tc>
      </w:tr>
      <w:tr>
        <w:trPr>
          <w:trHeight w:val="255"/>
        </w:trPr>
        <w:tc>
          <w:tcPr>
            <w:tcW w:w="7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293,541</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Current portion of long-term debt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Short-term unsecured borrowing arrangements</w:t>
            </w: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43"/>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debt obligations</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0" w:type="dxa"/>
            <w:vAlign w:val="bottom"/>
          </w:tcPr>
          <w:p>
            <w:pPr>
              <w:spacing w:after="0"/>
              <w:rPr>
                <w:sz w:val="1"/>
                <w:szCs w:val="1"/>
                <w:color w:val="auto"/>
              </w:rPr>
            </w:pPr>
          </w:p>
        </w:tc>
      </w:tr>
      <w:tr>
        <w:trPr>
          <w:trHeight w:val="256"/>
        </w:trPr>
        <w:tc>
          <w:tcPr>
            <w:tcW w:w="7220" w:type="dxa"/>
            <w:vAlign w:val="bottom"/>
            <w:tcBorders>
              <w:bottom w:val="single" w:sz="8" w:color="CCEEFF"/>
            </w:tcBorders>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285,160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345,185</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376,657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January 8, 2026, LivaNova made an early repayment of $95.9 million on principal borrowings in full under the Term Facilities.</w:t>
      </w:r>
    </w:p>
    <w:p>
      <w:pPr>
        <w:spacing w:after="0" w:line="200" w:lineRule="exact"/>
        <w:rPr>
          <w:rFonts w:ascii="Times New Roman" w:cs="Times New Roman" w:eastAsia="Times New Roman" w:hAnsi="Times New Roman"/>
          <w:sz w:val="21"/>
          <w:szCs w:val="21"/>
          <w:color w:val="auto"/>
          <w:vertAlign w:val="superscript"/>
        </w:rPr>
      </w:pPr>
    </w:p>
    <w:p>
      <w:pPr>
        <w:spacing w:after="0" w:line="327"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line="297" w:lineRule="auto"/>
        <w:rPr>
          <w:sz w:val="20"/>
          <w:szCs w:val="20"/>
          <w:color w:val="auto"/>
        </w:rPr>
      </w:pPr>
      <w:r>
        <w:rPr>
          <w:rFonts w:ascii="Times New Roman" w:cs="Times New Roman" w:eastAsia="Times New Roman" w:hAnsi="Times New Roman"/>
          <w:sz w:val="18"/>
          <w:szCs w:val="18"/>
          <w:color w:val="auto"/>
        </w:rPr>
        <w:t>For information on LivaNova’s debt obligations, refer to “Note 4. Financing Arrangements” in the condensed consolidated financial statements in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Flows</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cash, cash equivalents, and restricted cash provided by (used in) operating, investing, and financing activities and the net (decrease) increase in the balance of cash, cash equivalents, and restricted cash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23,966</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w:t>
            </w:r>
          </w:p>
        </w:tc>
      </w:tr>
      <w:tr>
        <w:trPr>
          <w:trHeight w:val="248"/>
        </w:trPr>
        <w:tc>
          <w:tcPr>
            <w:tcW w:w="72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(decrease) increase in cash, cash equivalents, and restricted cash </w:t>
            </w:r>
            <w:r>
              <w:rPr>
                <w:rFonts w:ascii="Times New Roman" w:cs="Times New Roman" w:eastAsia="Times New Roman" w:hAnsi="Times New Roman"/>
                <w:sz w:val="23"/>
                <w:szCs w:val="23"/>
                <w:color w:val="auto"/>
                <w:vertAlign w:val="superscript"/>
              </w:rPr>
              <w:t>(1)</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660" w:hanging="328"/>
        <w:spacing w:after="0" w:line="243" w:lineRule="auto"/>
        <w:tabs>
          <w:tab w:leader="none" w:pos="64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March 31, 2025, as a result of the decision by the Italian Supreme Court, the SNIA Litigation Guarantee was terminated, and the restriction on the cash deposit held as collateral was released. For additional information, refer to “Note 5. Commitments and Contingencies” in the condensed consolidated financial statements in this Report.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March 31, 2026 decreased by $8.8 million, compared to the same prior year period, primarily due to an increase in annual incentive payouts and higher cash outflows for inventories, partially offset by higher customer collections resulting from an increase in sales, as well as lower payments for professional services.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2026 increased $4.0 million, compared to the same prior year period, primarily due to an increase in purchases of property, plant, and equipment of $3.5 million, principally related to purchases and development of internal-use software.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2026 increased $89.8 million, compared to the same prior year period, primarily resulting from the January 2026 early repayment of the Term Facilities.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LivaNova is exposed to certain market risks as part of its ongoing business operations, including risks from foreign currency exchange and interest rates, as well as credit risk, that could adversely affect LivaNova’s consolidated results of operations, financial condition, and/or cash flows. The Company manages these risks through regular operating and financing activities and derivative financial instruments. Quantitative and qualitative disclosures about these risks are included in this Report in “Part I, Item 1. Financial Statements, Note 2. Derivatives and Risk Management,” “Part I, Item 2. Management’s Discussion and Analysis of Financial Condition and Results of Operations,” and in LivaNova’s 2025 Form 10-K in “Part II, Item 7. Management’s Discussion and Analysis of Financial Condition and Results of Operations” and “Part I, Item 1A. Risk Factors.”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(i) recorded, processed, summarized, and reported within the time periods specified in the SEC’s rules and forms and (ii) accumulated and communicated to management, including LivaNova’s CEO and CFO, as appropriate, to allow timely decisions regarding required disclosure. Any controls and procedures, no matter how well designed and operated, can provide only reasonable assurance of achieving the desired control objectives.</w:t>
      </w:r>
    </w:p>
    <w:p>
      <w:pPr>
        <w:spacing w:after="0" w:line="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the Company’s disclosure controls and procedures. LivaNova’s management, under the supervision and with the participation of the Company’s CEO and CFO, evaluated the effectiveness of the design and operation of the Company’s disclosure controls and procedures as of the end of the period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spacing w:after="0" w:line="297" w:lineRule="auto"/>
        <w:rPr>
          <w:sz w:val="20"/>
          <w:szCs w:val="20"/>
          <w:color w:val="auto"/>
        </w:rPr>
      </w:pPr>
      <w:r>
        <w:rPr>
          <w:rFonts w:ascii="Times New Roman" w:cs="Times New Roman" w:eastAsia="Times New Roman" w:hAnsi="Times New Roman"/>
          <w:sz w:val="18"/>
          <w:szCs w:val="18"/>
          <w:color w:val="auto"/>
        </w:rPr>
        <w:t>covered by this Report. Based on that evaluation, LivaNova’s CEO and CFO concluded that, as of March 31, 2026, the design and operation of the Company’s disclosure controls and procedures were effective to accomplish their objectives at the reasonable assurance level.</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have been no changes in LivaNova’s internal control over financial reporting (as defined in Rules 13a-15(f) and 15d-15(f) under the Exchange Act) during the quarter ended March 31, 2026 that have materially affected, or are reasonably likely to materially affect, LivaNova’s internal control over financial reporting.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2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For a description of LivaNova’s material pending legal and regulatory proceedings and settlements, refer to “Note 5. Commitments and Contingencies” in the Company’s condensed consolidated financial statements included in this Report.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2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There have been no material changes in LivaNova’s risk factors from those disclosed in Part I, Item 1A of the Company’s 2025 Annual Report on Form 10-K.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quarter ended March 31, 2026, none of the Company’s directors or officers (as defined in Rule 16a-1(f) of the Exchange Act) adopted, terminated, or modified a Rule 10b5-1 trading arrangement or non-Rule 10b5-1 trading arrangement (as such terms are defined in Item 408 of Regulation S-K of the Securities Act).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Pursuant to Section 13(r) of the Exchange Act of 1934</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13(r) of the Exchange Act requires issuers to disclose in quarterly reports, among other things, certain types of dealings with Iran and other entities, including transactions or dealings with government-owned entities, even when those activities are lawful and do not involve U.S. persons. Two of LivaNova’s non-U.S. subsidiaries currently sell medical devices, including cardiopulmonary and neuromodulation products, to distributors and a non-governmental organization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6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LivaNova’s gross revenue and net profits attributable to the above-mentioned Iranian activities were $1.6 million and $0.8 million for the three months ended March 31, 2026.</w:t>
      </w:r>
    </w:p>
    <w:p>
      <w:pPr>
        <w:spacing w:after="0" w:line="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LivaNova believes its activities are consistent with applicable law, including U.S., UK, European Union, and other applicable sanctions laws, though such laws are complex and continue to evolve rapidly. The Company intends to continue its business in Iran.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25"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exhibits marked with the asterisk symbol (*) are filed or furnished (for example, in the case of Exhibit 32.1) with this Report. Exhibits marked with the cross symbol (†), if any, are management contracts or compensatory plans or arrangements filed pursuant to Item 601(b)(10)(iii) of Regulation S-K.</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80" w:type="dxa"/>
            <w:vAlign w:val="bottom"/>
            <w:vMerge w:val="restart"/>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8"/>
              </w:rPr>
              <w:t>31.1*</w:t>
            </w:r>
          </w:p>
        </w:tc>
        <w:tc>
          <w:tcPr>
            <w:tcW w:w="100" w:type="dxa"/>
            <w:vAlign w:val="bottom"/>
            <w:tcBorders>
              <w:top w:val="single" w:sz="8" w:color="CCEEFF"/>
            </w:tcBorders>
            <w:shd w:val="clear" w:color="auto" w:fill="CCEEFF"/>
          </w:tcPr>
          <w:p>
            <w:pPr>
              <w:spacing w:after="0"/>
              <w:rPr>
                <w:sz w:val="19"/>
                <w:szCs w:val="19"/>
                <w:color w:val="auto"/>
              </w:rPr>
            </w:pPr>
          </w:p>
        </w:tc>
        <w:tc>
          <w:tcPr>
            <w:tcW w:w="10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23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31.2*</w:t>
            </w:r>
          </w:p>
        </w:tc>
        <w:tc>
          <w:tcPr>
            <w:tcW w:w="100" w:type="dxa"/>
            <w:vAlign w:val="bottom"/>
          </w:tcPr>
          <w:p>
            <w:pPr>
              <w:spacing w:after="0"/>
              <w:rPr>
                <w:sz w:val="19"/>
                <w:szCs w:val="19"/>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0000FF"/>
                <w:w w:val="98"/>
              </w:rPr>
              <w:t>32.1*</w:t>
            </w:r>
          </w:p>
        </w:tc>
        <w:tc>
          <w:tcPr>
            <w:tcW w:w="100" w:type="dxa"/>
            <w:vAlign w:val="bottom"/>
            <w:shd w:val="clear" w:color="auto" w:fill="CCEEFF"/>
          </w:tcPr>
          <w:p>
            <w:pPr>
              <w:spacing w:after="0"/>
              <w:rPr>
                <w:sz w:val="16"/>
                <w:szCs w:val="16"/>
                <w:color w:val="auto"/>
              </w:rPr>
            </w:pPr>
          </w:p>
        </w:tc>
        <w:tc>
          <w:tcPr>
            <w:tcW w:w="10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 of LivaNova PLC pursuant to Section 906 of the Sarbanes-Oxley</w:t>
            </w:r>
          </w:p>
        </w:tc>
        <w:tc>
          <w:tcPr>
            <w:tcW w:w="0" w:type="dxa"/>
            <w:vAlign w:val="bottom"/>
          </w:tcPr>
          <w:p>
            <w:pPr>
              <w:spacing w:after="0"/>
              <w:rPr>
                <w:sz w:val="1"/>
                <w:szCs w:val="1"/>
                <w:color w:val="auto"/>
              </w:rPr>
            </w:pPr>
          </w:p>
        </w:tc>
      </w:tr>
      <w:tr>
        <w:trPr>
          <w:trHeight w:val="234"/>
        </w:trPr>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184"/>
        </w:trPr>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Pr>
          <w:p>
            <w:pPr>
              <w:spacing w:after="0"/>
              <w:rPr>
                <w:sz w:val="16"/>
                <w:szCs w:val="16"/>
                <w:color w:val="auto"/>
              </w:rPr>
            </w:pPr>
          </w:p>
        </w:tc>
        <w:tc>
          <w:tcPr>
            <w:tcW w:w="10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Inline XBRL: (i) the Condensed Consolidated Statements of</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Income (Loss) for the three months ended March 31, 2026 and 2025, (ii) the Condensed Consolidated Statements of Comprehensive</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(Loss) for the three months ended March 31, 2026 and 2025, (iii) the Condensed Consolidated Balance Sheets as of March 31,</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2026 and December 31, 2025, (iv) the Condensed Consolidated Statements of Cash Flows for the three months ended March 31, 2026 and</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and (v) the Notes to the Condensed Consolidated Financial Statements</w:t>
            </w:r>
          </w:p>
        </w:tc>
        <w:tc>
          <w:tcPr>
            <w:tcW w:w="0" w:type="dxa"/>
            <w:vAlign w:val="bottom"/>
          </w:tcPr>
          <w:p>
            <w:pPr>
              <w:spacing w:after="0"/>
              <w:rPr>
                <w:sz w:val="1"/>
                <w:szCs w:val="1"/>
                <w:color w:val="auto"/>
              </w:rPr>
            </w:pPr>
          </w:p>
        </w:tc>
      </w:tr>
      <w:tr>
        <w:trPr>
          <w:trHeight w:val="229"/>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19"/>
                <w:szCs w:val="19"/>
                <w:color w:val="auto"/>
              </w:rPr>
            </w:pPr>
          </w:p>
        </w:tc>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51"/>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0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2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LIVANOVA PLC</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34290</wp:posOffset>
            </wp:positionV>
            <wp:extent cx="4243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34290</wp:posOffset>
            </wp:positionV>
            <wp:extent cx="4243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ectPr>
          <w:pgSz w:w="11900" w:h="16838" w:orient="portrait"/>
          <w:cols w:equalWidth="0" w:num="2">
            <w:col w:w="1380" w:space="640"/>
            <w:col w:w="9220"/>
          </w:cols>
          <w:pgMar w:left="320" w:top="891"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891" w:right="3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Vladimir Makatsaria, certify that:</w:t>
      </w:r>
    </w:p>
    <w:p>
      <w:pPr>
        <w:spacing w:after="0" w:line="117" w:lineRule="exact"/>
        <w:rPr>
          <w:sz w:val="20"/>
          <w:szCs w:val="20"/>
          <w:color w:val="auto"/>
        </w:rPr>
      </w:pPr>
    </w:p>
    <w:p>
      <w:pPr>
        <w:ind w:firstLine="332"/>
        <w:spacing w:after="0" w:line="282" w:lineRule="auto"/>
        <w:tabs>
          <w:tab w:leader="none" w:pos="6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LivaNova PLC and its consolidated subsidiaries;</w:t>
      </w:r>
    </w:p>
    <w:p>
      <w:pPr>
        <w:spacing w:after="0" w:line="53" w:lineRule="exact"/>
        <w:rPr>
          <w:rFonts w:ascii="Times New Roman" w:cs="Times New Roman" w:eastAsia="Times New Roman" w:hAnsi="Times New Roman"/>
          <w:sz w:val="18"/>
          <w:szCs w:val="18"/>
          <w:color w:val="auto"/>
        </w:rPr>
      </w:pPr>
    </w:p>
    <w:p>
      <w:pPr>
        <w:ind w:right="20" w:firstLine="332"/>
        <w:spacing w:after="0" w:line="282" w:lineRule="auto"/>
        <w:tabs>
          <w:tab w:leader="none" w:pos="5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5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5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332"/>
        <w:spacing w:after="0" w:line="266" w:lineRule="auto"/>
        <w:tabs>
          <w:tab w:leader="none" w:pos="6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332"/>
        <w:spacing w:after="0" w:line="266" w:lineRule="auto"/>
        <w:tabs>
          <w:tab w:leader="none" w:pos="6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332"/>
        <w:spacing w:after="0" w:line="282" w:lineRule="auto"/>
        <w:tabs>
          <w:tab w:leader="none" w:pos="7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20" w:firstLine="332"/>
        <w:spacing w:after="0" w:line="282" w:lineRule="auto"/>
        <w:tabs>
          <w:tab w:leader="none" w:pos="5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0" w:firstLine="332"/>
        <w:spacing w:after="0" w:line="282" w:lineRule="auto"/>
        <w:tabs>
          <w:tab w:leader="none" w:pos="6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3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6, 2026</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3686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4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Alex Shvartsburg, certify that:</w:t>
      </w:r>
    </w:p>
    <w:p>
      <w:pPr>
        <w:spacing w:after="0" w:line="117" w:lineRule="exact"/>
        <w:rPr>
          <w:sz w:val="20"/>
          <w:szCs w:val="20"/>
          <w:color w:val="auto"/>
        </w:rPr>
      </w:pPr>
    </w:p>
    <w:p>
      <w:pPr>
        <w:ind w:firstLine="332"/>
        <w:spacing w:after="0" w:line="282" w:lineRule="auto"/>
        <w:tabs>
          <w:tab w:leader="none" w:pos="6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2026 of LivaNova PLC and its consolidated subsidiaries;</w:t>
      </w:r>
    </w:p>
    <w:p>
      <w:pPr>
        <w:spacing w:after="0" w:line="53" w:lineRule="exact"/>
        <w:rPr>
          <w:rFonts w:ascii="Times New Roman" w:cs="Times New Roman" w:eastAsia="Times New Roman" w:hAnsi="Times New Roman"/>
          <w:sz w:val="18"/>
          <w:szCs w:val="18"/>
          <w:color w:val="auto"/>
        </w:rPr>
      </w:pPr>
    </w:p>
    <w:p>
      <w:pPr>
        <w:ind w:right="20" w:firstLine="332"/>
        <w:spacing w:after="0" w:line="282" w:lineRule="auto"/>
        <w:tabs>
          <w:tab w:leader="none" w:pos="5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5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5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332"/>
        <w:spacing w:after="0" w:line="266" w:lineRule="auto"/>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332"/>
        <w:spacing w:after="0" w:line="266" w:lineRule="auto"/>
        <w:tabs>
          <w:tab w:leader="none" w:pos="6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332"/>
        <w:spacing w:after="0" w:line="282" w:lineRule="auto"/>
        <w:tabs>
          <w:tab w:leader="none" w:pos="7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20" w:firstLine="332"/>
        <w:spacing w:after="0" w:line="282" w:lineRule="auto"/>
        <w:tabs>
          <w:tab w:leader="none" w:pos="5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0" w:firstLine="332"/>
        <w:spacing w:after="0" w:line="282" w:lineRule="auto"/>
        <w:tabs>
          <w:tab w:leader="none" w:pos="6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6, 2026</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3686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ectPr>
          <w:pgSz w:w="11900" w:h="16838" w:orient="portrait"/>
          <w:cols w:equalWidth="0" w:num="1">
            <w:col w:w="11240"/>
          </w:cols>
          <w:pgMar w:left="320" w:top="104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375" w:lineRule="auto"/>
        <w:rPr>
          <w:sz w:val="20"/>
          <w:szCs w:val="20"/>
          <w:color w:val="auto"/>
        </w:rPr>
      </w:pPr>
      <w:r>
        <w:rPr>
          <w:rFonts w:ascii="Times New Roman" w:cs="Times New Roman" w:eastAsia="Times New Roman" w:hAnsi="Times New Roman"/>
          <w:sz w:val="18"/>
          <w:szCs w:val="18"/>
          <w:color w:val="auto"/>
        </w:rPr>
        <w:t>Each of Vladimir Makatsaria,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34" w:lineRule="exact"/>
        <w:rPr>
          <w:sz w:val="20"/>
          <w:szCs w:val="20"/>
          <w:color w:val="auto"/>
        </w:rPr>
      </w:pPr>
    </w:p>
    <w:p>
      <w:pPr>
        <w:jc w:val="both"/>
        <w:ind w:firstLine="534"/>
        <w:spacing w:after="0" w:line="375" w:lineRule="auto"/>
        <w:tabs>
          <w:tab w:leader="none" w:pos="83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and its consolidated subsidiaries for the quarterly period ended March 31, 2026, as filed with the Securities and Exchange Commission on the date hereof (the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840" w:hanging="306"/>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VLADIMIR MAKATSARIA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3686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Vladimir Makatsaria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17145</wp:posOffset>
            </wp:positionV>
            <wp:extent cx="33686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Alex Shvartsburg</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7"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2"/>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2026-05-06T12:03:57Z</dcterms:created>
  <dcterms:modified xsi:type="dcterms:W3CDTF">2026-05-06T12:03:57Z</dcterms:modified>
</cp:coreProperties>
</file>