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7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Manko Douglas John</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03/29/2019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5"/>
        <w:spacing w:after="0"/>
        <w:rPr>
          <w:sz w:val="20"/>
          <w:szCs w:val="20"/>
          <w:color w:val="auto"/>
        </w:rPr>
      </w:pPr>
      <w:r>
        <w:rPr>
          <w:rFonts w:ascii="Arial" w:cs="Arial" w:eastAsia="Arial" w:hAnsi="Arial"/>
          <w:sz w:val="17"/>
          <w:szCs w:val="17"/>
          <w:color w:val="0000FF"/>
        </w:rPr>
        <w:t>Chief Accounting Officer</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93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9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1,028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6,855</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1,028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7,883</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1,028</w:t>
            </w: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1,028</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8,911</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8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3,148</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Appreciation</w:t>
            </w:r>
          </w:p>
        </w:tc>
        <w:tc>
          <w:tcPr>
            <w:tcW w:w="800" w:type="dxa"/>
            <w:vAlign w:val="bottom"/>
            <w:vMerge w:val="continue"/>
          </w:tcPr>
          <w:p>
            <w:pPr>
              <w:spacing w:after="0"/>
              <w:rPr>
                <w:sz w:val="5"/>
                <w:szCs w:val="5"/>
                <w:color w:val="auto"/>
              </w:rPr>
            </w:pP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03/29/2019</w:t>
            </w:r>
          </w:p>
        </w:tc>
        <w:tc>
          <w:tcPr>
            <w:tcW w:w="1120" w:type="dxa"/>
            <w:vAlign w:val="bottom"/>
          </w:tcPr>
          <w:p>
            <w:pPr>
              <w:spacing w:after="0"/>
              <w:rPr>
                <w:sz w:val="5"/>
                <w:szCs w:val="5"/>
                <w:color w:val="auto"/>
              </w:rPr>
            </w:pPr>
          </w:p>
        </w:tc>
        <w:tc>
          <w:tcPr>
            <w:tcW w:w="8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3,148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22,610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10" w:lineRule="exact"/>
        <w:rPr>
          <w:rFonts w:ascii="Arial" w:cs="Arial" w:eastAsia="Arial" w:hAnsi="Arial"/>
          <w:sz w:val="13"/>
          <w:szCs w:val="13"/>
          <w:color w:val="008000"/>
        </w:rPr>
      </w:pPr>
    </w:p>
    <w:p>
      <w:pPr>
        <w:ind w:left="40" w:right="3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29, 2019, subject to continued service during the vesting period and the RSU Agreement.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51" w:lineRule="exact"/>
        <w:rPr>
          <w:rFonts w:ascii="Arial" w:cs="Arial" w:eastAsia="Arial" w:hAnsi="Arial"/>
          <w:sz w:val="13"/>
          <w:szCs w:val="13"/>
          <w:color w:val="008000"/>
        </w:rPr>
      </w:pPr>
    </w:p>
    <w:p>
      <w:pPr>
        <w:ind w:left="40" w:right="280" w:firstLine="7"/>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1,028 PSUs to vest or lapse on the filing of the Company's Annual Report on Form 10-K for the fiscal year ending December 31, 2021 ("2021 Form 10-K") based on the rank of the Company's total shareholder return for the three-year period ending December 31, 2021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25" w:lineRule="exact"/>
        <w:rPr>
          <w:rFonts w:ascii="Arial" w:cs="Arial" w:eastAsia="Arial" w:hAnsi="Arial"/>
          <w:sz w:val="13"/>
          <w:szCs w:val="13"/>
          <w:color w:val="008000"/>
        </w:rPr>
      </w:pPr>
    </w:p>
    <w:p>
      <w:pPr>
        <w:ind w:left="40" w:right="180" w:firstLine="7"/>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1,028 PSUs to vest or lapse on the filing of the Company's Annual Report on Form 10-K for the fiscal year ending December 31, 2021 based on how the Company's cumulative adjusted free cash flow for fiscal years 2019, 2020 and 2021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2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97.25 Conversion or Exercise Price of Derivative Security.</w:t>
      </w:r>
    </w:p>
    <w:p>
      <w:pPr>
        <w:spacing w:after="0" w:line="51" w:lineRule="exact"/>
        <w:rPr>
          <w:rFonts w:ascii="Arial" w:cs="Arial" w:eastAsia="Arial" w:hAnsi="Arial"/>
          <w:sz w:val="13"/>
          <w:szCs w:val="13"/>
          <w:color w:val="008000"/>
        </w:rPr>
      </w:pPr>
    </w:p>
    <w:p>
      <w:pPr>
        <w:ind w:left="40" w:right="4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29, 2019.</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0000FF"/>
                <w:w w:val="92"/>
              </w:rPr>
              <w:t>Douglas J. Manko</w:t>
            </w:r>
          </w:p>
        </w:tc>
        <w:tc>
          <w:tcPr>
            <w:tcW w:w="8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04/02/2019</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2019-12-24T09:01:12Z</dcterms:created>
  <dcterms:modified xsi:type="dcterms:W3CDTF">2019-12-24T09:01:12Z</dcterms:modified>
</cp:coreProperties>
</file>