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4"/>
          <w:szCs w:val="14"/>
          <w:color w:val="003366"/>
        </w:rPr>
      </w:pPr>
      <w:hyperlink w:anchor="page4">
        <w:r>
          <w:rPr>
            <w:rFonts w:ascii="Arial" w:cs="Arial" w:eastAsia="Arial" w:hAnsi="Arial"/>
            <w:sz w:val="14"/>
            <w:szCs w:val="14"/>
            <w:color w:val="003366"/>
          </w:rPr>
          <w:t>TABLE OF CONTENTS</w:t>
        </w:r>
      </w:hyperlink>
    </w:p>
    <w:p>
      <w:pPr>
        <w:spacing w:after="0" w:line="365" w:lineRule="exact"/>
        <w:rPr>
          <w:sz w:val="24"/>
          <w:szCs w:val="24"/>
          <w:color w:val="auto"/>
        </w:rPr>
      </w:pPr>
    </w:p>
    <w:p>
      <w:pPr>
        <w:jc w:val="center"/>
        <w:ind w:right="-520"/>
        <w:spacing w:after="0"/>
        <w:rPr>
          <w:sz w:val="20"/>
          <w:szCs w:val="20"/>
          <w:color w:val="auto"/>
        </w:rPr>
      </w:pPr>
      <w:r>
        <w:rPr>
          <w:rFonts w:ascii="Arial" w:cs="Arial" w:eastAsia="Arial" w:hAnsi="Arial"/>
          <w:sz w:val="18"/>
          <w:szCs w:val="18"/>
          <w:b w:val="1"/>
          <w:bCs w:val="1"/>
          <w:color w:val="auto"/>
        </w:rPr>
        <w:t>UNITED STATES</w:t>
      </w:r>
    </w:p>
    <w:p>
      <w:pPr>
        <w:spacing w:after="0" w:line="32" w:lineRule="exact"/>
        <w:rPr>
          <w:sz w:val="24"/>
          <w:szCs w:val="24"/>
          <w:color w:val="auto"/>
        </w:rPr>
      </w:pPr>
    </w:p>
    <w:p>
      <w:pPr>
        <w:jc w:val="center"/>
        <w:ind w:right="-520"/>
        <w:spacing w:after="0"/>
        <w:rPr>
          <w:sz w:val="20"/>
          <w:szCs w:val="20"/>
          <w:color w:val="auto"/>
        </w:rPr>
      </w:pPr>
      <w:r>
        <w:rPr>
          <w:rFonts w:ascii="Arial" w:cs="Arial" w:eastAsia="Arial" w:hAnsi="Arial"/>
          <w:sz w:val="18"/>
          <w:szCs w:val="18"/>
          <w:b w:val="1"/>
          <w:bCs w:val="1"/>
          <w:color w:val="auto"/>
        </w:rPr>
        <w:t>SECURITIES AND EXCHANGE COMMISSION</w:t>
      </w:r>
    </w:p>
    <w:p>
      <w:pPr>
        <w:spacing w:after="0" w:line="23" w:lineRule="exact"/>
        <w:rPr>
          <w:sz w:val="24"/>
          <w:szCs w:val="24"/>
          <w:color w:val="auto"/>
        </w:rPr>
      </w:pPr>
    </w:p>
    <w:p>
      <w:pPr>
        <w:jc w:val="center"/>
        <w:ind w:right="-580"/>
        <w:spacing w:after="0"/>
        <w:rPr>
          <w:sz w:val="20"/>
          <w:szCs w:val="20"/>
          <w:color w:val="auto"/>
        </w:rPr>
      </w:pPr>
      <w:r>
        <w:rPr>
          <w:rFonts w:ascii="Arial" w:cs="Arial" w:eastAsia="Arial" w:hAnsi="Arial"/>
          <w:sz w:val="18"/>
          <w:szCs w:val="18"/>
          <w:b w:val="1"/>
          <w:bCs w:val="1"/>
          <w:color w:val="auto"/>
        </w:rPr>
        <w:t>WASHINGTON, D.C. 20549</w:t>
      </w:r>
    </w:p>
    <w:p>
      <w:pPr>
        <w:spacing w:after="0" w:line="279" w:lineRule="exact"/>
        <w:rPr>
          <w:sz w:val="24"/>
          <w:szCs w:val="24"/>
          <w:color w:val="auto"/>
        </w:rPr>
      </w:pPr>
    </w:p>
    <w:p>
      <w:pPr>
        <w:ind w:left="4280"/>
        <w:spacing w:after="0"/>
        <w:rPr>
          <w:sz w:val="20"/>
          <w:szCs w:val="20"/>
          <w:color w:val="auto"/>
        </w:rPr>
      </w:pPr>
      <w:r>
        <w:rPr>
          <w:rFonts w:ascii="Arial" w:cs="Arial" w:eastAsia="Arial" w:hAnsi="Arial"/>
          <w:sz w:val="29"/>
          <w:szCs w:val="29"/>
          <w:b w:val="1"/>
          <w:bCs w:val="1"/>
          <w:color w:val="auto"/>
        </w:rPr>
        <w:t>SCHEDULE 14A</w:t>
      </w:r>
    </w:p>
    <w:p>
      <w:pPr>
        <w:spacing w:after="0" w:line="318" w:lineRule="exact"/>
        <w:rPr>
          <w:sz w:val="24"/>
          <w:szCs w:val="24"/>
          <w:color w:val="auto"/>
        </w:rPr>
      </w:pPr>
    </w:p>
    <w:p>
      <w:pPr>
        <w:jc w:val="center"/>
        <w:ind w:right="-520"/>
        <w:spacing w:after="0"/>
        <w:rPr>
          <w:sz w:val="20"/>
          <w:szCs w:val="20"/>
          <w:color w:val="auto"/>
        </w:rPr>
      </w:pPr>
      <w:r>
        <w:rPr>
          <w:rFonts w:ascii="Arial" w:cs="Arial" w:eastAsia="Arial" w:hAnsi="Arial"/>
          <w:sz w:val="18"/>
          <w:szCs w:val="18"/>
          <w:b w:val="1"/>
          <w:bCs w:val="1"/>
          <w:color w:val="auto"/>
        </w:rPr>
        <w:t>Proxy Statement Pursuant to Section 14(a) of the</w:t>
      </w:r>
    </w:p>
    <w:p>
      <w:pPr>
        <w:spacing w:after="0" w:line="32" w:lineRule="exact"/>
        <w:rPr>
          <w:sz w:val="24"/>
          <w:szCs w:val="24"/>
          <w:color w:val="auto"/>
        </w:rPr>
      </w:pPr>
    </w:p>
    <w:p>
      <w:pPr>
        <w:jc w:val="center"/>
        <w:ind w:right="-580"/>
        <w:spacing w:after="0"/>
        <w:rPr>
          <w:sz w:val="20"/>
          <w:szCs w:val="20"/>
          <w:color w:val="auto"/>
        </w:rPr>
      </w:pPr>
      <w:r>
        <w:rPr>
          <w:rFonts w:ascii="Arial" w:cs="Arial" w:eastAsia="Arial" w:hAnsi="Arial"/>
          <w:sz w:val="18"/>
          <w:szCs w:val="18"/>
          <w:b w:val="1"/>
          <w:bCs w:val="1"/>
          <w:color w:val="auto"/>
        </w:rPr>
        <w:t>Securities Exchange Act of 1934</w:t>
      </w:r>
    </w:p>
    <w:p>
      <w:pPr>
        <w:spacing w:after="0" w:line="64" w:lineRule="exact"/>
        <w:rPr>
          <w:sz w:val="24"/>
          <w:szCs w:val="24"/>
          <w:color w:val="auto"/>
        </w:rPr>
      </w:pPr>
    </w:p>
    <w:p>
      <w:pPr>
        <w:ind w:left="1960"/>
        <w:spacing w:after="0" w:line="368" w:lineRule="exact"/>
        <w:tabs>
          <w:tab w:leader="none" w:pos="5900" w:val="left"/>
        </w:tabs>
        <w:rPr>
          <w:sz w:val="20"/>
          <w:szCs w:val="20"/>
          <w:color w:val="auto"/>
        </w:rPr>
      </w:pPr>
      <w:r>
        <w:rPr>
          <w:rFonts w:ascii="MS PGothic" w:cs="MS PGothic" w:eastAsia="MS PGothic" w:hAnsi="MS PGothic"/>
          <w:sz w:val="32"/>
          <w:szCs w:val="32"/>
          <w:color w:val="auto"/>
        </w:rPr>
        <w:t>☑</w:t>
      </w:r>
      <w:r>
        <w:rPr>
          <w:rFonts w:ascii="Arial" w:cs="Arial" w:eastAsia="Arial" w:hAnsi="Arial"/>
          <w:sz w:val="18"/>
          <w:szCs w:val="18"/>
          <w:color w:val="auto"/>
        </w:rPr>
        <w:t xml:space="preserve"> Filed by the Registrant</w:t>
      </w:r>
      <w:r>
        <w:rPr>
          <w:sz w:val="20"/>
          <w:szCs w:val="20"/>
          <w:color w:val="auto"/>
        </w:rPr>
        <w:tab/>
      </w:r>
      <w:r>
        <w:rPr>
          <w:rFonts w:ascii="MS PGothic" w:cs="MS PGothic" w:eastAsia="MS PGothic" w:hAnsi="MS PGothic"/>
          <w:sz w:val="32"/>
          <w:szCs w:val="32"/>
          <w:color w:val="auto"/>
        </w:rPr>
        <w:t xml:space="preserve">☐ </w:t>
      </w:r>
      <w:r>
        <w:rPr>
          <w:rFonts w:ascii="Arial" w:cs="Arial" w:eastAsia="Arial" w:hAnsi="Arial"/>
          <w:sz w:val="17"/>
          <w:szCs w:val="17"/>
          <w:color w:val="auto"/>
        </w:rPr>
        <w:t>Filed by a Party other than the Registrant</w:t>
      </w:r>
    </w:p>
    <w:p>
      <w:pPr>
        <w:spacing w:after="0" w:line="202" w:lineRule="exact"/>
        <w:rPr>
          <w:sz w:val="24"/>
          <w:szCs w:val="24"/>
          <w:color w:val="auto"/>
        </w:rPr>
      </w:pPr>
    </w:p>
    <w:p>
      <w:pPr>
        <w:ind w:left="840"/>
        <w:spacing w:after="0"/>
        <w:rPr>
          <w:sz w:val="20"/>
          <w:szCs w:val="20"/>
          <w:color w:val="auto"/>
        </w:rPr>
      </w:pPr>
      <w:r>
        <w:rPr>
          <w:rFonts w:ascii="Arial" w:cs="Arial" w:eastAsia="Arial" w:hAnsi="Arial"/>
          <w:sz w:val="18"/>
          <w:szCs w:val="18"/>
          <w:b w:val="1"/>
          <w:bCs w:val="1"/>
          <w:color w:val="auto"/>
        </w:rPr>
        <w:t>Check the appropriate box:</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485140</wp:posOffset>
            </wp:positionH>
            <wp:positionV relativeFrom="paragraph">
              <wp:posOffset>-125095</wp:posOffset>
            </wp:positionV>
            <wp:extent cx="5829300" cy="130302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5829300" cy="1303020"/>
                    </a:xfrm>
                    <a:prstGeom prst="rect">
                      <a:avLst/>
                    </a:prstGeom>
                    <a:noFill/>
                  </pic:spPr>
                </pic:pic>
              </a:graphicData>
            </a:graphic>
          </wp:anchor>
        </w:drawing>
      </w:r>
    </w:p>
    <w:p>
      <w:pPr>
        <w:ind w:left="1400" w:hanging="569"/>
        <w:spacing w:after="0" w:line="236" w:lineRule="auto"/>
        <w:tabs>
          <w:tab w:leader="none" w:pos="1400" w:val="left"/>
        </w:tabs>
        <w:numPr>
          <w:ilvl w:val="0"/>
          <w:numId w:val="1"/>
        </w:numPr>
        <w:rPr>
          <w:rFonts w:ascii="MS PGothic" w:cs="MS PGothic" w:eastAsia="MS PGothic" w:hAnsi="MS PGothic"/>
          <w:sz w:val="32"/>
          <w:szCs w:val="32"/>
          <w:color w:val="auto"/>
        </w:rPr>
      </w:pPr>
      <w:r>
        <w:rPr>
          <w:rFonts w:ascii="Arial" w:cs="Arial" w:eastAsia="Arial" w:hAnsi="Arial"/>
          <w:sz w:val="18"/>
          <w:szCs w:val="18"/>
          <w:color w:val="auto"/>
        </w:rPr>
        <w:t>Preliminary Proxy Statement</w:t>
      </w:r>
    </w:p>
    <w:p>
      <w:pPr>
        <w:spacing w:after="0" w:line="134" w:lineRule="exact"/>
        <w:rPr>
          <w:rFonts w:ascii="MS PGothic" w:cs="MS PGothic" w:eastAsia="MS PGothic" w:hAnsi="MS PGothic"/>
          <w:sz w:val="32"/>
          <w:szCs w:val="32"/>
          <w:color w:val="auto"/>
        </w:rPr>
      </w:pPr>
    </w:p>
    <w:p>
      <w:pPr>
        <w:ind w:left="1400" w:hanging="569"/>
        <w:spacing w:after="0" w:line="184" w:lineRule="auto"/>
        <w:tabs>
          <w:tab w:leader="none" w:pos="1400" w:val="left"/>
        </w:tabs>
        <w:numPr>
          <w:ilvl w:val="0"/>
          <w:numId w:val="1"/>
        </w:numPr>
        <w:rPr>
          <w:rFonts w:ascii="MS PGothic" w:cs="MS PGothic" w:eastAsia="MS PGothic" w:hAnsi="MS PGothic"/>
          <w:sz w:val="30"/>
          <w:szCs w:val="30"/>
          <w:color w:val="auto"/>
        </w:rPr>
      </w:pPr>
      <w:r>
        <w:rPr>
          <w:rFonts w:ascii="Arial" w:cs="Arial" w:eastAsia="Arial" w:hAnsi="Arial"/>
          <w:sz w:val="17"/>
          <w:szCs w:val="17"/>
          <w:b w:val="1"/>
          <w:bCs w:val="1"/>
          <w:color w:val="auto"/>
        </w:rPr>
        <w:t>Confidential, for Use of the Commission Only (as permitted by Rule 14a-6(e)(2))</w:t>
      </w:r>
    </w:p>
    <w:p>
      <w:pPr>
        <w:spacing w:after="0" w:line="45" w:lineRule="exact"/>
        <w:rPr>
          <w:sz w:val="24"/>
          <w:szCs w:val="24"/>
          <w:color w:val="auto"/>
        </w:rPr>
      </w:pPr>
    </w:p>
    <w:p>
      <w:pPr>
        <w:ind w:left="1400" w:hanging="569"/>
        <w:spacing w:after="0"/>
        <w:tabs>
          <w:tab w:leader="none" w:pos="1400" w:val="left"/>
        </w:tabs>
        <w:numPr>
          <w:ilvl w:val="0"/>
          <w:numId w:val="2"/>
        </w:numPr>
        <w:rPr>
          <w:rFonts w:ascii="MS PGothic" w:cs="MS PGothic" w:eastAsia="MS PGothic" w:hAnsi="MS PGothic"/>
          <w:sz w:val="32"/>
          <w:szCs w:val="32"/>
          <w:color w:val="auto"/>
        </w:rPr>
      </w:pPr>
      <w:r>
        <w:rPr>
          <w:rFonts w:ascii="Arial" w:cs="Arial" w:eastAsia="Arial" w:hAnsi="Arial"/>
          <w:sz w:val="18"/>
          <w:szCs w:val="18"/>
          <w:color w:val="auto"/>
        </w:rPr>
        <w:t>Definitive Proxy Statement</w:t>
      </w:r>
    </w:p>
    <w:p>
      <w:pPr>
        <w:spacing w:after="0" w:line="45" w:lineRule="exact"/>
        <w:rPr>
          <w:sz w:val="24"/>
          <w:szCs w:val="24"/>
          <w:color w:val="auto"/>
        </w:rPr>
      </w:pPr>
    </w:p>
    <w:p>
      <w:pPr>
        <w:ind w:left="1400" w:hanging="569"/>
        <w:spacing w:after="0"/>
        <w:tabs>
          <w:tab w:leader="none" w:pos="1400" w:val="left"/>
        </w:tabs>
        <w:numPr>
          <w:ilvl w:val="0"/>
          <w:numId w:val="3"/>
        </w:numPr>
        <w:rPr>
          <w:rFonts w:ascii="MS PGothic" w:cs="MS PGothic" w:eastAsia="MS PGothic" w:hAnsi="MS PGothic"/>
          <w:sz w:val="32"/>
          <w:szCs w:val="32"/>
          <w:color w:val="auto"/>
        </w:rPr>
      </w:pPr>
      <w:r>
        <w:rPr>
          <w:rFonts w:ascii="Arial" w:cs="Arial" w:eastAsia="Arial" w:hAnsi="Arial"/>
          <w:sz w:val="18"/>
          <w:szCs w:val="18"/>
          <w:color w:val="auto"/>
        </w:rPr>
        <w:t>Definitive Additional Materials</w:t>
      </w:r>
    </w:p>
    <w:p>
      <w:pPr>
        <w:spacing w:after="0" w:line="134" w:lineRule="exact"/>
        <w:rPr>
          <w:rFonts w:ascii="MS PGothic" w:cs="MS PGothic" w:eastAsia="MS PGothic" w:hAnsi="MS PGothic"/>
          <w:sz w:val="32"/>
          <w:szCs w:val="32"/>
          <w:color w:val="auto"/>
        </w:rPr>
      </w:pPr>
    </w:p>
    <w:p>
      <w:pPr>
        <w:ind w:left="1400" w:hanging="569"/>
        <w:spacing w:after="0" w:line="184" w:lineRule="auto"/>
        <w:tabs>
          <w:tab w:leader="none" w:pos="1400" w:val="left"/>
        </w:tabs>
        <w:numPr>
          <w:ilvl w:val="0"/>
          <w:numId w:val="3"/>
        </w:numPr>
        <w:rPr>
          <w:rFonts w:ascii="MS PGothic" w:cs="MS PGothic" w:eastAsia="MS PGothic" w:hAnsi="MS PGothic"/>
          <w:sz w:val="30"/>
          <w:szCs w:val="30"/>
          <w:color w:val="auto"/>
        </w:rPr>
      </w:pPr>
      <w:r>
        <w:rPr>
          <w:rFonts w:ascii="Arial" w:cs="Arial" w:eastAsia="Arial" w:hAnsi="Arial"/>
          <w:sz w:val="17"/>
          <w:szCs w:val="17"/>
          <w:color w:val="auto"/>
        </w:rPr>
        <w:t>Soliciting Material under §240.14a-12</w:t>
      </w:r>
    </w:p>
    <w:p>
      <w:pPr>
        <w:spacing w:after="0" w:line="200" w:lineRule="exact"/>
        <w:rPr>
          <w:sz w:val="24"/>
          <w:szCs w:val="24"/>
          <w:color w:val="auto"/>
        </w:rPr>
      </w:pPr>
    </w:p>
    <w:p>
      <w:pPr>
        <w:spacing w:after="0" w:line="264" w:lineRule="exact"/>
        <w:rPr>
          <w:sz w:val="24"/>
          <w:szCs w:val="24"/>
          <w:color w:val="auto"/>
        </w:rPr>
      </w:pPr>
    </w:p>
    <w:p>
      <w:pPr>
        <w:jc w:val="center"/>
        <w:ind w:right="-580"/>
        <w:spacing w:after="0"/>
        <w:rPr>
          <w:sz w:val="20"/>
          <w:szCs w:val="20"/>
          <w:color w:val="auto"/>
        </w:rPr>
      </w:pPr>
      <w:r>
        <w:rPr>
          <w:rFonts w:ascii="Arial" w:cs="Arial" w:eastAsia="Arial" w:hAnsi="Arial"/>
          <w:sz w:val="47"/>
          <w:szCs w:val="47"/>
          <w:b w:val="1"/>
          <w:bCs w:val="1"/>
          <w:color w:val="4800E6"/>
        </w:rPr>
        <w:t>LivaNova Plc</w:t>
      </w:r>
    </w:p>
    <w:p>
      <w:pPr>
        <w:spacing w:after="0" w:line="143" w:lineRule="exact"/>
        <w:rPr>
          <w:sz w:val="24"/>
          <w:szCs w:val="24"/>
          <w:color w:val="auto"/>
        </w:rPr>
      </w:pPr>
    </w:p>
    <w:p>
      <w:pPr>
        <w:ind w:left="3680"/>
        <w:spacing w:after="0"/>
        <w:rPr>
          <w:sz w:val="20"/>
          <w:szCs w:val="20"/>
          <w:color w:val="auto"/>
        </w:rPr>
      </w:pPr>
      <w:r>
        <w:rPr>
          <w:rFonts w:ascii="Arial" w:cs="Arial" w:eastAsia="Arial" w:hAnsi="Arial"/>
          <w:sz w:val="16"/>
          <w:szCs w:val="16"/>
          <w:i w:val="1"/>
          <w:iCs w:val="1"/>
          <w:color w:val="auto"/>
        </w:rPr>
        <w:t>(Name of Registrant as Specified In Its Charter)</w:t>
      </w:r>
    </w:p>
    <w:p>
      <w:pPr>
        <w:spacing w:after="0" w:line="131" w:lineRule="exact"/>
        <w:rPr>
          <w:sz w:val="24"/>
          <w:szCs w:val="24"/>
          <w:color w:val="auto"/>
        </w:rPr>
      </w:pPr>
    </w:p>
    <w:p>
      <w:pPr>
        <w:ind w:left="820"/>
        <w:spacing w:after="0"/>
        <w:rPr>
          <w:sz w:val="20"/>
          <w:szCs w:val="20"/>
          <w:color w:val="auto"/>
        </w:rPr>
      </w:pPr>
      <w:r>
        <w:rPr>
          <w:rFonts w:ascii="Arial" w:cs="Arial" w:eastAsia="Arial" w:hAnsi="Arial"/>
          <w:sz w:val="18"/>
          <w:szCs w:val="18"/>
          <w:b w:val="1"/>
          <w:bCs w:val="1"/>
          <w:color w:val="auto"/>
        </w:rPr>
        <w:t>Payment of Filing Fee (Check the appropriate box):</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485140</wp:posOffset>
            </wp:positionH>
            <wp:positionV relativeFrom="paragraph">
              <wp:posOffset>-125095</wp:posOffset>
            </wp:positionV>
            <wp:extent cx="5829300" cy="329184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829300" cy="3291840"/>
                    </a:xfrm>
                    <a:prstGeom prst="rect">
                      <a:avLst/>
                    </a:prstGeom>
                    <a:noFill/>
                  </pic:spPr>
                </pic:pic>
              </a:graphicData>
            </a:graphic>
          </wp:anchor>
        </w:drawing>
      </w:r>
    </w:p>
    <w:p>
      <w:pPr>
        <w:ind w:left="1360" w:hanging="542"/>
        <w:spacing w:after="0" w:line="236" w:lineRule="auto"/>
        <w:tabs>
          <w:tab w:leader="none" w:pos="1360" w:val="left"/>
        </w:tabs>
        <w:numPr>
          <w:ilvl w:val="0"/>
          <w:numId w:val="4"/>
        </w:numPr>
        <w:rPr>
          <w:rFonts w:ascii="MS PGothic" w:cs="MS PGothic" w:eastAsia="MS PGothic" w:hAnsi="MS PGothic"/>
          <w:sz w:val="32"/>
          <w:szCs w:val="32"/>
          <w:color w:val="auto"/>
        </w:rPr>
      </w:pPr>
      <w:r>
        <w:rPr>
          <w:rFonts w:ascii="Arial" w:cs="Arial" w:eastAsia="Arial" w:hAnsi="Arial"/>
          <w:sz w:val="18"/>
          <w:szCs w:val="18"/>
          <w:b w:val="1"/>
          <w:bCs w:val="1"/>
          <w:color w:val="auto"/>
        </w:rPr>
        <w:t>No fee required.</w:t>
      </w:r>
    </w:p>
    <w:p>
      <w:pPr>
        <w:ind w:left="1360" w:hanging="542"/>
        <w:spacing w:after="0" w:line="183" w:lineRule="auto"/>
        <w:tabs>
          <w:tab w:leader="none" w:pos="1360" w:val="left"/>
        </w:tabs>
        <w:numPr>
          <w:ilvl w:val="0"/>
          <w:numId w:val="5"/>
        </w:numPr>
        <w:rPr>
          <w:rFonts w:ascii="MS PGothic" w:cs="MS PGothic" w:eastAsia="MS PGothic" w:hAnsi="MS PGothic"/>
          <w:sz w:val="46"/>
          <w:szCs w:val="46"/>
          <w:color w:val="auto"/>
          <w:vertAlign w:val="subscript"/>
        </w:rPr>
      </w:pPr>
      <w:r>
        <w:rPr>
          <w:rFonts w:ascii="Arial" w:cs="Arial" w:eastAsia="Arial" w:hAnsi="Arial"/>
          <w:sz w:val="16"/>
          <w:szCs w:val="16"/>
          <w:b w:val="1"/>
          <w:bCs w:val="1"/>
          <w:color w:val="auto"/>
        </w:rPr>
        <w:t>Fee computed on table below per Exchange Act Rules 14a-6(i)(1) and 0-11.</w:t>
      </w:r>
    </w:p>
    <w:p>
      <w:pPr>
        <w:spacing w:after="0" w:line="108" w:lineRule="exact"/>
        <w:rPr>
          <w:rFonts w:ascii="MS PGothic" w:cs="MS PGothic" w:eastAsia="MS PGothic" w:hAnsi="MS PGothic"/>
          <w:sz w:val="46"/>
          <w:szCs w:val="46"/>
          <w:color w:val="auto"/>
          <w:vertAlign w:val="subscript"/>
        </w:rPr>
      </w:pPr>
    </w:p>
    <w:p>
      <w:pPr>
        <w:ind w:left="1720" w:hanging="362"/>
        <w:spacing w:after="0"/>
        <w:tabs>
          <w:tab w:leader="none" w:pos="1720" w:val="left"/>
        </w:tabs>
        <w:numPr>
          <w:ilvl w:val="1"/>
          <w:numId w:val="5"/>
        </w:numPr>
        <w:rPr>
          <w:rFonts w:ascii="Arial" w:cs="Arial" w:eastAsia="Arial" w:hAnsi="Arial"/>
          <w:sz w:val="18"/>
          <w:szCs w:val="18"/>
          <w:color w:val="auto"/>
        </w:rPr>
      </w:pPr>
      <w:r>
        <w:rPr>
          <w:rFonts w:ascii="Arial" w:cs="Arial" w:eastAsia="Arial" w:hAnsi="Arial"/>
          <w:sz w:val="18"/>
          <w:szCs w:val="18"/>
          <w:color w:val="auto"/>
        </w:rPr>
        <w:t>Title of each class of securities to which transaction applies:</w:t>
      </w:r>
    </w:p>
    <w:p>
      <w:pPr>
        <w:spacing w:after="0" w:line="117" w:lineRule="exact"/>
        <w:rPr>
          <w:rFonts w:ascii="Arial" w:cs="Arial" w:eastAsia="Arial" w:hAnsi="Arial"/>
          <w:sz w:val="18"/>
          <w:szCs w:val="18"/>
          <w:color w:val="auto"/>
        </w:rPr>
      </w:pPr>
    </w:p>
    <w:p>
      <w:pPr>
        <w:ind w:left="1720" w:hanging="362"/>
        <w:spacing w:after="0"/>
        <w:tabs>
          <w:tab w:leader="none" w:pos="1720" w:val="left"/>
        </w:tabs>
        <w:numPr>
          <w:ilvl w:val="1"/>
          <w:numId w:val="5"/>
        </w:numPr>
        <w:rPr>
          <w:rFonts w:ascii="Arial" w:cs="Arial" w:eastAsia="Arial" w:hAnsi="Arial"/>
          <w:sz w:val="18"/>
          <w:szCs w:val="18"/>
          <w:color w:val="auto"/>
        </w:rPr>
      </w:pPr>
      <w:r>
        <w:rPr>
          <w:rFonts w:ascii="Arial" w:cs="Arial" w:eastAsia="Arial" w:hAnsi="Arial"/>
          <w:sz w:val="18"/>
          <w:szCs w:val="18"/>
          <w:color w:val="auto"/>
        </w:rPr>
        <w:t>Aggregate number of securities to which transaction applies:</w:t>
      </w:r>
    </w:p>
    <w:p>
      <w:pPr>
        <w:spacing w:after="0" w:line="117" w:lineRule="exact"/>
        <w:rPr>
          <w:rFonts w:ascii="Arial" w:cs="Arial" w:eastAsia="Arial" w:hAnsi="Arial"/>
          <w:sz w:val="18"/>
          <w:szCs w:val="18"/>
          <w:color w:val="auto"/>
        </w:rPr>
      </w:pPr>
    </w:p>
    <w:p>
      <w:pPr>
        <w:ind w:left="1720" w:right="599" w:hanging="362"/>
        <w:spacing w:after="0" w:line="261" w:lineRule="auto"/>
        <w:tabs>
          <w:tab w:leader="none" w:pos="1720" w:val="left"/>
        </w:tabs>
        <w:numPr>
          <w:ilvl w:val="1"/>
          <w:numId w:val="5"/>
        </w:numPr>
        <w:rPr>
          <w:rFonts w:ascii="Arial" w:cs="Arial" w:eastAsia="Arial" w:hAnsi="Arial"/>
          <w:sz w:val="18"/>
          <w:szCs w:val="18"/>
          <w:color w:val="auto"/>
        </w:rPr>
      </w:pPr>
      <w:r>
        <w:rPr>
          <w:rFonts w:ascii="Arial" w:cs="Arial" w:eastAsia="Arial" w:hAnsi="Arial"/>
          <w:sz w:val="18"/>
          <w:szCs w:val="18"/>
          <w:color w:val="auto"/>
        </w:rPr>
        <w:t>Per unit price or other underlying value of transaction computed pursuant to Exchange Act Rule 0-11 (set forth the amount on which the filing fee is calculated and state how it was determined):</w:t>
      </w:r>
    </w:p>
    <w:p>
      <w:pPr>
        <w:spacing w:after="0" w:line="116" w:lineRule="exact"/>
        <w:rPr>
          <w:rFonts w:ascii="Arial" w:cs="Arial" w:eastAsia="Arial" w:hAnsi="Arial"/>
          <w:sz w:val="18"/>
          <w:szCs w:val="18"/>
          <w:color w:val="auto"/>
        </w:rPr>
      </w:pPr>
    </w:p>
    <w:p>
      <w:pPr>
        <w:ind w:left="1720" w:hanging="362"/>
        <w:spacing w:after="0"/>
        <w:tabs>
          <w:tab w:leader="none" w:pos="1720" w:val="left"/>
        </w:tabs>
        <w:numPr>
          <w:ilvl w:val="1"/>
          <w:numId w:val="5"/>
        </w:numPr>
        <w:rPr>
          <w:rFonts w:ascii="Arial" w:cs="Arial" w:eastAsia="Arial" w:hAnsi="Arial"/>
          <w:sz w:val="18"/>
          <w:szCs w:val="18"/>
          <w:color w:val="auto"/>
        </w:rPr>
      </w:pPr>
      <w:r>
        <w:rPr>
          <w:rFonts w:ascii="Arial" w:cs="Arial" w:eastAsia="Arial" w:hAnsi="Arial"/>
          <w:sz w:val="18"/>
          <w:szCs w:val="18"/>
          <w:color w:val="auto"/>
        </w:rPr>
        <w:t>Proposed maximum aggregate value of transaction:</w:t>
      </w:r>
    </w:p>
    <w:p>
      <w:pPr>
        <w:spacing w:after="0" w:line="117" w:lineRule="exact"/>
        <w:rPr>
          <w:rFonts w:ascii="Arial" w:cs="Arial" w:eastAsia="Arial" w:hAnsi="Arial"/>
          <w:sz w:val="18"/>
          <w:szCs w:val="18"/>
          <w:color w:val="auto"/>
        </w:rPr>
      </w:pPr>
    </w:p>
    <w:p>
      <w:pPr>
        <w:ind w:left="1720" w:hanging="362"/>
        <w:spacing w:after="0"/>
        <w:tabs>
          <w:tab w:leader="none" w:pos="1720" w:val="left"/>
        </w:tabs>
        <w:numPr>
          <w:ilvl w:val="1"/>
          <w:numId w:val="5"/>
        </w:numPr>
        <w:rPr>
          <w:rFonts w:ascii="Arial" w:cs="Arial" w:eastAsia="Arial" w:hAnsi="Arial"/>
          <w:sz w:val="18"/>
          <w:szCs w:val="18"/>
          <w:color w:val="auto"/>
        </w:rPr>
      </w:pPr>
      <w:r>
        <w:rPr>
          <w:rFonts w:ascii="Arial" w:cs="Arial" w:eastAsia="Arial" w:hAnsi="Arial"/>
          <w:sz w:val="18"/>
          <w:szCs w:val="18"/>
          <w:color w:val="auto"/>
        </w:rPr>
        <w:t>Total fee paid:</w:t>
      </w:r>
    </w:p>
    <w:p>
      <w:pPr>
        <w:spacing w:after="0" w:line="27" w:lineRule="exact"/>
        <w:rPr>
          <w:rFonts w:ascii="Arial" w:cs="Arial" w:eastAsia="Arial" w:hAnsi="Arial"/>
          <w:sz w:val="18"/>
          <w:szCs w:val="18"/>
          <w:color w:val="auto"/>
        </w:rPr>
      </w:pPr>
    </w:p>
    <w:p>
      <w:pPr>
        <w:ind w:left="1360" w:hanging="542"/>
        <w:spacing w:after="0"/>
        <w:tabs>
          <w:tab w:leader="none" w:pos="1360" w:val="left"/>
        </w:tabs>
        <w:numPr>
          <w:ilvl w:val="0"/>
          <w:numId w:val="5"/>
        </w:numPr>
        <w:rPr>
          <w:rFonts w:ascii="MS PGothic" w:cs="MS PGothic" w:eastAsia="MS PGothic" w:hAnsi="MS PGothic"/>
          <w:sz w:val="32"/>
          <w:szCs w:val="32"/>
          <w:color w:val="auto"/>
        </w:rPr>
      </w:pPr>
      <w:r>
        <w:rPr>
          <w:rFonts w:ascii="Arial" w:cs="Arial" w:eastAsia="Arial" w:hAnsi="Arial"/>
          <w:sz w:val="18"/>
          <w:szCs w:val="18"/>
          <w:b w:val="1"/>
          <w:bCs w:val="1"/>
          <w:color w:val="auto"/>
        </w:rPr>
        <w:t>Fee paid previously with preliminary materials.</w:t>
      </w:r>
    </w:p>
    <w:p>
      <w:pPr>
        <w:spacing w:after="0" w:line="93" w:lineRule="exact"/>
        <w:rPr>
          <w:rFonts w:ascii="MS PGothic" w:cs="MS PGothic" w:eastAsia="MS PGothic" w:hAnsi="MS PGothic"/>
          <w:sz w:val="32"/>
          <w:szCs w:val="32"/>
          <w:color w:val="auto"/>
        </w:rPr>
      </w:pPr>
    </w:p>
    <w:p>
      <w:pPr>
        <w:ind w:left="1360" w:right="319" w:hanging="542"/>
        <w:spacing w:after="0" w:line="181" w:lineRule="auto"/>
        <w:tabs>
          <w:tab w:leader="none" w:pos="1360" w:val="left"/>
        </w:tabs>
        <w:numPr>
          <w:ilvl w:val="0"/>
          <w:numId w:val="5"/>
        </w:numPr>
        <w:rPr>
          <w:rFonts w:ascii="MS PGothic" w:cs="MS PGothic" w:eastAsia="MS PGothic" w:hAnsi="MS PGothic"/>
          <w:sz w:val="49"/>
          <w:szCs w:val="49"/>
          <w:color w:val="auto"/>
          <w:vertAlign w:val="subscript"/>
        </w:rPr>
      </w:pPr>
      <w:r>
        <w:rPr>
          <w:rFonts w:ascii="Arial" w:cs="Arial" w:eastAsia="Arial" w:hAnsi="Arial"/>
          <w:sz w:val="16"/>
          <w:szCs w:val="16"/>
          <w:b w:val="1"/>
          <w:bCs w:val="1"/>
          <w:color w:val="auto"/>
        </w:rPr>
        <w:t>Check box if any part of the fee is offset as provided by Exchange Act Rule 0-11(a)(2) and identify the filing for which the offsetting fee was paid previously. Identify the previous filing by registration statement number, or the Form or Schedule and the date of its filing.</w:t>
      </w:r>
    </w:p>
    <w:p>
      <w:pPr>
        <w:spacing w:after="0" w:line="108" w:lineRule="exact"/>
        <w:rPr>
          <w:rFonts w:ascii="MS PGothic" w:cs="MS PGothic" w:eastAsia="MS PGothic" w:hAnsi="MS PGothic"/>
          <w:sz w:val="49"/>
          <w:szCs w:val="49"/>
          <w:color w:val="auto"/>
          <w:vertAlign w:val="subscript"/>
        </w:rPr>
      </w:pPr>
    </w:p>
    <w:p>
      <w:pPr>
        <w:ind w:left="1720" w:hanging="362"/>
        <w:spacing w:after="0"/>
        <w:tabs>
          <w:tab w:leader="none" w:pos="1720" w:val="left"/>
        </w:tabs>
        <w:numPr>
          <w:ilvl w:val="1"/>
          <w:numId w:val="5"/>
        </w:numPr>
        <w:rPr>
          <w:rFonts w:ascii="Arial" w:cs="Arial" w:eastAsia="Arial" w:hAnsi="Arial"/>
          <w:sz w:val="18"/>
          <w:szCs w:val="18"/>
          <w:color w:val="auto"/>
        </w:rPr>
      </w:pPr>
      <w:r>
        <w:rPr>
          <w:rFonts w:ascii="Arial" w:cs="Arial" w:eastAsia="Arial" w:hAnsi="Arial"/>
          <w:sz w:val="18"/>
          <w:szCs w:val="18"/>
          <w:color w:val="auto"/>
        </w:rPr>
        <w:t>Amount Previously Paid:</w:t>
      </w:r>
    </w:p>
    <w:p>
      <w:pPr>
        <w:spacing w:after="0" w:line="117" w:lineRule="exact"/>
        <w:rPr>
          <w:rFonts w:ascii="Arial" w:cs="Arial" w:eastAsia="Arial" w:hAnsi="Arial"/>
          <w:sz w:val="18"/>
          <w:szCs w:val="18"/>
          <w:color w:val="auto"/>
        </w:rPr>
      </w:pPr>
    </w:p>
    <w:p>
      <w:pPr>
        <w:ind w:left="1720" w:hanging="362"/>
        <w:spacing w:after="0"/>
        <w:tabs>
          <w:tab w:leader="none" w:pos="1720" w:val="left"/>
        </w:tabs>
        <w:numPr>
          <w:ilvl w:val="1"/>
          <w:numId w:val="5"/>
        </w:numPr>
        <w:rPr>
          <w:rFonts w:ascii="Arial" w:cs="Arial" w:eastAsia="Arial" w:hAnsi="Arial"/>
          <w:sz w:val="18"/>
          <w:szCs w:val="18"/>
          <w:color w:val="auto"/>
        </w:rPr>
      </w:pPr>
      <w:r>
        <w:rPr>
          <w:rFonts w:ascii="Arial" w:cs="Arial" w:eastAsia="Arial" w:hAnsi="Arial"/>
          <w:sz w:val="18"/>
          <w:szCs w:val="18"/>
          <w:color w:val="auto"/>
        </w:rPr>
        <w:t>Form, Schedule or Registration Statement No.:</w:t>
      </w:r>
    </w:p>
    <w:p>
      <w:pPr>
        <w:spacing w:after="0" w:line="103" w:lineRule="exact"/>
        <w:rPr>
          <w:rFonts w:ascii="Arial" w:cs="Arial" w:eastAsia="Arial" w:hAnsi="Arial"/>
          <w:sz w:val="18"/>
          <w:szCs w:val="18"/>
          <w:color w:val="auto"/>
        </w:rPr>
      </w:pPr>
    </w:p>
    <w:p>
      <w:pPr>
        <w:ind w:left="1720" w:hanging="362"/>
        <w:spacing w:after="0"/>
        <w:tabs>
          <w:tab w:leader="none" w:pos="1720" w:val="left"/>
        </w:tabs>
        <w:numPr>
          <w:ilvl w:val="1"/>
          <w:numId w:val="5"/>
        </w:numPr>
        <w:rPr>
          <w:rFonts w:ascii="Arial" w:cs="Arial" w:eastAsia="Arial" w:hAnsi="Arial"/>
          <w:sz w:val="18"/>
          <w:szCs w:val="18"/>
          <w:color w:val="auto"/>
        </w:rPr>
      </w:pPr>
      <w:r>
        <w:rPr>
          <w:rFonts w:ascii="Arial" w:cs="Arial" w:eastAsia="Arial" w:hAnsi="Arial"/>
          <w:sz w:val="18"/>
          <w:szCs w:val="18"/>
          <w:color w:val="auto"/>
        </w:rPr>
        <w:t>Filing Party:</w:t>
      </w:r>
    </w:p>
    <w:p>
      <w:pPr>
        <w:spacing w:after="0" w:line="117" w:lineRule="exact"/>
        <w:rPr>
          <w:rFonts w:ascii="Arial" w:cs="Arial" w:eastAsia="Arial" w:hAnsi="Arial"/>
          <w:sz w:val="18"/>
          <w:szCs w:val="18"/>
          <w:color w:val="auto"/>
        </w:rPr>
      </w:pPr>
    </w:p>
    <w:p>
      <w:pPr>
        <w:ind w:left="1720" w:hanging="362"/>
        <w:spacing w:after="0"/>
        <w:tabs>
          <w:tab w:leader="none" w:pos="1720" w:val="left"/>
        </w:tabs>
        <w:numPr>
          <w:ilvl w:val="1"/>
          <w:numId w:val="5"/>
        </w:numPr>
        <w:rPr>
          <w:rFonts w:ascii="Arial" w:cs="Arial" w:eastAsia="Arial" w:hAnsi="Arial"/>
          <w:sz w:val="18"/>
          <w:szCs w:val="18"/>
          <w:color w:val="auto"/>
        </w:rPr>
      </w:pPr>
      <w:r>
        <w:rPr>
          <w:rFonts w:ascii="Arial" w:cs="Arial" w:eastAsia="Arial" w:hAnsi="Arial"/>
          <w:sz w:val="18"/>
          <w:szCs w:val="18"/>
          <w:color w:val="auto"/>
        </w:rPr>
        <w:t>Date Filed: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1275080</wp:posOffset>
            </wp:positionV>
            <wp:extent cx="6806565"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10139"/>
          </w:cols>
          <w:pgMar w:left="320" w:top="239" w:right="1440" w:bottom="1440" w:gutter="0" w:footer="0" w:header="0"/>
        </w:sectPr>
      </w:pPr>
    </w:p>
    <w:bookmarkStart w:id="1" w:name="page2"/>
    <w:bookmarkEnd w:id="1"/>
    <w:p>
      <w:pPr>
        <w:spacing w:after="0"/>
        <w:rPr>
          <w:rFonts w:ascii="Arial" w:cs="Arial" w:eastAsia="Arial" w:hAnsi="Arial"/>
          <w:sz w:val="14"/>
          <w:szCs w:val="14"/>
          <w:color w:val="003366"/>
        </w:rPr>
      </w:pPr>
      <w:hyperlink w:anchor="page4">
        <w:r>
          <w:rPr>
            <w:rFonts w:ascii="Arial" w:cs="Arial" w:eastAsia="Arial" w:hAnsi="Arial"/>
            <w:sz w:val="14"/>
            <w:szCs w:val="14"/>
            <w:color w:val="003366"/>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485140</wp:posOffset>
            </wp:positionH>
            <wp:positionV relativeFrom="paragraph">
              <wp:posOffset>306070</wp:posOffset>
            </wp:positionV>
            <wp:extent cx="5820410" cy="44577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820410" cy="4457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6" w:lineRule="exact"/>
        <w:rPr>
          <w:sz w:val="20"/>
          <w:szCs w:val="20"/>
          <w:color w:val="auto"/>
        </w:rPr>
      </w:pPr>
    </w:p>
    <w:p>
      <w:pPr>
        <w:ind w:left="760" w:right="1279"/>
        <w:spacing w:after="0" w:line="224" w:lineRule="auto"/>
        <w:rPr>
          <w:sz w:val="20"/>
          <w:szCs w:val="20"/>
          <w:color w:val="auto"/>
        </w:rPr>
      </w:pPr>
      <w:r>
        <w:rPr>
          <w:rFonts w:ascii="Arial" w:cs="Arial" w:eastAsia="Arial" w:hAnsi="Arial"/>
          <w:sz w:val="76"/>
          <w:szCs w:val="76"/>
          <w:b w:val="1"/>
          <w:bCs w:val="1"/>
          <w:color w:val="4800E6"/>
        </w:rPr>
        <w:t xml:space="preserve">Notice </w:t>
      </w:r>
      <w:r>
        <w:rPr>
          <w:rFonts w:ascii="Arial" w:cs="Arial" w:eastAsia="Arial" w:hAnsi="Arial"/>
          <w:sz w:val="50"/>
          <w:szCs w:val="50"/>
          <w:b w:val="1"/>
          <w:bCs w:val="1"/>
          <w:color w:val="666666"/>
        </w:rPr>
        <w:t>of 2020 Annual General</w:t>
      </w:r>
      <w:r>
        <w:rPr>
          <w:rFonts w:ascii="Arial" w:cs="Arial" w:eastAsia="Arial" w:hAnsi="Arial"/>
          <w:sz w:val="76"/>
          <w:szCs w:val="76"/>
          <w:b w:val="1"/>
          <w:bCs w:val="1"/>
          <w:color w:val="4800E6"/>
        </w:rPr>
        <w:t xml:space="preserve"> </w:t>
      </w:r>
      <w:r>
        <w:rPr>
          <w:rFonts w:ascii="Arial" w:cs="Arial" w:eastAsia="Arial" w:hAnsi="Arial"/>
          <w:sz w:val="50"/>
          <w:szCs w:val="50"/>
          <w:b w:val="1"/>
          <w:bCs w:val="1"/>
          <w:color w:val="666666"/>
        </w:rPr>
        <w:t>Meeting of Shareholders</w:t>
      </w:r>
    </w:p>
    <w:p>
      <w:pPr>
        <w:spacing w:after="0" w:line="104" w:lineRule="exact"/>
        <w:rPr>
          <w:sz w:val="20"/>
          <w:szCs w:val="20"/>
          <w:color w:val="auto"/>
        </w:rPr>
      </w:pPr>
    </w:p>
    <w:p>
      <w:pPr>
        <w:ind w:left="760" w:right="519"/>
        <w:spacing w:after="0" w:line="252" w:lineRule="auto"/>
        <w:rPr>
          <w:sz w:val="20"/>
          <w:szCs w:val="20"/>
          <w:color w:val="auto"/>
        </w:rPr>
      </w:pPr>
      <w:r>
        <w:rPr>
          <w:rFonts w:ascii="Arial" w:cs="Arial" w:eastAsia="Arial" w:hAnsi="Arial"/>
          <w:sz w:val="15"/>
          <w:szCs w:val="15"/>
          <w:color w:val="auto"/>
        </w:rPr>
        <w:t>Notice is hereby given that the 2020 Annual General Meeting (the “AGM”) of Shareholders of LivaNova PLC, a public limited company having its registered office at 20 Eastbourne Terrace, London W2 6LG, United Kingdom and incorporated in England and Wales with company number 09451374 (“LivaNova” or the “Company”), will be held as follows:</w:t>
      </w:r>
    </w:p>
    <w:p>
      <w:pPr>
        <w:spacing w:after="0" w:line="117" w:lineRule="exact"/>
        <w:rPr>
          <w:sz w:val="20"/>
          <w:szCs w:val="20"/>
          <w:color w:val="auto"/>
        </w:rPr>
      </w:pPr>
    </w:p>
    <w:p>
      <w:pPr>
        <w:ind w:left="760"/>
        <w:spacing w:after="0"/>
        <w:rPr>
          <w:sz w:val="20"/>
          <w:szCs w:val="20"/>
          <w:color w:val="auto"/>
        </w:rPr>
      </w:pPr>
      <w:r>
        <w:rPr>
          <w:rFonts w:ascii="Arial" w:cs="Arial" w:eastAsia="Arial" w:hAnsi="Arial"/>
          <w:sz w:val="16"/>
          <w:szCs w:val="16"/>
          <w:b w:val="1"/>
          <w:bCs w:val="1"/>
          <w:color w:val="4800E6"/>
        </w:rPr>
        <w:t>Date:</w:t>
      </w:r>
    </w:p>
    <w:p>
      <w:pPr>
        <w:spacing w:after="0" w:line="46" w:lineRule="exact"/>
        <w:rPr>
          <w:sz w:val="20"/>
          <w:szCs w:val="20"/>
          <w:color w:val="auto"/>
        </w:rPr>
      </w:pPr>
    </w:p>
    <w:p>
      <w:pPr>
        <w:ind w:left="760"/>
        <w:spacing w:after="0"/>
        <w:rPr>
          <w:sz w:val="20"/>
          <w:szCs w:val="20"/>
          <w:color w:val="auto"/>
        </w:rPr>
      </w:pPr>
      <w:r>
        <w:rPr>
          <w:rFonts w:ascii="Arial" w:cs="Arial" w:eastAsia="Arial" w:hAnsi="Arial"/>
          <w:sz w:val="16"/>
          <w:szCs w:val="16"/>
          <w:b w:val="1"/>
          <w:bCs w:val="1"/>
          <w:color w:val="auto"/>
        </w:rPr>
        <w:t>Monday, June 29, 2020</w:t>
      </w:r>
    </w:p>
    <w:p>
      <w:pPr>
        <w:spacing w:after="0" w:line="154" w:lineRule="exact"/>
        <w:rPr>
          <w:sz w:val="20"/>
          <w:szCs w:val="20"/>
          <w:color w:val="auto"/>
        </w:rPr>
      </w:pPr>
    </w:p>
    <w:p>
      <w:pPr>
        <w:ind w:left="760"/>
        <w:spacing w:after="0"/>
        <w:rPr>
          <w:sz w:val="20"/>
          <w:szCs w:val="20"/>
          <w:color w:val="auto"/>
        </w:rPr>
      </w:pPr>
      <w:r>
        <w:rPr>
          <w:rFonts w:ascii="Arial" w:cs="Arial" w:eastAsia="Arial" w:hAnsi="Arial"/>
          <w:sz w:val="16"/>
          <w:szCs w:val="16"/>
          <w:b w:val="1"/>
          <w:bCs w:val="1"/>
          <w:color w:val="4800E6"/>
        </w:rPr>
        <w:t>Time:</w:t>
      </w:r>
    </w:p>
    <w:p>
      <w:pPr>
        <w:spacing w:after="0" w:line="46" w:lineRule="exact"/>
        <w:rPr>
          <w:sz w:val="20"/>
          <w:szCs w:val="20"/>
          <w:color w:val="auto"/>
        </w:rPr>
      </w:pPr>
    </w:p>
    <w:p>
      <w:pPr>
        <w:ind w:left="760"/>
        <w:spacing w:after="0"/>
        <w:rPr>
          <w:sz w:val="20"/>
          <w:szCs w:val="20"/>
          <w:color w:val="auto"/>
        </w:rPr>
      </w:pPr>
      <w:r>
        <w:rPr>
          <w:rFonts w:ascii="Arial" w:cs="Arial" w:eastAsia="Arial" w:hAnsi="Arial"/>
          <w:sz w:val="16"/>
          <w:szCs w:val="16"/>
          <w:b w:val="1"/>
          <w:bCs w:val="1"/>
          <w:color w:val="auto"/>
        </w:rPr>
        <w:t>13:00 British Summer Time</w:t>
      </w:r>
    </w:p>
    <w:p>
      <w:pPr>
        <w:spacing w:after="0" w:line="154" w:lineRule="exact"/>
        <w:rPr>
          <w:sz w:val="20"/>
          <w:szCs w:val="20"/>
          <w:color w:val="auto"/>
        </w:rPr>
      </w:pPr>
    </w:p>
    <w:p>
      <w:pPr>
        <w:ind w:left="760"/>
        <w:spacing w:after="0"/>
        <w:rPr>
          <w:sz w:val="20"/>
          <w:szCs w:val="20"/>
          <w:color w:val="auto"/>
        </w:rPr>
      </w:pPr>
      <w:r>
        <w:rPr>
          <w:rFonts w:ascii="Arial" w:cs="Arial" w:eastAsia="Arial" w:hAnsi="Arial"/>
          <w:sz w:val="16"/>
          <w:szCs w:val="16"/>
          <w:b w:val="1"/>
          <w:bCs w:val="1"/>
          <w:color w:val="4800E6"/>
        </w:rPr>
        <w:t>Virtual Meeting:</w:t>
      </w:r>
    </w:p>
    <w:p>
      <w:pPr>
        <w:spacing w:after="0" w:line="46" w:lineRule="exact"/>
        <w:rPr>
          <w:sz w:val="20"/>
          <w:szCs w:val="20"/>
          <w:color w:val="auto"/>
        </w:rPr>
      </w:pPr>
    </w:p>
    <w:p>
      <w:pPr>
        <w:ind w:left="760"/>
        <w:spacing w:after="0"/>
        <w:rPr>
          <w:sz w:val="20"/>
          <w:szCs w:val="20"/>
          <w:color w:val="auto"/>
        </w:rPr>
      </w:pPr>
      <w:r>
        <w:rPr>
          <w:rFonts w:ascii="Arial" w:cs="Arial" w:eastAsia="Arial" w:hAnsi="Arial"/>
          <w:sz w:val="16"/>
          <w:szCs w:val="16"/>
          <w:b w:val="1"/>
          <w:bCs w:val="1"/>
          <w:i w:val="1"/>
          <w:iCs w:val="1"/>
          <w:color w:val="auto"/>
        </w:rPr>
        <w:t>www.meetingcenter.io/260382039</w:t>
      </w:r>
    </w:p>
    <w:p>
      <w:pPr>
        <w:spacing w:after="0" w:line="12" w:lineRule="exact"/>
        <w:rPr>
          <w:sz w:val="20"/>
          <w:szCs w:val="20"/>
          <w:color w:val="auto"/>
        </w:rPr>
      </w:pPr>
    </w:p>
    <w:p>
      <w:pPr>
        <w:ind w:left="760"/>
        <w:spacing w:after="0"/>
        <w:rPr>
          <w:sz w:val="20"/>
          <w:szCs w:val="20"/>
          <w:color w:val="auto"/>
        </w:rPr>
      </w:pPr>
      <w:r>
        <w:rPr>
          <w:rFonts w:ascii="Arial" w:cs="Arial" w:eastAsia="Arial" w:hAnsi="Arial"/>
          <w:sz w:val="16"/>
          <w:szCs w:val="16"/>
          <w:b w:val="1"/>
          <w:bCs w:val="1"/>
          <w:color w:val="auto"/>
        </w:rPr>
        <w:t>(Password: LIVN2020)</w:t>
      </w:r>
    </w:p>
    <w:p>
      <w:pPr>
        <w:spacing w:after="0" w:line="134" w:lineRule="exact"/>
        <w:rPr>
          <w:sz w:val="20"/>
          <w:szCs w:val="20"/>
          <w:color w:val="auto"/>
        </w:rPr>
      </w:pPr>
    </w:p>
    <w:p>
      <w:pPr>
        <w:ind w:left="760"/>
        <w:spacing w:after="0"/>
        <w:rPr>
          <w:sz w:val="20"/>
          <w:szCs w:val="20"/>
          <w:color w:val="auto"/>
        </w:rPr>
      </w:pPr>
      <w:r>
        <w:rPr>
          <w:rFonts w:ascii="Arial" w:cs="Arial" w:eastAsia="Arial" w:hAnsi="Arial"/>
          <w:sz w:val="16"/>
          <w:szCs w:val="16"/>
          <w:b w:val="1"/>
          <w:bCs w:val="1"/>
          <w:color w:val="4800E6"/>
        </w:rPr>
        <w:t>Record Date:</w:t>
      </w:r>
    </w:p>
    <w:p>
      <w:pPr>
        <w:spacing w:after="0" w:line="114" w:lineRule="exact"/>
        <w:rPr>
          <w:sz w:val="20"/>
          <w:szCs w:val="20"/>
          <w:color w:val="auto"/>
        </w:rPr>
      </w:pPr>
    </w:p>
    <w:p>
      <w:pPr>
        <w:ind w:left="760"/>
        <w:spacing w:after="0"/>
        <w:rPr>
          <w:sz w:val="20"/>
          <w:szCs w:val="20"/>
          <w:color w:val="auto"/>
        </w:rPr>
      </w:pPr>
      <w:r>
        <w:rPr>
          <w:rFonts w:ascii="Arial" w:cs="Arial" w:eastAsia="Arial" w:hAnsi="Arial"/>
          <w:sz w:val="15"/>
          <w:szCs w:val="15"/>
          <w:color w:val="auto"/>
        </w:rPr>
        <w:t>May 4, 2020 (at the close of The Nasdaq Stock Market LLC (“Nasdaq”) exchange)</w:t>
      </w:r>
    </w:p>
    <w:p>
      <w:pPr>
        <w:spacing w:after="0" w:line="137" w:lineRule="exact"/>
        <w:rPr>
          <w:sz w:val="20"/>
          <w:szCs w:val="20"/>
          <w:color w:val="auto"/>
        </w:rPr>
      </w:pPr>
    </w:p>
    <w:p>
      <w:pPr>
        <w:ind w:left="760"/>
        <w:spacing w:after="0"/>
        <w:rPr>
          <w:sz w:val="20"/>
          <w:szCs w:val="20"/>
          <w:color w:val="auto"/>
        </w:rPr>
      </w:pPr>
      <w:r>
        <w:rPr>
          <w:rFonts w:ascii="Arial" w:cs="Arial" w:eastAsia="Arial" w:hAnsi="Arial"/>
          <w:sz w:val="16"/>
          <w:szCs w:val="16"/>
          <w:b w:val="1"/>
          <w:bCs w:val="1"/>
          <w:color w:val="4800E6"/>
        </w:rPr>
        <w:t>Who Can Attend:</w:t>
      </w:r>
    </w:p>
    <w:p>
      <w:pPr>
        <w:spacing w:after="0" w:line="114" w:lineRule="exact"/>
        <w:rPr>
          <w:sz w:val="20"/>
          <w:szCs w:val="20"/>
          <w:color w:val="auto"/>
        </w:rPr>
      </w:pPr>
    </w:p>
    <w:p>
      <w:pPr>
        <w:ind w:left="760" w:right="199"/>
        <w:spacing w:after="0" w:line="249" w:lineRule="auto"/>
        <w:rPr>
          <w:sz w:val="20"/>
          <w:szCs w:val="20"/>
          <w:color w:val="auto"/>
        </w:rPr>
      </w:pPr>
      <w:r>
        <w:rPr>
          <w:rFonts w:ascii="Arial" w:cs="Arial" w:eastAsia="Arial" w:hAnsi="Arial"/>
          <w:sz w:val="15"/>
          <w:szCs w:val="15"/>
          <w:color w:val="auto"/>
        </w:rPr>
        <w:t xml:space="preserve">Record and beneficial holders as of the Record Date may attend. A member who is entitled to attend and vote is entitled to appoint another person to vote on his/her behalf the ordinary shares with nominal value £1 per share held by him/her, as his/her proxy to exercise all or any of his/her rights to attend and vote at the meeting. For information on appointing a proxy, see our </w:t>
      </w:r>
      <w:r>
        <w:rPr>
          <w:rFonts w:ascii="Arial" w:cs="Arial" w:eastAsia="Arial" w:hAnsi="Arial"/>
          <w:sz w:val="15"/>
          <w:szCs w:val="15"/>
          <w:i w:val="1"/>
          <w:iCs w:val="1"/>
          <w:color w:val="auto"/>
        </w:rPr>
        <w:t>Frequently Asked Questions about the</w:t>
      </w:r>
      <w:r>
        <w:rPr>
          <w:rFonts w:ascii="Arial" w:cs="Arial" w:eastAsia="Arial" w:hAnsi="Arial"/>
          <w:sz w:val="15"/>
          <w:szCs w:val="15"/>
          <w:color w:val="auto"/>
        </w:rPr>
        <w:t xml:space="preserve"> </w:t>
      </w:r>
      <w:r>
        <w:rPr>
          <w:rFonts w:ascii="Arial" w:cs="Arial" w:eastAsia="Arial" w:hAnsi="Arial"/>
          <w:sz w:val="15"/>
          <w:szCs w:val="15"/>
          <w:i w:val="1"/>
          <w:iCs w:val="1"/>
          <w:color w:val="auto"/>
        </w:rPr>
        <w:t>AGM.</w:t>
      </w:r>
    </w:p>
    <w:p>
      <w:pPr>
        <w:spacing w:after="0" w:line="120" w:lineRule="exact"/>
        <w:rPr>
          <w:sz w:val="20"/>
          <w:szCs w:val="20"/>
          <w:color w:val="auto"/>
        </w:rPr>
      </w:pPr>
    </w:p>
    <w:p>
      <w:pPr>
        <w:ind w:left="760"/>
        <w:spacing w:after="0"/>
        <w:rPr>
          <w:sz w:val="20"/>
          <w:szCs w:val="20"/>
          <w:color w:val="auto"/>
        </w:rPr>
      </w:pPr>
      <w:r>
        <w:rPr>
          <w:rFonts w:ascii="Arial" w:cs="Arial" w:eastAsia="Arial" w:hAnsi="Arial"/>
          <w:sz w:val="16"/>
          <w:szCs w:val="16"/>
          <w:b w:val="1"/>
          <w:bCs w:val="1"/>
          <w:color w:val="4800E6"/>
        </w:rPr>
        <w:t>Number of Votes Outstanding:</w:t>
      </w:r>
    </w:p>
    <w:p>
      <w:pPr>
        <w:spacing w:after="0" w:line="101" w:lineRule="exact"/>
        <w:rPr>
          <w:sz w:val="20"/>
          <w:szCs w:val="20"/>
          <w:color w:val="auto"/>
        </w:rPr>
      </w:pPr>
    </w:p>
    <w:p>
      <w:pPr>
        <w:ind w:left="760" w:right="319"/>
        <w:spacing w:after="0" w:line="260" w:lineRule="auto"/>
        <w:rPr>
          <w:sz w:val="20"/>
          <w:szCs w:val="20"/>
          <w:color w:val="auto"/>
        </w:rPr>
      </w:pPr>
      <w:r>
        <w:rPr>
          <w:rFonts w:ascii="Arial" w:cs="Arial" w:eastAsia="Arial" w:hAnsi="Arial"/>
          <w:sz w:val="15"/>
          <w:szCs w:val="15"/>
          <w:color w:val="auto"/>
        </w:rPr>
        <w:t>The Company has only one class of voting shares, namely that of ordinary shares. At May 14, 2020, there were 48,584,653 total ordinary shares outstanding, each carrying one vote.</w:t>
      </w:r>
    </w:p>
    <w:p>
      <w:pPr>
        <w:spacing w:after="0" w:line="111" w:lineRule="exact"/>
        <w:rPr>
          <w:sz w:val="20"/>
          <w:szCs w:val="20"/>
          <w:color w:val="auto"/>
        </w:rPr>
      </w:pPr>
    </w:p>
    <w:p>
      <w:pPr>
        <w:ind w:left="760"/>
        <w:spacing w:after="0"/>
        <w:rPr>
          <w:sz w:val="20"/>
          <w:szCs w:val="20"/>
          <w:color w:val="auto"/>
        </w:rPr>
      </w:pPr>
      <w:r>
        <w:rPr>
          <w:rFonts w:ascii="Arial" w:cs="Arial" w:eastAsia="Arial" w:hAnsi="Arial"/>
          <w:sz w:val="16"/>
          <w:szCs w:val="16"/>
          <w:b w:val="1"/>
          <w:bCs w:val="1"/>
          <w:color w:val="4800E6"/>
        </w:rPr>
        <w:t>Date of Mailing:</w:t>
      </w:r>
    </w:p>
    <w:p>
      <w:pPr>
        <w:spacing w:after="0" w:line="114" w:lineRule="exact"/>
        <w:rPr>
          <w:sz w:val="20"/>
          <w:szCs w:val="20"/>
          <w:color w:val="auto"/>
        </w:rPr>
      </w:pPr>
    </w:p>
    <w:p>
      <w:pPr>
        <w:ind w:left="760"/>
        <w:spacing w:after="0"/>
        <w:rPr>
          <w:sz w:val="20"/>
          <w:szCs w:val="20"/>
          <w:color w:val="auto"/>
        </w:rPr>
      </w:pPr>
      <w:r>
        <w:rPr>
          <w:rFonts w:ascii="Arial" w:cs="Arial" w:eastAsia="Arial" w:hAnsi="Arial"/>
          <w:sz w:val="15"/>
          <w:szCs w:val="15"/>
          <w:color w:val="auto"/>
        </w:rPr>
        <w:t>This notice and proxy statement is being mailed or made available to shareholders on or about May 20, 2020.</w:t>
      </w:r>
    </w:p>
    <w:p>
      <w:pPr>
        <w:spacing w:after="0" w:line="137" w:lineRule="exact"/>
        <w:rPr>
          <w:sz w:val="20"/>
          <w:szCs w:val="20"/>
          <w:color w:val="auto"/>
        </w:rPr>
      </w:pPr>
    </w:p>
    <w:p>
      <w:pPr>
        <w:ind w:left="760"/>
        <w:spacing w:after="0"/>
        <w:rPr>
          <w:sz w:val="20"/>
          <w:szCs w:val="20"/>
          <w:color w:val="auto"/>
        </w:rPr>
      </w:pPr>
      <w:r>
        <w:rPr>
          <w:rFonts w:ascii="Arial" w:cs="Arial" w:eastAsia="Arial" w:hAnsi="Arial"/>
          <w:sz w:val="16"/>
          <w:szCs w:val="16"/>
          <w:b w:val="1"/>
          <w:bCs w:val="1"/>
          <w:color w:val="4800E6"/>
        </w:rPr>
        <w:t>Items of Business</w:t>
      </w:r>
    </w:p>
    <w:p>
      <w:pPr>
        <w:spacing w:after="0" w:line="114" w:lineRule="exact"/>
        <w:rPr>
          <w:sz w:val="20"/>
          <w:szCs w:val="20"/>
          <w:color w:val="auto"/>
        </w:rPr>
      </w:pPr>
    </w:p>
    <w:p>
      <w:pPr>
        <w:ind w:left="760"/>
        <w:spacing w:after="0"/>
        <w:rPr>
          <w:sz w:val="20"/>
          <w:szCs w:val="20"/>
          <w:color w:val="auto"/>
        </w:rPr>
      </w:pPr>
      <w:r>
        <w:rPr>
          <w:rFonts w:ascii="Arial" w:cs="Arial" w:eastAsia="Arial" w:hAnsi="Arial"/>
          <w:sz w:val="15"/>
          <w:szCs w:val="15"/>
          <w:color w:val="auto"/>
        </w:rPr>
        <w:t>You will be asked to consider and, if thought fit, pass the following resolutions:</w:t>
      </w:r>
    </w:p>
    <w:p>
      <w:pPr>
        <w:spacing w:after="0" w:line="84" w:lineRule="exact"/>
        <w:rPr>
          <w:sz w:val="20"/>
          <w:szCs w:val="20"/>
          <w:color w:val="auto"/>
        </w:rPr>
      </w:pPr>
    </w:p>
    <w:p>
      <w:pPr>
        <w:ind w:left="1060" w:right="499" w:hanging="296"/>
        <w:spacing w:after="0" w:line="260" w:lineRule="auto"/>
        <w:tabs>
          <w:tab w:leader="none" w:pos="1060" w:val="left"/>
        </w:tabs>
        <w:numPr>
          <w:ilvl w:val="0"/>
          <w:numId w:val="6"/>
        </w:numPr>
        <w:rPr>
          <w:rFonts w:ascii="Arial" w:cs="Arial" w:eastAsia="Arial" w:hAnsi="Arial"/>
          <w:sz w:val="15"/>
          <w:szCs w:val="15"/>
          <w:color w:val="4800E6"/>
        </w:rPr>
      </w:pPr>
      <w:r>
        <w:rPr>
          <w:rFonts w:ascii="Arial" w:cs="Arial" w:eastAsia="Arial" w:hAnsi="Arial"/>
          <w:sz w:val="15"/>
          <w:szCs w:val="15"/>
          <w:u w:val="single" w:color="auto"/>
          <w:color w:val="auto"/>
        </w:rPr>
        <w:t>Ordinary Resolution</w:t>
      </w:r>
      <w:r>
        <w:rPr>
          <w:rFonts w:ascii="Arial" w:cs="Arial" w:eastAsia="Arial" w:hAnsi="Arial"/>
          <w:sz w:val="15"/>
          <w:szCs w:val="15"/>
          <w:color w:val="auto"/>
        </w:rPr>
        <w:t>: To elect, by separate resolutions, each of the following ten (10) directors for a term expiring at the AGM to be held in 2021:</w:t>
      </w:r>
    </w:p>
    <w:p>
      <w:pPr>
        <w:spacing w:after="0" w:line="71" w:lineRule="exact"/>
        <w:rPr>
          <w:rFonts w:ascii="Arial" w:cs="Arial" w:eastAsia="Arial" w:hAnsi="Arial"/>
          <w:sz w:val="15"/>
          <w:szCs w:val="15"/>
          <w:color w:val="4800E6"/>
        </w:rPr>
      </w:pPr>
    </w:p>
    <w:p>
      <w:pPr>
        <w:ind w:left="1260" w:hanging="208"/>
        <w:spacing w:after="0"/>
        <w:tabs>
          <w:tab w:leader="none" w:pos="1260" w:val="left"/>
        </w:tabs>
        <w:numPr>
          <w:ilvl w:val="1"/>
          <w:numId w:val="6"/>
        </w:numPr>
        <w:rPr>
          <w:rFonts w:ascii="Arial" w:cs="Arial" w:eastAsia="Arial" w:hAnsi="Arial"/>
          <w:sz w:val="15"/>
          <w:szCs w:val="15"/>
          <w:color w:val="4800E6"/>
        </w:rPr>
      </w:pPr>
      <w:r>
        <w:rPr>
          <w:rFonts w:ascii="Arial" w:cs="Arial" w:eastAsia="Arial" w:hAnsi="Arial"/>
          <w:sz w:val="15"/>
          <w:szCs w:val="15"/>
          <w:color w:val="auto"/>
        </w:rPr>
        <w:t>Mr. Francesco Bianchi</w:t>
      </w:r>
    </w:p>
    <w:p>
      <w:pPr>
        <w:spacing w:after="0" w:line="43" w:lineRule="exact"/>
        <w:rPr>
          <w:rFonts w:ascii="Arial" w:cs="Arial" w:eastAsia="Arial" w:hAnsi="Arial"/>
          <w:sz w:val="15"/>
          <w:szCs w:val="15"/>
          <w:color w:val="4800E6"/>
        </w:rPr>
      </w:pPr>
    </w:p>
    <w:p>
      <w:pPr>
        <w:ind w:left="1260" w:hanging="208"/>
        <w:spacing w:after="0"/>
        <w:tabs>
          <w:tab w:leader="none" w:pos="1260" w:val="left"/>
        </w:tabs>
        <w:numPr>
          <w:ilvl w:val="1"/>
          <w:numId w:val="6"/>
        </w:numPr>
        <w:rPr>
          <w:rFonts w:ascii="Arial" w:cs="Arial" w:eastAsia="Arial" w:hAnsi="Arial"/>
          <w:sz w:val="15"/>
          <w:szCs w:val="15"/>
          <w:color w:val="4800E6"/>
        </w:rPr>
      </w:pPr>
      <w:r>
        <w:rPr>
          <w:rFonts w:ascii="Arial" w:cs="Arial" w:eastAsia="Arial" w:hAnsi="Arial"/>
          <w:sz w:val="15"/>
          <w:szCs w:val="15"/>
          <w:color w:val="auto"/>
        </w:rPr>
        <w:t>Ms. Stacy Enxing Seng</w:t>
      </w:r>
    </w:p>
    <w:p>
      <w:pPr>
        <w:spacing w:after="0" w:line="30" w:lineRule="exact"/>
        <w:rPr>
          <w:rFonts w:ascii="Arial" w:cs="Arial" w:eastAsia="Arial" w:hAnsi="Arial"/>
          <w:sz w:val="15"/>
          <w:szCs w:val="15"/>
          <w:color w:val="4800E6"/>
        </w:rPr>
      </w:pPr>
    </w:p>
    <w:p>
      <w:pPr>
        <w:ind w:left="1260" w:hanging="208"/>
        <w:spacing w:after="0"/>
        <w:tabs>
          <w:tab w:leader="none" w:pos="1260" w:val="left"/>
        </w:tabs>
        <w:numPr>
          <w:ilvl w:val="1"/>
          <w:numId w:val="6"/>
        </w:numPr>
        <w:rPr>
          <w:rFonts w:ascii="Arial" w:cs="Arial" w:eastAsia="Arial" w:hAnsi="Arial"/>
          <w:sz w:val="15"/>
          <w:szCs w:val="15"/>
          <w:color w:val="4800E6"/>
        </w:rPr>
      </w:pPr>
      <w:r>
        <w:rPr>
          <w:rFonts w:ascii="Arial" w:cs="Arial" w:eastAsia="Arial" w:hAnsi="Arial"/>
          <w:sz w:val="15"/>
          <w:szCs w:val="15"/>
          <w:color w:val="auto"/>
        </w:rPr>
        <w:t>Mr. William Kozy</w:t>
      </w:r>
    </w:p>
    <w:p>
      <w:pPr>
        <w:spacing w:after="0" w:line="43" w:lineRule="exact"/>
        <w:rPr>
          <w:rFonts w:ascii="Arial" w:cs="Arial" w:eastAsia="Arial" w:hAnsi="Arial"/>
          <w:sz w:val="15"/>
          <w:szCs w:val="15"/>
          <w:color w:val="4800E6"/>
        </w:rPr>
      </w:pPr>
    </w:p>
    <w:p>
      <w:pPr>
        <w:ind w:left="1260" w:hanging="208"/>
        <w:spacing w:after="0"/>
        <w:tabs>
          <w:tab w:leader="none" w:pos="1260" w:val="left"/>
        </w:tabs>
        <w:numPr>
          <w:ilvl w:val="1"/>
          <w:numId w:val="6"/>
        </w:numPr>
        <w:rPr>
          <w:rFonts w:ascii="Arial" w:cs="Arial" w:eastAsia="Arial" w:hAnsi="Arial"/>
          <w:sz w:val="15"/>
          <w:szCs w:val="15"/>
          <w:color w:val="4800E6"/>
        </w:rPr>
      </w:pPr>
      <w:r>
        <w:rPr>
          <w:rFonts w:ascii="Arial" w:cs="Arial" w:eastAsia="Arial" w:hAnsi="Arial"/>
          <w:sz w:val="15"/>
          <w:szCs w:val="15"/>
          <w:color w:val="auto"/>
        </w:rPr>
        <w:t>Mr. Damien McDonald</w:t>
      </w:r>
    </w:p>
    <w:p>
      <w:pPr>
        <w:spacing w:after="0" w:line="43" w:lineRule="exact"/>
        <w:rPr>
          <w:rFonts w:ascii="Arial" w:cs="Arial" w:eastAsia="Arial" w:hAnsi="Arial"/>
          <w:sz w:val="15"/>
          <w:szCs w:val="15"/>
          <w:color w:val="4800E6"/>
        </w:rPr>
      </w:pPr>
    </w:p>
    <w:p>
      <w:pPr>
        <w:ind w:left="1260" w:hanging="208"/>
        <w:spacing w:after="0"/>
        <w:tabs>
          <w:tab w:leader="none" w:pos="1260" w:val="left"/>
        </w:tabs>
        <w:numPr>
          <w:ilvl w:val="1"/>
          <w:numId w:val="6"/>
        </w:numPr>
        <w:rPr>
          <w:rFonts w:ascii="Arial" w:cs="Arial" w:eastAsia="Arial" w:hAnsi="Arial"/>
          <w:sz w:val="15"/>
          <w:szCs w:val="15"/>
          <w:color w:val="4800E6"/>
        </w:rPr>
      </w:pPr>
      <w:r>
        <w:rPr>
          <w:rFonts w:ascii="Arial" w:cs="Arial" w:eastAsia="Arial" w:hAnsi="Arial"/>
          <w:sz w:val="15"/>
          <w:szCs w:val="15"/>
          <w:color w:val="auto"/>
        </w:rPr>
        <w:t>Mr. Daniel Moore</w:t>
      </w:r>
    </w:p>
    <w:p>
      <w:pPr>
        <w:spacing w:after="0" w:line="30" w:lineRule="exact"/>
        <w:rPr>
          <w:rFonts w:ascii="Arial" w:cs="Arial" w:eastAsia="Arial" w:hAnsi="Arial"/>
          <w:sz w:val="15"/>
          <w:szCs w:val="15"/>
          <w:color w:val="4800E6"/>
        </w:rPr>
      </w:pPr>
    </w:p>
    <w:p>
      <w:pPr>
        <w:ind w:left="1260" w:hanging="208"/>
        <w:spacing w:after="0"/>
        <w:tabs>
          <w:tab w:leader="none" w:pos="1260" w:val="left"/>
        </w:tabs>
        <w:numPr>
          <w:ilvl w:val="1"/>
          <w:numId w:val="6"/>
        </w:numPr>
        <w:rPr>
          <w:rFonts w:ascii="Arial" w:cs="Arial" w:eastAsia="Arial" w:hAnsi="Arial"/>
          <w:sz w:val="15"/>
          <w:szCs w:val="15"/>
          <w:color w:val="4800E6"/>
        </w:rPr>
      </w:pPr>
      <w:r>
        <w:rPr>
          <w:rFonts w:ascii="Arial" w:cs="Arial" w:eastAsia="Arial" w:hAnsi="Arial"/>
          <w:sz w:val="15"/>
          <w:szCs w:val="15"/>
          <w:color w:val="auto"/>
        </w:rPr>
        <w:t>Mr. Hugh Morrison</w:t>
      </w:r>
    </w:p>
    <w:p>
      <w:pPr>
        <w:spacing w:after="0" w:line="43" w:lineRule="exact"/>
        <w:rPr>
          <w:rFonts w:ascii="Arial" w:cs="Arial" w:eastAsia="Arial" w:hAnsi="Arial"/>
          <w:sz w:val="15"/>
          <w:szCs w:val="15"/>
          <w:color w:val="4800E6"/>
        </w:rPr>
      </w:pPr>
    </w:p>
    <w:p>
      <w:pPr>
        <w:ind w:left="1260" w:hanging="208"/>
        <w:spacing w:after="0"/>
        <w:tabs>
          <w:tab w:leader="none" w:pos="1260" w:val="left"/>
        </w:tabs>
        <w:numPr>
          <w:ilvl w:val="1"/>
          <w:numId w:val="6"/>
        </w:numPr>
        <w:rPr>
          <w:rFonts w:ascii="Arial" w:cs="Arial" w:eastAsia="Arial" w:hAnsi="Arial"/>
          <w:sz w:val="15"/>
          <w:szCs w:val="15"/>
          <w:color w:val="4800E6"/>
        </w:rPr>
      </w:pPr>
      <w:r>
        <w:rPr>
          <w:rFonts w:ascii="Arial" w:cs="Arial" w:eastAsia="Arial" w:hAnsi="Arial"/>
          <w:sz w:val="15"/>
          <w:szCs w:val="15"/>
          <w:color w:val="auto"/>
        </w:rPr>
        <w:t>Mr. Alfred Novak</w:t>
      </w:r>
    </w:p>
    <w:p>
      <w:pPr>
        <w:spacing w:after="0" w:line="43" w:lineRule="exact"/>
        <w:rPr>
          <w:rFonts w:ascii="Arial" w:cs="Arial" w:eastAsia="Arial" w:hAnsi="Arial"/>
          <w:sz w:val="15"/>
          <w:szCs w:val="15"/>
          <w:color w:val="4800E6"/>
        </w:rPr>
      </w:pPr>
    </w:p>
    <w:p>
      <w:pPr>
        <w:ind w:left="1260" w:hanging="208"/>
        <w:spacing w:after="0"/>
        <w:tabs>
          <w:tab w:leader="none" w:pos="1260" w:val="left"/>
        </w:tabs>
        <w:numPr>
          <w:ilvl w:val="1"/>
          <w:numId w:val="6"/>
        </w:numPr>
        <w:rPr>
          <w:rFonts w:ascii="Arial" w:cs="Arial" w:eastAsia="Arial" w:hAnsi="Arial"/>
          <w:sz w:val="15"/>
          <w:szCs w:val="15"/>
          <w:color w:val="4800E6"/>
        </w:rPr>
      </w:pPr>
      <w:r>
        <w:rPr>
          <w:rFonts w:ascii="Arial" w:cs="Arial" w:eastAsia="Arial" w:hAnsi="Arial"/>
          <w:sz w:val="15"/>
          <w:szCs w:val="15"/>
          <w:color w:val="auto"/>
        </w:rPr>
        <w:t>Dr. Sharon O’Kane</w:t>
      </w:r>
    </w:p>
    <w:p>
      <w:pPr>
        <w:spacing w:after="0" w:line="30" w:lineRule="exact"/>
        <w:rPr>
          <w:rFonts w:ascii="Arial" w:cs="Arial" w:eastAsia="Arial" w:hAnsi="Arial"/>
          <w:sz w:val="15"/>
          <w:szCs w:val="15"/>
          <w:color w:val="4800E6"/>
        </w:rPr>
      </w:pPr>
    </w:p>
    <w:p>
      <w:pPr>
        <w:ind w:left="1260" w:hanging="208"/>
        <w:spacing w:after="0"/>
        <w:tabs>
          <w:tab w:leader="none" w:pos="1260" w:val="left"/>
        </w:tabs>
        <w:numPr>
          <w:ilvl w:val="1"/>
          <w:numId w:val="6"/>
        </w:numPr>
        <w:rPr>
          <w:rFonts w:ascii="Arial" w:cs="Arial" w:eastAsia="Arial" w:hAnsi="Arial"/>
          <w:sz w:val="15"/>
          <w:szCs w:val="15"/>
          <w:color w:val="4800E6"/>
        </w:rPr>
      </w:pPr>
      <w:r>
        <w:rPr>
          <w:rFonts w:ascii="Arial" w:cs="Arial" w:eastAsia="Arial" w:hAnsi="Arial"/>
          <w:sz w:val="15"/>
          <w:szCs w:val="15"/>
          <w:color w:val="auto"/>
        </w:rPr>
        <w:t>Dr. Arthur Rosenthal</w:t>
      </w:r>
    </w:p>
    <w:p>
      <w:pPr>
        <w:spacing w:after="0" w:line="43" w:lineRule="exact"/>
        <w:rPr>
          <w:rFonts w:ascii="Arial" w:cs="Arial" w:eastAsia="Arial" w:hAnsi="Arial"/>
          <w:sz w:val="15"/>
          <w:szCs w:val="15"/>
          <w:color w:val="4800E6"/>
        </w:rPr>
      </w:pPr>
    </w:p>
    <w:p>
      <w:pPr>
        <w:ind w:left="1260" w:hanging="208"/>
        <w:spacing w:after="0"/>
        <w:tabs>
          <w:tab w:leader="none" w:pos="1260" w:val="left"/>
        </w:tabs>
        <w:numPr>
          <w:ilvl w:val="1"/>
          <w:numId w:val="6"/>
        </w:numPr>
        <w:rPr>
          <w:rFonts w:ascii="Arial" w:cs="Arial" w:eastAsia="Arial" w:hAnsi="Arial"/>
          <w:sz w:val="15"/>
          <w:szCs w:val="15"/>
          <w:color w:val="4800E6"/>
        </w:rPr>
      </w:pPr>
      <w:r>
        <w:rPr>
          <w:rFonts w:ascii="Arial" w:cs="Arial" w:eastAsia="Arial" w:hAnsi="Arial"/>
          <w:sz w:val="15"/>
          <w:szCs w:val="15"/>
          <w:color w:val="auto"/>
        </w:rPr>
        <w:t>Ms. Andrea Saia</w:t>
      </w:r>
    </w:p>
    <w:p>
      <w:pPr>
        <w:spacing w:after="0" w:line="84" w:lineRule="exact"/>
        <w:rPr>
          <w:rFonts w:ascii="Arial" w:cs="Arial" w:eastAsia="Arial" w:hAnsi="Arial"/>
          <w:sz w:val="15"/>
          <w:szCs w:val="15"/>
          <w:color w:val="4800E6"/>
        </w:rPr>
      </w:pPr>
    </w:p>
    <w:p>
      <w:pPr>
        <w:ind w:left="1060" w:right="479" w:hanging="296"/>
        <w:spacing w:after="0" w:line="260" w:lineRule="auto"/>
        <w:tabs>
          <w:tab w:leader="none" w:pos="1060" w:val="left"/>
        </w:tabs>
        <w:numPr>
          <w:ilvl w:val="0"/>
          <w:numId w:val="6"/>
        </w:numPr>
        <w:rPr>
          <w:rFonts w:ascii="Arial" w:cs="Arial" w:eastAsia="Arial" w:hAnsi="Arial"/>
          <w:sz w:val="15"/>
          <w:szCs w:val="15"/>
          <w:color w:val="4800E6"/>
        </w:rPr>
      </w:pPr>
      <w:r>
        <w:rPr>
          <w:rFonts w:ascii="Arial" w:cs="Arial" w:eastAsia="Arial" w:hAnsi="Arial"/>
          <w:sz w:val="15"/>
          <w:szCs w:val="15"/>
          <w:u w:val="single" w:color="auto"/>
          <w:color w:val="auto"/>
        </w:rPr>
        <w:t>Ordinary Resolution</w:t>
      </w:r>
      <w:r>
        <w:rPr>
          <w:rFonts w:ascii="Arial" w:cs="Arial" w:eastAsia="Arial" w:hAnsi="Arial"/>
          <w:sz w:val="15"/>
          <w:szCs w:val="15"/>
          <w:color w:val="auto"/>
        </w:rPr>
        <w:t>: To approve, on an advisory basis, the Company’s compensation of its named executive officers (“US Say-on-Pay”).</w:t>
      </w:r>
    </w:p>
    <w:p>
      <w:pPr>
        <w:spacing w:after="0" w:line="71" w:lineRule="exact"/>
        <w:rPr>
          <w:rFonts w:ascii="Arial" w:cs="Arial" w:eastAsia="Arial" w:hAnsi="Arial"/>
          <w:sz w:val="15"/>
          <w:szCs w:val="15"/>
          <w:color w:val="4800E6"/>
        </w:rPr>
      </w:pPr>
    </w:p>
    <w:p>
      <w:pPr>
        <w:ind w:left="1060" w:right="799" w:hanging="296"/>
        <w:spacing w:after="0" w:line="260" w:lineRule="auto"/>
        <w:tabs>
          <w:tab w:leader="none" w:pos="1060" w:val="left"/>
        </w:tabs>
        <w:numPr>
          <w:ilvl w:val="0"/>
          <w:numId w:val="6"/>
        </w:numPr>
        <w:rPr>
          <w:rFonts w:ascii="Arial" w:cs="Arial" w:eastAsia="Arial" w:hAnsi="Arial"/>
          <w:sz w:val="15"/>
          <w:szCs w:val="15"/>
          <w:color w:val="4800E6"/>
        </w:rPr>
      </w:pPr>
      <w:r>
        <w:rPr>
          <w:rFonts w:ascii="Arial" w:cs="Arial" w:eastAsia="Arial" w:hAnsi="Arial"/>
          <w:sz w:val="15"/>
          <w:szCs w:val="15"/>
          <w:u w:val="single" w:color="auto"/>
          <w:color w:val="auto"/>
        </w:rPr>
        <w:t>Ordinary Resolution</w:t>
      </w:r>
      <w:r>
        <w:rPr>
          <w:rFonts w:ascii="Arial" w:cs="Arial" w:eastAsia="Arial" w:hAnsi="Arial"/>
          <w:sz w:val="15"/>
          <w:szCs w:val="15"/>
          <w:color w:val="auto"/>
        </w:rPr>
        <w:t>: To ratify the appointment of PricewaterhouseCoopers LLP, a Delaware limited liability partnership, as the Company’s independent registered public accountancy firm.</w:t>
      </w:r>
    </w:p>
    <w:p>
      <w:pPr>
        <w:spacing w:after="0" w:line="62" w:lineRule="exact"/>
        <w:rPr>
          <w:sz w:val="20"/>
          <w:szCs w:val="20"/>
          <w:color w:val="auto"/>
        </w:rPr>
      </w:pPr>
    </w:p>
    <w:p>
      <w:pPr>
        <w:jc w:val="right"/>
        <w:ind w:right="19"/>
        <w:spacing w:after="0"/>
        <w:tabs>
          <w:tab w:leader="none" w:pos="20" w:val="left"/>
        </w:tabs>
        <w:rPr>
          <w:sz w:val="20"/>
          <w:szCs w:val="20"/>
          <w:color w:val="auto"/>
        </w:rPr>
      </w:pPr>
      <w:r>
        <w:rPr>
          <w:rFonts w:ascii="Arial" w:cs="Arial" w:eastAsia="Arial" w:hAnsi="Arial"/>
          <w:sz w:val="13"/>
          <w:szCs w:val="13"/>
          <w:b w:val="1"/>
          <w:bCs w:val="1"/>
          <w:color w:val="4800E6"/>
        </w:rPr>
        <w:t xml:space="preserve">LIVANOVA </w:t>
      </w:r>
      <w:r>
        <w:rPr>
          <w:rFonts w:ascii="Arial" w:cs="Arial" w:eastAsia="Arial" w:hAnsi="Arial"/>
          <w:sz w:val="13"/>
          <w:szCs w:val="13"/>
          <w:color w:val="000000"/>
        </w:rPr>
        <w:t>|</w:t>
      </w:r>
      <w:r>
        <w:rPr>
          <w:rFonts w:ascii="Arial" w:cs="Arial" w:eastAsia="Arial" w:hAnsi="Arial"/>
          <w:sz w:val="13"/>
          <w:szCs w:val="13"/>
          <w:b w:val="1"/>
          <w:bCs w:val="1"/>
          <w:color w:val="4800E6"/>
        </w:rPr>
        <w:t xml:space="preserve"> </w:t>
      </w:r>
      <w:r>
        <w:rPr>
          <w:rFonts w:ascii="Arial" w:cs="Arial" w:eastAsia="Arial" w:hAnsi="Arial"/>
          <w:sz w:val="13"/>
          <w:szCs w:val="13"/>
          <w:color w:val="4800E6"/>
        </w:rPr>
        <w:t>2020</w:t>
      </w:r>
      <w:r>
        <w:rPr>
          <w:rFonts w:ascii="Arial" w:cs="Arial" w:eastAsia="Arial" w:hAnsi="Arial"/>
          <w:sz w:val="13"/>
          <w:szCs w:val="13"/>
          <w:b w:val="1"/>
          <w:bCs w:val="1"/>
          <w:color w:val="4800E6"/>
        </w:rPr>
        <w:t xml:space="preserve"> </w:t>
      </w:r>
      <w:r>
        <w:rPr>
          <w:rFonts w:ascii="Arial" w:cs="Arial" w:eastAsia="Arial" w:hAnsi="Arial"/>
          <w:sz w:val="13"/>
          <w:szCs w:val="13"/>
          <w:color w:val="000000"/>
        </w:rPr>
        <w:t>Proxy Statement</w:t>
      </w:r>
      <w:r>
        <w:rPr>
          <w:sz w:val="20"/>
          <w:szCs w:val="20"/>
          <w:color w:val="auto"/>
        </w:rPr>
        <w:tab/>
      </w:r>
      <w:r>
        <w:rPr>
          <w:rFonts w:ascii="Arial" w:cs="Arial" w:eastAsia="Arial" w:hAnsi="Arial"/>
          <w:sz w:val="14"/>
          <w:szCs w:val="14"/>
          <w:b w:val="1"/>
          <w:bCs w:val="1"/>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519430</wp:posOffset>
            </wp:positionH>
            <wp:positionV relativeFrom="paragraph">
              <wp:posOffset>-15875</wp:posOffset>
            </wp:positionV>
            <wp:extent cx="195453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954530" cy="8890"/>
                    </a:xfrm>
                    <a:prstGeom prst="rect">
                      <a:avLst/>
                    </a:prstGeom>
                    <a:noFill/>
                  </pic:spPr>
                </pic:pic>
              </a:graphicData>
            </a:graphic>
          </wp:anchor>
        </w:drawing>
        <w:drawing>
          <wp:anchor simplePos="0" relativeHeight="251657728" behindDoc="1" locked="0" layoutInCell="0" allowOverlap="1">
            <wp:simplePos x="0" y="0"/>
            <wp:positionH relativeFrom="column">
              <wp:posOffset>4274185</wp:posOffset>
            </wp:positionH>
            <wp:positionV relativeFrom="paragraph">
              <wp:posOffset>-15875</wp:posOffset>
            </wp:positionV>
            <wp:extent cx="195453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95453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86360</wp:posOffset>
            </wp:positionV>
            <wp:extent cx="6806565"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10139"/>
          </w:cols>
          <w:pgMar w:left="320" w:top="131" w:right="1440" w:bottom="1440" w:gutter="0" w:footer="0" w:header="0"/>
        </w:sectPr>
      </w:pPr>
    </w:p>
    <w:bookmarkStart w:id="2" w:name="page3"/>
    <w:bookmarkEnd w:id="2"/>
    <w:p>
      <w:pPr>
        <w:spacing w:after="0"/>
        <w:rPr>
          <w:rFonts w:ascii="Arial" w:cs="Arial" w:eastAsia="Arial" w:hAnsi="Arial"/>
          <w:sz w:val="14"/>
          <w:szCs w:val="14"/>
          <w:color w:val="003366"/>
        </w:rPr>
      </w:pPr>
      <w:hyperlink w:anchor="page4">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ind w:left="1060" w:right="259" w:hanging="296"/>
        <w:spacing w:after="0" w:line="252" w:lineRule="auto"/>
        <w:tabs>
          <w:tab w:leader="none" w:pos="1060" w:val="left"/>
        </w:tabs>
        <w:numPr>
          <w:ilvl w:val="0"/>
          <w:numId w:val="7"/>
        </w:numPr>
        <w:rPr>
          <w:rFonts w:ascii="Arial" w:cs="Arial" w:eastAsia="Arial" w:hAnsi="Arial"/>
          <w:sz w:val="15"/>
          <w:szCs w:val="15"/>
          <w:color w:val="4800E6"/>
        </w:rPr>
      </w:pPr>
      <w:r>
        <w:rPr>
          <w:rFonts w:ascii="Arial" w:cs="Arial" w:eastAsia="Arial" w:hAnsi="Arial"/>
          <w:sz w:val="15"/>
          <w:szCs w:val="15"/>
          <w:u w:val="single" w:color="auto"/>
          <w:color w:val="auto"/>
        </w:rPr>
        <w:t>Ordinary Resolution</w:t>
      </w:r>
      <w:r>
        <w:rPr>
          <w:rFonts w:ascii="Arial" w:cs="Arial" w:eastAsia="Arial" w:hAnsi="Arial"/>
          <w:sz w:val="15"/>
          <w:szCs w:val="15"/>
          <w:color w:val="auto"/>
        </w:rPr>
        <w:t>: To generally and unconditionally authorise the directors for the purposes of section 551 of the Companies Act 2006 (the “Companies Act”) to exercise all the powers of the Company to allot shares in the Company and to grant rights to subscribe for, or to convert any security into, shares in the Company:</w:t>
      </w:r>
    </w:p>
    <w:p>
      <w:pPr>
        <w:spacing w:after="0" w:line="77" w:lineRule="exact"/>
        <w:rPr>
          <w:rFonts w:ascii="Arial" w:cs="Arial" w:eastAsia="Arial" w:hAnsi="Arial"/>
          <w:sz w:val="15"/>
          <w:szCs w:val="15"/>
          <w:color w:val="4800E6"/>
        </w:rPr>
      </w:pPr>
    </w:p>
    <w:p>
      <w:pPr>
        <w:ind w:left="1260" w:hanging="208"/>
        <w:spacing w:after="0"/>
        <w:tabs>
          <w:tab w:leader="none" w:pos="1260" w:val="left"/>
        </w:tabs>
        <w:numPr>
          <w:ilvl w:val="1"/>
          <w:numId w:val="7"/>
        </w:numPr>
        <w:rPr>
          <w:rFonts w:ascii="Arial" w:cs="Arial" w:eastAsia="Arial" w:hAnsi="Arial"/>
          <w:sz w:val="15"/>
          <w:szCs w:val="15"/>
          <w:color w:val="4800E6"/>
        </w:rPr>
      </w:pPr>
      <w:r>
        <w:rPr>
          <w:rFonts w:ascii="Arial" w:cs="Arial" w:eastAsia="Arial" w:hAnsi="Arial"/>
          <w:sz w:val="15"/>
          <w:szCs w:val="15"/>
          <w:color w:val="auto"/>
        </w:rPr>
        <w:t>up to an aggregate nominal amount of £9,882,722, and</w:t>
      </w:r>
    </w:p>
    <w:p>
      <w:pPr>
        <w:spacing w:after="0" w:line="97" w:lineRule="exact"/>
        <w:rPr>
          <w:rFonts w:ascii="Arial" w:cs="Arial" w:eastAsia="Arial" w:hAnsi="Arial"/>
          <w:sz w:val="15"/>
          <w:szCs w:val="15"/>
          <w:color w:val="4800E6"/>
        </w:rPr>
      </w:pPr>
    </w:p>
    <w:p>
      <w:pPr>
        <w:ind w:left="1260" w:right="279" w:hanging="208"/>
        <w:spacing w:after="0" w:line="260" w:lineRule="auto"/>
        <w:tabs>
          <w:tab w:leader="none" w:pos="1260" w:val="left"/>
        </w:tabs>
        <w:numPr>
          <w:ilvl w:val="1"/>
          <w:numId w:val="7"/>
        </w:numPr>
        <w:rPr>
          <w:rFonts w:ascii="Arial" w:cs="Arial" w:eastAsia="Arial" w:hAnsi="Arial"/>
          <w:sz w:val="15"/>
          <w:szCs w:val="15"/>
          <w:color w:val="4800E6"/>
        </w:rPr>
      </w:pPr>
      <w:r>
        <w:rPr>
          <w:rFonts w:ascii="Arial" w:cs="Arial" w:eastAsia="Arial" w:hAnsi="Arial"/>
          <w:sz w:val="15"/>
          <w:szCs w:val="15"/>
          <w:color w:val="auto"/>
        </w:rPr>
        <w:t>(in addition to the amount set out under (a) above), up to an aggregate nominal amount of £3,218,206 in connection with the grant or exercise of awards made under the Company’s incentive plans from time to time,</w:t>
      </w:r>
    </w:p>
    <w:p>
      <w:pPr>
        <w:spacing w:after="0" w:line="58" w:lineRule="exact"/>
        <w:rPr>
          <w:sz w:val="20"/>
          <w:szCs w:val="20"/>
          <w:color w:val="auto"/>
        </w:rPr>
      </w:pPr>
    </w:p>
    <w:p>
      <w:pPr>
        <w:ind w:left="1060"/>
        <w:spacing w:after="0"/>
        <w:rPr>
          <w:sz w:val="20"/>
          <w:szCs w:val="20"/>
          <w:color w:val="auto"/>
        </w:rPr>
      </w:pPr>
      <w:r>
        <w:rPr>
          <w:rFonts w:ascii="Arial" w:cs="Arial" w:eastAsia="Arial" w:hAnsi="Arial"/>
          <w:sz w:val="15"/>
          <w:szCs w:val="15"/>
          <w:color w:val="auto"/>
        </w:rPr>
        <w:t>provided that, in each case:</w:t>
      </w:r>
    </w:p>
    <w:p>
      <w:pPr>
        <w:spacing w:after="0" w:line="98" w:lineRule="exact"/>
        <w:rPr>
          <w:sz w:val="20"/>
          <w:szCs w:val="20"/>
          <w:color w:val="auto"/>
        </w:rPr>
      </w:pPr>
    </w:p>
    <w:p>
      <w:pPr>
        <w:ind w:left="1260" w:right="199" w:hanging="208"/>
        <w:spacing w:after="0" w:line="248" w:lineRule="auto"/>
        <w:tabs>
          <w:tab w:leader="none" w:pos="1260" w:val="left"/>
        </w:tabs>
        <w:numPr>
          <w:ilvl w:val="1"/>
          <w:numId w:val="8"/>
        </w:numPr>
        <w:rPr>
          <w:rFonts w:ascii="Arial" w:cs="Arial" w:eastAsia="Arial" w:hAnsi="Arial"/>
          <w:sz w:val="15"/>
          <w:szCs w:val="15"/>
          <w:color w:val="4800E6"/>
        </w:rPr>
      </w:pPr>
      <w:r>
        <w:rPr>
          <w:rFonts w:ascii="Arial" w:cs="Arial" w:eastAsia="Arial" w:hAnsi="Arial"/>
          <w:sz w:val="15"/>
          <w:szCs w:val="15"/>
          <w:color w:val="auto"/>
        </w:rPr>
        <w:t>(unless previously revoked, varied or renewed by the Company) this authority will expire on the date that is five (5) years after the date on which this resolution is passed, save that the directors may, before this authority expires, make offers or agreements which would or might require shares in the Company to be allotted, or rights to subscribe for, or convert securities into, shares to be granted, after its expiry and the directors may allot shares or grant rights to subscribe for, or convert securities into, shares pursuant to such offers or agreements as if this authority had not expired; and</w:t>
      </w:r>
    </w:p>
    <w:p>
      <w:pPr>
        <w:spacing w:after="0" w:line="80" w:lineRule="exact"/>
        <w:rPr>
          <w:rFonts w:ascii="Arial" w:cs="Arial" w:eastAsia="Arial" w:hAnsi="Arial"/>
          <w:sz w:val="15"/>
          <w:szCs w:val="15"/>
          <w:color w:val="4800E6"/>
        </w:rPr>
      </w:pPr>
    </w:p>
    <w:p>
      <w:pPr>
        <w:ind w:left="1260" w:right="239" w:hanging="208"/>
        <w:spacing w:after="0" w:line="260" w:lineRule="auto"/>
        <w:tabs>
          <w:tab w:leader="none" w:pos="1260" w:val="left"/>
        </w:tabs>
        <w:numPr>
          <w:ilvl w:val="1"/>
          <w:numId w:val="8"/>
        </w:numPr>
        <w:rPr>
          <w:rFonts w:ascii="Arial" w:cs="Arial" w:eastAsia="Arial" w:hAnsi="Arial"/>
          <w:sz w:val="15"/>
          <w:szCs w:val="15"/>
          <w:color w:val="4800E6"/>
        </w:rPr>
      </w:pPr>
      <w:r>
        <w:rPr>
          <w:rFonts w:ascii="Arial" w:cs="Arial" w:eastAsia="Arial" w:hAnsi="Arial"/>
          <w:sz w:val="15"/>
          <w:szCs w:val="15"/>
          <w:color w:val="auto"/>
        </w:rPr>
        <w:t>this authority is in addition to (and does not replace) all subsisting authorities previously granted to the directors for the purposes of section 551 of the Companies Act to the extent unused at the date of this resolution.</w:t>
      </w:r>
    </w:p>
    <w:p>
      <w:pPr>
        <w:spacing w:after="0" w:line="58" w:lineRule="exact"/>
        <w:rPr>
          <w:rFonts w:ascii="Arial" w:cs="Arial" w:eastAsia="Arial" w:hAnsi="Arial"/>
          <w:sz w:val="15"/>
          <w:szCs w:val="15"/>
          <w:color w:val="4800E6"/>
        </w:rPr>
      </w:pPr>
    </w:p>
    <w:p>
      <w:pPr>
        <w:ind w:left="1060" w:right="199" w:hanging="296"/>
        <w:spacing w:after="0" w:line="248" w:lineRule="auto"/>
        <w:tabs>
          <w:tab w:leader="none" w:pos="1060" w:val="left"/>
        </w:tabs>
        <w:numPr>
          <w:ilvl w:val="0"/>
          <w:numId w:val="9"/>
        </w:numPr>
        <w:rPr>
          <w:rFonts w:ascii="Arial" w:cs="Arial" w:eastAsia="Arial" w:hAnsi="Arial"/>
          <w:sz w:val="15"/>
          <w:szCs w:val="15"/>
          <w:color w:val="4800E6"/>
        </w:rPr>
      </w:pPr>
      <w:r>
        <w:rPr>
          <w:rFonts w:ascii="Arial" w:cs="Arial" w:eastAsia="Arial" w:hAnsi="Arial"/>
          <w:sz w:val="15"/>
          <w:szCs w:val="15"/>
          <w:u w:val="single" w:color="auto"/>
          <w:color w:val="auto"/>
        </w:rPr>
        <w:t>Special Resolution</w:t>
      </w:r>
      <w:r>
        <w:rPr>
          <w:rFonts w:ascii="Arial" w:cs="Arial" w:eastAsia="Arial" w:hAnsi="Arial"/>
          <w:sz w:val="15"/>
          <w:szCs w:val="15"/>
          <w:color w:val="auto"/>
        </w:rPr>
        <w:t>: Subject to the passing of resolution 4 and in accordance with sections 570 and 573 of the Companies Act, to give the directors power to allot equity securities (as defined in section 560 of the Companies Act) of the Company pursuant to the authority conferred by resolution 4 and/or to sell ordinary shares (as defined in section 560 of the Companies Act) held by the Company as treasury shares as if section 561 of the Companies Act (existing shareholders’ pre-emption rights) did not apply to any such allotment or sale, provided that this power is limited to the allotment of equity securities or sale of treasury shares:</w:t>
      </w:r>
    </w:p>
    <w:p>
      <w:pPr>
        <w:spacing w:after="0" w:line="80" w:lineRule="exact"/>
        <w:rPr>
          <w:rFonts w:ascii="Arial" w:cs="Arial" w:eastAsia="Arial" w:hAnsi="Arial"/>
          <w:sz w:val="15"/>
          <w:szCs w:val="15"/>
          <w:color w:val="4800E6"/>
        </w:rPr>
      </w:pPr>
    </w:p>
    <w:p>
      <w:pPr>
        <w:ind w:left="1060"/>
        <w:spacing w:after="0"/>
        <w:rPr>
          <w:rFonts w:ascii="Arial" w:cs="Arial" w:eastAsia="Arial" w:hAnsi="Arial"/>
          <w:sz w:val="15"/>
          <w:szCs w:val="15"/>
          <w:color w:val="4800E6"/>
        </w:rPr>
      </w:pPr>
      <w:r>
        <w:rPr>
          <w:rFonts w:ascii="Arial" w:cs="Arial" w:eastAsia="Arial" w:hAnsi="Arial"/>
          <w:sz w:val="15"/>
          <w:szCs w:val="15"/>
          <w:color w:val="4800E6"/>
        </w:rPr>
        <w:t xml:space="preserve">(a) </w:t>
      </w:r>
      <w:r>
        <w:rPr>
          <w:rFonts w:ascii="Arial" w:cs="Arial" w:eastAsia="Arial" w:hAnsi="Arial"/>
          <w:sz w:val="15"/>
          <w:szCs w:val="15"/>
          <w:color w:val="000000"/>
        </w:rPr>
        <w:t>up to an aggregate nominal amount of £9,882,722; and</w:t>
      </w:r>
    </w:p>
    <w:p>
      <w:pPr>
        <w:spacing w:after="0" w:line="97" w:lineRule="exact"/>
        <w:rPr>
          <w:rFonts w:ascii="Arial" w:cs="Arial" w:eastAsia="Arial" w:hAnsi="Arial"/>
          <w:sz w:val="15"/>
          <w:szCs w:val="15"/>
          <w:color w:val="4800E6"/>
        </w:rPr>
      </w:pPr>
    </w:p>
    <w:p>
      <w:pPr>
        <w:ind w:left="1260" w:right="279" w:hanging="216"/>
        <w:spacing w:after="0" w:line="260" w:lineRule="auto"/>
        <w:rPr>
          <w:rFonts w:ascii="Arial" w:cs="Arial" w:eastAsia="Arial" w:hAnsi="Arial"/>
          <w:sz w:val="15"/>
          <w:szCs w:val="15"/>
          <w:color w:val="4800E6"/>
        </w:rPr>
      </w:pPr>
      <w:r>
        <w:rPr>
          <w:rFonts w:ascii="Arial" w:cs="Arial" w:eastAsia="Arial" w:hAnsi="Arial"/>
          <w:sz w:val="15"/>
          <w:szCs w:val="15"/>
          <w:color w:val="4800E6"/>
        </w:rPr>
        <w:t xml:space="preserve">(b) </w:t>
      </w:r>
      <w:r>
        <w:rPr>
          <w:rFonts w:ascii="Arial" w:cs="Arial" w:eastAsia="Arial" w:hAnsi="Arial"/>
          <w:sz w:val="15"/>
          <w:szCs w:val="15"/>
          <w:color w:val="000000"/>
        </w:rPr>
        <w:t>(in addition to the amount set out under (a) above), up to an aggregate nominal amount of £3,218,206 in connection with the grant</w:t>
      </w:r>
      <w:r>
        <w:rPr>
          <w:rFonts w:ascii="Arial" w:cs="Arial" w:eastAsia="Arial" w:hAnsi="Arial"/>
          <w:sz w:val="15"/>
          <w:szCs w:val="15"/>
          <w:color w:val="4800E6"/>
        </w:rPr>
        <w:t xml:space="preserve"> </w:t>
      </w:r>
      <w:r>
        <w:rPr>
          <w:rFonts w:ascii="Arial" w:cs="Arial" w:eastAsia="Arial" w:hAnsi="Arial"/>
          <w:sz w:val="15"/>
          <w:szCs w:val="15"/>
          <w:color w:val="000000"/>
        </w:rPr>
        <w:t>or exercise of awards made under the Company’s incentive plans from time to time,</w:t>
      </w:r>
    </w:p>
    <w:p>
      <w:pPr>
        <w:spacing w:after="0" w:line="58" w:lineRule="exact"/>
        <w:rPr>
          <w:rFonts w:ascii="Arial" w:cs="Arial" w:eastAsia="Arial" w:hAnsi="Arial"/>
          <w:sz w:val="15"/>
          <w:szCs w:val="15"/>
          <w:color w:val="4800E6"/>
        </w:rPr>
      </w:pPr>
    </w:p>
    <w:p>
      <w:pPr>
        <w:ind w:left="1060"/>
        <w:spacing w:after="0"/>
        <w:rPr>
          <w:rFonts w:ascii="Arial" w:cs="Arial" w:eastAsia="Arial" w:hAnsi="Arial"/>
          <w:sz w:val="15"/>
          <w:szCs w:val="15"/>
          <w:color w:val="4800E6"/>
        </w:rPr>
      </w:pPr>
      <w:r>
        <w:rPr>
          <w:rFonts w:ascii="Arial" w:cs="Arial" w:eastAsia="Arial" w:hAnsi="Arial"/>
          <w:sz w:val="15"/>
          <w:szCs w:val="15"/>
          <w:color w:val="auto"/>
        </w:rPr>
        <w:t>provided that, in each case:</w:t>
      </w:r>
    </w:p>
    <w:p>
      <w:pPr>
        <w:spacing w:after="0" w:line="97" w:lineRule="exact"/>
        <w:rPr>
          <w:rFonts w:ascii="Arial" w:cs="Arial" w:eastAsia="Arial" w:hAnsi="Arial"/>
          <w:sz w:val="15"/>
          <w:szCs w:val="15"/>
          <w:color w:val="4800E6"/>
        </w:rPr>
      </w:pPr>
    </w:p>
    <w:p>
      <w:pPr>
        <w:ind w:left="1260" w:right="399" w:hanging="208"/>
        <w:spacing w:after="0" w:line="273" w:lineRule="auto"/>
        <w:tabs>
          <w:tab w:leader="none" w:pos="1260" w:val="left"/>
        </w:tabs>
        <w:numPr>
          <w:ilvl w:val="1"/>
          <w:numId w:val="9"/>
        </w:numPr>
        <w:rPr>
          <w:rFonts w:ascii="Arial" w:cs="Arial" w:eastAsia="Arial" w:hAnsi="Arial"/>
          <w:sz w:val="14"/>
          <w:szCs w:val="14"/>
          <w:color w:val="4800E6"/>
        </w:rPr>
      </w:pPr>
      <w:r>
        <w:rPr>
          <w:rFonts w:ascii="Arial" w:cs="Arial" w:eastAsia="Arial" w:hAnsi="Arial"/>
          <w:sz w:val="14"/>
          <w:szCs w:val="14"/>
          <w:color w:val="auto"/>
        </w:rPr>
        <w:t>(unless previously revoked, varied or renewed by the Company) this power will expire on the date that is five (5) years after the date on which this resolution is passed, save that the directors may, before this power expires, make offers or agreements which would or might require equity securities to be allotted and/or treasury shares to be sold after its expiry and the directors may allot equity securities and/or sell treasury shares pursuant to such offers or agreements as if this power had not expired; and</w:t>
      </w:r>
    </w:p>
    <w:p>
      <w:pPr>
        <w:spacing w:after="0" w:line="63" w:lineRule="exact"/>
        <w:rPr>
          <w:rFonts w:ascii="Arial" w:cs="Arial" w:eastAsia="Arial" w:hAnsi="Arial"/>
          <w:sz w:val="14"/>
          <w:szCs w:val="14"/>
          <w:color w:val="4800E6"/>
        </w:rPr>
      </w:pPr>
    </w:p>
    <w:p>
      <w:pPr>
        <w:ind w:left="1260" w:right="259" w:hanging="208"/>
        <w:spacing w:after="0" w:line="260" w:lineRule="auto"/>
        <w:tabs>
          <w:tab w:leader="none" w:pos="1260" w:val="left"/>
        </w:tabs>
        <w:numPr>
          <w:ilvl w:val="1"/>
          <w:numId w:val="9"/>
        </w:numPr>
        <w:rPr>
          <w:rFonts w:ascii="Arial" w:cs="Arial" w:eastAsia="Arial" w:hAnsi="Arial"/>
          <w:sz w:val="15"/>
          <w:szCs w:val="15"/>
          <w:color w:val="4800E6"/>
        </w:rPr>
      </w:pPr>
      <w:r>
        <w:rPr>
          <w:rFonts w:ascii="Arial" w:cs="Arial" w:eastAsia="Arial" w:hAnsi="Arial"/>
          <w:sz w:val="15"/>
          <w:szCs w:val="15"/>
          <w:color w:val="auto"/>
        </w:rPr>
        <w:t>this power is in addition to (and does not replace) all subsisting powers previously given to the directors for the purposes of section 570 of the Companies Act to the extent unused at the date of this resolution.</w:t>
      </w:r>
    </w:p>
    <w:p>
      <w:pPr>
        <w:spacing w:after="0" w:line="58" w:lineRule="exact"/>
        <w:rPr>
          <w:rFonts w:ascii="Arial" w:cs="Arial" w:eastAsia="Arial" w:hAnsi="Arial"/>
          <w:sz w:val="15"/>
          <w:szCs w:val="15"/>
          <w:color w:val="4800E6"/>
        </w:rPr>
      </w:pPr>
    </w:p>
    <w:p>
      <w:pPr>
        <w:ind w:left="1060" w:right="399" w:hanging="296"/>
        <w:spacing w:after="0" w:line="252" w:lineRule="auto"/>
        <w:tabs>
          <w:tab w:leader="none" w:pos="1060" w:val="left"/>
        </w:tabs>
        <w:numPr>
          <w:ilvl w:val="0"/>
          <w:numId w:val="9"/>
        </w:numPr>
        <w:rPr>
          <w:rFonts w:ascii="Arial" w:cs="Arial" w:eastAsia="Arial" w:hAnsi="Arial"/>
          <w:sz w:val="15"/>
          <w:szCs w:val="15"/>
          <w:color w:val="4800E6"/>
        </w:rPr>
      </w:pPr>
      <w:r>
        <w:rPr>
          <w:rFonts w:ascii="Arial" w:cs="Arial" w:eastAsia="Arial" w:hAnsi="Arial"/>
          <w:sz w:val="15"/>
          <w:szCs w:val="15"/>
          <w:u w:val="single" w:color="auto"/>
          <w:color w:val="auto"/>
        </w:rPr>
        <w:t>Special Resolution</w:t>
      </w:r>
      <w:r>
        <w:rPr>
          <w:rFonts w:ascii="Arial" w:cs="Arial" w:eastAsia="Arial" w:hAnsi="Arial"/>
          <w:sz w:val="15"/>
          <w:szCs w:val="15"/>
          <w:color w:val="auto"/>
        </w:rPr>
        <w:t>: To approve and adopt the draft regulations which are tabled at the AGM and labeled the “New Articles” and initialed by the Chairman of the AGM (the “New Articles”) as the articles of association of the Company in substitution for, and to the exclusion of, the existing articles of association of the Company.</w:t>
      </w:r>
    </w:p>
    <w:p>
      <w:pPr>
        <w:spacing w:after="0" w:line="77" w:lineRule="exact"/>
        <w:rPr>
          <w:rFonts w:ascii="Arial" w:cs="Arial" w:eastAsia="Arial" w:hAnsi="Arial"/>
          <w:sz w:val="15"/>
          <w:szCs w:val="15"/>
          <w:color w:val="4800E6"/>
        </w:rPr>
      </w:pPr>
    </w:p>
    <w:p>
      <w:pPr>
        <w:ind w:left="1060" w:right="279" w:hanging="296"/>
        <w:spacing w:after="0" w:line="260" w:lineRule="auto"/>
        <w:tabs>
          <w:tab w:leader="none" w:pos="1060" w:val="left"/>
        </w:tabs>
        <w:numPr>
          <w:ilvl w:val="0"/>
          <w:numId w:val="9"/>
        </w:numPr>
        <w:rPr>
          <w:rFonts w:ascii="Arial" w:cs="Arial" w:eastAsia="Arial" w:hAnsi="Arial"/>
          <w:sz w:val="15"/>
          <w:szCs w:val="15"/>
          <w:color w:val="4800E6"/>
        </w:rPr>
      </w:pPr>
      <w:r>
        <w:rPr>
          <w:rFonts w:ascii="Arial" w:cs="Arial" w:eastAsia="Arial" w:hAnsi="Arial"/>
          <w:sz w:val="15"/>
          <w:szCs w:val="15"/>
          <w:u w:val="single" w:color="auto"/>
          <w:color w:val="auto"/>
        </w:rPr>
        <w:t>Ordinary Resolution</w:t>
      </w:r>
      <w:r>
        <w:rPr>
          <w:rFonts w:ascii="Arial" w:cs="Arial" w:eastAsia="Arial" w:hAnsi="Arial"/>
          <w:sz w:val="15"/>
          <w:szCs w:val="15"/>
          <w:color w:val="auto"/>
        </w:rPr>
        <w:t>: To approve, on an advisory basis, the UK directors’ remuneration report in the form set out in the Company’s UK annual report and accounts for the period ended December 31, 2019.</w:t>
      </w:r>
    </w:p>
    <w:p>
      <w:pPr>
        <w:spacing w:after="0" w:line="71" w:lineRule="exact"/>
        <w:rPr>
          <w:rFonts w:ascii="Arial" w:cs="Arial" w:eastAsia="Arial" w:hAnsi="Arial"/>
          <w:sz w:val="15"/>
          <w:szCs w:val="15"/>
          <w:color w:val="4800E6"/>
        </w:rPr>
      </w:pPr>
    </w:p>
    <w:p>
      <w:pPr>
        <w:ind w:left="1060" w:right="559" w:hanging="296"/>
        <w:spacing w:after="0" w:line="260" w:lineRule="auto"/>
        <w:tabs>
          <w:tab w:leader="none" w:pos="1060" w:val="left"/>
        </w:tabs>
        <w:numPr>
          <w:ilvl w:val="0"/>
          <w:numId w:val="9"/>
        </w:numPr>
        <w:rPr>
          <w:rFonts w:ascii="Arial" w:cs="Arial" w:eastAsia="Arial" w:hAnsi="Arial"/>
          <w:sz w:val="15"/>
          <w:szCs w:val="15"/>
          <w:color w:val="4800E6"/>
        </w:rPr>
      </w:pPr>
      <w:r>
        <w:rPr>
          <w:rFonts w:ascii="Arial" w:cs="Arial" w:eastAsia="Arial" w:hAnsi="Arial"/>
          <w:sz w:val="15"/>
          <w:szCs w:val="15"/>
          <w:u w:val="single" w:color="auto"/>
          <w:color w:val="auto"/>
        </w:rPr>
        <w:t>Ordinary Resolution</w:t>
      </w:r>
      <w:r>
        <w:rPr>
          <w:rFonts w:ascii="Arial" w:cs="Arial" w:eastAsia="Arial" w:hAnsi="Arial"/>
          <w:sz w:val="15"/>
          <w:szCs w:val="15"/>
          <w:color w:val="auto"/>
        </w:rPr>
        <w:t>: To receive and adopt the Company’s audited UK statutory accounts for the year ended December 31, 2019, together with the reports of the directors and the auditors thereon.</w:t>
      </w:r>
    </w:p>
    <w:p>
      <w:pPr>
        <w:spacing w:after="0" w:line="58" w:lineRule="exact"/>
        <w:rPr>
          <w:rFonts w:ascii="Arial" w:cs="Arial" w:eastAsia="Arial" w:hAnsi="Arial"/>
          <w:sz w:val="15"/>
          <w:szCs w:val="15"/>
          <w:color w:val="4800E6"/>
        </w:rPr>
      </w:pPr>
    </w:p>
    <w:p>
      <w:pPr>
        <w:ind w:left="1060" w:right="379" w:hanging="296"/>
        <w:spacing w:after="0" w:line="260" w:lineRule="auto"/>
        <w:tabs>
          <w:tab w:leader="none" w:pos="1060" w:val="left"/>
        </w:tabs>
        <w:numPr>
          <w:ilvl w:val="0"/>
          <w:numId w:val="9"/>
        </w:numPr>
        <w:rPr>
          <w:rFonts w:ascii="Arial" w:cs="Arial" w:eastAsia="Arial" w:hAnsi="Arial"/>
          <w:sz w:val="15"/>
          <w:szCs w:val="15"/>
          <w:color w:val="4800E6"/>
        </w:rPr>
      </w:pPr>
      <w:r>
        <w:rPr>
          <w:rFonts w:ascii="Arial" w:cs="Arial" w:eastAsia="Arial" w:hAnsi="Arial"/>
          <w:sz w:val="15"/>
          <w:szCs w:val="15"/>
          <w:u w:val="single" w:color="auto"/>
          <w:color w:val="auto"/>
        </w:rPr>
        <w:t>Ordinary Resolution</w:t>
      </w:r>
      <w:r>
        <w:rPr>
          <w:rFonts w:ascii="Arial" w:cs="Arial" w:eastAsia="Arial" w:hAnsi="Arial"/>
          <w:sz w:val="15"/>
          <w:szCs w:val="15"/>
          <w:color w:val="auto"/>
        </w:rPr>
        <w:t>: To re-appoint PricewaterhouseCoopers LLP, a limited liability partnership organized under the laws of England, as the Company’s UK statutory auditor.</w:t>
      </w:r>
    </w:p>
    <w:p>
      <w:pPr>
        <w:spacing w:after="0" w:line="71" w:lineRule="exact"/>
        <w:rPr>
          <w:rFonts w:ascii="Arial" w:cs="Arial" w:eastAsia="Arial" w:hAnsi="Arial"/>
          <w:sz w:val="15"/>
          <w:szCs w:val="15"/>
          <w:color w:val="4800E6"/>
        </w:rPr>
      </w:pPr>
    </w:p>
    <w:p>
      <w:pPr>
        <w:ind w:left="1060" w:right="559" w:hanging="296"/>
        <w:spacing w:after="0" w:line="260" w:lineRule="auto"/>
        <w:tabs>
          <w:tab w:leader="none" w:pos="1060" w:val="left"/>
        </w:tabs>
        <w:numPr>
          <w:ilvl w:val="0"/>
          <w:numId w:val="9"/>
        </w:numPr>
        <w:rPr>
          <w:rFonts w:ascii="Arial" w:cs="Arial" w:eastAsia="Arial" w:hAnsi="Arial"/>
          <w:sz w:val="15"/>
          <w:szCs w:val="15"/>
          <w:color w:val="4800E6"/>
        </w:rPr>
      </w:pPr>
      <w:r>
        <w:rPr>
          <w:rFonts w:ascii="Arial" w:cs="Arial" w:eastAsia="Arial" w:hAnsi="Arial"/>
          <w:sz w:val="15"/>
          <w:szCs w:val="15"/>
          <w:u w:val="single" w:color="auto"/>
          <w:color w:val="auto"/>
        </w:rPr>
        <w:t>Ordinary Resolution</w:t>
      </w:r>
      <w:r>
        <w:rPr>
          <w:rFonts w:ascii="Arial" w:cs="Arial" w:eastAsia="Arial" w:hAnsi="Arial"/>
          <w:sz w:val="15"/>
          <w:szCs w:val="15"/>
          <w:color w:val="auto"/>
        </w:rPr>
        <w:t>: To authorize the directors and/or the Audit and Compliance Committee to determine the remuneration of the Company’s UK statutory auditor.</w:t>
      </w:r>
    </w:p>
    <w:p>
      <w:pPr>
        <w:sectPr>
          <w:pgSz w:w="11900" w:h="16838" w:orient="portrait"/>
          <w:cols w:equalWidth="0" w:num="1">
            <w:col w:w="10139"/>
          </w:cols>
          <w:pgMar w:left="320" w:top="131"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ind w:left="540"/>
        <w:spacing w:after="0"/>
        <w:tabs>
          <w:tab w:leader="none" w:pos="4400" w:val="left"/>
          <w:tab w:leader="none" w:pos="8760" w:val="left"/>
        </w:tabs>
        <w:rPr>
          <w:sz w:val="20"/>
          <w:szCs w:val="20"/>
          <w:color w:val="auto"/>
        </w:rPr>
      </w:pPr>
      <w:r>
        <w:rPr>
          <w:rFonts w:ascii="Arial" w:cs="Arial" w:eastAsia="Arial" w:hAnsi="Arial"/>
          <w:sz w:val="14"/>
          <w:szCs w:val="14"/>
          <w:b w:val="1"/>
          <w:bCs w:val="1"/>
          <w:color w:val="auto"/>
        </w:rPr>
        <w:t>ii</w:t>
      </w:r>
      <w:r>
        <w:rPr>
          <w:sz w:val="20"/>
          <w:szCs w:val="20"/>
          <w:color w:val="auto"/>
        </w:rPr>
        <w:tab/>
      </w:r>
      <w:r>
        <w:rPr>
          <w:rFonts w:ascii="Arial" w:cs="Arial" w:eastAsia="Arial" w:hAnsi="Arial"/>
          <w:sz w:val="13"/>
          <w:szCs w:val="13"/>
          <w:b w:val="1"/>
          <w:bCs w:val="1"/>
          <w:color w:val="4800E6"/>
        </w:rPr>
        <w:t xml:space="preserve">LIVANOVA </w:t>
      </w:r>
      <w:r>
        <w:rPr>
          <w:rFonts w:ascii="Arial" w:cs="Arial" w:eastAsia="Arial" w:hAnsi="Arial"/>
          <w:sz w:val="13"/>
          <w:szCs w:val="13"/>
          <w:color w:val="000000"/>
        </w:rPr>
        <w:t>|</w:t>
      </w:r>
      <w:r>
        <w:rPr>
          <w:rFonts w:ascii="Arial" w:cs="Arial" w:eastAsia="Arial" w:hAnsi="Arial"/>
          <w:sz w:val="13"/>
          <w:szCs w:val="13"/>
          <w:b w:val="1"/>
          <w:bCs w:val="1"/>
          <w:color w:val="4800E6"/>
        </w:rPr>
        <w:t xml:space="preserve"> </w:t>
      </w:r>
      <w:r>
        <w:rPr>
          <w:rFonts w:ascii="Arial" w:cs="Arial" w:eastAsia="Arial" w:hAnsi="Arial"/>
          <w:sz w:val="13"/>
          <w:szCs w:val="13"/>
          <w:color w:val="4800E6"/>
        </w:rPr>
        <w:t>2020</w:t>
      </w:r>
      <w:r>
        <w:rPr>
          <w:rFonts w:ascii="Arial" w:cs="Arial" w:eastAsia="Arial" w:hAnsi="Arial"/>
          <w:sz w:val="13"/>
          <w:szCs w:val="13"/>
          <w:b w:val="1"/>
          <w:bCs w:val="1"/>
          <w:color w:val="4800E6"/>
        </w:rPr>
        <w:t xml:space="preserve"> </w:t>
      </w:r>
      <w:r>
        <w:rPr>
          <w:rFonts w:ascii="Arial" w:cs="Arial" w:eastAsia="Arial" w:hAnsi="Arial"/>
          <w:sz w:val="13"/>
          <w:szCs w:val="13"/>
          <w:color w:val="000000"/>
        </w:rPr>
        <w:t>Proxy Statement</w:t>
      </w:r>
      <w:r>
        <w:rPr>
          <w:sz w:val="20"/>
          <w:szCs w:val="20"/>
          <w:color w:val="auto"/>
        </w:rPr>
        <w:tab/>
      </w:r>
      <w:r>
        <w:rPr>
          <w:rFonts w:ascii="Arial" w:cs="Arial" w:eastAsia="Arial" w:hAnsi="Arial"/>
          <w:sz w:val="12"/>
          <w:szCs w:val="12"/>
          <w:b w:val="1"/>
          <w:bCs w:val="1"/>
          <w:color w:val="4800E6"/>
        </w:rPr>
        <w:t>www.livanova.com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519430</wp:posOffset>
            </wp:positionH>
            <wp:positionV relativeFrom="paragraph">
              <wp:posOffset>-15875</wp:posOffset>
            </wp:positionV>
            <wp:extent cx="195453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954530" cy="8890"/>
                    </a:xfrm>
                    <a:prstGeom prst="rect">
                      <a:avLst/>
                    </a:prstGeom>
                    <a:noFill/>
                  </pic:spPr>
                </pic:pic>
              </a:graphicData>
            </a:graphic>
          </wp:anchor>
        </w:drawing>
        <w:drawing>
          <wp:anchor simplePos="0" relativeHeight="251657728" behindDoc="1" locked="0" layoutInCell="0" allowOverlap="1">
            <wp:simplePos x="0" y="0"/>
            <wp:positionH relativeFrom="column">
              <wp:posOffset>4316730</wp:posOffset>
            </wp:positionH>
            <wp:positionV relativeFrom="paragraph">
              <wp:posOffset>-15875</wp:posOffset>
            </wp:positionV>
            <wp:extent cx="102870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102870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94615</wp:posOffset>
            </wp:positionV>
            <wp:extent cx="6806565"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10139"/>
          </w:cols>
          <w:pgMar w:left="320" w:top="131" w:right="1440" w:bottom="1440" w:gutter="0" w:footer="0" w:header="0"/>
          <w:type w:val="continuous"/>
        </w:sectPr>
      </w:pPr>
    </w:p>
    <w:bookmarkStart w:id="3" w:name="page4"/>
    <w:bookmarkEnd w:id="3"/>
    <w:p>
      <w:pPr>
        <w:spacing w:after="0"/>
        <w:rPr>
          <w:rFonts w:ascii="Arial" w:cs="Arial" w:eastAsia="Arial" w:hAnsi="Arial"/>
          <w:sz w:val="14"/>
          <w:szCs w:val="14"/>
          <w:color w:val="003366"/>
        </w:rPr>
      </w:pPr>
      <w:hyperlink w:anchor="page4">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p>
      <w:pPr>
        <w:ind w:left="760"/>
        <w:spacing w:after="0"/>
        <w:rPr>
          <w:sz w:val="20"/>
          <w:szCs w:val="20"/>
          <w:color w:val="auto"/>
        </w:rPr>
      </w:pPr>
      <w:r>
        <w:rPr>
          <w:rFonts w:ascii="Arial" w:cs="Arial" w:eastAsia="Arial" w:hAnsi="Arial"/>
          <w:sz w:val="16"/>
          <w:szCs w:val="16"/>
          <w:b w:val="1"/>
          <w:bCs w:val="1"/>
          <w:color w:val="4800E6"/>
        </w:rPr>
        <w:t>How to Vote</w:t>
      </w:r>
    </w:p>
    <w:p>
      <w:pPr>
        <w:spacing w:after="0" w:line="98" w:lineRule="exact"/>
        <w:rPr>
          <w:sz w:val="20"/>
          <w:szCs w:val="20"/>
          <w:color w:val="auto"/>
        </w:rPr>
      </w:pPr>
    </w:p>
    <w:p>
      <w:pPr>
        <w:ind w:left="760" w:right="300"/>
        <w:spacing w:after="0" w:line="263" w:lineRule="auto"/>
        <w:rPr>
          <w:sz w:val="20"/>
          <w:szCs w:val="20"/>
          <w:color w:val="auto"/>
        </w:rPr>
      </w:pPr>
      <w:r>
        <w:rPr>
          <w:rFonts w:ascii="Arial" w:cs="Arial" w:eastAsia="Arial" w:hAnsi="Arial"/>
          <w:sz w:val="15"/>
          <w:szCs w:val="15"/>
          <w:color w:val="auto"/>
        </w:rPr>
        <w:t xml:space="preserve">You may vote at the AGM by proxy or virtually at </w:t>
      </w:r>
      <w:r>
        <w:rPr>
          <w:rFonts w:ascii="Arial" w:cs="Arial" w:eastAsia="Arial" w:hAnsi="Arial"/>
          <w:sz w:val="15"/>
          <w:szCs w:val="15"/>
          <w:i w:val="1"/>
          <w:iCs w:val="1"/>
          <w:color w:val="auto"/>
        </w:rPr>
        <w:t>www.meetingcenter.io/260382039 (</w:t>
      </w:r>
      <w:r>
        <w:rPr>
          <w:rFonts w:ascii="Arial" w:cs="Arial" w:eastAsia="Arial" w:hAnsi="Arial"/>
          <w:sz w:val="15"/>
          <w:szCs w:val="15"/>
          <w:color w:val="auto"/>
        </w:rPr>
        <w:t xml:space="preserve">password: LIVN2020). Please see the section entitled </w:t>
      </w:r>
      <w:r>
        <w:rPr>
          <w:rFonts w:ascii="Arial" w:cs="Arial" w:eastAsia="Arial" w:hAnsi="Arial"/>
          <w:sz w:val="15"/>
          <w:szCs w:val="15"/>
          <w:i w:val="1"/>
          <w:iCs w:val="1"/>
          <w:color w:val="auto"/>
        </w:rPr>
        <w:t xml:space="preserve">Frequently Asked Questions About the AGM </w:t>
      </w:r>
      <w:r>
        <w:rPr>
          <w:rFonts w:ascii="Arial" w:cs="Arial" w:eastAsia="Arial" w:hAnsi="Arial"/>
          <w:sz w:val="15"/>
          <w:szCs w:val="15"/>
          <w:color w:val="auto"/>
        </w:rPr>
        <w:t>for detailed information on how shareholders of record, beneficial holders and CDI holders</w:t>
      </w:r>
      <w:r>
        <w:rPr>
          <w:rFonts w:ascii="Arial" w:cs="Arial" w:eastAsia="Arial" w:hAnsi="Arial"/>
          <w:sz w:val="15"/>
          <w:szCs w:val="15"/>
          <w:i w:val="1"/>
          <w:iCs w:val="1"/>
          <w:color w:val="auto"/>
        </w:rPr>
        <w:t xml:space="preserve"> </w:t>
      </w:r>
      <w:r>
        <w:rPr>
          <w:rFonts w:ascii="Arial" w:cs="Arial" w:eastAsia="Arial" w:hAnsi="Arial"/>
          <w:sz w:val="15"/>
          <w:szCs w:val="15"/>
          <w:color w:val="auto"/>
        </w:rPr>
        <w:t>may virtually attend and vote at the AGM.</w:t>
      </w:r>
    </w:p>
    <w:p>
      <w:pPr>
        <w:spacing w:after="0" w:line="70" w:lineRule="exact"/>
        <w:rPr>
          <w:sz w:val="20"/>
          <w:szCs w:val="20"/>
          <w:color w:val="auto"/>
        </w:rPr>
      </w:pPr>
    </w:p>
    <w:p>
      <w:pPr>
        <w:ind w:left="760" w:right="360"/>
        <w:spacing w:after="0" w:line="260" w:lineRule="auto"/>
        <w:rPr>
          <w:sz w:val="20"/>
          <w:szCs w:val="20"/>
          <w:color w:val="auto"/>
        </w:rPr>
      </w:pPr>
      <w:r>
        <w:rPr>
          <w:rFonts w:ascii="Arial" w:cs="Arial" w:eastAsia="Arial" w:hAnsi="Arial"/>
          <w:sz w:val="15"/>
          <w:szCs w:val="15"/>
          <w:color w:val="auto"/>
        </w:rPr>
        <w:t xml:space="preserve">You may also vote in advance of the meeting. Depending on whether you are a shareholder of record, a beneficial holder or a CDI holder, you will be able to do so by post, via the Internet or by telephone. Please see our </w:t>
      </w:r>
      <w:r>
        <w:rPr>
          <w:rFonts w:ascii="Arial" w:cs="Arial" w:eastAsia="Arial" w:hAnsi="Arial"/>
          <w:sz w:val="15"/>
          <w:szCs w:val="15"/>
          <w:i w:val="1"/>
          <w:iCs w:val="1"/>
          <w:color w:val="auto"/>
        </w:rPr>
        <w:t>Frequently Asked Questions About the AGM</w:t>
      </w:r>
      <w:r>
        <w:rPr>
          <w:rFonts w:ascii="Arial" w:cs="Arial" w:eastAsia="Arial" w:hAnsi="Arial"/>
          <w:sz w:val="15"/>
          <w:szCs w:val="15"/>
          <w:color w:val="auto"/>
        </w:rPr>
        <w:t>.</w:t>
      </w:r>
    </w:p>
    <w:p>
      <w:pPr>
        <w:spacing w:after="0" w:line="111" w:lineRule="exact"/>
        <w:rPr>
          <w:sz w:val="20"/>
          <w:szCs w:val="20"/>
          <w:color w:val="auto"/>
        </w:rPr>
      </w:pPr>
    </w:p>
    <w:p>
      <w:pPr>
        <w:ind w:left="760"/>
        <w:spacing w:after="0"/>
        <w:rPr>
          <w:sz w:val="20"/>
          <w:szCs w:val="20"/>
          <w:color w:val="auto"/>
        </w:rPr>
      </w:pPr>
      <w:r>
        <w:rPr>
          <w:rFonts w:ascii="Arial" w:cs="Arial" w:eastAsia="Arial" w:hAnsi="Arial"/>
          <w:sz w:val="16"/>
          <w:szCs w:val="16"/>
          <w:b w:val="1"/>
          <w:bCs w:val="1"/>
          <w:color w:val="4800E6"/>
        </w:rPr>
        <w:t>Section 527 Notice – Website Materials</w:t>
      </w:r>
    </w:p>
    <w:p>
      <w:pPr>
        <w:spacing w:after="0" w:line="101" w:lineRule="exact"/>
        <w:rPr>
          <w:sz w:val="20"/>
          <w:szCs w:val="20"/>
          <w:color w:val="auto"/>
        </w:rPr>
      </w:pPr>
    </w:p>
    <w:p>
      <w:pPr>
        <w:ind w:left="760" w:right="280"/>
        <w:spacing w:after="0" w:line="246" w:lineRule="auto"/>
        <w:rPr>
          <w:sz w:val="20"/>
          <w:szCs w:val="20"/>
          <w:color w:val="auto"/>
        </w:rPr>
      </w:pPr>
      <w:r>
        <w:rPr>
          <w:rFonts w:ascii="Arial" w:cs="Arial" w:eastAsia="Arial" w:hAnsi="Arial"/>
          <w:sz w:val="15"/>
          <w:szCs w:val="15"/>
          <w:color w:val="auto"/>
        </w:rPr>
        <w:t>Under section 527 of the Companies Act, shareholders meeting the threshold requirements set out in that section have the right to require the Company to publish on a website a statement setting out any matter relating to: (i) the audit of the Company’s accounts (including the auditor’s report and the conduct of the audit) that are to be laid before the meeting; or (ii) any circumstance connected with an auditor of the Company ceasing to hold office since the previous meeting at which annual accounts and reports were laid in accordance with section 437 of the Companies Act. The Company may not require the shareholders requesting any such website publication to pay its expenses in complying with section 527 or section 528 of the Companies Act. Where the Company is required to place a statement on a website under section 527 of the Companies Act, it must forward the statement to the Company’s auditor not later than the time when it makes the statement available on the website. The business which may be dealt with at the meeting includes any statement that the Company has been required under section 527 of the Companies Act to publish on a website.</w:t>
      </w:r>
    </w:p>
    <w:p>
      <w:pPr>
        <w:spacing w:after="0" w:line="204" w:lineRule="exact"/>
        <w:rPr>
          <w:sz w:val="20"/>
          <w:szCs w:val="20"/>
          <w:color w:val="auto"/>
        </w:rPr>
      </w:pPr>
    </w:p>
    <w:p>
      <w:pPr>
        <w:ind w:left="760"/>
        <w:spacing w:after="0"/>
        <w:rPr>
          <w:sz w:val="20"/>
          <w:szCs w:val="20"/>
          <w:color w:val="auto"/>
        </w:rPr>
      </w:pPr>
      <w:r>
        <w:rPr>
          <w:rFonts w:ascii="Arial" w:cs="Arial" w:eastAsia="Arial" w:hAnsi="Arial"/>
          <w:sz w:val="15"/>
          <w:szCs w:val="15"/>
          <w:color w:val="auto"/>
        </w:rPr>
        <w:t>By order of the Board of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485140</wp:posOffset>
            </wp:positionH>
            <wp:positionV relativeFrom="paragraph">
              <wp:posOffset>158115</wp:posOffset>
            </wp:positionV>
            <wp:extent cx="1851660" cy="53149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851660" cy="5314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6" w:lineRule="exact"/>
        <w:rPr>
          <w:sz w:val="20"/>
          <w:szCs w:val="20"/>
          <w:color w:val="auto"/>
        </w:rPr>
      </w:pPr>
    </w:p>
    <w:p>
      <w:pPr>
        <w:ind w:left="760"/>
        <w:spacing w:after="0"/>
        <w:rPr>
          <w:sz w:val="20"/>
          <w:szCs w:val="20"/>
          <w:color w:val="auto"/>
        </w:rPr>
      </w:pPr>
      <w:r>
        <w:rPr>
          <w:rFonts w:ascii="Arial" w:cs="Arial" w:eastAsia="Arial" w:hAnsi="Arial"/>
          <w:sz w:val="15"/>
          <w:szCs w:val="15"/>
          <w:b w:val="1"/>
          <w:bCs w:val="1"/>
          <w:color w:val="auto"/>
        </w:rPr>
        <w:t>Keyna P. Skeffington</w:t>
      </w:r>
    </w:p>
    <w:p>
      <w:pPr>
        <w:spacing w:after="0" w:line="21" w:lineRule="exact"/>
        <w:rPr>
          <w:sz w:val="20"/>
          <w:szCs w:val="20"/>
          <w:color w:val="auto"/>
        </w:rPr>
      </w:pPr>
    </w:p>
    <w:p>
      <w:pPr>
        <w:ind w:left="760"/>
        <w:spacing w:after="0"/>
        <w:rPr>
          <w:sz w:val="20"/>
          <w:szCs w:val="20"/>
          <w:color w:val="auto"/>
        </w:rPr>
      </w:pPr>
      <w:r>
        <w:rPr>
          <w:rFonts w:ascii="Arial" w:cs="Arial" w:eastAsia="Arial" w:hAnsi="Arial"/>
          <w:sz w:val="15"/>
          <w:szCs w:val="15"/>
          <w:i w:val="1"/>
          <w:iCs w:val="1"/>
          <w:color w:val="auto"/>
        </w:rPr>
        <w:t>Company Secretary</w:t>
      </w:r>
    </w:p>
    <w:p>
      <w:pPr>
        <w:spacing w:after="0" w:line="3" w:lineRule="exact"/>
        <w:rPr>
          <w:sz w:val="20"/>
          <w:szCs w:val="20"/>
          <w:color w:val="auto"/>
        </w:rPr>
      </w:pPr>
    </w:p>
    <w:p>
      <w:pPr>
        <w:ind w:left="760"/>
        <w:spacing w:after="0"/>
        <w:rPr>
          <w:sz w:val="20"/>
          <w:szCs w:val="20"/>
          <w:color w:val="auto"/>
        </w:rPr>
      </w:pPr>
      <w:r>
        <w:rPr>
          <w:rFonts w:ascii="Arial" w:cs="Arial" w:eastAsia="Arial" w:hAnsi="Arial"/>
          <w:sz w:val="15"/>
          <w:szCs w:val="15"/>
          <w:color w:val="auto"/>
        </w:rPr>
        <w:t>May 20, 2020</w:t>
      </w:r>
    </w:p>
    <w:p>
      <w:pPr>
        <w:sectPr>
          <w:pgSz w:w="11900" w:h="16838" w:orient="portrait"/>
          <w:cols w:equalWidth="0" w:num="1">
            <w:col w:w="10200"/>
          </w:cols>
          <w:pgMar w:left="320" w:top="132" w:right="137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1" w:lineRule="exact"/>
        <w:rPr>
          <w:sz w:val="20"/>
          <w:szCs w:val="20"/>
          <w:color w:val="auto"/>
        </w:rPr>
      </w:pPr>
    </w:p>
    <w:p>
      <w:pPr>
        <w:ind w:left="4360"/>
        <w:spacing w:after="0"/>
        <w:tabs>
          <w:tab w:leader="none" w:pos="10060" w:val="left"/>
        </w:tabs>
        <w:rPr>
          <w:sz w:val="20"/>
          <w:szCs w:val="20"/>
          <w:color w:val="auto"/>
        </w:rPr>
      </w:pPr>
      <w:r>
        <w:rPr>
          <w:rFonts w:ascii="Arial" w:cs="Arial" w:eastAsia="Arial" w:hAnsi="Arial"/>
          <w:sz w:val="13"/>
          <w:szCs w:val="13"/>
          <w:b w:val="1"/>
          <w:bCs w:val="1"/>
          <w:color w:val="4800E6"/>
        </w:rPr>
        <w:t xml:space="preserve">LIVANOVA </w:t>
      </w:r>
      <w:r>
        <w:rPr>
          <w:rFonts w:ascii="Arial" w:cs="Arial" w:eastAsia="Arial" w:hAnsi="Arial"/>
          <w:sz w:val="13"/>
          <w:szCs w:val="13"/>
          <w:color w:val="000000"/>
        </w:rPr>
        <w:t>|</w:t>
      </w:r>
      <w:r>
        <w:rPr>
          <w:rFonts w:ascii="Arial" w:cs="Arial" w:eastAsia="Arial" w:hAnsi="Arial"/>
          <w:sz w:val="13"/>
          <w:szCs w:val="13"/>
          <w:b w:val="1"/>
          <w:bCs w:val="1"/>
          <w:color w:val="4800E6"/>
        </w:rPr>
        <w:t xml:space="preserve"> </w:t>
      </w:r>
      <w:r>
        <w:rPr>
          <w:rFonts w:ascii="Arial" w:cs="Arial" w:eastAsia="Arial" w:hAnsi="Arial"/>
          <w:sz w:val="13"/>
          <w:szCs w:val="13"/>
          <w:color w:val="4800E6"/>
        </w:rPr>
        <w:t>2020</w:t>
      </w:r>
      <w:r>
        <w:rPr>
          <w:rFonts w:ascii="Arial" w:cs="Arial" w:eastAsia="Arial" w:hAnsi="Arial"/>
          <w:sz w:val="13"/>
          <w:szCs w:val="13"/>
          <w:b w:val="1"/>
          <w:bCs w:val="1"/>
          <w:color w:val="4800E6"/>
        </w:rPr>
        <w:t xml:space="preserve"> </w:t>
      </w:r>
      <w:r>
        <w:rPr>
          <w:rFonts w:ascii="Arial" w:cs="Arial" w:eastAsia="Arial" w:hAnsi="Arial"/>
          <w:sz w:val="13"/>
          <w:szCs w:val="13"/>
          <w:color w:val="000000"/>
        </w:rPr>
        <w:t>Proxy Statement</w:t>
      </w:r>
      <w:r>
        <w:rPr>
          <w:sz w:val="20"/>
          <w:szCs w:val="20"/>
          <w:color w:val="auto"/>
        </w:rPr>
        <w:tab/>
      </w:r>
      <w:r>
        <w:rPr>
          <w:rFonts w:ascii="Arial" w:cs="Arial" w:eastAsia="Arial" w:hAnsi="Arial"/>
          <w:sz w:val="14"/>
          <w:szCs w:val="14"/>
          <w:b w:val="1"/>
          <w:bCs w:val="1"/>
          <w:color w:val="auto"/>
        </w:rPr>
        <w:t>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519430</wp:posOffset>
            </wp:positionH>
            <wp:positionV relativeFrom="paragraph">
              <wp:posOffset>-15875</wp:posOffset>
            </wp:positionV>
            <wp:extent cx="195453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954530" cy="8890"/>
                    </a:xfrm>
                    <a:prstGeom prst="rect">
                      <a:avLst/>
                    </a:prstGeom>
                    <a:noFill/>
                  </pic:spPr>
                </pic:pic>
              </a:graphicData>
            </a:graphic>
          </wp:anchor>
        </w:drawing>
        <w:drawing>
          <wp:anchor simplePos="0" relativeHeight="251657728" behindDoc="1" locked="0" layoutInCell="0" allowOverlap="1">
            <wp:simplePos x="0" y="0"/>
            <wp:positionH relativeFrom="column">
              <wp:posOffset>4274185</wp:posOffset>
            </wp:positionH>
            <wp:positionV relativeFrom="paragraph">
              <wp:posOffset>-15875</wp:posOffset>
            </wp:positionV>
            <wp:extent cx="195453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95453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94615</wp:posOffset>
            </wp:positionV>
            <wp:extent cx="6806565" cy="171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10200"/>
          </w:cols>
          <w:pgMar w:left="320" w:top="132" w:right="1379" w:bottom="1440" w:gutter="0" w:footer="0" w:header="0"/>
          <w:type w:val="continuous"/>
        </w:sectPr>
      </w:pPr>
    </w:p>
    <w:bookmarkStart w:id="4" w:name="page5"/>
    <w:bookmarkEnd w:id="4"/>
    <w:p>
      <w:pPr>
        <w:spacing w:after="0"/>
        <w:rPr>
          <w:rFonts w:ascii="Arial" w:cs="Arial" w:eastAsia="Arial" w:hAnsi="Arial"/>
          <w:sz w:val="14"/>
          <w:szCs w:val="14"/>
          <w:color w:val="003366"/>
        </w:rPr>
      </w:pPr>
      <w:hyperlink w:anchor="page4">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2" w:lineRule="exact"/>
        <w:rPr>
          <w:sz w:val="20"/>
          <w:szCs w:val="20"/>
          <w:color w:val="auto"/>
        </w:rPr>
      </w:pPr>
    </w:p>
    <w:p>
      <w:pPr>
        <w:ind w:left="780"/>
        <w:spacing w:after="0"/>
        <w:rPr>
          <w:sz w:val="20"/>
          <w:szCs w:val="20"/>
          <w:color w:val="auto"/>
        </w:rPr>
      </w:pPr>
      <w:r>
        <w:rPr>
          <w:rFonts w:ascii="Arial" w:cs="Arial" w:eastAsia="Arial" w:hAnsi="Arial"/>
          <w:sz w:val="38"/>
          <w:szCs w:val="38"/>
          <w:b w:val="1"/>
          <w:bCs w:val="1"/>
          <w:color w:val="4800E6"/>
        </w:rPr>
        <w:t>Table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1230630</wp:posOffset>
            </wp:positionH>
            <wp:positionV relativeFrom="paragraph">
              <wp:posOffset>-234950</wp:posOffset>
            </wp:positionV>
            <wp:extent cx="5066030" cy="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5066030" cy="8255"/>
                    </a:xfrm>
                    <a:prstGeom prst="rect">
                      <a:avLst/>
                    </a:prstGeom>
                    <a:noFill/>
                  </pic:spPr>
                </pic:pic>
              </a:graphicData>
            </a:graphic>
          </wp:anchor>
        </w:drawing>
      </w:r>
    </w:p>
    <w:p>
      <w:pPr>
        <w:spacing w:after="0" w:line="47" w:lineRule="exact"/>
        <w:rPr>
          <w:sz w:val="20"/>
          <w:szCs w:val="20"/>
          <w:color w:val="auto"/>
        </w:rPr>
      </w:pPr>
    </w:p>
    <w:p>
      <w:pPr>
        <w:ind w:left="760"/>
        <w:spacing w:after="0"/>
        <w:rPr>
          <w:sz w:val="20"/>
          <w:szCs w:val="20"/>
          <w:color w:val="auto"/>
        </w:rPr>
      </w:pPr>
      <w:r>
        <w:rPr>
          <w:rFonts w:ascii="Arial" w:cs="Arial" w:eastAsia="Arial" w:hAnsi="Arial"/>
          <w:sz w:val="27"/>
          <w:szCs w:val="27"/>
          <w:b w:val="1"/>
          <w:bCs w:val="1"/>
          <w:color w:val="666666"/>
        </w:rPr>
        <w:t>of Contents</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8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820" w:type="dxa"/>
            <w:vAlign w:val="bottom"/>
            <w:gridSpan w:val="2"/>
            <w:shd w:val="clear" w:color="auto" w:fill="CCEEFF"/>
          </w:tcPr>
          <w:p>
            <w:pPr>
              <w:spacing w:after="0"/>
              <w:rPr>
                <w:rFonts w:ascii="Arial" w:cs="Arial" w:eastAsia="Arial" w:hAnsi="Arial"/>
                <w:sz w:val="18"/>
                <w:szCs w:val="18"/>
                <w:b w:val="1"/>
                <w:bCs w:val="1"/>
                <w:u w:val="single" w:color="auto"/>
                <w:color w:val="4800E6"/>
              </w:rPr>
            </w:pPr>
            <w:hyperlink w:anchor="page6">
              <w:r>
                <w:rPr>
                  <w:rFonts w:ascii="Arial" w:cs="Arial" w:eastAsia="Arial" w:hAnsi="Arial"/>
                  <w:sz w:val="18"/>
                  <w:szCs w:val="18"/>
                  <w:b w:val="1"/>
                  <w:bCs w:val="1"/>
                  <w:u w:val="single" w:color="auto"/>
                  <w:color w:val="4800E6"/>
                </w:rPr>
                <w:t>Proxy Summary</w:t>
              </w:r>
            </w:hyperlink>
          </w:p>
        </w:tc>
        <w:tc>
          <w:tcPr>
            <w:tcW w:w="3140" w:type="dxa"/>
            <w:vAlign w:val="bottom"/>
            <w:gridSpan w:val="2"/>
            <w:shd w:val="clear" w:color="auto" w:fill="CCEEFF"/>
          </w:tcPr>
          <w:p>
            <w:pPr>
              <w:jc w:val="right"/>
              <w:spacing w:after="0"/>
              <w:rPr>
                <w:rFonts w:ascii="Arial" w:cs="Arial" w:eastAsia="Arial" w:hAnsi="Arial"/>
                <w:sz w:val="15"/>
                <w:szCs w:val="15"/>
                <w:u w:val="single" w:color="auto"/>
                <w:color w:val="0000EE"/>
              </w:rPr>
            </w:pPr>
            <w:hyperlink w:anchor="page6">
              <w:r>
                <w:rPr>
                  <w:rFonts w:ascii="Arial" w:cs="Arial" w:eastAsia="Arial" w:hAnsi="Arial"/>
                  <w:sz w:val="15"/>
                  <w:szCs w:val="15"/>
                  <w:u w:val="single" w:color="auto"/>
                  <w:color w:val="0000EE"/>
                </w:rPr>
                <w:t>3</w:t>
              </w:r>
            </w:hyperlink>
          </w:p>
        </w:tc>
        <w:tc>
          <w:tcPr>
            <w:tcW w:w="780" w:type="dxa"/>
            <w:vAlign w:val="bottom"/>
          </w:tcPr>
          <w:p>
            <w:pPr>
              <w:spacing w:after="0"/>
              <w:rPr>
                <w:sz w:val="18"/>
                <w:szCs w:val="18"/>
                <w:color w:val="auto"/>
              </w:rPr>
            </w:pPr>
          </w:p>
        </w:tc>
      </w:tr>
      <w:tr>
        <w:trPr>
          <w:trHeight w:val="364"/>
        </w:trPr>
        <w:tc>
          <w:tcPr>
            <w:tcW w:w="8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820" w:type="dxa"/>
            <w:vAlign w:val="bottom"/>
            <w:gridSpan w:val="2"/>
          </w:tcPr>
          <w:p>
            <w:pPr>
              <w:spacing w:after="0"/>
              <w:rPr>
                <w:rFonts w:ascii="Arial" w:cs="Arial" w:eastAsia="Arial" w:hAnsi="Arial"/>
                <w:sz w:val="18"/>
                <w:szCs w:val="18"/>
                <w:b w:val="1"/>
                <w:bCs w:val="1"/>
                <w:u w:val="single" w:color="auto"/>
                <w:color w:val="4800E6"/>
              </w:rPr>
            </w:pPr>
            <w:hyperlink w:anchor="page9">
              <w:r>
                <w:rPr>
                  <w:rFonts w:ascii="Arial" w:cs="Arial" w:eastAsia="Arial" w:hAnsi="Arial"/>
                  <w:sz w:val="18"/>
                  <w:szCs w:val="18"/>
                  <w:b w:val="1"/>
                  <w:bCs w:val="1"/>
                  <w:u w:val="single" w:color="auto"/>
                  <w:color w:val="4800E6"/>
                </w:rPr>
                <w:t>Cautionary Note Regarding Forward-Looking Statements</w:t>
              </w:r>
            </w:hyperlink>
          </w:p>
        </w:tc>
        <w:tc>
          <w:tcPr>
            <w:tcW w:w="3920" w:type="dxa"/>
            <w:vAlign w:val="bottom"/>
            <w:gridSpan w:val="3"/>
          </w:tcPr>
          <w:p>
            <w:pPr>
              <w:jc w:val="right"/>
              <w:ind w:right="780"/>
              <w:spacing w:after="0"/>
              <w:rPr>
                <w:rFonts w:ascii="Arial" w:cs="Arial" w:eastAsia="Arial" w:hAnsi="Arial"/>
                <w:sz w:val="15"/>
                <w:szCs w:val="15"/>
                <w:u w:val="single" w:color="auto"/>
                <w:color w:val="0000EE"/>
              </w:rPr>
            </w:pPr>
            <w:hyperlink w:anchor="page9">
              <w:r>
                <w:rPr>
                  <w:rFonts w:ascii="Arial" w:cs="Arial" w:eastAsia="Arial" w:hAnsi="Arial"/>
                  <w:sz w:val="15"/>
                  <w:szCs w:val="15"/>
                  <w:u w:val="single" w:color="auto"/>
                  <w:color w:val="0000EE"/>
                </w:rPr>
                <w:t>6</w:t>
              </w:r>
            </w:hyperlink>
          </w:p>
        </w:tc>
      </w:tr>
      <w:tr>
        <w:trPr>
          <w:trHeight w:val="365"/>
        </w:trPr>
        <w:tc>
          <w:tcPr>
            <w:tcW w:w="8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820" w:type="dxa"/>
            <w:vAlign w:val="bottom"/>
            <w:gridSpan w:val="2"/>
            <w:shd w:val="clear" w:color="auto" w:fill="CCEEFF"/>
          </w:tcPr>
          <w:p>
            <w:pPr>
              <w:spacing w:after="0"/>
              <w:rPr>
                <w:rFonts w:ascii="Arial" w:cs="Arial" w:eastAsia="Arial" w:hAnsi="Arial"/>
                <w:sz w:val="18"/>
                <w:szCs w:val="18"/>
                <w:b w:val="1"/>
                <w:bCs w:val="1"/>
                <w:u w:val="single" w:color="auto"/>
                <w:color w:val="4800E6"/>
              </w:rPr>
            </w:pPr>
            <w:hyperlink w:anchor="page10">
              <w:r>
                <w:rPr>
                  <w:rFonts w:ascii="Arial" w:cs="Arial" w:eastAsia="Arial" w:hAnsi="Arial"/>
                  <w:sz w:val="18"/>
                  <w:szCs w:val="18"/>
                  <w:b w:val="1"/>
                  <w:bCs w:val="1"/>
                  <w:u w:val="single" w:color="auto"/>
                  <w:color w:val="4800E6"/>
                </w:rPr>
                <w:t xml:space="preserve">Resolutions and </w:t>
              </w:r>
              <w:r>
                <w:rPr>
                  <w:rFonts w:ascii="Arial" w:cs="Arial" w:eastAsia="Arial" w:hAnsi="Arial"/>
                  <w:sz w:val="18"/>
                  <w:szCs w:val="18"/>
                  <w:b w:val="1"/>
                  <w:bCs w:val="1"/>
                  <w:u w:val="single" w:color="auto"/>
                  <w:color w:val="666666"/>
                </w:rPr>
                <w:t>Voting</w:t>
              </w:r>
            </w:hyperlink>
          </w:p>
        </w:tc>
        <w:tc>
          <w:tcPr>
            <w:tcW w:w="3140" w:type="dxa"/>
            <w:vAlign w:val="bottom"/>
            <w:gridSpan w:val="2"/>
            <w:shd w:val="clear" w:color="auto" w:fill="CCEEFF"/>
          </w:tcPr>
          <w:p>
            <w:pPr>
              <w:jc w:val="right"/>
              <w:spacing w:after="0"/>
              <w:rPr>
                <w:rFonts w:ascii="Arial" w:cs="Arial" w:eastAsia="Arial" w:hAnsi="Arial"/>
                <w:sz w:val="15"/>
                <w:szCs w:val="15"/>
                <w:u w:val="single" w:color="auto"/>
                <w:color w:val="0000EE"/>
              </w:rPr>
            </w:pPr>
            <w:hyperlink w:anchor="page10">
              <w:r>
                <w:rPr>
                  <w:rFonts w:ascii="Arial" w:cs="Arial" w:eastAsia="Arial" w:hAnsi="Arial"/>
                  <w:sz w:val="15"/>
                  <w:szCs w:val="15"/>
                  <w:u w:val="single" w:color="auto"/>
                  <w:color w:val="0000EE"/>
                </w:rPr>
                <w:t>7</w:t>
              </w:r>
            </w:hyperlink>
          </w:p>
        </w:tc>
        <w:tc>
          <w:tcPr>
            <w:tcW w:w="780" w:type="dxa"/>
            <w:vAlign w:val="bottom"/>
          </w:tcPr>
          <w:p>
            <w:pPr>
              <w:spacing w:after="0"/>
              <w:rPr>
                <w:sz w:val="24"/>
                <w:szCs w:val="24"/>
                <w:color w:val="auto"/>
              </w:rPr>
            </w:pPr>
          </w:p>
        </w:tc>
      </w:tr>
      <w:tr>
        <w:trPr>
          <w:trHeight w:val="364"/>
        </w:trPr>
        <w:tc>
          <w:tcPr>
            <w:tcW w:w="8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820" w:type="dxa"/>
            <w:vAlign w:val="bottom"/>
            <w:gridSpan w:val="2"/>
          </w:tcPr>
          <w:p>
            <w:pPr>
              <w:spacing w:after="0"/>
              <w:rPr>
                <w:rFonts w:ascii="Arial" w:cs="Arial" w:eastAsia="Arial" w:hAnsi="Arial"/>
                <w:sz w:val="18"/>
                <w:szCs w:val="18"/>
                <w:b w:val="1"/>
                <w:bCs w:val="1"/>
                <w:u w:val="single" w:color="auto"/>
                <w:color w:val="4800E6"/>
              </w:rPr>
            </w:pPr>
            <w:hyperlink w:anchor="page11">
              <w:r>
                <w:rPr>
                  <w:rFonts w:ascii="Arial" w:cs="Arial" w:eastAsia="Arial" w:hAnsi="Arial"/>
                  <w:sz w:val="18"/>
                  <w:szCs w:val="18"/>
                  <w:b w:val="1"/>
                  <w:bCs w:val="1"/>
                  <w:u w:val="single" w:color="auto"/>
                  <w:color w:val="4800E6"/>
                </w:rPr>
                <w:t xml:space="preserve">Proposal No. 1  </w:t>
              </w:r>
              <w:r>
                <w:rPr>
                  <w:rFonts w:ascii="Arial" w:cs="Arial" w:eastAsia="Arial" w:hAnsi="Arial"/>
                  <w:sz w:val="18"/>
                  <w:szCs w:val="18"/>
                  <w:b w:val="1"/>
                  <w:bCs w:val="1"/>
                  <w:u w:val="single" w:color="auto"/>
                  <w:color w:val="666666"/>
                </w:rPr>
                <w:t>Election of Directors</w:t>
              </w:r>
            </w:hyperlink>
          </w:p>
        </w:tc>
        <w:tc>
          <w:tcPr>
            <w:tcW w:w="3920" w:type="dxa"/>
            <w:vAlign w:val="bottom"/>
            <w:gridSpan w:val="3"/>
          </w:tcPr>
          <w:p>
            <w:pPr>
              <w:jc w:val="right"/>
              <w:ind w:right="780"/>
              <w:spacing w:after="0"/>
              <w:rPr>
                <w:rFonts w:ascii="Arial" w:cs="Arial" w:eastAsia="Arial" w:hAnsi="Arial"/>
                <w:sz w:val="18"/>
                <w:szCs w:val="18"/>
                <w:b w:val="1"/>
                <w:bCs w:val="1"/>
                <w:u w:val="single" w:color="auto"/>
                <w:color w:val="4800E6"/>
              </w:rPr>
            </w:pPr>
            <w:hyperlink w:anchor="page11">
              <w:r>
                <w:rPr>
                  <w:rFonts w:ascii="Arial" w:cs="Arial" w:eastAsia="Arial" w:hAnsi="Arial"/>
                  <w:sz w:val="18"/>
                  <w:szCs w:val="18"/>
                  <w:b w:val="1"/>
                  <w:bCs w:val="1"/>
                  <w:u w:val="single" w:color="auto"/>
                  <w:color w:val="4800E6"/>
                </w:rPr>
                <w:t>8</w:t>
              </w:r>
            </w:hyperlink>
          </w:p>
        </w:tc>
      </w:tr>
      <w:tr>
        <w:trPr>
          <w:trHeight w:val="364"/>
        </w:trPr>
        <w:tc>
          <w:tcPr>
            <w:tcW w:w="8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820" w:type="dxa"/>
            <w:vAlign w:val="bottom"/>
            <w:gridSpan w:val="2"/>
            <w:shd w:val="clear" w:color="auto" w:fill="CCEEFF"/>
          </w:tcPr>
          <w:p>
            <w:pPr>
              <w:spacing w:after="0"/>
              <w:rPr>
                <w:rFonts w:ascii="Arial" w:cs="Arial" w:eastAsia="Arial" w:hAnsi="Arial"/>
                <w:sz w:val="18"/>
                <w:szCs w:val="18"/>
                <w:b w:val="1"/>
                <w:bCs w:val="1"/>
                <w:u w:val="single" w:color="auto"/>
                <w:color w:val="4800E6"/>
              </w:rPr>
            </w:pPr>
            <w:hyperlink w:anchor="page12">
              <w:r>
                <w:rPr>
                  <w:rFonts w:ascii="Arial" w:cs="Arial" w:eastAsia="Arial" w:hAnsi="Arial"/>
                  <w:sz w:val="18"/>
                  <w:szCs w:val="18"/>
                  <w:b w:val="1"/>
                  <w:bCs w:val="1"/>
                  <w:u w:val="single" w:color="auto"/>
                  <w:color w:val="4800E6"/>
                </w:rPr>
                <w:t xml:space="preserve">Corporate </w:t>
              </w:r>
              <w:r>
                <w:rPr>
                  <w:rFonts w:ascii="Arial" w:cs="Arial" w:eastAsia="Arial" w:hAnsi="Arial"/>
                  <w:sz w:val="18"/>
                  <w:szCs w:val="18"/>
                  <w:b w:val="1"/>
                  <w:bCs w:val="1"/>
                  <w:u w:val="single" w:color="auto"/>
                  <w:color w:val="666666"/>
                </w:rPr>
                <w:t>Governance</w:t>
              </w:r>
            </w:hyperlink>
          </w:p>
        </w:tc>
        <w:tc>
          <w:tcPr>
            <w:tcW w:w="3140" w:type="dxa"/>
            <w:vAlign w:val="bottom"/>
            <w:gridSpan w:val="2"/>
            <w:shd w:val="clear" w:color="auto" w:fill="CCEEFF"/>
          </w:tcPr>
          <w:p>
            <w:pPr>
              <w:jc w:val="right"/>
              <w:spacing w:after="0"/>
              <w:rPr>
                <w:rFonts w:ascii="Arial" w:cs="Arial" w:eastAsia="Arial" w:hAnsi="Arial"/>
                <w:sz w:val="18"/>
                <w:szCs w:val="18"/>
                <w:b w:val="1"/>
                <w:bCs w:val="1"/>
                <w:u w:val="single" w:color="auto"/>
                <w:color w:val="4800E6"/>
              </w:rPr>
            </w:pPr>
            <w:hyperlink w:anchor="page12">
              <w:r>
                <w:rPr>
                  <w:rFonts w:ascii="Arial" w:cs="Arial" w:eastAsia="Arial" w:hAnsi="Arial"/>
                  <w:sz w:val="18"/>
                  <w:szCs w:val="18"/>
                  <w:b w:val="1"/>
                  <w:bCs w:val="1"/>
                  <w:u w:val="single" w:color="auto"/>
                  <w:color w:val="4800E6"/>
                </w:rPr>
                <w:t>9</w:t>
              </w:r>
            </w:hyperlink>
          </w:p>
        </w:tc>
        <w:tc>
          <w:tcPr>
            <w:tcW w:w="780" w:type="dxa"/>
            <w:vAlign w:val="bottom"/>
          </w:tcPr>
          <w:p>
            <w:pPr>
              <w:spacing w:after="0"/>
              <w:rPr>
                <w:sz w:val="24"/>
                <w:szCs w:val="24"/>
                <w:color w:val="auto"/>
              </w:rPr>
            </w:pPr>
          </w:p>
        </w:tc>
      </w:tr>
      <w:tr>
        <w:trPr>
          <w:trHeight w:val="230"/>
        </w:trPr>
        <w:tc>
          <w:tcPr>
            <w:tcW w:w="8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5820" w:type="dxa"/>
            <w:vAlign w:val="bottom"/>
            <w:gridSpan w:val="2"/>
          </w:tcPr>
          <w:p>
            <w:pPr>
              <w:ind w:left="160"/>
              <w:spacing w:after="0"/>
              <w:rPr>
                <w:rFonts w:ascii="Arial" w:cs="Arial" w:eastAsia="Arial" w:hAnsi="Arial"/>
                <w:sz w:val="15"/>
                <w:szCs w:val="15"/>
                <w:u w:val="single" w:color="auto"/>
                <w:color w:val="0000EE"/>
              </w:rPr>
            </w:pPr>
            <w:hyperlink w:anchor="page12">
              <w:r>
                <w:rPr>
                  <w:rFonts w:ascii="Arial" w:cs="Arial" w:eastAsia="Arial" w:hAnsi="Arial"/>
                  <w:sz w:val="15"/>
                  <w:szCs w:val="15"/>
                  <w:u w:val="single" w:color="auto"/>
                  <w:color w:val="0000EE"/>
                </w:rPr>
                <w:t>The Board of Directors</w:t>
              </w:r>
            </w:hyperlink>
          </w:p>
        </w:tc>
        <w:tc>
          <w:tcPr>
            <w:tcW w:w="3920" w:type="dxa"/>
            <w:vAlign w:val="bottom"/>
            <w:gridSpan w:val="3"/>
          </w:tcPr>
          <w:p>
            <w:pPr>
              <w:jc w:val="right"/>
              <w:ind w:right="780"/>
              <w:spacing w:after="0"/>
              <w:rPr>
                <w:rFonts w:ascii="Arial" w:cs="Arial" w:eastAsia="Arial" w:hAnsi="Arial"/>
                <w:sz w:val="15"/>
                <w:szCs w:val="15"/>
                <w:u w:val="single" w:color="auto"/>
                <w:color w:val="0000EE"/>
              </w:rPr>
            </w:pPr>
            <w:hyperlink w:anchor="page12">
              <w:r>
                <w:rPr>
                  <w:rFonts w:ascii="Arial" w:cs="Arial" w:eastAsia="Arial" w:hAnsi="Arial"/>
                  <w:sz w:val="15"/>
                  <w:szCs w:val="15"/>
                  <w:u w:val="single" w:color="auto"/>
                  <w:color w:val="0000EE"/>
                </w:rPr>
                <w:t>9</w:t>
              </w:r>
            </w:hyperlink>
          </w:p>
        </w:tc>
      </w:tr>
      <w:tr>
        <w:trPr>
          <w:trHeight w:val="229"/>
        </w:trPr>
        <w:tc>
          <w:tcPr>
            <w:tcW w:w="8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5820" w:type="dxa"/>
            <w:vAlign w:val="bottom"/>
            <w:gridSpan w:val="2"/>
            <w:shd w:val="clear" w:color="auto" w:fill="CCEEFF"/>
          </w:tcPr>
          <w:p>
            <w:pPr>
              <w:ind w:left="160"/>
              <w:spacing w:after="0"/>
              <w:rPr>
                <w:rFonts w:ascii="Arial" w:cs="Arial" w:eastAsia="Arial" w:hAnsi="Arial"/>
                <w:sz w:val="15"/>
                <w:szCs w:val="15"/>
                <w:u w:val="single" w:color="auto"/>
                <w:color w:val="0000EE"/>
              </w:rPr>
            </w:pPr>
            <w:hyperlink w:anchor="page12">
              <w:r>
                <w:rPr>
                  <w:rFonts w:ascii="Arial" w:cs="Arial" w:eastAsia="Arial" w:hAnsi="Arial"/>
                  <w:sz w:val="15"/>
                  <w:szCs w:val="15"/>
                  <w:u w:val="single" w:color="auto"/>
                  <w:color w:val="0000EE"/>
                </w:rPr>
                <w:t>Board Qualifications and Director Selections</w:t>
              </w:r>
            </w:hyperlink>
          </w:p>
        </w:tc>
        <w:tc>
          <w:tcPr>
            <w:tcW w:w="3140" w:type="dxa"/>
            <w:vAlign w:val="bottom"/>
            <w:gridSpan w:val="2"/>
            <w:shd w:val="clear" w:color="auto" w:fill="CCEEFF"/>
          </w:tcPr>
          <w:p>
            <w:pPr>
              <w:jc w:val="right"/>
              <w:spacing w:after="0"/>
              <w:rPr>
                <w:rFonts w:ascii="Arial" w:cs="Arial" w:eastAsia="Arial" w:hAnsi="Arial"/>
                <w:sz w:val="15"/>
                <w:szCs w:val="15"/>
                <w:u w:val="single" w:color="auto"/>
                <w:color w:val="0000EE"/>
              </w:rPr>
            </w:pPr>
            <w:hyperlink w:anchor="page12">
              <w:r>
                <w:rPr>
                  <w:rFonts w:ascii="Arial" w:cs="Arial" w:eastAsia="Arial" w:hAnsi="Arial"/>
                  <w:sz w:val="15"/>
                  <w:szCs w:val="15"/>
                  <w:u w:val="single" w:color="auto"/>
                  <w:color w:val="0000EE"/>
                </w:rPr>
                <w:t>9</w:t>
              </w:r>
            </w:hyperlink>
          </w:p>
        </w:tc>
        <w:tc>
          <w:tcPr>
            <w:tcW w:w="780" w:type="dxa"/>
            <w:vAlign w:val="bottom"/>
          </w:tcPr>
          <w:p>
            <w:pPr>
              <w:spacing w:after="0"/>
              <w:rPr>
                <w:sz w:val="19"/>
                <w:szCs w:val="19"/>
                <w:color w:val="auto"/>
              </w:rPr>
            </w:pPr>
          </w:p>
        </w:tc>
      </w:tr>
      <w:tr>
        <w:trPr>
          <w:trHeight w:val="229"/>
        </w:trPr>
        <w:tc>
          <w:tcPr>
            <w:tcW w:w="8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5820" w:type="dxa"/>
            <w:vAlign w:val="bottom"/>
            <w:gridSpan w:val="2"/>
          </w:tcPr>
          <w:p>
            <w:pPr>
              <w:ind w:left="160"/>
              <w:spacing w:after="0"/>
              <w:rPr>
                <w:rFonts w:ascii="Arial" w:cs="Arial" w:eastAsia="Arial" w:hAnsi="Arial"/>
                <w:sz w:val="15"/>
                <w:szCs w:val="15"/>
                <w:u w:val="single" w:color="auto"/>
                <w:color w:val="0000EE"/>
              </w:rPr>
            </w:pPr>
            <w:hyperlink w:anchor="page13">
              <w:r>
                <w:rPr>
                  <w:rFonts w:ascii="Arial" w:cs="Arial" w:eastAsia="Arial" w:hAnsi="Arial"/>
                  <w:sz w:val="15"/>
                  <w:szCs w:val="15"/>
                  <w:u w:val="single" w:color="auto"/>
                  <w:color w:val="0000EE"/>
                </w:rPr>
                <w:t>Board Diversity and Director Tenure</w:t>
              </w:r>
            </w:hyperlink>
          </w:p>
        </w:tc>
        <w:tc>
          <w:tcPr>
            <w:tcW w:w="3920" w:type="dxa"/>
            <w:vAlign w:val="bottom"/>
            <w:gridSpan w:val="3"/>
          </w:tcPr>
          <w:p>
            <w:pPr>
              <w:jc w:val="right"/>
              <w:ind w:right="780"/>
              <w:spacing w:after="0"/>
              <w:rPr>
                <w:rFonts w:ascii="Arial" w:cs="Arial" w:eastAsia="Arial" w:hAnsi="Arial"/>
                <w:sz w:val="15"/>
                <w:szCs w:val="15"/>
                <w:u w:val="single" w:color="auto"/>
                <w:color w:val="0000EE"/>
              </w:rPr>
            </w:pPr>
            <w:hyperlink w:anchor="page13">
              <w:r>
                <w:rPr>
                  <w:rFonts w:ascii="Arial" w:cs="Arial" w:eastAsia="Arial" w:hAnsi="Arial"/>
                  <w:sz w:val="15"/>
                  <w:szCs w:val="15"/>
                  <w:u w:val="single" w:color="auto"/>
                  <w:color w:val="0000EE"/>
                </w:rPr>
                <w:t>10</w:t>
              </w:r>
            </w:hyperlink>
          </w:p>
        </w:tc>
      </w:tr>
      <w:tr>
        <w:trPr>
          <w:trHeight w:val="230"/>
        </w:trPr>
        <w:tc>
          <w:tcPr>
            <w:tcW w:w="8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5820" w:type="dxa"/>
            <w:vAlign w:val="bottom"/>
            <w:gridSpan w:val="2"/>
            <w:shd w:val="clear" w:color="auto" w:fill="CCEEFF"/>
          </w:tcPr>
          <w:p>
            <w:pPr>
              <w:ind w:left="160"/>
              <w:spacing w:after="0"/>
              <w:rPr>
                <w:rFonts w:ascii="Arial" w:cs="Arial" w:eastAsia="Arial" w:hAnsi="Arial"/>
                <w:sz w:val="15"/>
                <w:szCs w:val="15"/>
                <w:u w:val="single" w:color="auto"/>
                <w:color w:val="0000EE"/>
              </w:rPr>
            </w:pPr>
            <w:hyperlink w:anchor="page14">
              <w:r>
                <w:rPr>
                  <w:rFonts w:ascii="Arial" w:cs="Arial" w:eastAsia="Arial" w:hAnsi="Arial"/>
                  <w:sz w:val="15"/>
                  <w:szCs w:val="15"/>
                  <w:u w:val="single" w:color="auto"/>
                  <w:color w:val="0000EE"/>
                </w:rPr>
                <w:t>Background Information Regarding Directors</w:t>
              </w:r>
            </w:hyperlink>
          </w:p>
        </w:tc>
        <w:tc>
          <w:tcPr>
            <w:tcW w:w="3140" w:type="dxa"/>
            <w:vAlign w:val="bottom"/>
            <w:gridSpan w:val="2"/>
            <w:shd w:val="clear" w:color="auto" w:fill="CCEEFF"/>
          </w:tcPr>
          <w:p>
            <w:pPr>
              <w:jc w:val="right"/>
              <w:spacing w:after="0"/>
              <w:rPr>
                <w:rFonts w:ascii="Arial" w:cs="Arial" w:eastAsia="Arial" w:hAnsi="Arial"/>
                <w:sz w:val="15"/>
                <w:szCs w:val="15"/>
                <w:u w:val="single" w:color="auto"/>
                <w:color w:val="0000EE"/>
              </w:rPr>
            </w:pPr>
            <w:hyperlink w:anchor="page14">
              <w:r>
                <w:rPr>
                  <w:rFonts w:ascii="Arial" w:cs="Arial" w:eastAsia="Arial" w:hAnsi="Arial"/>
                  <w:sz w:val="15"/>
                  <w:szCs w:val="15"/>
                  <w:u w:val="single" w:color="auto"/>
                  <w:color w:val="0000EE"/>
                </w:rPr>
                <w:t>11</w:t>
              </w:r>
            </w:hyperlink>
          </w:p>
        </w:tc>
        <w:tc>
          <w:tcPr>
            <w:tcW w:w="780" w:type="dxa"/>
            <w:vAlign w:val="bottom"/>
          </w:tcPr>
          <w:p>
            <w:pPr>
              <w:spacing w:after="0"/>
              <w:rPr>
                <w:sz w:val="19"/>
                <w:szCs w:val="19"/>
                <w:color w:val="auto"/>
              </w:rPr>
            </w:pPr>
          </w:p>
        </w:tc>
      </w:tr>
      <w:tr>
        <w:trPr>
          <w:trHeight w:val="229"/>
        </w:trPr>
        <w:tc>
          <w:tcPr>
            <w:tcW w:w="8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5820" w:type="dxa"/>
            <w:vAlign w:val="bottom"/>
            <w:gridSpan w:val="2"/>
          </w:tcPr>
          <w:p>
            <w:pPr>
              <w:ind w:left="160"/>
              <w:spacing w:after="0"/>
              <w:rPr>
                <w:rFonts w:ascii="Arial" w:cs="Arial" w:eastAsia="Arial" w:hAnsi="Arial"/>
                <w:sz w:val="15"/>
                <w:szCs w:val="15"/>
                <w:u w:val="single" w:color="auto"/>
                <w:color w:val="0000EE"/>
              </w:rPr>
            </w:pPr>
            <w:hyperlink w:anchor="page18">
              <w:r>
                <w:rPr>
                  <w:rFonts w:ascii="Arial" w:cs="Arial" w:eastAsia="Arial" w:hAnsi="Arial"/>
                  <w:sz w:val="15"/>
                  <w:szCs w:val="15"/>
                  <w:u w:val="single" w:color="auto"/>
                  <w:color w:val="0000EE"/>
                </w:rPr>
                <w:t>Family Relationships</w:t>
              </w:r>
            </w:hyperlink>
          </w:p>
        </w:tc>
        <w:tc>
          <w:tcPr>
            <w:tcW w:w="3920" w:type="dxa"/>
            <w:vAlign w:val="bottom"/>
            <w:gridSpan w:val="3"/>
          </w:tcPr>
          <w:p>
            <w:pPr>
              <w:jc w:val="right"/>
              <w:ind w:right="780"/>
              <w:spacing w:after="0"/>
              <w:rPr>
                <w:rFonts w:ascii="Arial" w:cs="Arial" w:eastAsia="Arial" w:hAnsi="Arial"/>
                <w:sz w:val="15"/>
                <w:szCs w:val="15"/>
                <w:u w:val="single" w:color="auto"/>
                <w:color w:val="0000EE"/>
              </w:rPr>
            </w:pPr>
            <w:hyperlink w:anchor="page18">
              <w:r>
                <w:rPr>
                  <w:rFonts w:ascii="Arial" w:cs="Arial" w:eastAsia="Arial" w:hAnsi="Arial"/>
                  <w:sz w:val="15"/>
                  <w:szCs w:val="15"/>
                  <w:u w:val="single" w:color="auto"/>
                  <w:color w:val="0000EE"/>
                </w:rPr>
                <w:t>15</w:t>
              </w:r>
            </w:hyperlink>
          </w:p>
        </w:tc>
      </w:tr>
      <w:tr>
        <w:trPr>
          <w:trHeight w:val="230"/>
        </w:trPr>
        <w:tc>
          <w:tcPr>
            <w:tcW w:w="8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5820" w:type="dxa"/>
            <w:vAlign w:val="bottom"/>
            <w:gridSpan w:val="2"/>
            <w:shd w:val="clear" w:color="auto" w:fill="CCEEFF"/>
          </w:tcPr>
          <w:p>
            <w:pPr>
              <w:ind w:left="160"/>
              <w:spacing w:after="0"/>
              <w:rPr>
                <w:rFonts w:ascii="Arial" w:cs="Arial" w:eastAsia="Arial" w:hAnsi="Arial"/>
                <w:sz w:val="15"/>
                <w:szCs w:val="15"/>
                <w:u w:val="single" w:color="auto"/>
                <w:color w:val="0000EE"/>
              </w:rPr>
            </w:pPr>
            <w:hyperlink w:anchor="page19">
              <w:r>
                <w:rPr>
                  <w:rFonts w:ascii="Arial" w:cs="Arial" w:eastAsia="Arial" w:hAnsi="Arial"/>
                  <w:sz w:val="15"/>
                  <w:szCs w:val="15"/>
                  <w:u w:val="single" w:color="auto"/>
                  <w:color w:val="0000EE"/>
                </w:rPr>
                <w:t>Compensation Committee Interlocks</w:t>
              </w:r>
            </w:hyperlink>
          </w:p>
        </w:tc>
        <w:tc>
          <w:tcPr>
            <w:tcW w:w="3140" w:type="dxa"/>
            <w:vAlign w:val="bottom"/>
            <w:gridSpan w:val="2"/>
            <w:shd w:val="clear" w:color="auto" w:fill="CCEEFF"/>
          </w:tcPr>
          <w:p>
            <w:pPr>
              <w:jc w:val="right"/>
              <w:spacing w:after="0"/>
              <w:rPr>
                <w:rFonts w:ascii="Arial" w:cs="Arial" w:eastAsia="Arial" w:hAnsi="Arial"/>
                <w:sz w:val="15"/>
                <w:szCs w:val="15"/>
                <w:u w:val="single" w:color="auto"/>
                <w:color w:val="0000EE"/>
              </w:rPr>
            </w:pPr>
            <w:hyperlink w:anchor="page19">
              <w:r>
                <w:rPr>
                  <w:rFonts w:ascii="Arial" w:cs="Arial" w:eastAsia="Arial" w:hAnsi="Arial"/>
                  <w:sz w:val="15"/>
                  <w:szCs w:val="15"/>
                  <w:u w:val="single" w:color="auto"/>
                  <w:color w:val="0000EE"/>
                </w:rPr>
                <w:t>16</w:t>
              </w:r>
            </w:hyperlink>
          </w:p>
        </w:tc>
        <w:tc>
          <w:tcPr>
            <w:tcW w:w="780" w:type="dxa"/>
            <w:vAlign w:val="bottom"/>
          </w:tcPr>
          <w:p>
            <w:pPr>
              <w:spacing w:after="0"/>
              <w:rPr>
                <w:sz w:val="19"/>
                <w:szCs w:val="19"/>
                <w:color w:val="auto"/>
              </w:rPr>
            </w:pPr>
          </w:p>
        </w:tc>
      </w:tr>
      <w:tr>
        <w:trPr>
          <w:trHeight w:val="229"/>
        </w:trPr>
        <w:tc>
          <w:tcPr>
            <w:tcW w:w="8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5820" w:type="dxa"/>
            <w:vAlign w:val="bottom"/>
            <w:gridSpan w:val="2"/>
          </w:tcPr>
          <w:p>
            <w:pPr>
              <w:ind w:left="160"/>
              <w:spacing w:after="0"/>
              <w:rPr>
                <w:rFonts w:ascii="Arial" w:cs="Arial" w:eastAsia="Arial" w:hAnsi="Arial"/>
                <w:sz w:val="15"/>
                <w:szCs w:val="15"/>
                <w:u w:val="single" w:color="auto"/>
                <w:color w:val="0000EE"/>
              </w:rPr>
            </w:pPr>
            <w:hyperlink w:anchor="page19">
              <w:r>
                <w:rPr>
                  <w:rFonts w:ascii="Arial" w:cs="Arial" w:eastAsia="Arial" w:hAnsi="Arial"/>
                  <w:sz w:val="15"/>
                  <w:szCs w:val="15"/>
                  <w:u w:val="single" w:color="auto"/>
                  <w:color w:val="0000EE"/>
                </w:rPr>
                <w:t>Director Independence</w:t>
              </w:r>
            </w:hyperlink>
          </w:p>
        </w:tc>
        <w:tc>
          <w:tcPr>
            <w:tcW w:w="3920" w:type="dxa"/>
            <w:vAlign w:val="bottom"/>
            <w:gridSpan w:val="3"/>
          </w:tcPr>
          <w:p>
            <w:pPr>
              <w:jc w:val="right"/>
              <w:ind w:right="780"/>
              <w:spacing w:after="0"/>
              <w:rPr>
                <w:rFonts w:ascii="Arial" w:cs="Arial" w:eastAsia="Arial" w:hAnsi="Arial"/>
                <w:sz w:val="15"/>
                <w:szCs w:val="15"/>
                <w:u w:val="single" w:color="auto"/>
                <w:color w:val="0000EE"/>
              </w:rPr>
            </w:pPr>
            <w:hyperlink w:anchor="page19">
              <w:r>
                <w:rPr>
                  <w:rFonts w:ascii="Arial" w:cs="Arial" w:eastAsia="Arial" w:hAnsi="Arial"/>
                  <w:sz w:val="15"/>
                  <w:szCs w:val="15"/>
                  <w:u w:val="single" w:color="auto"/>
                  <w:color w:val="0000EE"/>
                </w:rPr>
                <w:t>16</w:t>
              </w:r>
            </w:hyperlink>
          </w:p>
        </w:tc>
      </w:tr>
      <w:tr>
        <w:trPr>
          <w:trHeight w:val="229"/>
        </w:trPr>
        <w:tc>
          <w:tcPr>
            <w:tcW w:w="8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5820" w:type="dxa"/>
            <w:vAlign w:val="bottom"/>
            <w:gridSpan w:val="2"/>
            <w:shd w:val="clear" w:color="auto" w:fill="CCEEFF"/>
          </w:tcPr>
          <w:p>
            <w:pPr>
              <w:ind w:left="160"/>
              <w:spacing w:after="0"/>
              <w:rPr>
                <w:rFonts w:ascii="Arial" w:cs="Arial" w:eastAsia="Arial" w:hAnsi="Arial"/>
                <w:sz w:val="15"/>
                <w:szCs w:val="15"/>
                <w:u w:val="single" w:color="auto"/>
                <w:color w:val="0000EE"/>
              </w:rPr>
            </w:pPr>
            <w:hyperlink w:anchor="page20">
              <w:r>
                <w:rPr>
                  <w:rFonts w:ascii="Arial" w:cs="Arial" w:eastAsia="Arial" w:hAnsi="Arial"/>
                  <w:sz w:val="15"/>
                  <w:szCs w:val="15"/>
                  <w:u w:val="single" w:color="auto"/>
                  <w:color w:val="0000EE"/>
                </w:rPr>
                <w:t>Board Leadership Structure</w:t>
              </w:r>
            </w:hyperlink>
          </w:p>
        </w:tc>
        <w:tc>
          <w:tcPr>
            <w:tcW w:w="3140" w:type="dxa"/>
            <w:vAlign w:val="bottom"/>
            <w:gridSpan w:val="2"/>
            <w:shd w:val="clear" w:color="auto" w:fill="CCEEFF"/>
          </w:tcPr>
          <w:p>
            <w:pPr>
              <w:jc w:val="right"/>
              <w:spacing w:after="0"/>
              <w:rPr>
                <w:rFonts w:ascii="Arial" w:cs="Arial" w:eastAsia="Arial" w:hAnsi="Arial"/>
                <w:sz w:val="15"/>
                <w:szCs w:val="15"/>
                <w:u w:val="single" w:color="auto"/>
                <w:color w:val="0000EE"/>
              </w:rPr>
            </w:pPr>
            <w:hyperlink w:anchor="page20">
              <w:r>
                <w:rPr>
                  <w:rFonts w:ascii="Arial" w:cs="Arial" w:eastAsia="Arial" w:hAnsi="Arial"/>
                  <w:sz w:val="15"/>
                  <w:szCs w:val="15"/>
                  <w:u w:val="single" w:color="auto"/>
                  <w:color w:val="0000EE"/>
                </w:rPr>
                <w:t>17</w:t>
              </w:r>
            </w:hyperlink>
          </w:p>
        </w:tc>
        <w:tc>
          <w:tcPr>
            <w:tcW w:w="780" w:type="dxa"/>
            <w:vAlign w:val="bottom"/>
          </w:tcPr>
          <w:p>
            <w:pPr>
              <w:spacing w:after="0"/>
              <w:rPr>
                <w:sz w:val="19"/>
                <w:szCs w:val="19"/>
                <w:color w:val="auto"/>
              </w:rPr>
            </w:pPr>
          </w:p>
        </w:tc>
      </w:tr>
      <w:tr>
        <w:trPr>
          <w:trHeight w:val="230"/>
        </w:trPr>
        <w:tc>
          <w:tcPr>
            <w:tcW w:w="8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5820" w:type="dxa"/>
            <w:vAlign w:val="bottom"/>
            <w:gridSpan w:val="2"/>
          </w:tcPr>
          <w:p>
            <w:pPr>
              <w:ind w:left="160"/>
              <w:spacing w:after="0"/>
              <w:rPr>
                <w:rFonts w:ascii="Arial" w:cs="Arial" w:eastAsia="Arial" w:hAnsi="Arial"/>
                <w:sz w:val="15"/>
                <w:szCs w:val="15"/>
                <w:u w:val="single" w:color="auto"/>
                <w:color w:val="0000EE"/>
              </w:rPr>
            </w:pPr>
            <w:hyperlink w:anchor="page20">
              <w:r>
                <w:rPr>
                  <w:rFonts w:ascii="Arial" w:cs="Arial" w:eastAsia="Arial" w:hAnsi="Arial"/>
                  <w:sz w:val="15"/>
                  <w:szCs w:val="15"/>
                  <w:u w:val="single" w:color="auto"/>
                  <w:color w:val="0000EE"/>
                </w:rPr>
                <w:t>Board Role in Risk Management</w:t>
              </w:r>
            </w:hyperlink>
          </w:p>
        </w:tc>
        <w:tc>
          <w:tcPr>
            <w:tcW w:w="3920" w:type="dxa"/>
            <w:vAlign w:val="bottom"/>
            <w:gridSpan w:val="3"/>
          </w:tcPr>
          <w:p>
            <w:pPr>
              <w:jc w:val="right"/>
              <w:ind w:right="780"/>
              <w:spacing w:after="0"/>
              <w:rPr>
                <w:rFonts w:ascii="Arial" w:cs="Arial" w:eastAsia="Arial" w:hAnsi="Arial"/>
                <w:sz w:val="15"/>
                <w:szCs w:val="15"/>
                <w:u w:val="single" w:color="auto"/>
                <w:color w:val="0000EE"/>
              </w:rPr>
            </w:pPr>
            <w:hyperlink w:anchor="page20">
              <w:r>
                <w:rPr>
                  <w:rFonts w:ascii="Arial" w:cs="Arial" w:eastAsia="Arial" w:hAnsi="Arial"/>
                  <w:sz w:val="15"/>
                  <w:szCs w:val="15"/>
                  <w:u w:val="single" w:color="auto"/>
                  <w:color w:val="0000EE"/>
                </w:rPr>
                <w:t>17</w:t>
              </w:r>
            </w:hyperlink>
          </w:p>
        </w:tc>
      </w:tr>
      <w:tr>
        <w:trPr>
          <w:trHeight w:val="229"/>
        </w:trPr>
        <w:tc>
          <w:tcPr>
            <w:tcW w:w="8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5820" w:type="dxa"/>
            <w:vAlign w:val="bottom"/>
            <w:gridSpan w:val="2"/>
            <w:shd w:val="clear" w:color="auto" w:fill="CCEEFF"/>
          </w:tcPr>
          <w:p>
            <w:pPr>
              <w:ind w:left="160"/>
              <w:spacing w:after="0"/>
              <w:rPr>
                <w:rFonts w:ascii="Arial" w:cs="Arial" w:eastAsia="Arial" w:hAnsi="Arial"/>
                <w:sz w:val="15"/>
                <w:szCs w:val="15"/>
                <w:u w:val="single" w:color="auto"/>
                <w:color w:val="0000EE"/>
              </w:rPr>
            </w:pPr>
            <w:hyperlink w:anchor="page21">
              <w:r>
                <w:rPr>
                  <w:rFonts w:ascii="Arial" w:cs="Arial" w:eastAsia="Arial" w:hAnsi="Arial"/>
                  <w:sz w:val="15"/>
                  <w:szCs w:val="15"/>
                  <w:u w:val="single" w:color="auto"/>
                  <w:color w:val="0000EE"/>
                </w:rPr>
                <w:t>Board, Committees and Shareholder Meetings</w:t>
              </w:r>
            </w:hyperlink>
          </w:p>
        </w:tc>
        <w:tc>
          <w:tcPr>
            <w:tcW w:w="3140" w:type="dxa"/>
            <w:vAlign w:val="bottom"/>
            <w:gridSpan w:val="2"/>
            <w:shd w:val="clear" w:color="auto" w:fill="CCEEFF"/>
          </w:tcPr>
          <w:p>
            <w:pPr>
              <w:jc w:val="right"/>
              <w:spacing w:after="0"/>
              <w:rPr>
                <w:rFonts w:ascii="Arial" w:cs="Arial" w:eastAsia="Arial" w:hAnsi="Arial"/>
                <w:sz w:val="15"/>
                <w:szCs w:val="15"/>
                <w:u w:val="single" w:color="auto"/>
                <w:color w:val="0000EE"/>
              </w:rPr>
            </w:pPr>
            <w:hyperlink w:anchor="page21">
              <w:r>
                <w:rPr>
                  <w:rFonts w:ascii="Arial" w:cs="Arial" w:eastAsia="Arial" w:hAnsi="Arial"/>
                  <w:sz w:val="15"/>
                  <w:szCs w:val="15"/>
                  <w:u w:val="single" w:color="auto"/>
                  <w:color w:val="0000EE"/>
                </w:rPr>
                <w:t>18</w:t>
              </w:r>
            </w:hyperlink>
          </w:p>
        </w:tc>
        <w:tc>
          <w:tcPr>
            <w:tcW w:w="780" w:type="dxa"/>
            <w:vAlign w:val="bottom"/>
          </w:tcPr>
          <w:p>
            <w:pPr>
              <w:spacing w:after="0"/>
              <w:rPr>
                <w:sz w:val="19"/>
                <w:szCs w:val="19"/>
                <w:color w:val="auto"/>
              </w:rPr>
            </w:pPr>
          </w:p>
        </w:tc>
      </w:tr>
      <w:tr>
        <w:trPr>
          <w:trHeight w:val="229"/>
        </w:trPr>
        <w:tc>
          <w:tcPr>
            <w:tcW w:w="8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5820" w:type="dxa"/>
            <w:vAlign w:val="bottom"/>
            <w:gridSpan w:val="2"/>
          </w:tcPr>
          <w:p>
            <w:pPr>
              <w:ind w:left="160"/>
              <w:spacing w:after="0"/>
              <w:rPr>
                <w:rFonts w:ascii="Arial" w:cs="Arial" w:eastAsia="Arial" w:hAnsi="Arial"/>
                <w:sz w:val="15"/>
                <w:szCs w:val="15"/>
                <w:u w:val="single" w:color="auto"/>
                <w:color w:val="0000EE"/>
              </w:rPr>
            </w:pPr>
            <w:hyperlink w:anchor="page22">
              <w:r>
                <w:rPr>
                  <w:rFonts w:ascii="Arial" w:cs="Arial" w:eastAsia="Arial" w:hAnsi="Arial"/>
                  <w:sz w:val="15"/>
                  <w:szCs w:val="15"/>
                  <w:u w:val="single" w:color="auto"/>
                  <w:color w:val="0000EE"/>
                </w:rPr>
                <w:t>Audit and Compliance Committee</w:t>
              </w:r>
            </w:hyperlink>
          </w:p>
        </w:tc>
        <w:tc>
          <w:tcPr>
            <w:tcW w:w="3920" w:type="dxa"/>
            <w:vAlign w:val="bottom"/>
            <w:gridSpan w:val="3"/>
          </w:tcPr>
          <w:p>
            <w:pPr>
              <w:jc w:val="right"/>
              <w:ind w:right="780"/>
              <w:spacing w:after="0"/>
              <w:rPr>
                <w:rFonts w:ascii="Arial" w:cs="Arial" w:eastAsia="Arial" w:hAnsi="Arial"/>
                <w:sz w:val="15"/>
                <w:szCs w:val="15"/>
                <w:u w:val="single" w:color="auto"/>
                <w:color w:val="0000EE"/>
              </w:rPr>
            </w:pPr>
            <w:hyperlink w:anchor="page22">
              <w:r>
                <w:rPr>
                  <w:rFonts w:ascii="Arial" w:cs="Arial" w:eastAsia="Arial" w:hAnsi="Arial"/>
                  <w:sz w:val="15"/>
                  <w:szCs w:val="15"/>
                  <w:u w:val="single" w:color="auto"/>
                  <w:color w:val="0000EE"/>
                </w:rPr>
                <w:t>19</w:t>
              </w:r>
            </w:hyperlink>
          </w:p>
        </w:tc>
      </w:tr>
      <w:tr>
        <w:trPr>
          <w:trHeight w:val="230"/>
        </w:trPr>
        <w:tc>
          <w:tcPr>
            <w:tcW w:w="8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5820" w:type="dxa"/>
            <w:vAlign w:val="bottom"/>
            <w:gridSpan w:val="2"/>
            <w:shd w:val="clear" w:color="auto" w:fill="CCEEFF"/>
          </w:tcPr>
          <w:p>
            <w:pPr>
              <w:ind w:left="160"/>
              <w:spacing w:after="0"/>
              <w:rPr>
                <w:rFonts w:ascii="Arial" w:cs="Arial" w:eastAsia="Arial" w:hAnsi="Arial"/>
                <w:sz w:val="15"/>
                <w:szCs w:val="15"/>
                <w:u w:val="single" w:color="auto"/>
                <w:color w:val="0000EE"/>
              </w:rPr>
            </w:pPr>
            <w:hyperlink w:anchor="page22">
              <w:r>
                <w:rPr>
                  <w:rFonts w:ascii="Arial" w:cs="Arial" w:eastAsia="Arial" w:hAnsi="Arial"/>
                  <w:sz w:val="15"/>
                  <w:szCs w:val="15"/>
                  <w:u w:val="single" w:color="auto"/>
                  <w:color w:val="0000EE"/>
                </w:rPr>
                <w:t>Compensation Committee</w:t>
              </w:r>
            </w:hyperlink>
          </w:p>
        </w:tc>
        <w:tc>
          <w:tcPr>
            <w:tcW w:w="3140" w:type="dxa"/>
            <w:vAlign w:val="bottom"/>
            <w:gridSpan w:val="2"/>
            <w:shd w:val="clear" w:color="auto" w:fill="CCEEFF"/>
          </w:tcPr>
          <w:p>
            <w:pPr>
              <w:jc w:val="right"/>
              <w:spacing w:after="0"/>
              <w:rPr>
                <w:rFonts w:ascii="Arial" w:cs="Arial" w:eastAsia="Arial" w:hAnsi="Arial"/>
                <w:sz w:val="15"/>
                <w:szCs w:val="15"/>
                <w:u w:val="single" w:color="auto"/>
                <w:color w:val="0000EE"/>
              </w:rPr>
            </w:pPr>
            <w:hyperlink w:anchor="page22">
              <w:r>
                <w:rPr>
                  <w:rFonts w:ascii="Arial" w:cs="Arial" w:eastAsia="Arial" w:hAnsi="Arial"/>
                  <w:sz w:val="15"/>
                  <w:szCs w:val="15"/>
                  <w:u w:val="single" w:color="auto"/>
                  <w:color w:val="0000EE"/>
                </w:rPr>
                <w:t>19</w:t>
              </w:r>
            </w:hyperlink>
          </w:p>
        </w:tc>
        <w:tc>
          <w:tcPr>
            <w:tcW w:w="780" w:type="dxa"/>
            <w:vAlign w:val="bottom"/>
          </w:tcPr>
          <w:p>
            <w:pPr>
              <w:spacing w:after="0"/>
              <w:rPr>
                <w:sz w:val="19"/>
                <w:szCs w:val="19"/>
                <w:color w:val="auto"/>
              </w:rPr>
            </w:pPr>
          </w:p>
        </w:tc>
      </w:tr>
      <w:tr>
        <w:trPr>
          <w:trHeight w:val="229"/>
        </w:trPr>
        <w:tc>
          <w:tcPr>
            <w:tcW w:w="8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5820" w:type="dxa"/>
            <w:vAlign w:val="bottom"/>
            <w:gridSpan w:val="2"/>
          </w:tcPr>
          <w:p>
            <w:pPr>
              <w:ind w:left="160"/>
              <w:spacing w:after="0"/>
              <w:rPr>
                <w:rFonts w:ascii="Arial" w:cs="Arial" w:eastAsia="Arial" w:hAnsi="Arial"/>
                <w:sz w:val="15"/>
                <w:szCs w:val="15"/>
                <w:u w:val="single" w:color="auto"/>
                <w:color w:val="0000EE"/>
              </w:rPr>
            </w:pPr>
            <w:hyperlink w:anchor="page23">
              <w:r>
                <w:rPr>
                  <w:rFonts w:ascii="Arial" w:cs="Arial" w:eastAsia="Arial" w:hAnsi="Arial"/>
                  <w:sz w:val="15"/>
                  <w:szCs w:val="15"/>
                  <w:u w:val="single" w:color="auto"/>
                  <w:color w:val="0000EE"/>
                </w:rPr>
                <w:t>Nominating and Corporate Governance Committee</w:t>
              </w:r>
            </w:hyperlink>
          </w:p>
        </w:tc>
        <w:tc>
          <w:tcPr>
            <w:tcW w:w="3920" w:type="dxa"/>
            <w:vAlign w:val="bottom"/>
            <w:gridSpan w:val="3"/>
          </w:tcPr>
          <w:p>
            <w:pPr>
              <w:jc w:val="right"/>
              <w:ind w:right="780"/>
              <w:spacing w:after="0"/>
              <w:rPr>
                <w:rFonts w:ascii="Arial" w:cs="Arial" w:eastAsia="Arial" w:hAnsi="Arial"/>
                <w:sz w:val="15"/>
                <w:szCs w:val="15"/>
                <w:u w:val="single" w:color="auto"/>
                <w:color w:val="0000EE"/>
              </w:rPr>
            </w:pPr>
            <w:hyperlink w:anchor="page23">
              <w:r>
                <w:rPr>
                  <w:rFonts w:ascii="Arial" w:cs="Arial" w:eastAsia="Arial" w:hAnsi="Arial"/>
                  <w:sz w:val="15"/>
                  <w:szCs w:val="15"/>
                  <w:u w:val="single" w:color="auto"/>
                  <w:color w:val="0000EE"/>
                </w:rPr>
                <w:t>20</w:t>
              </w:r>
            </w:hyperlink>
          </w:p>
        </w:tc>
      </w:tr>
      <w:tr>
        <w:trPr>
          <w:trHeight w:val="257"/>
        </w:trPr>
        <w:tc>
          <w:tcPr>
            <w:tcW w:w="8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5820" w:type="dxa"/>
            <w:vAlign w:val="bottom"/>
            <w:gridSpan w:val="2"/>
            <w:shd w:val="clear" w:color="auto" w:fill="CCEEFF"/>
          </w:tcPr>
          <w:p>
            <w:pPr>
              <w:ind w:left="160"/>
              <w:spacing w:after="0"/>
              <w:rPr>
                <w:rFonts w:ascii="Arial" w:cs="Arial" w:eastAsia="Arial" w:hAnsi="Arial"/>
                <w:sz w:val="15"/>
                <w:szCs w:val="15"/>
                <w:u w:val="single" w:color="auto"/>
                <w:color w:val="0000EE"/>
              </w:rPr>
            </w:pPr>
            <w:hyperlink w:anchor="page23">
              <w:r>
                <w:rPr>
                  <w:rFonts w:ascii="Arial" w:cs="Arial" w:eastAsia="Arial" w:hAnsi="Arial"/>
                  <w:sz w:val="15"/>
                  <w:szCs w:val="15"/>
                  <w:u w:val="single" w:color="auto"/>
                  <w:color w:val="0000EE"/>
                </w:rPr>
                <w:t>Governance Policies and Practices</w:t>
              </w:r>
            </w:hyperlink>
          </w:p>
        </w:tc>
        <w:tc>
          <w:tcPr>
            <w:tcW w:w="3140" w:type="dxa"/>
            <w:vAlign w:val="bottom"/>
            <w:gridSpan w:val="2"/>
            <w:shd w:val="clear" w:color="auto" w:fill="CCEEFF"/>
          </w:tcPr>
          <w:p>
            <w:pPr>
              <w:jc w:val="right"/>
              <w:spacing w:after="0"/>
              <w:rPr>
                <w:rFonts w:ascii="Arial" w:cs="Arial" w:eastAsia="Arial" w:hAnsi="Arial"/>
                <w:sz w:val="15"/>
                <w:szCs w:val="15"/>
                <w:u w:val="single" w:color="auto"/>
                <w:color w:val="0000EE"/>
              </w:rPr>
            </w:pPr>
            <w:hyperlink w:anchor="page23">
              <w:r>
                <w:rPr>
                  <w:rFonts w:ascii="Arial" w:cs="Arial" w:eastAsia="Arial" w:hAnsi="Arial"/>
                  <w:sz w:val="15"/>
                  <w:szCs w:val="15"/>
                  <w:u w:val="single" w:color="auto"/>
                  <w:color w:val="0000EE"/>
                </w:rPr>
                <w:t>20</w:t>
              </w:r>
            </w:hyperlink>
          </w:p>
        </w:tc>
        <w:tc>
          <w:tcPr>
            <w:tcW w:w="780" w:type="dxa"/>
            <w:vAlign w:val="bottom"/>
          </w:tcPr>
          <w:p>
            <w:pPr>
              <w:spacing w:after="0"/>
              <w:rPr>
                <w:sz w:val="22"/>
                <w:szCs w:val="22"/>
                <w:color w:val="auto"/>
              </w:rPr>
            </w:pPr>
          </w:p>
        </w:tc>
      </w:tr>
      <w:tr>
        <w:trPr>
          <w:trHeight w:val="253"/>
        </w:trPr>
        <w:tc>
          <w:tcPr>
            <w:tcW w:w="8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5820" w:type="dxa"/>
            <w:vAlign w:val="bottom"/>
            <w:gridSpan w:val="2"/>
          </w:tcPr>
          <w:p>
            <w:pPr>
              <w:ind w:left="160"/>
              <w:spacing w:after="0"/>
              <w:rPr>
                <w:rFonts w:ascii="Arial" w:cs="Arial" w:eastAsia="Arial" w:hAnsi="Arial"/>
                <w:sz w:val="15"/>
                <w:szCs w:val="15"/>
                <w:u w:val="single" w:color="auto"/>
                <w:color w:val="0000EE"/>
              </w:rPr>
            </w:pPr>
            <w:hyperlink w:anchor="page24">
              <w:r>
                <w:rPr>
                  <w:rFonts w:ascii="Arial" w:cs="Arial" w:eastAsia="Arial" w:hAnsi="Arial"/>
                  <w:sz w:val="15"/>
                  <w:szCs w:val="15"/>
                  <w:u w:val="single" w:color="auto"/>
                  <w:color w:val="0000EE"/>
                </w:rPr>
                <w:t>Related Party Transactions</w:t>
              </w:r>
            </w:hyperlink>
          </w:p>
        </w:tc>
        <w:tc>
          <w:tcPr>
            <w:tcW w:w="3920" w:type="dxa"/>
            <w:vAlign w:val="bottom"/>
            <w:gridSpan w:val="3"/>
          </w:tcPr>
          <w:p>
            <w:pPr>
              <w:jc w:val="right"/>
              <w:ind w:right="780"/>
              <w:spacing w:after="0"/>
              <w:rPr>
                <w:rFonts w:ascii="Arial" w:cs="Arial" w:eastAsia="Arial" w:hAnsi="Arial"/>
                <w:sz w:val="15"/>
                <w:szCs w:val="15"/>
                <w:u w:val="single" w:color="auto"/>
                <w:color w:val="0000EE"/>
              </w:rPr>
            </w:pPr>
            <w:hyperlink w:anchor="page24">
              <w:r>
                <w:rPr>
                  <w:rFonts w:ascii="Arial" w:cs="Arial" w:eastAsia="Arial" w:hAnsi="Arial"/>
                  <w:sz w:val="15"/>
                  <w:szCs w:val="15"/>
                  <w:u w:val="single" w:color="auto"/>
                  <w:color w:val="0000EE"/>
                </w:rPr>
                <w:t>21</w:t>
              </w:r>
            </w:hyperlink>
          </w:p>
        </w:tc>
      </w:tr>
      <w:tr>
        <w:trPr>
          <w:trHeight w:val="260"/>
        </w:trPr>
        <w:tc>
          <w:tcPr>
            <w:tcW w:w="8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5820" w:type="dxa"/>
            <w:vAlign w:val="bottom"/>
            <w:gridSpan w:val="2"/>
            <w:shd w:val="clear" w:color="auto" w:fill="CCEEFF"/>
          </w:tcPr>
          <w:p>
            <w:pPr>
              <w:ind w:left="160"/>
              <w:spacing w:after="0"/>
              <w:rPr>
                <w:rFonts w:ascii="Arial" w:cs="Arial" w:eastAsia="Arial" w:hAnsi="Arial"/>
                <w:sz w:val="15"/>
                <w:szCs w:val="15"/>
                <w:u w:val="single" w:color="auto"/>
                <w:color w:val="0000EE"/>
              </w:rPr>
            </w:pPr>
            <w:hyperlink w:anchor="page25">
              <w:r>
                <w:rPr>
                  <w:rFonts w:ascii="Arial" w:cs="Arial" w:eastAsia="Arial" w:hAnsi="Arial"/>
                  <w:sz w:val="15"/>
                  <w:szCs w:val="15"/>
                  <w:u w:val="single" w:color="auto"/>
                  <w:color w:val="0000EE"/>
                </w:rPr>
                <w:t>Succession Planning</w:t>
              </w:r>
            </w:hyperlink>
          </w:p>
        </w:tc>
        <w:tc>
          <w:tcPr>
            <w:tcW w:w="3140" w:type="dxa"/>
            <w:vAlign w:val="bottom"/>
            <w:gridSpan w:val="2"/>
            <w:shd w:val="clear" w:color="auto" w:fill="CCEEFF"/>
          </w:tcPr>
          <w:p>
            <w:pPr>
              <w:jc w:val="right"/>
              <w:spacing w:after="0"/>
              <w:rPr>
                <w:rFonts w:ascii="Arial" w:cs="Arial" w:eastAsia="Arial" w:hAnsi="Arial"/>
                <w:sz w:val="15"/>
                <w:szCs w:val="15"/>
                <w:u w:val="single" w:color="auto"/>
                <w:color w:val="0000EE"/>
              </w:rPr>
            </w:pPr>
            <w:hyperlink w:anchor="page25">
              <w:r>
                <w:rPr>
                  <w:rFonts w:ascii="Arial" w:cs="Arial" w:eastAsia="Arial" w:hAnsi="Arial"/>
                  <w:sz w:val="15"/>
                  <w:szCs w:val="15"/>
                  <w:u w:val="single" w:color="auto"/>
                  <w:color w:val="0000EE"/>
                </w:rPr>
                <w:t>22</w:t>
              </w:r>
            </w:hyperlink>
          </w:p>
        </w:tc>
        <w:tc>
          <w:tcPr>
            <w:tcW w:w="780" w:type="dxa"/>
            <w:vAlign w:val="bottom"/>
          </w:tcPr>
          <w:p>
            <w:pPr>
              <w:spacing w:after="0"/>
              <w:rPr>
                <w:sz w:val="22"/>
                <w:szCs w:val="22"/>
                <w:color w:val="auto"/>
              </w:rPr>
            </w:pPr>
          </w:p>
        </w:tc>
      </w:tr>
      <w:tr>
        <w:trPr>
          <w:trHeight w:val="253"/>
        </w:trPr>
        <w:tc>
          <w:tcPr>
            <w:tcW w:w="8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5820" w:type="dxa"/>
            <w:vAlign w:val="bottom"/>
            <w:gridSpan w:val="2"/>
          </w:tcPr>
          <w:p>
            <w:pPr>
              <w:ind w:left="160"/>
              <w:spacing w:after="0"/>
              <w:rPr>
                <w:rFonts w:ascii="Arial" w:cs="Arial" w:eastAsia="Arial" w:hAnsi="Arial"/>
                <w:sz w:val="15"/>
                <w:szCs w:val="15"/>
                <w:u w:val="single" w:color="auto"/>
                <w:color w:val="0000EE"/>
              </w:rPr>
            </w:pPr>
            <w:hyperlink w:anchor="page25">
              <w:r>
                <w:rPr>
                  <w:rFonts w:ascii="Arial" w:cs="Arial" w:eastAsia="Arial" w:hAnsi="Arial"/>
                  <w:sz w:val="15"/>
                  <w:szCs w:val="15"/>
                  <w:u w:val="single" w:color="auto"/>
                  <w:color w:val="0000EE"/>
                </w:rPr>
                <w:t>Environmental, Sustainability and Corporate Social Responsibility</w:t>
              </w:r>
            </w:hyperlink>
          </w:p>
        </w:tc>
        <w:tc>
          <w:tcPr>
            <w:tcW w:w="3920" w:type="dxa"/>
            <w:vAlign w:val="bottom"/>
            <w:gridSpan w:val="3"/>
          </w:tcPr>
          <w:p>
            <w:pPr>
              <w:jc w:val="right"/>
              <w:ind w:right="780"/>
              <w:spacing w:after="0"/>
              <w:rPr>
                <w:rFonts w:ascii="Arial" w:cs="Arial" w:eastAsia="Arial" w:hAnsi="Arial"/>
                <w:sz w:val="15"/>
                <w:szCs w:val="15"/>
                <w:u w:val="single" w:color="auto"/>
                <w:color w:val="0000EE"/>
              </w:rPr>
            </w:pPr>
            <w:hyperlink w:anchor="page25">
              <w:r>
                <w:rPr>
                  <w:rFonts w:ascii="Arial" w:cs="Arial" w:eastAsia="Arial" w:hAnsi="Arial"/>
                  <w:sz w:val="15"/>
                  <w:szCs w:val="15"/>
                  <w:u w:val="single" w:color="auto"/>
                  <w:color w:val="0000EE"/>
                </w:rPr>
                <w:t>22</w:t>
              </w:r>
            </w:hyperlink>
          </w:p>
        </w:tc>
      </w:tr>
      <w:tr>
        <w:trPr>
          <w:trHeight w:val="260"/>
        </w:trPr>
        <w:tc>
          <w:tcPr>
            <w:tcW w:w="8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5820" w:type="dxa"/>
            <w:vAlign w:val="bottom"/>
            <w:gridSpan w:val="2"/>
            <w:shd w:val="clear" w:color="auto" w:fill="CCEEFF"/>
          </w:tcPr>
          <w:p>
            <w:pPr>
              <w:ind w:left="160"/>
              <w:spacing w:after="0"/>
              <w:rPr>
                <w:rFonts w:ascii="Arial" w:cs="Arial" w:eastAsia="Arial" w:hAnsi="Arial"/>
                <w:sz w:val="15"/>
                <w:szCs w:val="15"/>
                <w:u w:val="single" w:color="auto"/>
                <w:color w:val="0000EE"/>
              </w:rPr>
            </w:pPr>
            <w:hyperlink w:anchor="page25">
              <w:r>
                <w:rPr>
                  <w:rFonts w:ascii="Arial" w:cs="Arial" w:eastAsia="Arial" w:hAnsi="Arial"/>
                  <w:sz w:val="15"/>
                  <w:szCs w:val="15"/>
                  <w:u w:val="single" w:color="auto"/>
                  <w:color w:val="0000EE"/>
                </w:rPr>
                <w:t>Availability of Governance Documents</w:t>
              </w:r>
            </w:hyperlink>
          </w:p>
        </w:tc>
        <w:tc>
          <w:tcPr>
            <w:tcW w:w="3140" w:type="dxa"/>
            <w:vAlign w:val="bottom"/>
            <w:gridSpan w:val="2"/>
            <w:shd w:val="clear" w:color="auto" w:fill="CCEEFF"/>
          </w:tcPr>
          <w:p>
            <w:pPr>
              <w:jc w:val="right"/>
              <w:spacing w:after="0"/>
              <w:rPr>
                <w:rFonts w:ascii="Arial" w:cs="Arial" w:eastAsia="Arial" w:hAnsi="Arial"/>
                <w:sz w:val="15"/>
                <w:szCs w:val="15"/>
                <w:u w:val="single" w:color="auto"/>
                <w:color w:val="0000EE"/>
              </w:rPr>
            </w:pPr>
            <w:hyperlink w:anchor="page25">
              <w:r>
                <w:rPr>
                  <w:rFonts w:ascii="Arial" w:cs="Arial" w:eastAsia="Arial" w:hAnsi="Arial"/>
                  <w:sz w:val="15"/>
                  <w:szCs w:val="15"/>
                  <w:u w:val="single" w:color="auto"/>
                  <w:color w:val="0000EE"/>
                </w:rPr>
                <w:t>22</w:t>
              </w:r>
            </w:hyperlink>
          </w:p>
        </w:tc>
        <w:tc>
          <w:tcPr>
            <w:tcW w:w="780" w:type="dxa"/>
            <w:vAlign w:val="bottom"/>
          </w:tcPr>
          <w:p>
            <w:pPr>
              <w:spacing w:after="0"/>
              <w:rPr>
                <w:sz w:val="22"/>
                <w:szCs w:val="22"/>
                <w:color w:val="auto"/>
              </w:rPr>
            </w:pPr>
          </w:p>
        </w:tc>
      </w:tr>
      <w:tr>
        <w:trPr>
          <w:trHeight w:val="253"/>
        </w:trPr>
        <w:tc>
          <w:tcPr>
            <w:tcW w:w="8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5820" w:type="dxa"/>
            <w:vAlign w:val="bottom"/>
            <w:gridSpan w:val="2"/>
          </w:tcPr>
          <w:p>
            <w:pPr>
              <w:ind w:left="160"/>
              <w:spacing w:after="0"/>
              <w:rPr>
                <w:rFonts w:ascii="Arial" w:cs="Arial" w:eastAsia="Arial" w:hAnsi="Arial"/>
                <w:sz w:val="15"/>
                <w:szCs w:val="15"/>
                <w:u w:val="single" w:color="auto"/>
                <w:color w:val="0000EE"/>
              </w:rPr>
            </w:pPr>
            <w:hyperlink w:anchor="page26">
              <w:r>
                <w:rPr>
                  <w:rFonts w:ascii="Arial" w:cs="Arial" w:eastAsia="Arial" w:hAnsi="Arial"/>
                  <w:sz w:val="15"/>
                  <w:szCs w:val="15"/>
                  <w:u w:val="single" w:color="auto"/>
                  <w:color w:val="0000EE"/>
                </w:rPr>
                <w:t>Executive Officers</w:t>
              </w:r>
            </w:hyperlink>
          </w:p>
        </w:tc>
        <w:tc>
          <w:tcPr>
            <w:tcW w:w="3920" w:type="dxa"/>
            <w:vAlign w:val="bottom"/>
            <w:gridSpan w:val="3"/>
          </w:tcPr>
          <w:p>
            <w:pPr>
              <w:jc w:val="right"/>
              <w:ind w:right="780"/>
              <w:spacing w:after="0"/>
              <w:rPr>
                <w:rFonts w:ascii="Arial" w:cs="Arial" w:eastAsia="Arial" w:hAnsi="Arial"/>
                <w:sz w:val="15"/>
                <w:szCs w:val="15"/>
                <w:u w:val="single" w:color="auto"/>
                <w:color w:val="0000EE"/>
              </w:rPr>
            </w:pPr>
            <w:hyperlink w:anchor="page26">
              <w:r>
                <w:rPr>
                  <w:rFonts w:ascii="Arial" w:cs="Arial" w:eastAsia="Arial" w:hAnsi="Arial"/>
                  <w:sz w:val="15"/>
                  <w:szCs w:val="15"/>
                  <w:u w:val="single" w:color="auto"/>
                  <w:color w:val="0000EE"/>
                </w:rPr>
                <w:t>23</w:t>
              </w:r>
            </w:hyperlink>
          </w:p>
        </w:tc>
      </w:tr>
      <w:tr>
        <w:trPr>
          <w:trHeight w:val="368"/>
        </w:trPr>
        <w:tc>
          <w:tcPr>
            <w:tcW w:w="8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820" w:type="dxa"/>
            <w:vAlign w:val="bottom"/>
            <w:gridSpan w:val="2"/>
            <w:shd w:val="clear" w:color="auto" w:fill="CCEEFF"/>
          </w:tcPr>
          <w:p>
            <w:pPr>
              <w:spacing w:after="0"/>
              <w:rPr>
                <w:rFonts w:ascii="Arial" w:cs="Arial" w:eastAsia="Arial" w:hAnsi="Arial"/>
                <w:sz w:val="18"/>
                <w:szCs w:val="18"/>
                <w:b w:val="1"/>
                <w:bCs w:val="1"/>
                <w:u w:val="single" w:color="auto"/>
                <w:color w:val="4800E6"/>
              </w:rPr>
            </w:pPr>
            <w:hyperlink w:anchor="page28">
              <w:r>
                <w:rPr>
                  <w:rFonts w:ascii="Arial" w:cs="Arial" w:eastAsia="Arial" w:hAnsi="Arial"/>
                  <w:sz w:val="18"/>
                  <w:szCs w:val="18"/>
                  <w:b w:val="1"/>
                  <w:bCs w:val="1"/>
                  <w:u w:val="single" w:color="auto"/>
                  <w:color w:val="4800E6"/>
                </w:rPr>
                <w:t>Executive Compensation</w:t>
              </w:r>
            </w:hyperlink>
          </w:p>
        </w:tc>
        <w:tc>
          <w:tcPr>
            <w:tcW w:w="3140" w:type="dxa"/>
            <w:vAlign w:val="bottom"/>
            <w:gridSpan w:val="2"/>
            <w:shd w:val="clear" w:color="auto" w:fill="CCEEFF"/>
          </w:tcPr>
          <w:p>
            <w:pPr>
              <w:jc w:val="right"/>
              <w:spacing w:after="0"/>
              <w:rPr>
                <w:rFonts w:ascii="Arial" w:cs="Arial" w:eastAsia="Arial" w:hAnsi="Arial"/>
                <w:sz w:val="18"/>
                <w:szCs w:val="18"/>
                <w:b w:val="1"/>
                <w:bCs w:val="1"/>
                <w:u w:val="single" w:color="auto"/>
                <w:color w:val="4800E6"/>
              </w:rPr>
            </w:pPr>
            <w:hyperlink w:anchor="page28">
              <w:r>
                <w:rPr>
                  <w:rFonts w:ascii="Arial" w:cs="Arial" w:eastAsia="Arial" w:hAnsi="Arial"/>
                  <w:sz w:val="18"/>
                  <w:szCs w:val="18"/>
                  <w:b w:val="1"/>
                  <w:bCs w:val="1"/>
                  <w:u w:val="single" w:color="auto"/>
                  <w:color w:val="4800E6"/>
                </w:rPr>
                <w:t>25</w:t>
              </w:r>
            </w:hyperlink>
          </w:p>
        </w:tc>
        <w:tc>
          <w:tcPr>
            <w:tcW w:w="780" w:type="dxa"/>
            <w:vAlign w:val="bottom"/>
          </w:tcPr>
          <w:p>
            <w:pPr>
              <w:spacing w:after="0"/>
              <w:rPr>
                <w:sz w:val="24"/>
                <w:szCs w:val="24"/>
                <w:color w:val="auto"/>
              </w:rPr>
            </w:pPr>
          </w:p>
        </w:tc>
      </w:tr>
      <w:tr>
        <w:trPr>
          <w:trHeight w:val="253"/>
        </w:trPr>
        <w:tc>
          <w:tcPr>
            <w:tcW w:w="8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5820" w:type="dxa"/>
            <w:vAlign w:val="bottom"/>
            <w:gridSpan w:val="2"/>
          </w:tcPr>
          <w:p>
            <w:pPr>
              <w:ind w:left="160"/>
              <w:spacing w:after="0"/>
              <w:rPr>
                <w:rFonts w:ascii="Arial" w:cs="Arial" w:eastAsia="Arial" w:hAnsi="Arial"/>
                <w:sz w:val="15"/>
                <w:szCs w:val="15"/>
                <w:u w:val="single" w:color="auto"/>
                <w:color w:val="0000EE"/>
              </w:rPr>
            </w:pPr>
            <w:hyperlink w:anchor="page28">
              <w:r>
                <w:rPr>
                  <w:rFonts w:ascii="Arial" w:cs="Arial" w:eastAsia="Arial" w:hAnsi="Arial"/>
                  <w:sz w:val="15"/>
                  <w:szCs w:val="15"/>
                  <w:u w:val="single" w:color="auto"/>
                  <w:color w:val="0000EE"/>
                </w:rPr>
                <w:t>Compensation Committee Report</w:t>
              </w:r>
            </w:hyperlink>
          </w:p>
        </w:tc>
        <w:tc>
          <w:tcPr>
            <w:tcW w:w="3920" w:type="dxa"/>
            <w:vAlign w:val="bottom"/>
            <w:gridSpan w:val="3"/>
          </w:tcPr>
          <w:p>
            <w:pPr>
              <w:jc w:val="right"/>
              <w:ind w:right="780"/>
              <w:spacing w:after="0"/>
              <w:rPr>
                <w:rFonts w:ascii="Arial" w:cs="Arial" w:eastAsia="Arial" w:hAnsi="Arial"/>
                <w:sz w:val="15"/>
                <w:szCs w:val="15"/>
                <w:u w:val="single" w:color="auto"/>
                <w:color w:val="0000EE"/>
              </w:rPr>
            </w:pPr>
            <w:hyperlink w:anchor="page28">
              <w:r>
                <w:rPr>
                  <w:rFonts w:ascii="Arial" w:cs="Arial" w:eastAsia="Arial" w:hAnsi="Arial"/>
                  <w:sz w:val="15"/>
                  <w:szCs w:val="15"/>
                  <w:u w:val="single" w:color="auto"/>
                  <w:color w:val="0000EE"/>
                </w:rPr>
                <w:t>25</w:t>
              </w:r>
            </w:hyperlink>
          </w:p>
        </w:tc>
      </w:tr>
      <w:tr>
        <w:trPr>
          <w:trHeight w:val="261"/>
        </w:trPr>
        <w:tc>
          <w:tcPr>
            <w:tcW w:w="8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5820" w:type="dxa"/>
            <w:vAlign w:val="bottom"/>
            <w:gridSpan w:val="2"/>
            <w:shd w:val="clear" w:color="auto" w:fill="CCEEFF"/>
          </w:tcPr>
          <w:p>
            <w:pPr>
              <w:ind w:left="160"/>
              <w:spacing w:after="0"/>
              <w:rPr>
                <w:rFonts w:ascii="Arial" w:cs="Arial" w:eastAsia="Arial" w:hAnsi="Arial"/>
                <w:sz w:val="15"/>
                <w:szCs w:val="15"/>
                <w:u w:val="single" w:color="auto"/>
                <w:color w:val="0000EE"/>
              </w:rPr>
            </w:pPr>
            <w:hyperlink w:anchor="page28">
              <w:r>
                <w:rPr>
                  <w:rFonts w:ascii="Arial" w:cs="Arial" w:eastAsia="Arial" w:hAnsi="Arial"/>
                  <w:sz w:val="15"/>
                  <w:szCs w:val="15"/>
                  <w:u w:val="single" w:color="auto"/>
                  <w:color w:val="0000EE"/>
                </w:rPr>
                <w:t>Compensation Discussion &amp; Analysis</w:t>
              </w:r>
            </w:hyperlink>
          </w:p>
        </w:tc>
        <w:tc>
          <w:tcPr>
            <w:tcW w:w="3140" w:type="dxa"/>
            <w:vAlign w:val="bottom"/>
            <w:gridSpan w:val="2"/>
            <w:shd w:val="clear" w:color="auto" w:fill="CCEEFF"/>
          </w:tcPr>
          <w:p>
            <w:pPr>
              <w:jc w:val="right"/>
              <w:spacing w:after="0"/>
              <w:rPr>
                <w:rFonts w:ascii="Arial" w:cs="Arial" w:eastAsia="Arial" w:hAnsi="Arial"/>
                <w:sz w:val="15"/>
                <w:szCs w:val="15"/>
                <w:u w:val="single" w:color="auto"/>
                <w:color w:val="0000EE"/>
              </w:rPr>
            </w:pPr>
            <w:hyperlink w:anchor="page28">
              <w:r>
                <w:rPr>
                  <w:rFonts w:ascii="Arial" w:cs="Arial" w:eastAsia="Arial" w:hAnsi="Arial"/>
                  <w:sz w:val="15"/>
                  <w:szCs w:val="15"/>
                  <w:u w:val="single" w:color="auto"/>
                  <w:color w:val="0000EE"/>
                </w:rPr>
                <w:t>25</w:t>
              </w:r>
            </w:hyperlink>
          </w:p>
        </w:tc>
        <w:tc>
          <w:tcPr>
            <w:tcW w:w="780" w:type="dxa"/>
            <w:vAlign w:val="bottom"/>
          </w:tcPr>
          <w:p>
            <w:pPr>
              <w:spacing w:after="0"/>
              <w:rPr>
                <w:sz w:val="22"/>
                <w:szCs w:val="22"/>
                <w:color w:val="auto"/>
              </w:rPr>
            </w:pPr>
          </w:p>
        </w:tc>
      </w:tr>
      <w:tr>
        <w:trPr>
          <w:trHeight w:val="253"/>
        </w:trPr>
        <w:tc>
          <w:tcPr>
            <w:tcW w:w="8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5820" w:type="dxa"/>
            <w:vAlign w:val="bottom"/>
            <w:gridSpan w:val="2"/>
          </w:tcPr>
          <w:p>
            <w:pPr>
              <w:ind w:left="160"/>
              <w:spacing w:after="0"/>
              <w:rPr>
                <w:rFonts w:ascii="Arial" w:cs="Arial" w:eastAsia="Arial" w:hAnsi="Arial"/>
                <w:sz w:val="15"/>
                <w:szCs w:val="15"/>
                <w:u w:val="single" w:color="auto"/>
                <w:color w:val="0000EE"/>
              </w:rPr>
            </w:pPr>
            <w:hyperlink w:anchor="page28">
              <w:r>
                <w:rPr>
                  <w:rFonts w:ascii="Arial" w:cs="Arial" w:eastAsia="Arial" w:hAnsi="Arial"/>
                  <w:sz w:val="15"/>
                  <w:szCs w:val="15"/>
                  <w:u w:val="single" w:color="auto"/>
                  <w:color w:val="0000EE"/>
                </w:rPr>
                <w:t>Our Named Executive Officers</w:t>
              </w:r>
            </w:hyperlink>
          </w:p>
        </w:tc>
        <w:tc>
          <w:tcPr>
            <w:tcW w:w="3920" w:type="dxa"/>
            <w:vAlign w:val="bottom"/>
            <w:gridSpan w:val="3"/>
          </w:tcPr>
          <w:p>
            <w:pPr>
              <w:jc w:val="right"/>
              <w:ind w:right="780"/>
              <w:spacing w:after="0"/>
              <w:rPr>
                <w:rFonts w:ascii="Arial" w:cs="Arial" w:eastAsia="Arial" w:hAnsi="Arial"/>
                <w:sz w:val="15"/>
                <w:szCs w:val="15"/>
                <w:u w:val="single" w:color="auto"/>
                <w:color w:val="0000EE"/>
              </w:rPr>
            </w:pPr>
            <w:hyperlink w:anchor="page28">
              <w:r>
                <w:rPr>
                  <w:rFonts w:ascii="Arial" w:cs="Arial" w:eastAsia="Arial" w:hAnsi="Arial"/>
                  <w:sz w:val="15"/>
                  <w:szCs w:val="15"/>
                  <w:u w:val="single" w:color="auto"/>
                  <w:color w:val="0000EE"/>
                </w:rPr>
                <w:t>25</w:t>
              </w:r>
            </w:hyperlink>
          </w:p>
        </w:tc>
      </w:tr>
      <w:tr>
        <w:trPr>
          <w:trHeight w:val="260"/>
        </w:trPr>
        <w:tc>
          <w:tcPr>
            <w:tcW w:w="8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5820" w:type="dxa"/>
            <w:vAlign w:val="bottom"/>
            <w:gridSpan w:val="2"/>
            <w:shd w:val="clear" w:color="auto" w:fill="CCEEFF"/>
          </w:tcPr>
          <w:p>
            <w:pPr>
              <w:ind w:left="160"/>
              <w:spacing w:after="0"/>
              <w:rPr>
                <w:rFonts w:ascii="Arial" w:cs="Arial" w:eastAsia="Arial" w:hAnsi="Arial"/>
                <w:sz w:val="15"/>
                <w:szCs w:val="15"/>
                <w:u w:val="single" w:color="auto"/>
                <w:color w:val="0000EE"/>
              </w:rPr>
            </w:pPr>
            <w:hyperlink w:anchor="page28">
              <w:r>
                <w:rPr>
                  <w:rFonts w:ascii="Arial" w:cs="Arial" w:eastAsia="Arial" w:hAnsi="Arial"/>
                  <w:sz w:val="15"/>
                  <w:szCs w:val="15"/>
                  <w:u w:val="single" w:color="auto"/>
                  <w:color w:val="0000EE"/>
                </w:rPr>
                <w:t>CD&amp;A Executive Summary</w:t>
              </w:r>
            </w:hyperlink>
          </w:p>
        </w:tc>
        <w:tc>
          <w:tcPr>
            <w:tcW w:w="3140" w:type="dxa"/>
            <w:vAlign w:val="bottom"/>
            <w:gridSpan w:val="2"/>
            <w:shd w:val="clear" w:color="auto" w:fill="CCEEFF"/>
          </w:tcPr>
          <w:p>
            <w:pPr>
              <w:jc w:val="right"/>
              <w:spacing w:after="0"/>
              <w:rPr>
                <w:rFonts w:ascii="Arial" w:cs="Arial" w:eastAsia="Arial" w:hAnsi="Arial"/>
                <w:sz w:val="15"/>
                <w:szCs w:val="15"/>
                <w:u w:val="single" w:color="auto"/>
                <w:color w:val="0000EE"/>
              </w:rPr>
            </w:pPr>
            <w:hyperlink w:anchor="page28">
              <w:r>
                <w:rPr>
                  <w:rFonts w:ascii="Arial" w:cs="Arial" w:eastAsia="Arial" w:hAnsi="Arial"/>
                  <w:sz w:val="15"/>
                  <w:szCs w:val="15"/>
                  <w:u w:val="single" w:color="auto"/>
                  <w:color w:val="0000EE"/>
                </w:rPr>
                <w:t>25</w:t>
              </w:r>
            </w:hyperlink>
          </w:p>
        </w:tc>
        <w:tc>
          <w:tcPr>
            <w:tcW w:w="780" w:type="dxa"/>
            <w:vAlign w:val="bottom"/>
          </w:tcPr>
          <w:p>
            <w:pPr>
              <w:spacing w:after="0"/>
              <w:rPr>
                <w:sz w:val="22"/>
                <w:szCs w:val="22"/>
                <w:color w:val="auto"/>
              </w:rPr>
            </w:pPr>
          </w:p>
        </w:tc>
      </w:tr>
      <w:tr>
        <w:trPr>
          <w:trHeight w:val="252"/>
        </w:trPr>
        <w:tc>
          <w:tcPr>
            <w:tcW w:w="8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5820" w:type="dxa"/>
            <w:vAlign w:val="bottom"/>
            <w:gridSpan w:val="2"/>
          </w:tcPr>
          <w:p>
            <w:pPr>
              <w:ind w:left="160"/>
              <w:spacing w:after="0"/>
              <w:rPr>
                <w:rFonts w:ascii="Arial" w:cs="Arial" w:eastAsia="Arial" w:hAnsi="Arial"/>
                <w:sz w:val="15"/>
                <w:szCs w:val="15"/>
                <w:u w:val="single" w:color="auto"/>
                <w:color w:val="0000EE"/>
              </w:rPr>
            </w:pPr>
            <w:hyperlink w:anchor="page29">
              <w:r>
                <w:rPr>
                  <w:rFonts w:ascii="Arial" w:cs="Arial" w:eastAsia="Arial" w:hAnsi="Arial"/>
                  <w:sz w:val="15"/>
                  <w:szCs w:val="15"/>
                  <w:u w:val="single" w:color="auto"/>
                  <w:color w:val="0000EE"/>
                </w:rPr>
                <w:t>Shareholder Engagement and Consideration of Prior Year’s Say on Pay Vote</w:t>
              </w:r>
            </w:hyperlink>
          </w:p>
        </w:tc>
        <w:tc>
          <w:tcPr>
            <w:tcW w:w="3920" w:type="dxa"/>
            <w:vAlign w:val="bottom"/>
            <w:gridSpan w:val="3"/>
          </w:tcPr>
          <w:p>
            <w:pPr>
              <w:jc w:val="right"/>
              <w:ind w:right="780"/>
              <w:spacing w:after="0"/>
              <w:rPr>
                <w:rFonts w:ascii="Arial" w:cs="Arial" w:eastAsia="Arial" w:hAnsi="Arial"/>
                <w:sz w:val="15"/>
                <w:szCs w:val="15"/>
                <w:u w:val="single" w:color="auto"/>
                <w:color w:val="0000EE"/>
              </w:rPr>
            </w:pPr>
            <w:hyperlink w:anchor="page29">
              <w:r>
                <w:rPr>
                  <w:rFonts w:ascii="Arial" w:cs="Arial" w:eastAsia="Arial" w:hAnsi="Arial"/>
                  <w:sz w:val="15"/>
                  <w:szCs w:val="15"/>
                  <w:u w:val="single" w:color="auto"/>
                  <w:color w:val="0000EE"/>
                </w:rPr>
                <w:t>26</w:t>
              </w:r>
            </w:hyperlink>
          </w:p>
        </w:tc>
      </w:tr>
      <w:tr>
        <w:trPr>
          <w:trHeight w:val="261"/>
        </w:trPr>
        <w:tc>
          <w:tcPr>
            <w:tcW w:w="8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5820" w:type="dxa"/>
            <w:vAlign w:val="bottom"/>
            <w:gridSpan w:val="2"/>
            <w:shd w:val="clear" w:color="auto" w:fill="CCEEFF"/>
          </w:tcPr>
          <w:p>
            <w:pPr>
              <w:ind w:left="160"/>
              <w:spacing w:after="0"/>
              <w:rPr>
                <w:rFonts w:ascii="Arial" w:cs="Arial" w:eastAsia="Arial" w:hAnsi="Arial"/>
                <w:sz w:val="15"/>
                <w:szCs w:val="15"/>
                <w:u w:val="single" w:color="auto"/>
                <w:color w:val="0000EE"/>
              </w:rPr>
            </w:pPr>
            <w:hyperlink w:anchor="page30">
              <w:r>
                <w:rPr>
                  <w:rFonts w:ascii="Arial" w:cs="Arial" w:eastAsia="Arial" w:hAnsi="Arial"/>
                  <w:sz w:val="15"/>
                  <w:szCs w:val="15"/>
                  <w:u w:val="single" w:color="auto"/>
                  <w:color w:val="0000EE"/>
                </w:rPr>
                <w:t>Executive Compensation Philosophy</w:t>
              </w:r>
            </w:hyperlink>
          </w:p>
        </w:tc>
        <w:tc>
          <w:tcPr>
            <w:tcW w:w="3140" w:type="dxa"/>
            <w:vAlign w:val="bottom"/>
            <w:gridSpan w:val="2"/>
            <w:shd w:val="clear" w:color="auto" w:fill="CCEEFF"/>
          </w:tcPr>
          <w:p>
            <w:pPr>
              <w:jc w:val="right"/>
              <w:spacing w:after="0"/>
              <w:rPr>
                <w:rFonts w:ascii="Arial" w:cs="Arial" w:eastAsia="Arial" w:hAnsi="Arial"/>
                <w:sz w:val="15"/>
                <w:szCs w:val="15"/>
                <w:u w:val="single" w:color="auto"/>
                <w:color w:val="0000EE"/>
              </w:rPr>
            </w:pPr>
            <w:hyperlink w:anchor="page30">
              <w:r>
                <w:rPr>
                  <w:rFonts w:ascii="Arial" w:cs="Arial" w:eastAsia="Arial" w:hAnsi="Arial"/>
                  <w:sz w:val="15"/>
                  <w:szCs w:val="15"/>
                  <w:u w:val="single" w:color="auto"/>
                  <w:color w:val="0000EE"/>
                </w:rPr>
                <w:t>27</w:t>
              </w:r>
            </w:hyperlink>
          </w:p>
        </w:tc>
        <w:tc>
          <w:tcPr>
            <w:tcW w:w="780" w:type="dxa"/>
            <w:vAlign w:val="bottom"/>
          </w:tcPr>
          <w:p>
            <w:pPr>
              <w:spacing w:after="0"/>
              <w:rPr>
                <w:sz w:val="22"/>
                <w:szCs w:val="22"/>
                <w:color w:val="auto"/>
              </w:rPr>
            </w:pPr>
          </w:p>
        </w:tc>
      </w:tr>
      <w:tr>
        <w:trPr>
          <w:trHeight w:val="253"/>
        </w:trPr>
        <w:tc>
          <w:tcPr>
            <w:tcW w:w="8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5820" w:type="dxa"/>
            <w:vAlign w:val="bottom"/>
            <w:gridSpan w:val="2"/>
          </w:tcPr>
          <w:p>
            <w:pPr>
              <w:ind w:left="160"/>
              <w:spacing w:after="0"/>
              <w:rPr>
                <w:rFonts w:ascii="Arial" w:cs="Arial" w:eastAsia="Arial" w:hAnsi="Arial"/>
                <w:sz w:val="15"/>
                <w:szCs w:val="15"/>
                <w:u w:val="single" w:color="auto"/>
                <w:color w:val="0000EE"/>
              </w:rPr>
            </w:pPr>
            <w:hyperlink w:anchor="page30">
              <w:r>
                <w:rPr>
                  <w:rFonts w:ascii="Arial" w:cs="Arial" w:eastAsia="Arial" w:hAnsi="Arial"/>
                  <w:sz w:val="15"/>
                  <w:szCs w:val="15"/>
                  <w:u w:val="single" w:color="auto"/>
                  <w:color w:val="0000EE"/>
                </w:rPr>
                <w:t>Participants in Executive Compensation Design and Decision-Making Process</w:t>
              </w:r>
            </w:hyperlink>
          </w:p>
        </w:tc>
        <w:tc>
          <w:tcPr>
            <w:tcW w:w="3920" w:type="dxa"/>
            <w:vAlign w:val="bottom"/>
            <w:gridSpan w:val="3"/>
          </w:tcPr>
          <w:p>
            <w:pPr>
              <w:jc w:val="right"/>
              <w:ind w:right="780"/>
              <w:spacing w:after="0"/>
              <w:rPr>
                <w:rFonts w:ascii="Arial" w:cs="Arial" w:eastAsia="Arial" w:hAnsi="Arial"/>
                <w:sz w:val="15"/>
                <w:szCs w:val="15"/>
                <w:u w:val="single" w:color="auto"/>
                <w:color w:val="0000EE"/>
              </w:rPr>
            </w:pPr>
            <w:hyperlink w:anchor="page30">
              <w:r>
                <w:rPr>
                  <w:rFonts w:ascii="Arial" w:cs="Arial" w:eastAsia="Arial" w:hAnsi="Arial"/>
                  <w:sz w:val="15"/>
                  <w:szCs w:val="15"/>
                  <w:u w:val="single" w:color="auto"/>
                  <w:color w:val="0000EE"/>
                </w:rPr>
                <w:t>27</w:t>
              </w:r>
            </w:hyperlink>
          </w:p>
        </w:tc>
      </w:tr>
      <w:tr>
        <w:trPr>
          <w:trHeight w:val="260"/>
        </w:trPr>
        <w:tc>
          <w:tcPr>
            <w:tcW w:w="8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5820" w:type="dxa"/>
            <w:vAlign w:val="bottom"/>
            <w:gridSpan w:val="2"/>
            <w:shd w:val="clear" w:color="auto" w:fill="CCEEFF"/>
          </w:tcPr>
          <w:p>
            <w:pPr>
              <w:ind w:left="160"/>
              <w:spacing w:after="0"/>
              <w:rPr>
                <w:rFonts w:ascii="Arial" w:cs="Arial" w:eastAsia="Arial" w:hAnsi="Arial"/>
                <w:sz w:val="15"/>
                <w:szCs w:val="15"/>
                <w:u w:val="single" w:color="auto"/>
                <w:color w:val="0000EE"/>
              </w:rPr>
            </w:pPr>
            <w:hyperlink w:anchor="page31">
              <w:r>
                <w:rPr>
                  <w:rFonts w:ascii="Arial" w:cs="Arial" w:eastAsia="Arial" w:hAnsi="Arial"/>
                  <w:sz w:val="15"/>
                  <w:szCs w:val="15"/>
                  <w:u w:val="single" w:color="auto"/>
                  <w:color w:val="0000EE"/>
                </w:rPr>
                <w:t>How We Establish Executive Compensation Levels</w:t>
              </w:r>
            </w:hyperlink>
          </w:p>
        </w:tc>
        <w:tc>
          <w:tcPr>
            <w:tcW w:w="3140" w:type="dxa"/>
            <w:vAlign w:val="bottom"/>
            <w:gridSpan w:val="2"/>
            <w:shd w:val="clear" w:color="auto" w:fill="CCEEFF"/>
          </w:tcPr>
          <w:p>
            <w:pPr>
              <w:jc w:val="right"/>
              <w:spacing w:after="0"/>
              <w:rPr>
                <w:rFonts w:ascii="Arial" w:cs="Arial" w:eastAsia="Arial" w:hAnsi="Arial"/>
                <w:sz w:val="15"/>
                <w:szCs w:val="15"/>
                <w:u w:val="single" w:color="auto"/>
                <w:color w:val="0000EE"/>
              </w:rPr>
            </w:pPr>
            <w:hyperlink w:anchor="page31">
              <w:r>
                <w:rPr>
                  <w:rFonts w:ascii="Arial" w:cs="Arial" w:eastAsia="Arial" w:hAnsi="Arial"/>
                  <w:sz w:val="15"/>
                  <w:szCs w:val="15"/>
                  <w:u w:val="single" w:color="auto"/>
                  <w:color w:val="0000EE"/>
                </w:rPr>
                <w:t>28</w:t>
              </w:r>
            </w:hyperlink>
          </w:p>
        </w:tc>
        <w:tc>
          <w:tcPr>
            <w:tcW w:w="780" w:type="dxa"/>
            <w:vAlign w:val="bottom"/>
          </w:tcPr>
          <w:p>
            <w:pPr>
              <w:spacing w:after="0"/>
              <w:rPr>
                <w:sz w:val="22"/>
                <w:szCs w:val="22"/>
                <w:color w:val="auto"/>
              </w:rPr>
            </w:pPr>
          </w:p>
        </w:tc>
      </w:tr>
      <w:tr>
        <w:trPr>
          <w:trHeight w:val="252"/>
        </w:trPr>
        <w:tc>
          <w:tcPr>
            <w:tcW w:w="8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5820" w:type="dxa"/>
            <w:vAlign w:val="bottom"/>
            <w:gridSpan w:val="2"/>
          </w:tcPr>
          <w:p>
            <w:pPr>
              <w:ind w:left="160"/>
              <w:spacing w:after="0"/>
              <w:rPr>
                <w:rFonts w:ascii="Arial" w:cs="Arial" w:eastAsia="Arial" w:hAnsi="Arial"/>
                <w:sz w:val="15"/>
                <w:szCs w:val="15"/>
                <w:u w:val="single" w:color="auto"/>
                <w:color w:val="0000EE"/>
              </w:rPr>
            </w:pPr>
            <w:hyperlink w:anchor="page32">
              <w:r>
                <w:rPr>
                  <w:rFonts w:ascii="Arial" w:cs="Arial" w:eastAsia="Arial" w:hAnsi="Arial"/>
                  <w:sz w:val="15"/>
                  <w:szCs w:val="15"/>
                  <w:u w:val="single" w:color="auto"/>
                  <w:color w:val="0000EE"/>
                </w:rPr>
                <w:t>Executive Compensation Program Design</w:t>
              </w:r>
            </w:hyperlink>
          </w:p>
        </w:tc>
        <w:tc>
          <w:tcPr>
            <w:tcW w:w="3920" w:type="dxa"/>
            <w:vAlign w:val="bottom"/>
            <w:gridSpan w:val="3"/>
          </w:tcPr>
          <w:p>
            <w:pPr>
              <w:jc w:val="right"/>
              <w:ind w:right="780"/>
              <w:spacing w:after="0"/>
              <w:rPr>
                <w:rFonts w:ascii="Arial" w:cs="Arial" w:eastAsia="Arial" w:hAnsi="Arial"/>
                <w:sz w:val="15"/>
                <w:szCs w:val="15"/>
                <w:u w:val="single" w:color="auto"/>
                <w:color w:val="0000EE"/>
              </w:rPr>
            </w:pPr>
            <w:hyperlink w:anchor="page32">
              <w:r>
                <w:rPr>
                  <w:rFonts w:ascii="Arial" w:cs="Arial" w:eastAsia="Arial" w:hAnsi="Arial"/>
                  <w:sz w:val="15"/>
                  <w:szCs w:val="15"/>
                  <w:u w:val="single" w:color="auto"/>
                  <w:color w:val="0000EE"/>
                </w:rPr>
                <w:t>29</w:t>
              </w:r>
            </w:hyperlink>
          </w:p>
        </w:tc>
      </w:tr>
      <w:tr>
        <w:trPr>
          <w:trHeight w:val="261"/>
        </w:trPr>
        <w:tc>
          <w:tcPr>
            <w:tcW w:w="8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5820" w:type="dxa"/>
            <w:vAlign w:val="bottom"/>
            <w:gridSpan w:val="2"/>
            <w:shd w:val="clear" w:color="auto" w:fill="CCEEFF"/>
          </w:tcPr>
          <w:p>
            <w:pPr>
              <w:ind w:left="160"/>
              <w:spacing w:after="0"/>
              <w:rPr>
                <w:rFonts w:ascii="Arial" w:cs="Arial" w:eastAsia="Arial" w:hAnsi="Arial"/>
                <w:sz w:val="15"/>
                <w:szCs w:val="15"/>
                <w:u w:val="single" w:color="auto"/>
                <w:color w:val="0000EE"/>
              </w:rPr>
            </w:pPr>
            <w:hyperlink w:anchor="page32">
              <w:r>
                <w:rPr>
                  <w:rFonts w:ascii="Arial" w:cs="Arial" w:eastAsia="Arial" w:hAnsi="Arial"/>
                  <w:sz w:val="15"/>
                  <w:szCs w:val="15"/>
                  <w:u w:val="single" w:color="auto"/>
                  <w:color w:val="0000EE"/>
                </w:rPr>
                <w:t>2019 Compensation</w:t>
              </w:r>
            </w:hyperlink>
          </w:p>
        </w:tc>
        <w:tc>
          <w:tcPr>
            <w:tcW w:w="3140" w:type="dxa"/>
            <w:vAlign w:val="bottom"/>
            <w:gridSpan w:val="2"/>
            <w:shd w:val="clear" w:color="auto" w:fill="CCEEFF"/>
          </w:tcPr>
          <w:p>
            <w:pPr>
              <w:jc w:val="right"/>
              <w:spacing w:after="0"/>
              <w:rPr>
                <w:rFonts w:ascii="Arial" w:cs="Arial" w:eastAsia="Arial" w:hAnsi="Arial"/>
                <w:sz w:val="15"/>
                <w:szCs w:val="15"/>
                <w:u w:val="single" w:color="auto"/>
                <w:color w:val="0000EE"/>
              </w:rPr>
            </w:pPr>
            <w:hyperlink w:anchor="page32">
              <w:r>
                <w:rPr>
                  <w:rFonts w:ascii="Arial" w:cs="Arial" w:eastAsia="Arial" w:hAnsi="Arial"/>
                  <w:sz w:val="15"/>
                  <w:szCs w:val="15"/>
                  <w:u w:val="single" w:color="auto"/>
                  <w:color w:val="0000EE"/>
                </w:rPr>
                <w:t>29</w:t>
              </w:r>
            </w:hyperlink>
          </w:p>
        </w:tc>
        <w:tc>
          <w:tcPr>
            <w:tcW w:w="780" w:type="dxa"/>
            <w:vAlign w:val="bottom"/>
          </w:tcPr>
          <w:p>
            <w:pPr>
              <w:spacing w:after="0"/>
              <w:rPr>
                <w:sz w:val="22"/>
                <w:szCs w:val="22"/>
                <w:color w:val="auto"/>
              </w:rPr>
            </w:pPr>
          </w:p>
        </w:tc>
      </w:tr>
      <w:tr>
        <w:trPr>
          <w:trHeight w:val="253"/>
        </w:trPr>
        <w:tc>
          <w:tcPr>
            <w:tcW w:w="8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5820" w:type="dxa"/>
            <w:vAlign w:val="bottom"/>
            <w:gridSpan w:val="2"/>
          </w:tcPr>
          <w:p>
            <w:pPr>
              <w:ind w:left="160"/>
              <w:spacing w:after="0"/>
              <w:rPr>
                <w:rFonts w:ascii="Arial" w:cs="Arial" w:eastAsia="Arial" w:hAnsi="Arial"/>
                <w:sz w:val="15"/>
                <w:szCs w:val="15"/>
                <w:u w:val="single" w:color="auto"/>
                <w:color w:val="0000EE"/>
              </w:rPr>
            </w:pPr>
            <w:hyperlink w:anchor="page33">
              <w:r>
                <w:rPr>
                  <w:rFonts w:ascii="Arial" w:cs="Arial" w:eastAsia="Arial" w:hAnsi="Arial"/>
                  <w:sz w:val="15"/>
                  <w:szCs w:val="15"/>
                  <w:u w:val="single" w:color="auto"/>
                  <w:color w:val="0000EE"/>
                </w:rPr>
                <w:t>Compensation At Risk</w:t>
              </w:r>
            </w:hyperlink>
          </w:p>
        </w:tc>
        <w:tc>
          <w:tcPr>
            <w:tcW w:w="3920" w:type="dxa"/>
            <w:vAlign w:val="bottom"/>
            <w:gridSpan w:val="3"/>
          </w:tcPr>
          <w:p>
            <w:pPr>
              <w:jc w:val="right"/>
              <w:ind w:right="780"/>
              <w:spacing w:after="0"/>
              <w:rPr>
                <w:rFonts w:ascii="Arial" w:cs="Arial" w:eastAsia="Arial" w:hAnsi="Arial"/>
                <w:sz w:val="15"/>
                <w:szCs w:val="15"/>
                <w:u w:val="single" w:color="auto"/>
                <w:color w:val="0000EE"/>
              </w:rPr>
            </w:pPr>
            <w:hyperlink w:anchor="page33">
              <w:r>
                <w:rPr>
                  <w:rFonts w:ascii="Arial" w:cs="Arial" w:eastAsia="Arial" w:hAnsi="Arial"/>
                  <w:sz w:val="15"/>
                  <w:szCs w:val="15"/>
                  <w:u w:val="single" w:color="auto"/>
                  <w:color w:val="0000EE"/>
                </w:rPr>
                <w:t>30</w:t>
              </w:r>
            </w:hyperlink>
          </w:p>
        </w:tc>
      </w:tr>
      <w:tr>
        <w:trPr>
          <w:trHeight w:val="260"/>
        </w:trPr>
        <w:tc>
          <w:tcPr>
            <w:tcW w:w="8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5820" w:type="dxa"/>
            <w:vAlign w:val="bottom"/>
            <w:gridSpan w:val="2"/>
            <w:shd w:val="clear" w:color="auto" w:fill="CCEEFF"/>
          </w:tcPr>
          <w:p>
            <w:pPr>
              <w:ind w:left="160"/>
              <w:spacing w:after="0"/>
              <w:rPr>
                <w:rFonts w:ascii="Arial" w:cs="Arial" w:eastAsia="Arial" w:hAnsi="Arial"/>
                <w:sz w:val="15"/>
                <w:szCs w:val="15"/>
                <w:u w:val="single" w:color="auto"/>
                <w:color w:val="0000EE"/>
              </w:rPr>
            </w:pPr>
            <w:hyperlink w:anchor="page33">
              <w:r>
                <w:rPr>
                  <w:rFonts w:ascii="Arial" w:cs="Arial" w:eastAsia="Arial" w:hAnsi="Arial"/>
                  <w:sz w:val="15"/>
                  <w:szCs w:val="15"/>
                  <w:u w:val="single" w:color="auto"/>
                  <w:color w:val="0000EE"/>
                </w:rPr>
                <w:t>2019 Base Salary</w:t>
              </w:r>
            </w:hyperlink>
          </w:p>
        </w:tc>
        <w:tc>
          <w:tcPr>
            <w:tcW w:w="3140" w:type="dxa"/>
            <w:vAlign w:val="bottom"/>
            <w:gridSpan w:val="2"/>
            <w:shd w:val="clear" w:color="auto" w:fill="CCEEFF"/>
          </w:tcPr>
          <w:p>
            <w:pPr>
              <w:jc w:val="right"/>
              <w:spacing w:after="0"/>
              <w:rPr>
                <w:rFonts w:ascii="Arial" w:cs="Arial" w:eastAsia="Arial" w:hAnsi="Arial"/>
                <w:sz w:val="15"/>
                <w:szCs w:val="15"/>
                <w:u w:val="single" w:color="auto"/>
                <w:color w:val="0000EE"/>
              </w:rPr>
            </w:pPr>
            <w:hyperlink w:anchor="page33">
              <w:r>
                <w:rPr>
                  <w:rFonts w:ascii="Arial" w:cs="Arial" w:eastAsia="Arial" w:hAnsi="Arial"/>
                  <w:sz w:val="15"/>
                  <w:szCs w:val="15"/>
                  <w:u w:val="single" w:color="auto"/>
                  <w:color w:val="0000EE"/>
                </w:rPr>
                <w:t>30</w:t>
              </w:r>
            </w:hyperlink>
          </w:p>
        </w:tc>
        <w:tc>
          <w:tcPr>
            <w:tcW w:w="780" w:type="dxa"/>
            <w:vAlign w:val="bottom"/>
          </w:tcPr>
          <w:p>
            <w:pPr>
              <w:spacing w:after="0"/>
              <w:rPr>
                <w:sz w:val="22"/>
                <w:szCs w:val="22"/>
                <w:color w:val="auto"/>
              </w:rPr>
            </w:pPr>
          </w:p>
        </w:tc>
      </w:tr>
      <w:tr>
        <w:trPr>
          <w:trHeight w:val="253"/>
        </w:trPr>
        <w:tc>
          <w:tcPr>
            <w:tcW w:w="8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5820" w:type="dxa"/>
            <w:vAlign w:val="bottom"/>
            <w:gridSpan w:val="2"/>
          </w:tcPr>
          <w:p>
            <w:pPr>
              <w:ind w:left="160"/>
              <w:spacing w:after="0"/>
              <w:rPr>
                <w:rFonts w:ascii="Arial" w:cs="Arial" w:eastAsia="Arial" w:hAnsi="Arial"/>
                <w:sz w:val="15"/>
                <w:szCs w:val="15"/>
                <w:u w:val="single" w:color="auto"/>
                <w:color w:val="0000EE"/>
              </w:rPr>
            </w:pPr>
            <w:hyperlink w:anchor="page34">
              <w:r>
                <w:rPr>
                  <w:rFonts w:ascii="Arial" w:cs="Arial" w:eastAsia="Arial" w:hAnsi="Arial"/>
                  <w:sz w:val="15"/>
                  <w:szCs w:val="15"/>
                  <w:u w:val="single" w:color="auto"/>
                  <w:color w:val="0000EE"/>
                </w:rPr>
                <w:t>2019 Short-Term Incentive Plan</w:t>
              </w:r>
            </w:hyperlink>
          </w:p>
        </w:tc>
        <w:tc>
          <w:tcPr>
            <w:tcW w:w="3920" w:type="dxa"/>
            <w:vAlign w:val="bottom"/>
            <w:gridSpan w:val="3"/>
          </w:tcPr>
          <w:p>
            <w:pPr>
              <w:jc w:val="right"/>
              <w:ind w:right="780"/>
              <w:spacing w:after="0"/>
              <w:rPr>
                <w:rFonts w:ascii="Arial" w:cs="Arial" w:eastAsia="Arial" w:hAnsi="Arial"/>
                <w:sz w:val="15"/>
                <w:szCs w:val="15"/>
                <w:u w:val="single" w:color="auto"/>
                <w:color w:val="0000EE"/>
              </w:rPr>
            </w:pPr>
            <w:hyperlink w:anchor="page34">
              <w:r>
                <w:rPr>
                  <w:rFonts w:ascii="Arial" w:cs="Arial" w:eastAsia="Arial" w:hAnsi="Arial"/>
                  <w:sz w:val="15"/>
                  <w:szCs w:val="15"/>
                  <w:u w:val="single" w:color="auto"/>
                  <w:color w:val="0000EE"/>
                </w:rPr>
                <w:t>31</w:t>
              </w:r>
            </w:hyperlink>
          </w:p>
        </w:tc>
      </w:tr>
      <w:tr>
        <w:trPr>
          <w:trHeight w:val="260"/>
        </w:trPr>
        <w:tc>
          <w:tcPr>
            <w:tcW w:w="8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5820" w:type="dxa"/>
            <w:vAlign w:val="bottom"/>
            <w:gridSpan w:val="2"/>
            <w:shd w:val="clear" w:color="auto" w:fill="CCEEFF"/>
          </w:tcPr>
          <w:p>
            <w:pPr>
              <w:ind w:left="160"/>
              <w:spacing w:after="0"/>
              <w:rPr>
                <w:rFonts w:ascii="Arial" w:cs="Arial" w:eastAsia="Arial" w:hAnsi="Arial"/>
                <w:sz w:val="15"/>
                <w:szCs w:val="15"/>
                <w:u w:val="single" w:color="auto"/>
                <w:color w:val="0000EE"/>
              </w:rPr>
            </w:pPr>
            <w:hyperlink w:anchor="page36">
              <w:r>
                <w:rPr>
                  <w:rFonts w:ascii="Arial" w:cs="Arial" w:eastAsia="Arial" w:hAnsi="Arial"/>
                  <w:sz w:val="15"/>
                  <w:szCs w:val="15"/>
                  <w:u w:val="single" w:color="auto"/>
                  <w:color w:val="0000EE"/>
                </w:rPr>
                <w:t>2019 Long-Term Incentive Plan</w:t>
              </w:r>
            </w:hyperlink>
          </w:p>
        </w:tc>
        <w:tc>
          <w:tcPr>
            <w:tcW w:w="3140" w:type="dxa"/>
            <w:vAlign w:val="bottom"/>
            <w:gridSpan w:val="2"/>
            <w:shd w:val="clear" w:color="auto" w:fill="CCEEFF"/>
          </w:tcPr>
          <w:p>
            <w:pPr>
              <w:jc w:val="right"/>
              <w:spacing w:after="0"/>
              <w:rPr>
                <w:rFonts w:ascii="Arial" w:cs="Arial" w:eastAsia="Arial" w:hAnsi="Arial"/>
                <w:sz w:val="15"/>
                <w:szCs w:val="15"/>
                <w:u w:val="single" w:color="auto"/>
                <w:color w:val="0000EE"/>
              </w:rPr>
            </w:pPr>
            <w:hyperlink w:anchor="page36">
              <w:r>
                <w:rPr>
                  <w:rFonts w:ascii="Arial" w:cs="Arial" w:eastAsia="Arial" w:hAnsi="Arial"/>
                  <w:sz w:val="15"/>
                  <w:szCs w:val="15"/>
                  <w:u w:val="single" w:color="auto"/>
                  <w:color w:val="0000EE"/>
                </w:rPr>
                <w:t>33</w:t>
              </w:r>
            </w:hyperlink>
          </w:p>
        </w:tc>
        <w:tc>
          <w:tcPr>
            <w:tcW w:w="780" w:type="dxa"/>
            <w:vAlign w:val="bottom"/>
          </w:tcPr>
          <w:p>
            <w:pPr>
              <w:spacing w:after="0"/>
              <w:rPr>
                <w:sz w:val="22"/>
                <w:szCs w:val="22"/>
                <w:color w:val="auto"/>
              </w:rPr>
            </w:pPr>
          </w:p>
        </w:tc>
      </w:tr>
      <w:tr>
        <w:trPr>
          <w:trHeight w:val="253"/>
        </w:trPr>
        <w:tc>
          <w:tcPr>
            <w:tcW w:w="8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5820" w:type="dxa"/>
            <w:vAlign w:val="bottom"/>
            <w:gridSpan w:val="2"/>
          </w:tcPr>
          <w:p>
            <w:pPr>
              <w:ind w:left="160"/>
              <w:spacing w:after="0"/>
              <w:rPr>
                <w:rFonts w:ascii="Arial" w:cs="Arial" w:eastAsia="Arial" w:hAnsi="Arial"/>
                <w:sz w:val="15"/>
                <w:szCs w:val="15"/>
                <w:u w:val="single" w:color="auto"/>
                <w:color w:val="0000EE"/>
              </w:rPr>
            </w:pPr>
            <w:hyperlink w:anchor="page38">
              <w:r>
                <w:rPr>
                  <w:rFonts w:ascii="Arial" w:cs="Arial" w:eastAsia="Arial" w:hAnsi="Arial"/>
                  <w:sz w:val="15"/>
                  <w:szCs w:val="15"/>
                  <w:u w:val="single" w:color="auto"/>
                  <w:color w:val="0000EE"/>
                </w:rPr>
                <w:t>Other Benefits and Perquisites</w:t>
              </w:r>
            </w:hyperlink>
          </w:p>
        </w:tc>
        <w:tc>
          <w:tcPr>
            <w:tcW w:w="3920" w:type="dxa"/>
            <w:vAlign w:val="bottom"/>
            <w:gridSpan w:val="3"/>
          </w:tcPr>
          <w:p>
            <w:pPr>
              <w:jc w:val="right"/>
              <w:ind w:right="780"/>
              <w:spacing w:after="0"/>
              <w:rPr>
                <w:rFonts w:ascii="Arial" w:cs="Arial" w:eastAsia="Arial" w:hAnsi="Arial"/>
                <w:sz w:val="15"/>
                <w:szCs w:val="15"/>
                <w:u w:val="single" w:color="auto"/>
                <w:color w:val="0000EE"/>
              </w:rPr>
            </w:pPr>
            <w:hyperlink w:anchor="page38">
              <w:r>
                <w:rPr>
                  <w:rFonts w:ascii="Arial" w:cs="Arial" w:eastAsia="Arial" w:hAnsi="Arial"/>
                  <w:sz w:val="15"/>
                  <w:szCs w:val="15"/>
                  <w:u w:val="single" w:color="auto"/>
                  <w:color w:val="0000EE"/>
                </w:rPr>
                <w:t>35</w:t>
              </w:r>
            </w:hyperlink>
          </w:p>
        </w:tc>
      </w:tr>
      <w:tr>
        <w:trPr>
          <w:trHeight w:val="261"/>
        </w:trPr>
        <w:tc>
          <w:tcPr>
            <w:tcW w:w="8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5820" w:type="dxa"/>
            <w:vAlign w:val="bottom"/>
            <w:gridSpan w:val="2"/>
            <w:shd w:val="clear" w:color="auto" w:fill="CCEEFF"/>
          </w:tcPr>
          <w:p>
            <w:pPr>
              <w:ind w:left="160"/>
              <w:spacing w:after="0"/>
              <w:rPr>
                <w:rFonts w:ascii="Arial" w:cs="Arial" w:eastAsia="Arial" w:hAnsi="Arial"/>
                <w:sz w:val="15"/>
                <w:szCs w:val="15"/>
                <w:u w:val="single" w:color="auto"/>
                <w:color w:val="0000EE"/>
              </w:rPr>
            </w:pPr>
            <w:hyperlink w:anchor="page38">
              <w:r>
                <w:rPr>
                  <w:rFonts w:ascii="Arial" w:cs="Arial" w:eastAsia="Arial" w:hAnsi="Arial"/>
                  <w:sz w:val="15"/>
                  <w:szCs w:val="15"/>
                  <w:u w:val="single" w:color="auto"/>
                  <w:color w:val="0000EE"/>
                </w:rPr>
                <w:t>2020 Compensation Program and Other Subsequent Events</w:t>
              </w:r>
            </w:hyperlink>
          </w:p>
        </w:tc>
        <w:tc>
          <w:tcPr>
            <w:tcW w:w="3140" w:type="dxa"/>
            <w:vAlign w:val="bottom"/>
            <w:gridSpan w:val="2"/>
            <w:shd w:val="clear" w:color="auto" w:fill="CCEEFF"/>
          </w:tcPr>
          <w:p>
            <w:pPr>
              <w:jc w:val="right"/>
              <w:spacing w:after="0"/>
              <w:rPr>
                <w:rFonts w:ascii="Arial" w:cs="Arial" w:eastAsia="Arial" w:hAnsi="Arial"/>
                <w:sz w:val="15"/>
                <w:szCs w:val="15"/>
                <w:u w:val="single" w:color="auto"/>
                <w:color w:val="0000EE"/>
              </w:rPr>
            </w:pPr>
            <w:hyperlink w:anchor="page38">
              <w:r>
                <w:rPr>
                  <w:rFonts w:ascii="Arial" w:cs="Arial" w:eastAsia="Arial" w:hAnsi="Arial"/>
                  <w:sz w:val="15"/>
                  <w:szCs w:val="15"/>
                  <w:u w:val="single" w:color="auto"/>
                  <w:color w:val="0000EE"/>
                </w:rPr>
                <w:t>35</w:t>
              </w:r>
            </w:hyperlink>
          </w:p>
        </w:tc>
        <w:tc>
          <w:tcPr>
            <w:tcW w:w="780" w:type="dxa"/>
            <w:vAlign w:val="bottom"/>
          </w:tcPr>
          <w:p>
            <w:pPr>
              <w:spacing w:after="0"/>
              <w:rPr>
                <w:sz w:val="22"/>
                <w:szCs w:val="22"/>
                <w:color w:val="auto"/>
              </w:rPr>
            </w:pPr>
          </w:p>
        </w:tc>
      </w:tr>
      <w:tr>
        <w:trPr>
          <w:trHeight w:val="418"/>
        </w:trPr>
        <w:tc>
          <w:tcPr>
            <w:tcW w:w="820" w:type="dxa"/>
            <w:vAlign w:val="bottom"/>
          </w:tcPr>
          <w:p>
            <w:pPr>
              <w:jc w:val="right"/>
              <w:ind w:right="128"/>
              <w:spacing w:after="0"/>
              <w:rPr>
                <w:sz w:val="20"/>
                <w:szCs w:val="20"/>
                <w:color w:val="auto"/>
              </w:rPr>
            </w:pPr>
            <w:r>
              <w:rPr>
                <w:rFonts w:ascii="Arial" w:cs="Arial" w:eastAsia="Arial" w:hAnsi="Arial"/>
                <w:sz w:val="14"/>
                <w:szCs w:val="14"/>
                <w:b w:val="1"/>
                <w:bCs w:val="1"/>
                <w:color w:val="auto"/>
              </w:rPr>
              <w:t>1</w:t>
            </w:r>
          </w:p>
        </w:tc>
        <w:tc>
          <w:tcPr>
            <w:tcW w:w="160" w:type="dxa"/>
            <w:vAlign w:val="bottom"/>
            <w:tcBorders>
              <w:bottom w:val="single" w:sz="8" w:color="auto"/>
            </w:tcBorders>
          </w:tcPr>
          <w:p>
            <w:pPr>
              <w:spacing w:after="0"/>
              <w:rPr>
                <w:sz w:val="24"/>
                <w:szCs w:val="24"/>
                <w:color w:val="auto"/>
              </w:rPr>
            </w:pPr>
          </w:p>
        </w:tc>
        <w:tc>
          <w:tcPr>
            <w:tcW w:w="2920" w:type="dxa"/>
            <w:vAlign w:val="bottom"/>
            <w:tcBorders>
              <w:bottom w:val="single" w:sz="8" w:color="auto"/>
            </w:tcBorders>
          </w:tcPr>
          <w:p>
            <w:pPr>
              <w:spacing w:after="0"/>
              <w:rPr>
                <w:sz w:val="24"/>
                <w:szCs w:val="24"/>
                <w:color w:val="auto"/>
              </w:rPr>
            </w:pPr>
          </w:p>
        </w:tc>
        <w:tc>
          <w:tcPr>
            <w:tcW w:w="2900" w:type="dxa"/>
            <w:vAlign w:val="bottom"/>
          </w:tcPr>
          <w:p>
            <w:pPr>
              <w:ind w:left="520"/>
              <w:spacing w:after="0"/>
              <w:rPr>
                <w:sz w:val="20"/>
                <w:szCs w:val="20"/>
                <w:color w:val="auto"/>
              </w:rPr>
            </w:pPr>
            <w:r>
              <w:rPr>
                <w:rFonts w:ascii="Arial" w:cs="Arial" w:eastAsia="Arial" w:hAnsi="Arial"/>
                <w:sz w:val="13"/>
                <w:szCs w:val="13"/>
                <w:b w:val="1"/>
                <w:bCs w:val="1"/>
                <w:color w:val="4800E6"/>
              </w:rPr>
              <w:t xml:space="preserve">LIVANOVA </w:t>
            </w:r>
            <w:r>
              <w:rPr>
                <w:rFonts w:ascii="Arial" w:cs="Arial" w:eastAsia="Arial" w:hAnsi="Arial"/>
                <w:sz w:val="13"/>
                <w:szCs w:val="13"/>
                <w:color w:val="000000"/>
              </w:rPr>
              <w:t>|</w:t>
            </w:r>
            <w:r>
              <w:rPr>
                <w:rFonts w:ascii="Arial" w:cs="Arial" w:eastAsia="Arial" w:hAnsi="Arial"/>
                <w:sz w:val="13"/>
                <w:szCs w:val="13"/>
                <w:b w:val="1"/>
                <w:bCs w:val="1"/>
                <w:color w:val="4800E6"/>
              </w:rPr>
              <w:t xml:space="preserve"> </w:t>
            </w:r>
            <w:r>
              <w:rPr>
                <w:rFonts w:ascii="Arial" w:cs="Arial" w:eastAsia="Arial" w:hAnsi="Arial"/>
                <w:sz w:val="13"/>
                <w:szCs w:val="13"/>
                <w:color w:val="4800E6"/>
              </w:rPr>
              <w:t>2020</w:t>
            </w:r>
            <w:r>
              <w:rPr>
                <w:rFonts w:ascii="Arial" w:cs="Arial" w:eastAsia="Arial" w:hAnsi="Arial"/>
                <w:sz w:val="13"/>
                <w:szCs w:val="13"/>
                <w:b w:val="1"/>
                <w:bCs w:val="1"/>
                <w:color w:val="4800E6"/>
              </w:rPr>
              <w:t xml:space="preserve"> </w:t>
            </w:r>
            <w:r>
              <w:rPr>
                <w:rFonts w:ascii="Arial" w:cs="Arial" w:eastAsia="Arial" w:hAnsi="Arial"/>
                <w:sz w:val="13"/>
                <w:szCs w:val="13"/>
                <w:color w:val="000000"/>
              </w:rPr>
              <w:t>Proxy Statement</w:t>
            </w:r>
          </w:p>
        </w:tc>
        <w:tc>
          <w:tcPr>
            <w:tcW w:w="1620" w:type="dxa"/>
            <w:vAlign w:val="bottom"/>
            <w:tcBorders>
              <w:bottom w:val="single" w:sz="8" w:color="auto"/>
            </w:tcBorders>
          </w:tcPr>
          <w:p>
            <w:pPr>
              <w:spacing w:after="0"/>
              <w:rPr>
                <w:sz w:val="24"/>
                <w:szCs w:val="24"/>
                <w:color w:val="auto"/>
              </w:rPr>
            </w:pPr>
          </w:p>
        </w:tc>
        <w:tc>
          <w:tcPr>
            <w:tcW w:w="2300" w:type="dxa"/>
            <w:vAlign w:val="bottom"/>
            <w:gridSpan w:val="2"/>
          </w:tcPr>
          <w:p>
            <w:pPr>
              <w:jc w:val="right"/>
              <w:ind w:right="840"/>
              <w:spacing w:after="0"/>
              <w:rPr>
                <w:sz w:val="20"/>
                <w:szCs w:val="20"/>
                <w:color w:val="auto"/>
              </w:rPr>
            </w:pPr>
            <w:r>
              <w:rPr>
                <w:rFonts w:ascii="Arial" w:cs="Arial" w:eastAsia="Arial" w:hAnsi="Arial"/>
                <w:sz w:val="13"/>
                <w:szCs w:val="13"/>
                <w:b w:val="1"/>
                <w:bCs w:val="1"/>
                <w:color w:val="4800E6"/>
              </w:rPr>
              <w:t>www.livanova.com</w:t>
            </w:r>
          </w:p>
        </w:tc>
      </w:tr>
      <w:tr>
        <w:trPr>
          <w:trHeight w:val="149"/>
        </w:trPr>
        <w:tc>
          <w:tcPr>
            <w:tcW w:w="820" w:type="dxa"/>
            <w:vAlign w:val="bottom"/>
            <w:tcBorders>
              <w:bottom w:val="single" w:sz="8" w:color="9A9A9A"/>
            </w:tcBorders>
          </w:tcPr>
          <w:p>
            <w:pPr>
              <w:spacing w:after="0"/>
              <w:rPr>
                <w:sz w:val="12"/>
                <w:szCs w:val="12"/>
                <w:color w:val="auto"/>
              </w:rPr>
            </w:pPr>
          </w:p>
        </w:tc>
        <w:tc>
          <w:tcPr>
            <w:tcW w:w="160" w:type="dxa"/>
            <w:vAlign w:val="bottom"/>
            <w:tcBorders>
              <w:bottom w:val="single" w:sz="8" w:color="9A9A9A"/>
            </w:tcBorders>
          </w:tcPr>
          <w:p>
            <w:pPr>
              <w:spacing w:after="0"/>
              <w:rPr>
                <w:sz w:val="12"/>
                <w:szCs w:val="12"/>
                <w:color w:val="auto"/>
              </w:rPr>
            </w:pPr>
          </w:p>
        </w:tc>
        <w:tc>
          <w:tcPr>
            <w:tcW w:w="2920" w:type="dxa"/>
            <w:vAlign w:val="bottom"/>
            <w:tcBorders>
              <w:bottom w:val="single" w:sz="8" w:color="9A9A9A"/>
            </w:tcBorders>
          </w:tcPr>
          <w:p>
            <w:pPr>
              <w:spacing w:after="0"/>
              <w:rPr>
                <w:sz w:val="12"/>
                <w:szCs w:val="12"/>
                <w:color w:val="auto"/>
              </w:rPr>
            </w:pPr>
          </w:p>
        </w:tc>
        <w:tc>
          <w:tcPr>
            <w:tcW w:w="2900" w:type="dxa"/>
            <w:vAlign w:val="bottom"/>
            <w:tcBorders>
              <w:bottom w:val="single" w:sz="8" w:color="9A9A9A"/>
            </w:tcBorders>
          </w:tcPr>
          <w:p>
            <w:pPr>
              <w:spacing w:after="0"/>
              <w:rPr>
                <w:sz w:val="12"/>
                <w:szCs w:val="12"/>
                <w:color w:val="auto"/>
              </w:rPr>
            </w:pPr>
          </w:p>
        </w:tc>
        <w:tc>
          <w:tcPr>
            <w:tcW w:w="1620" w:type="dxa"/>
            <w:vAlign w:val="bottom"/>
            <w:tcBorders>
              <w:bottom w:val="single" w:sz="8" w:color="9A9A9A"/>
            </w:tcBorders>
          </w:tcPr>
          <w:p>
            <w:pPr>
              <w:spacing w:after="0"/>
              <w:rPr>
                <w:sz w:val="12"/>
                <w:szCs w:val="12"/>
                <w:color w:val="auto"/>
              </w:rPr>
            </w:pPr>
          </w:p>
        </w:tc>
        <w:tc>
          <w:tcPr>
            <w:tcW w:w="1520" w:type="dxa"/>
            <w:vAlign w:val="bottom"/>
            <w:tcBorders>
              <w:bottom w:val="single" w:sz="8" w:color="9A9A9A"/>
            </w:tcBorders>
          </w:tcPr>
          <w:p>
            <w:pPr>
              <w:spacing w:after="0"/>
              <w:rPr>
                <w:sz w:val="12"/>
                <w:szCs w:val="12"/>
                <w:color w:val="auto"/>
              </w:rPr>
            </w:pPr>
          </w:p>
        </w:tc>
        <w:tc>
          <w:tcPr>
            <w:tcW w:w="780" w:type="dxa"/>
            <w:vAlign w:val="bottom"/>
            <w:tcBorders>
              <w:bottom w:val="single" w:sz="8" w:color="9A9A9A"/>
            </w:tcBorders>
          </w:tcPr>
          <w:p>
            <w:pPr>
              <w:spacing w:after="0"/>
              <w:rPr>
                <w:sz w:val="12"/>
                <w:szCs w:val="12"/>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6802755</wp:posOffset>
            </wp:positionH>
            <wp:positionV relativeFrom="paragraph">
              <wp:posOffset>-7620</wp:posOffset>
            </wp:positionV>
            <wp:extent cx="8255" cy="82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wp:posOffset>
            </wp:positionV>
            <wp:extent cx="8890" cy="171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sectPr>
          <w:pgSz w:w="11900" w:h="16838" w:orient="portrait"/>
          <w:cols w:equalWidth="0" w:num="1">
            <w:col w:w="10720"/>
          </w:cols>
          <w:pgMar w:left="320" w:top="132" w:right="859" w:bottom="1440" w:gutter="0" w:footer="0" w:header="0"/>
        </w:sectPr>
      </w:pPr>
    </w:p>
    <w:bookmarkStart w:id="5" w:name="page6"/>
    <w:bookmarkEnd w:id="5"/>
    <w:p>
      <w:pPr>
        <w:spacing w:after="0"/>
        <w:rPr>
          <w:rFonts w:ascii="Arial" w:cs="Arial" w:eastAsia="Arial" w:hAnsi="Arial"/>
          <w:sz w:val="14"/>
          <w:szCs w:val="14"/>
          <w:color w:val="003366"/>
        </w:rPr>
      </w:pPr>
      <w:hyperlink w:anchor="page4">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tbl>
      <w:tblPr>
        <w:tblLayout w:type="fixed"/>
        <w:tblInd w:w="980" w:type="dxa"/>
        <w:tblCellMar>
          <w:top w:w="0" w:type="dxa"/>
          <w:left w:w="0" w:type="dxa"/>
          <w:bottom w:w="0" w:type="dxa"/>
          <w:right w:w="0" w:type="dxa"/>
        </w:tblCellMar>
      </w:tblPr>
      <w:tr>
        <w:trPr>
          <w:trHeight w:val="179"/>
        </w:trPr>
        <w:tc>
          <w:tcPr>
            <w:tcW w:w="8540" w:type="dxa"/>
            <w:vAlign w:val="bottom"/>
            <w:gridSpan w:val="7"/>
            <w:shd w:val="clear" w:color="auto" w:fill="CCEEFF"/>
          </w:tcPr>
          <w:p>
            <w:pPr>
              <w:ind w:left="160"/>
              <w:spacing w:after="0"/>
              <w:rPr>
                <w:rFonts w:ascii="Arial" w:cs="Arial" w:eastAsia="Arial" w:hAnsi="Arial"/>
                <w:sz w:val="15"/>
                <w:szCs w:val="15"/>
                <w:u w:val="single" w:color="auto"/>
                <w:color w:val="0000EE"/>
              </w:rPr>
            </w:pPr>
            <w:hyperlink w:anchor="page42">
              <w:r>
                <w:rPr>
                  <w:rFonts w:ascii="Arial" w:cs="Arial" w:eastAsia="Arial" w:hAnsi="Arial"/>
                  <w:sz w:val="15"/>
                  <w:szCs w:val="15"/>
                  <w:u w:val="single" w:color="auto"/>
                  <w:color w:val="0000EE"/>
                </w:rPr>
                <w:t>Compensation of Executive Officers and Directors</w:t>
              </w:r>
            </w:hyperlink>
          </w:p>
        </w:tc>
        <w:tc>
          <w:tcPr>
            <w:tcW w:w="420" w:type="dxa"/>
            <w:vAlign w:val="bottom"/>
            <w:shd w:val="clear" w:color="auto" w:fill="CCEEFF"/>
          </w:tcPr>
          <w:p>
            <w:pPr>
              <w:jc w:val="right"/>
              <w:spacing w:after="0"/>
              <w:rPr>
                <w:rFonts w:ascii="Arial" w:cs="Arial" w:eastAsia="Arial" w:hAnsi="Arial"/>
                <w:sz w:val="15"/>
                <w:szCs w:val="15"/>
                <w:u w:val="single" w:color="auto"/>
                <w:color w:val="0000EE"/>
              </w:rPr>
            </w:pPr>
            <w:hyperlink w:anchor="page42">
              <w:r>
                <w:rPr>
                  <w:rFonts w:ascii="Arial" w:cs="Arial" w:eastAsia="Arial" w:hAnsi="Arial"/>
                  <w:sz w:val="15"/>
                  <w:szCs w:val="15"/>
                  <w:u w:val="single" w:color="auto"/>
                  <w:color w:val="0000EE"/>
                </w:rPr>
                <w:t>39</w:t>
              </w:r>
            </w:hyperlink>
          </w:p>
        </w:tc>
        <w:tc>
          <w:tcPr>
            <w:tcW w:w="0" w:type="dxa"/>
            <w:vAlign w:val="bottom"/>
          </w:tcPr>
          <w:p>
            <w:pPr>
              <w:spacing w:after="0"/>
              <w:rPr>
                <w:sz w:val="1"/>
                <w:szCs w:val="1"/>
                <w:color w:val="auto"/>
              </w:rPr>
            </w:pPr>
          </w:p>
        </w:tc>
      </w:tr>
      <w:tr>
        <w:trPr>
          <w:trHeight w:val="226"/>
        </w:trPr>
        <w:tc>
          <w:tcPr>
            <w:tcW w:w="8540" w:type="dxa"/>
            <w:vAlign w:val="bottom"/>
            <w:gridSpan w:val="7"/>
          </w:tcPr>
          <w:p>
            <w:pPr>
              <w:ind w:left="160"/>
              <w:spacing w:after="0"/>
              <w:rPr>
                <w:rFonts w:ascii="Arial" w:cs="Arial" w:eastAsia="Arial" w:hAnsi="Arial"/>
                <w:sz w:val="15"/>
                <w:szCs w:val="15"/>
                <w:u w:val="single" w:color="auto"/>
                <w:color w:val="0000EE"/>
              </w:rPr>
            </w:pPr>
            <w:hyperlink w:anchor="page42">
              <w:r>
                <w:rPr>
                  <w:rFonts w:ascii="Arial" w:cs="Arial" w:eastAsia="Arial" w:hAnsi="Arial"/>
                  <w:sz w:val="15"/>
                  <w:szCs w:val="15"/>
                  <w:u w:val="single" w:color="auto"/>
                  <w:color w:val="0000EE"/>
                </w:rPr>
                <w:t>Compensation Tables</w:t>
              </w:r>
            </w:hyperlink>
          </w:p>
        </w:tc>
        <w:tc>
          <w:tcPr>
            <w:tcW w:w="420" w:type="dxa"/>
            <w:vAlign w:val="bottom"/>
          </w:tcPr>
          <w:p>
            <w:pPr>
              <w:jc w:val="right"/>
              <w:spacing w:after="0"/>
              <w:rPr>
                <w:rFonts w:ascii="Arial" w:cs="Arial" w:eastAsia="Arial" w:hAnsi="Arial"/>
                <w:sz w:val="15"/>
                <w:szCs w:val="15"/>
                <w:u w:val="single" w:color="auto"/>
                <w:color w:val="0000EE"/>
              </w:rPr>
            </w:pPr>
            <w:hyperlink w:anchor="page42">
              <w:r>
                <w:rPr>
                  <w:rFonts w:ascii="Arial" w:cs="Arial" w:eastAsia="Arial" w:hAnsi="Arial"/>
                  <w:sz w:val="15"/>
                  <w:szCs w:val="15"/>
                  <w:u w:val="single" w:color="auto"/>
                  <w:color w:val="0000EE"/>
                </w:rPr>
                <w:t>39</w:t>
              </w:r>
            </w:hyperlink>
          </w:p>
        </w:tc>
        <w:tc>
          <w:tcPr>
            <w:tcW w:w="0" w:type="dxa"/>
            <w:vAlign w:val="bottom"/>
          </w:tcPr>
          <w:p>
            <w:pPr>
              <w:spacing w:after="0"/>
              <w:rPr>
                <w:sz w:val="1"/>
                <w:szCs w:val="1"/>
                <w:color w:val="auto"/>
              </w:rPr>
            </w:pPr>
          </w:p>
        </w:tc>
      </w:tr>
      <w:tr>
        <w:trPr>
          <w:trHeight w:val="233"/>
        </w:trPr>
        <w:tc>
          <w:tcPr>
            <w:tcW w:w="8540" w:type="dxa"/>
            <w:vAlign w:val="bottom"/>
            <w:gridSpan w:val="7"/>
            <w:shd w:val="clear" w:color="auto" w:fill="CCEEFF"/>
          </w:tcPr>
          <w:p>
            <w:pPr>
              <w:ind w:left="160"/>
              <w:spacing w:after="0"/>
              <w:rPr>
                <w:rFonts w:ascii="Arial" w:cs="Arial" w:eastAsia="Arial" w:hAnsi="Arial"/>
                <w:sz w:val="15"/>
                <w:szCs w:val="15"/>
                <w:u w:val="single" w:color="auto"/>
                <w:color w:val="0000EE"/>
              </w:rPr>
            </w:pPr>
            <w:hyperlink w:anchor="page48">
              <w:r>
                <w:rPr>
                  <w:rFonts w:ascii="Arial" w:cs="Arial" w:eastAsia="Arial" w:hAnsi="Arial"/>
                  <w:sz w:val="15"/>
                  <w:szCs w:val="15"/>
                  <w:u w:val="single" w:color="auto"/>
                  <w:color w:val="0000EE"/>
                </w:rPr>
                <w:t>Potential Payments Upon Change in Control</w:t>
              </w:r>
            </w:hyperlink>
          </w:p>
        </w:tc>
        <w:tc>
          <w:tcPr>
            <w:tcW w:w="420" w:type="dxa"/>
            <w:vAlign w:val="bottom"/>
            <w:shd w:val="clear" w:color="auto" w:fill="CCEEFF"/>
          </w:tcPr>
          <w:p>
            <w:pPr>
              <w:jc w:val="right"/>
              <w:spacing w:after="0"/>
              <w:rPr>
                <w:rFonts w:ascii="Arial" w:cs="Arial" w:eastAsia="Arial" w:hAnsi="Arial"/>
                <w:sz w:val="15"/>
                <w:szCs w:val="15"/>
                <w:u w:val="single" w:color="auto"/>
                <w:color w:val="0000EE"/>
              </w:rPr>
            </w:pPr>
            <w:hyperlink w:anchor="page48">
              <w:r>
                <w:rPr>
                  <w:rFonts w:ascii="Arial" w:cs="Arial" w:eastAsia="Arial" w:hAnsi="Arial"/>
                  <w:sz w:val="15"/>
                  <w:szCs w:val="15"/>
                  <w:u w:val="single" w:color="auto"/>
                  <w:color w:val="0000EE"/>
                </w:rPr>
                <w:t>45</w:t>
              </w:r>
            </w:hyperlink>
          </w:p>
        </w:tc>
        <w:tc>
          <w:tcPr>
            <w:tcW w:w="0" w:type="dxa"/>
            <w:vAlign w:val="bottom"/>
          </w:tcPr>
          <w:p>
            <w:pPr>
              <w:spacing w:after="0"/>
              <w:rPr>
                <w:sz w:val="1"/>
                <w:szCs w:val="1"/>
                <w:color w:val="auto"/>
              </w:rPr>
            </w:pPr>
          </w:p>
        </w:tc>
      </w:tr>
      <w:tr>
        <w:trPr>
          <w:trHeight w:val="239"/>
        </w:trPr>
        <w:tc>
          <w:tcPr>
            <w:tcW w:w="8540" w:type="dxa"/>
            <w:vAlign w:val="bottom"/>
            <w:gridSpan w:val="7"/>
          </w:tcPr>
          <w:p>
            <w:pPr>
              <w:ind w:left="160"/>
              <w:spacing w:after="0"/>
              <w:rPr>
                <w:rFonts w:ascii="Arial" w:cs="Arial" w:eastAsia="Arial" w:hAnsi="Arial"/>
                <w:sz w:val="15"/>
                <w:szCs w:val="15"/>
                <w:u w:val="single" w:color="auto"/>
                <w:color w:val="0000EE"/>
              </w:rPr>
            </w:pPr>
            <w:hyperlink w:anchor="page51">
              <w:r>
                <w:rPr>
                  <w:rFonts w:ascii="Arial" w:cs="Arial" w:eastAsia="Arial" w:hAnsi="Arial"/>
                  <w:sz w:val="15"/>
                  <w:szCs w:val="15"/>
                  <w:u w:val="single" w:color="auto"/>
                  <w:color w:val="0000EE"/>
                </w:rPr>
                <w:t>CEO Pay Ratio</w:t>
              </w:r>
            </w:hyperlink>
          </w:p>
        </w:tc>
        <w:tc>
          <w:tcPr>
            <w:tcW w:w="420" w:type="dxa"/>
            <w:vAlign w:val="bottom"/>
          </w:tcPr>
          <w:p>
            <w:pPr>
              <w:jc w:val="right"/>
              <w:spacing w:after="0"/>
              <w:rPr>
                <w:rFonts w:ascii="Arial" w:cs="Arial" w:eastAsia="Arial" w:hAnsi="Arial"/>
                <w:sz w:val="15"/>
                <w:szCs w:val="15"/>
                <w:u w:val="single" w:color="auto"/>
                <w:color w:val="0000EE"/>
              </w:rPr>
            </w:pPr>
            <w:hyperlink w:anchor="page51">
              <w:r>
                <w:rPr>
                  <w:rFonts w:ascii="Arial" w:cs="Arial" w:eastAsia="Arial" w:hAnsi="Arial"/>
                  <w:sz w:val="15"/>
                  <w:szCs w:val="15"/>
                  <w:u w:val="single" w:color="auto"/>
                  <w:color w:val="0000EE"/>
                </w:rPr>
                <w:t>48</w:t>
              </w:r>
            </w:hyperlink>
          </w:p>
        </w:tc>
        <w:tc>
          <w:tcPr>
            <w:tcW w:w="0" w:type="dxa"/>
            <w:vAlign w:val="bottom"/>
          </w:tcPr>
          <w:p>
            <w:pPr>
              <w:spacing w:after="0"/>
              <w:rPr>
                <w:sz w:val="1"/>
                <w:szCs w:val="1"/>
                <w:color w:val="auto"/>
              </w:rPr>
            </w:pPr>
          </w:p>
        </w:tc>
      </w:tr>
      <w:tr>
        <w:trPr>
          <w:trHeight w:val="247"/>
        </w:trPr>
        <w:tc>
          <w:tcPr>
            <w:tcW w:w="8540" w:type="dxa"/>
            <w:vAlign w:val="bottom"/>
            <w:gridSpan w:val="7"/>
            <w:shd w:val="clear" w:color="auto" w:fill="CCEEFF"/>
          </w:tcPr>
          <w:p>
            <w:pPr>
              <w:ind w:left="160"/>
              <w:spacing w:after="0"/>
              <w:rPr>
                <w:rFonts w:ascii="Arial" w:cs="Arial" w:eastAsia="Arial" w:hAnsi="Arial"/>
                <w:sz w:val="15"/>
                <w:szCs w:val="15"/>
                <w:u w:val="single" w:color="auto"/>
                <w:color w:val="0000EE"/>
              </w:rPr>
            </w:pPr>
            <w:hyperlink w:anchor="page52">
              <w:r>
                <w:rPr>
                  <w:rFonts w:ascii="Arial" w:cs="Arial" w:eastAsia="Arial" w:hAnsi="Arial"/>
                  <w:sz w:val="15"/>
                  <w:szCs w:val="15"/>
                  <w:u w:val="single" w:color="auto"/>
                  <w:color w:val="0000EE"/>
                </w:rPr>
                <w:t>2019 Director Compensation Table</w:t>
              </w:r>
            </w:hyperlink>
          </w:p>
        </w:tc>
        <w:tc>
          <w:tcPr>
            <w:tcW w:w="420" w:type="dxa"/>
            <w:vAlign w:val="bottom"/>
            <w:shd w:val="clear" w:color="auto" w:fill="CCEEFF"/>
          </w:tcPr>
          <w:p>
            <w:pPr>
              <w:jc w:val="right"/>
              <w:spacing w:after="0"/>
              <w:rPr>
                <w:rFonts w:ascii="Arial" w:cs="Arial" w:eastAsia="Arial" w:hAnsi="Arial"/>
                <w:sz w:val="15"/>
                <w:szCs w:val="15"/>
                <w:u w:val="single" w:color="auto"/>
                <w:color w:val="0000EE"/>
              </w:rPr>
            </w:pPr>
            <w:hyperlink w:anchor="page52">
              <w:r>
                <w:rPr>
                  <w:rFonts w:ascii="Arial" w:cs="Arial" w:eastAsia="Arial" w:hAnsi="Arial"/>
                  <w:sz w:val="15"/>
                  <w:szCs w:val="15"/>
                  <w:u w:val="single" w:color="auto"/>
                  <w:color w:val="0000EE"/>
                </w:rPr>
                <w:t>49</w:t>
              </w:r>
            </w:hyperlink>
          </w:p>
        </w:tc>
        <w:tc>
          <w:tcPr>
            <w:tcW w:w="0" w:type="dxa"/>
            <w:vAlign w:val="bottom"/>
          </w:tcPr>
          <w:p>
            <w:pPr>
              <w:spacing w:after="0"/>
              <w:rPr>
                <w:sz w:val="1"/>
                <w:szCs w:val="1"/>
                <w:color w:val="auto"/>
              </w:rPr>
            </w:pPr>
          </w:p>
        </w:tc>
      </w:tr>
      <w:tr>
        <w:trPr>
          <w:trHeight w:val="351"/>
        </w:trPr>
        <w:tc>
          <w:tcPr>
            <w:tcW w:w="8540" w:type="dxa"/>
            <w:vAlign w:val="bottom"/>
            <w:gridSpan w:val="7"/>
          </w:tcPr>
          <w:p>
            <w:pPr>
              <w:spacing w:after="0"/>
              <w:rPr>
                <w:rFonts w:ascii="Arial" w:cs="Arial" w:eastAsia="Arial" w:hAnsi="Arial"/>
                <w:sz w:val="18"/>
                <w:szCs w:val="18"/>
                <w:b w:val="1"/>
                <w:bCs w:val="1"/>
                <w:u w:val="single" w:color="auto"/>
                <w:color w:val="4800E6"/>
              </w:rPr>
            </w:pPr>
            <w:hyperlink w:anchor="page53">
              <w:r>
                <w:rPr>
                  <w:rFonts w:ascii="Arial" w:cs="Arial" w:eastAsia="Arial" w:hAnsi="Arial"/>
                  <w:sz w:val="18"/>
                  <w:szCs w:val="18"/>
                  <w:b w:val="1"/>
                  <w:bCs w:val="1"/>
                  <w:u w:val="single" w:color="auto"/>
                  <w:color w:val="4800E6"/>
                </w:rPr>
                <w:t xml:space="preserve">Proposal No. 2  </w:t>
              </w:r>
              <w:r>
                <w:rPr>
                  <w:rFonts w:ascii="Arial" w:cs="Arial" w:eastAsia="Arial" w:hAnsi="Arial"/>
                  <w:sz w:val="18"/>
                  <w:szCs w:val="18"/>
                  <w:b w:val="1"/>
                  <w:bCs w:val="1"/>
                  <w:u w:val="single" w:color="auto"/>
                  <w:color w:val="666666"/>
                </w:rPr>
                <w:t>Advisory (Non-Binding) Vote to Approve Executive Compensation (Say on Pay)</w:t>
              </w:r>
            </w:hyperlink>
          </w:p>
        </w:tc>
        <w:tc>
          <w:tcPr>
            <w:tcW w:w="420" w:type="dxa"/>
            <w:vAlign w:val="bottom"/>
          </w:tcPr>
          <w:p>
            <w:pPr>
              <w:jc w:val="right"/>
              <w:spacing w:after="0"/>
              <w:rPr>
                <w:rFonts w:ascii="Arial" w:cs="Arial" w:eastAsia="Arial" w:hAnsi="Arial"/>
                <w:sz w:val="18"/>
                <w:szCs w:val="18"/>
                <w:b w:val="1"/>
                <w:bCs w:val="1"/>
                <w:u w:val="single" w:color="auto"/>
                <w:color w:val="4800E6"/>
              </w:rPr>
            </w:pPr>
            <w:hyperlink w:anchor="page53">
              <w:r>
                <w:rPr>
                  <w:rFonts w:ascii="Arial" w:cs="Arial" w:eastAsia="Arial" w:hAnsi="Arial"/>
                  <w:sz w:val="18"/>
                  <w:szCs w:val="18"/>
                  <w:b w:val="1"/>
                  <w:bCs w:val="1"/>
                  <w:u w:val="single" w:color="auto"/>
                  <w:color w:val="4800E6"/>
                </w:rPr>
                <w:t>50</w:t>
              </w:r>
            </w:hyperlink>
          </w:p>
        </w:tc>
        <w:tc>
          <w:tcPr>
            <w:tcW w:w="0" w:type="dxa"/>
            <w:vAlign w:val="bottom"/>
          </w:tcPr>
          <w:p>
            <w:pPr>
              <w:spacing w:after="0"/>
              <w:rPr>
                <w:sz w:val="1"/>
                <w:szCs w:val="1"/>
                <w:color w:val="auto"/>
              </w:rPr>
            </w:pPr>
          </w:p>
        </w:tc>
      </w:tr>
      <w:tr>
        <w:trPr>
          <w:trHeight w:val="351"/>
        </w:trPr>
        <w:tc>
          <w:tcPr>
            <w:tcW w:w="8540" w:type="dxa"/>
            <w:vAlign w:val="bottom"/>
            <w:gridSpan w:val="7"/>
            <w:shd w:val="clear" w:color="auto" w:fill="CCEEFF"/>
          </w:tcPr>
          <w:p>
            <w:pPr>
              <w:spacing w:after="0"/>
              <w:rPr>
                <w:rFonts w:ascii="Arial" w:cs="Arial" w:eastAsia="Arial" w:hAnsi="Arial"/>
                <w:sz w:val="18"/>
                <w:szCs w:val="18"/>
                <w:b w:val="1"/>
                <w:bCs w:val="1"/>
                <w:u w:val="single" w:color="auto"/>
                <w:color w:val="4800E6"/>
              </w:rPr>
            </w:pPr>
            <w:hyperlink w:anchor="page54">
              <w:r>
                <w:rPr>
                  <w:rFonts w:ascii="Arial" w:cs="Arial" w:eastAsia="Arial" w:hAnsi="Arial"/>
                  <w:sz w:val="18"/>
                  <w:szCs w:val="18"/>
                  <w:b w:val="1"/>
                  <w:bCs w:val="1"/>
                  <w:u w:val="single" w:color="auto"/>
                  <w:color w:val="4800E6"/>
                </w:rPr>
                <w:t>Audit Matters</w:t>
              </w:r>
            </w:hyperlink>
          </w:p>
        </w:tc>
        <w:tc>
          <w:tcPr>
            <w:tcW w:w="420" w:type="dxa"/>
            <w:vAlign w:val="bottom"/>
            <w:shd w:val="clear" w:color="auto" w:fill="CCEEFF"/>
          </w:tcPr>
          <w:p>
            <w:pPr>
              <w:jc w:val="right"/>
              <w:spacing w:after="0"/>
              <w:rPr>
                <w:rFonts w:ascii="Arial" w:cs="Arial" w:eastAsia="Arial" w:hAnsi="Arial"/>
                <w:sz w:val="18"/>
                <w:szCs w:val="18"/>
                <w:b w:val="1"/>
                <w:bCs w:val="1"/>
                <w:u w:val="single" w:color="auto"/>
                <w:color w:val="4800E6"/>
              </w:rPr>
            </w:pPr>
            <w:hyperlink w:anchor="page54">
              <w:r>
                <w:rPr>
                  <w:rFonts w:ascii="Arial" w:cs="Arial" w:eastAsia="Arial" w:hAnsi="Arial"/>
                  <w:sz w:val="18"/>
                  <w:szCs w:val="18"/>
                  <w:b w:val="1"/>
                  <w:bCs w:val="1"/>
                  <w:u w:val="single" w:color="auto"/>
                  <w:color w:val="4800E6"/>
                </w:rPr>
                <w:t>51</w:t>
              </w:r>
            </w:hyperlink>
          </w:p>
        </w:tc>
        <w:tc>
          <w:tcPr>
            <w:tcW w:w="0" w:type="dxa"/>
            <w:vAlign w:val="bottom"/>
          </w:tcPr>
          <w:p>
            <w:pPr>
              <w:spacing w:after="0"/>
              <w:rPr>
                <w:sz w:val="1"/>
                <w:szCs w:val="1"/>
                <w:color w:val="auto"/>
              </w:rPr>
            </w:pPr>
          </w:p>
        </w:tc>
      </w:tr>
      <w:tr>
        <w:trPr>
          <w:trHeight w:val="239"/>
        </w:trPr>
        <w:tc>
          <w:tcPr>
            <w:tcW w:w="8540" w:type="dxa"/>
            <w:vAlign w:val="bottom"/>
            <w:gridSpan w:val="7"/>
          </w:tcPr>
          <w:p>
            <w:pPr>
              <w:ind w:left="160"/>
              <w:spacing w:after="0"/>
              <w:rPr>
                <w:rFonts w:ascii="Arial" w:cs="Arial" w:eastAsia="Arial" w:hAnsi="Arial"/>
                <w:sz w:val="15"/>
                <w:szCs w:val="15"/>
                <w:u w:val="single" w:color="auto"/>
                <w:color w:val="0000EE"/>
              </w:rPr>
            </w:pPr>
            <w:hyperlink w:anchor="page54">
              <w:r>
                <w:rPr>
                  <w:rFonts w:ascii="Arial" w:cs="Arial" w:eastAsia="Arial" w:hAnsi="Arial"/>
                  <w:sz w:val="15"/>
                  <w:szCs w:val="15"/>
                  <w:u w:val="single" w:color="auto"/>
                  <w:color w:val="0000EE"/>
                </w:rPr>
                <w:t>Audit and Compliance Committee Report</w:t>
              </w:r>
            </w:hyperlink>
          </w:p>
        </w:tc>
        <w:tc>
          <w:tcPr>
            <w:tcW w:w="420" w:type="dxa"/>
            <w:vAlign w:val="bottom"/>
          </w:tcPr>
          <w:p>
            <w:pPr>
              <w:jc w:val="right"/>
              <w:spacing w:after="0"/>
              <w:rPr>
                <w:rFonts w:ascii="Arial" w:cs="Arial" w:eastAsia="Arial" w:hAnsi="Arial"/>
                <w:sz w:val="15"/>
                <w:szCs w:val="15"/>
                <w:u w:val="single" w:color="auto"/>
                <w:color w:val="0000EE"/>
              </w:rPr>
            </w:pPr>
            <w:hyperlink w:anchor="page54">
              <w:r>
                <w:rPr>
                  <w:rFonts w:ascii="Arial" w:cs="Arial" w:eastAsia="Arial" w:hAnsi="Arial"/>
                  <w:sz w:val="15"/>
                  <w:szCs w:val="15"/>
                  <w:u w:val="single" w:color="auto"/>
                  <w:color w:val="0000EE"/>
                </w:rPr>
                <w:t>51</w:t>
              </w:r>
            </w:hyperlink>
          </w:p>
        </w:tc>
        <w:tc>
          <w:tcPr>
            <w:tcW w:w="0" w:type="dxa"/>
            <w:vAlign w:val="bottom"/>
          </w:tcPr>
          <w:p>
            <w:pPr>
              <w:spacing w:after="0"/>
              <w:rPr>
                <w:sz w:val="1"/>
                <w:szCs w:val="1"/>
                <w:color w:val="auto"/>
              </w:rPr>
            </w:pPr>
          </w:p>
        </w:tc>
      </w:tr>
      <w:tr>
        <w:trPr>
          <w:trHeight w:val="247"/>
        </w:trPr>
        <w:tc>
          <w:tcPr>
            <w:tcW w:w="8540" w:type="dxa"/>
            <w:vAlign w:val="bottom"/>
            <w:gridSpan w:val="7"/>
            <w:shd w:val="clear" w:color="auto" w:fill="CCEEFF"/>
          </w:tcPr>
          <w:p>
            <w:pPr>
              <w:ind w:left="160"/>
              <w:spacing w:after="0"/>
              <w:rPr>
                <w:rFonts w:ascii="Arial" w:cs="Arial" w:eastAsia="Arial" w:hAnsi="Arial"/>
                <w:sz w:val="15"/>
                <w:szCs w:val="15"/>
                <w:u w:val="single" w:color="auto"/>
                <w:color w:val="0000EE"/>
              </w:rPr>
            </w:pPr>
            <w:hyperlink w:anchor="page55">
              <w:r>
                <w:rPr>
                  <w:rFonts w:ascii="Arial" w:cs="Arial" w:eastAsia="Arial" w:hAnsi="Arial"/>
                  <w:sz w:val="15"/>
                  <w:szCs w:val="15"/>
                  <w:u w:val="single" w:color="auto"/>
                  <w:color w:val="0000EE"/>
                </w:rPr>
                <w:t>Changes in Independent Auditor</w:t>
              </w:r>
            </w:hyperlink>
          </w:p>
        </w:tc>
        <w:tc>
          <w:tcPr>
            <w:tcW w:w="420" w:type="dxa"/>
            <w:vAlign w:val="bottom"/>
            <w:shd w:val="clear" w:color="auto" w:fill="CCEEFF"/>
          </w:tcPr>
          <w:p>
            <w:pPr>
              <w:jc w:val="right"/>
              <w:spacing w:after="0"/>
              <w:rPr>
                <w:rFonts w:ascii="Arial" w:cs="Arial" w:eastAsia="Arial" w:hAnsi="Arial"/>
                <w:sz w:val="15"/>
                <w:szCs w:val="15"/>
                <w:u w:val="single" w:color="auto"/>
                <w:color w:val="0000EE"/>
              </w:rPr>
            </w:pPr>
            <w:hyperlink w:anchor="page55">
              <w:r>
                <w:rPr>
                  <w:rFonts w:ascii="Arial" w:cs="Arial" w:eastAsia="Arial" w:hAnsi="Arial"/>
                  <w:sz w:val="15"/>
                  <w:szCs w:val="15"/>
                  <w:u w:val="single" w:color="auto"/>
                  <w:color w:val="0000EE"/>
                </w:rPr>
                <w:t>52</w:t>
              </w:r>
            </w:hyperlink>
          </w:p>
        </w:tc>
        <w:tc>
          <w:tcPr>
            <w:tcW w:w="0" w:type="dxa"/>
            <w:vAlign w:val="bottom"/>
          </w:tcPr>
          <w:p>
            <w:pPr>
              <w:spacing w:after="0"/>
              <w:rPr>
                <w:sz w:val="1"/>
                <w:szCs w:val="1"/>
                <w:color w:val="auto"/>
              </w:rPr>
            </w:pPr>
          </w:p>
        </w:tc>
      </w:tr>
      <w:tr>
        <w:trPr>
          <w:trHeight w:val="239"/>
        </w:trPr>
        <w:tc>
          <w:tcPr>
            <w:tcW w:w="8540" w:type="dxa"/>
            <w:vAlign w:val="bottom"/>
            <w:gridSpan w:val="7"/>
          </w:tcPr>
          <w:p>
            <w:pPr>
              <w:ind w:left="160"/>
              <w:spacing w:after="0"/>
              <w:rPr>
                <w:rFonts w:ascii="Arial" w:cs="Arial" w:eastAsia="Arial" w:hAnsi="Arial"/>
                <w:sz w:val="15"/>
                <w:szCs w:val="15"/>
                <w:u w:val="single" w:color="auto"/>
                <w:color w:val="0000EE"/>
              </w:rPr>
            </w:pPr>
            <w:hyperlink w:anchor="page55">
              <w:r>
                <w:rPr>
                  <w:rFonts w:ascii="Arial" w:cs="Arial" w:eastAsia="Arial" w:hAnsi="Arial"/>
                  <w:sz w:val="15"/>
                  <w:szCs w:val="15"/>
                  <w:u w:val="single" w:color="auto"/>
                  <w:color w:val="0000EE"/>
                </w:rPr>
                <w:t>Fees Paid to PricewaterhouseCoopers</w:t>
              </w:r>
            </w:hyperlink>
          </w:p>
        </w:tc>
        <w:tc>
          <w:tcPr>
            <w:tcW w:w="420" w:type="dxa"/>
            <w:vAlign w:val="bottom"/>
          </w:tcPr>
          <w:p>
            <w:pPr>
              <w:jc w:val="right"/>
              <w:spacing w:after="0"/>
              <w:rPr>
                <w:rFonts w:ascii="Arial" w:cs="Arial" w:eastAsia="Arial" w:hAnsi="Arial"/>
                <w:sz w:val="15"/>
                <w:szCs w:val="15"/>
                <w:u w:val="single" w:color="auto"/>
                <w:color w:val="0000EE"/>
              </w:rPr>
            </w:pPr>
            <w:hyperlink w:anchor="page55">
              <w:r>
                <w:rPr>
                  <w:rFonts w:ascii="Arial" w:cs="Arial" w:eastAsia="Arial" w:hAnsi="Arial"/>
                  <w:sz w:val="15"/>
                  <w:szCs w:val="15"/>
                  <w:u w:val="single" w:color="auto"/>
                  <w:color w:val="0000EE"/>
                </w:rPr>
                <w:t>52</w:t>
              </w:r>
            </w:hyperlink>
          </w:p>
        </w:tc>
        <w:tc>
          <w:tcPr>
            <w:tcW w:w="0" w:type="dxa"/>
            <w:vAlign w:val="bottom"/>
          </w:tcPr>
          <w:p>
            <w:pPr>
              <w:spacing w:after="0"/>
              <w:rPr>
                <w:sz w:val="1"/>
                <w:szCs w:val="1"/>
                <w:color w:val="auto"/>
              </w:rPr>
            </w:pPr>
          </w:p>
        </w:tc>
      </w:tr>
      <w:tr>
        <w:trPr>
          <w:trHeight w:val="247"/>
        </w:trPr>
        <w:tc>
          <w:tcPr>
            <w:tcW w:w="8540" w:type="dxa"/>
            <w:vAlign w:val="bottom"/>
            <w:gridSpan w:val="7"/>
            <w:shd w:val="clear" w:color="auto" w:fill="CCEEFF"/>
          </w:tcPr>
          <w:p>
            <w:pPr>
              <w:ind w:left="160"/>
              <w:spacing w:after="0"/>
              <w:rPr>
                <w:rFonts w:ascii="Arial" w:cs="Arial" w:eastAsia="Arial" w:hAnsi="Arial"/>
                <w:sz w:val="15"/>
                <w:szCs w:val="15"/>
                <w:u w:val="single" w:color="auto"/>
                <w:color w:val="0000EE"/>
              </w:rPr>
            </w:pPr>
            <w:hyperlink w:anchor="page56">
              <w:r>
                <w:rPr>
                  <w:rFonts w:ascii="Arial" w:cs="Arial" w:eastAsia="Arial" w:hAnsi="Arial"/>
                  <w:sz w:val="15"/>
                  <w:szCs w:val="15"/>
                  <w:u w:val="single" w:color="auto"/>
                  <w:color w:val="0000EE"/>
                </w:rPr>
                <w:t>Pre-Approval Policies and Procedures</w:t>
              </w:r>
            </w:hyperlink>
          </w:p>
        </w:tc>
        <w:tc>
          <w:tcPr>
            <w:tcW w:w="420" w:type="dxa"/>
            <w:vAlign w:val="bottom"/>
            <w:shd w:val="clear" w:color="auto" w:fill="CCEEFF"/>
          </w:tcPr>
          <w:p>
            <w:pPr>
              <w:jc w:val="right"/>
              <w:spacing w:after="0"/>
              <w:rPr>
                <w:rFonts w:ascii="Arial" w:cs="Arial" w:eastAsia="Arial" w:hAnsi="Arial"/>
                <w:sz w:val="15"/>
                <w:szCs w:val="15"/>
                <w:u w:val="single" w:color="auto"/>
                <w:color w:val="0000EE"/>
              </w:rPr>
            </w:pPr>
            <w:hyperlink w:anchor="page56">
              <w:r>
                <w:rPr>
                  <w:rFonts w:ascii="Arial" w:cs="Arial" w:eastAsia="Arial" w:hAnsi="Arial"/>
                  <w:sz w:val="15"/>
                  <w:szCs w:val="15"/>
                  <w:u w:val="single" w:color="auto"/>
                  <w:color w:val="0000EE"/>
                </w:rPr>
                <w:t>53</w:t>
              </w:r>
            </w:hyperlink>
          </w:p>
        </w:tc>
        <w:tc>
          <w:tcPr>
            <w:tcW w:w="0" w:type="dxa"/>
            <w:vAlign w:val="bottom"/>
          </w:tcPr>
          <w:p>
            <w:pPr>
              <w:spacing w:after="0"/>
              <w:rPr>
                <w:sz w:val="1"/>
                <w:szCs w:val="1"/>
                <w:color w:val="auto"/>
              </w:rPr>
            </w:pPr>
          </w:p>
        </w:tc>
      </w:tr>
      <w:tr>
        <w:trPr>
          <w:trHeight w:val="297"/>
        </w:trPr>
        <w:tc>
          <w:tcPr>
            <w:tcW w:w="8540" w:type="dxa"/>
            <w:vAlign w:val="bottom"/>
            <w:gridSpan w:val="7"/>
          </w:tcPr>
          <w:p>
            <w:pPr>
              <w:spacing w:after="0"/>
              <w:rPr>
                <w:rFonts w:ascii="Arial" w:cs="Arial" w:eastAsia="Arial" w:hAnsi="Arial"/>
                <w:sz w:val="18"/>
                <w:szCs w:val="18"/>
                <w:b w:val="1"/>
                <w:bCs w:val="1"/>
                <w:color w:val="4800E6"/>
              </w:rPr>
            </w:pPr>
            <w:hyperlink w:anchor="page57">
              <w:r>
                <w:rPr>
                  <w:rFonts w:ascii="Arial" w:cs="Arial" w:eastAsia="Arial" w:hAnsi="Arial"/>
                  <w:sz w:val="18"/>
                  <w:szCs w:val="18"/>
                  <w:b w:val="1"/>
                  <w:bCs w:val="1"/>
                  <w:color w:val="4800E6"/>
                </w:rPr>
                <w:t xml:space="preserve">Proposal No. 3  </w:t>
              </w:r>
              <w:r>
                <w:rPr>
                  <w:rFonts w:ascii="Arial" w:cs="Arial" w:eastAsia="Arial" w:hAnsi="Arial"/>
                  <w:sz w:val="18"/>
                  <w:szCs w:val="18"/>
                  <w:b w:val="1"/>
                  <w:bCs w:val="1"/>
                  <w:color w:val="666666"/>
                </w:rPr>
                <w:t>Ratification of the Appointment of PricewaterhouseCoopers LLP as the Company’s</w:t>
              </w:r>
            </w:hyperlink>
          </w:p>
        </w:tc>
        <w:tc>
          <w:tcPr>
            <w:tcW w:w="420" w:type="dxa"/>
            <w:vAlign w:val="bottom"/>
            <w:vMerge w:val="restart"/>
          </w:tcPr>
          <w:p>
            <w:pPr>
              <w:jc w:val="right"/>
              <w:spacing w:after="0"/>
              <w:rPr>
                <w:rFonts w:ascii="Arial" w:cs="Arial" w:eastAsia="Arial" w:hAnsi="Arial"/>
                <w:sz w:val="18"/>
                <w:szCs w:val="18"/>
                <w:b w:val="1"/>
                <w:bCs w:val="1"/>
                <w:u w:val="single" w:color="auto"/>
                <w:color w:val="4800E6"/>
              </w:rPr>
            </w:pPr>
            <w:hyperlink w:anchor="page57">
              <w:r>
                <w:rPr>
                  <w:rFonts w:ascii="Arial" w:cs="Arial" w:eastAsia="Arial" w:hAnsi="Arial"/>
                  <w:sz w:val="18"/>
                  <w:szCs w:val="18"/>
                  <w:b w:val="1"/>
                  <w:bCs w:val="1"/>
                  <w:u w:val="single" w:color="auto"/>
                  <w:color w:val="4800E6"/>
                </w:rPr>
                <w:t>54</w:t>
              </w:r>
            </w:hyperlink>
          </w:p>
        </w:tc>
        <w:tc>
          <w:tcPr>
            <w:tcW w:w="0" w:type="dxa"/>
            <w:vAlign w:val="bottom"/>
          </w:tcPr>
          <w:p>
            <w:pPr>
              <w:spacing w:after="0"/>
              <w:rPr>
                <w:sz w:val="1"/>
                <w:szCs w:val="1"/>
                <w:color w:val="auto"/>
              </w:rPr>
            </w:pPr>
          </w:p>
        </w:tc>
      </w:tr>
      <w:tr>
        <w:trPr>
          <w:trHeight w:val="196"/>
        </w:trPr>
        <w:tc>
          <w:tcPr>
            <w:tcW w:w="1380" w:type="dxa"/>
            <w:vAlign w:val="bottom"/>
            <w:tcBorders>
              <w:top w:val="single" w:sz="8" w:color="4800E6"/>
            </w:tcBorders>
          </w:tcPr>
          <w:p>
            <w:pPr>
              <w:spacing w:after="0"/>
              <w:rPr>
                <w:sz w:val="17"/>
                <w:szCs w:val="17"/>
                <w:color w:val="auto"/>
              </w:rPr>
            </w:pPr>
          </w:p>
        </w:tc>
        <w:tc>
          <w:tcPr>
            <w:tcW w:w="6940" w:type="dxa"/>
            <w:vAlign w:val="bottom"/>
            <w:tcBorders>
              <w:top w:val="single" w:sz="8" w:color="666666"/>
            </w:tcBorders>
            <w:gridSpan w:val="5"/>
          </w:tcPr>
          <w:p>
            <w:pPr>
              <w:ind w:left="60"/>
              <w:spacing w:after="0" w:line="196" w:lineRule="exact"/>
              <w:rPr>
                <w:rFonts w:ascii="Arial" w:cs="Arial" w:eastAsia="Arial" w:hAnsi="Arial"/>
                <w:sz w:val="18"/>
                <w:szCs w:val="18"/>
                <w:b w:val="1"/>
                <w:bCs w:val="1"/>
                <w:color w:val="666666"/>
              </w:rPr>
            </w:pPr>
            <w:hyperlink w:anchor="page57">
              <w:r>
                <w:rPr>
                  <w:rFonts w:ascii="Arial" w:cs="Arial" w:eastAsia="Arial" w:hAnsi="Arial"/>
                  <w:sz w:val="18"/>
                  <w:szCs w:val="18"/>
                  <w:b w:val="1"/>
                  <w:bCs w:val="1"/>
                  <w:color w:val="666666"/>
                </w:rPr>
                <w:t>independent registered public accounting firm</w:t>
              </w:r>
            </w:hyperlink>
          </w:p>
        </w:tc>
        <w:tc>
          <w:tcPr>
            <w:tcW w:w="220" w:type="dxa"/>
            <w:vAlign w:val="bottom"/>
          </w:tcPr>
          <w:p>
            <w:pPr>
              <w:spacing w:after="0"/>
              <w:rPr>
                <w:sz w:val="17"/>
                <w:szCs w:val="17"/>
                <w:color w:val="auto"/>
              </w:rPr>
            </w:pPr>
          </w:p>
        </w:tc>
        <w:tc>
          <w:tcPr>
            <w:tcW w:w="4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34"/>
        </w:trPr>
        <w:tc>
          <w:tcPr>
            <w:tcW w:w="1380" w:type="dxa"/>
            <w:vAlign w:val="bottom"/>
          </w:tcPr>
          <w:p>
            <w:pPr>
              <w:spacing w:after="0"/>
              <w:rPr>
                <w:sz w:val="2"/>
                <w:szCs w:val="2"/>
                <w:color w:val="auto"/>
              </w:rPr>
            </w:pPr>
          </w:p>
        </w:tc>
        <w:tc>
          <w:tcPr>
            <w:tcW w:w="60" w:type="dxa"/>
            <w:vAlign w:val="bottom"/>
          </w:tcPr>
          <w:p>
            <w:pPr>
              <w:spacing w:after="0"/>
              <w:rPr>
                <w:sz w:val="2"/>
                <w:szCs w:val="2"/>
                <w:color w:val="auto"/>
              </w:rPr>
            </w:pPr>
          </w:p>
        </w:tc>
        <w:tc>
          <w:tcPr>
            <w:tcW w:w="880" w:type="dxa"/>
            <w:vAlign w:val="bottom"/>
            <w:tcBorders>
              <w:top w:val="single" w:sz="8" w:color="666666"/>
            </w:tcBorders>
          </w:tcPr>
          <w:p>
            <w:pPr>
              <w:spacing w:after="0"/>
              <w:rPr>
                <w:sz w:val="2"/>
                <w:szCs w:val="2"/>
                <w:color w:val="auto"/>
              </w:rPr>
            </w:pPr>
          </w:p>
        </w:tc>
        <w:tc>
          <w:tcPr>
            <w:tcW w:w="3000" w:type="dxa"/>
            <w:vAlign w:val="bottom"/>
            <w:tcBorders>
              <w:top w:val="single" w:sz="8" w:color="666666"/>
            </w:tcBorders>
          </w:tcPr>
          <w:p>
            <w:pPr>
              <w:spacing w:after="0"/>
              <w:rPr>
                <w:sz w:val="2"/>
                <w:szCs w:val="2"/>
                <w:color w:val="auto"/>
              </w:rPr>
            </w:pPr>
          </w:p>
        </w:tc>
        <w:tc>
          <w:tcPr>
            <w:tcW w:w="2940" w:type="dxa"/>
            <w:vAlign w:val="bottom"/>
          </w:tcPr>
          <w:p>
            <w:pPr>
              <w:spacing w:after="0"/>
              <w:rPr>
                <w:sz w:val="2"/>
                <w:szCs w:val="2"/>
                <w:color w:val="auto"/>
              </w:rPr>
            </w:pPr>
          </w:p>
        </w:tc>
        <w:tc>
          <w:tcPr>
            <w:tcW w:w="60" w:type="dxa"/>
            <w:vAlign w:val="bottom"/>
          </w:tcPr>
          <w:p>
            <w:pPr>
              <w:spacing w:after="0"/>
              <w:rPr>
                <w:sz w:val="2"/>
                <w:szCs w:val="2"/>
                <w:color w:val="auto"/>
              </w:rPr>
            </w:pPr>
          </w:p>
        </w:tc>
        <w:tc>
          <w:tcPr>
            <w:tcW w:w="220" w:type="dxa"/>
            <w:vAlign w:val="bottom"/>
          </w:tcPr>
          <w:p>
            <w:pPr>
              <w:spacing w:after="0"/>
              <w:rPr>
                <w:sz w:val="2"/>
                <w:szCs w:val="2"/>
                <w:color w:val="auto"/>
              </w:rPr>
            </w:pPr>
          </w:p>
        </w:tc>
        <w:tc>
          <w:tcPr>
            <w:tcW w:w="4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351"/>
        </w:trPr>
        <w:tc>
          <w:tcPr>
            <w:tcW w:w="8540" w:type="dxa"/>
            <w:vAlign w:val="bottom"/>
            <w:gridSpan w:val="7"/>
            <w:shd w:val="clear" w:color="auto" w:fill="CCEEFF"/>
          </w:tcPr>
          <w:p>
            <w:pPr>
              <w:spacing w:after="0"/>
              <w:rPr>
                <w:rFonts w:ascii="Arial" w:cs="Arial" w:eastAsia="Arial" w:hAnsi="Arial"/>
                <w:sz w:val="18"/>
                <w:szCs w:val="18"/>
                <w:b w:val="1"/>
                <w:bCs w:val="1"/>
                <w:u w:val="single" w:color="auto"/>
                <w:color w:val="4800E6"/>
              </w:rPr>
            </w:pPr>
            <w:hyperlink w:anchor="page58">
              <w:r>
                <w:rPr>
                  <w:rFonts w:ascii="Arial" w:cs="Arial" w:eastAsia="Arial" w:hAnsi="Arial"/>
                  <w:sz w:val="18"/>
                  <w:szCs w:val="18"/>
                  <w:b w:val="1"/>
                  <w:bCs w:val="1"/>
                  <w:u w:val="single" w:color="auto"/>
                  <w:color w:val="4800E6"/>
                </w:rPr>
                <w:t xml:space="preserve">Proposal No. 4  </w:t>
              </w:r>
              <w:r>
                <w:rPr>
                  <w:rFonts w:ascii="Arial" w:cs="Arial" w:eastAsia="Arial" w:hAnsi="Arial"/>
                  <w:sz w:val="18"/>
                  <w:szCs w:val="18"/>
                  <w:b w:val="1"/>
                  <w:bCs w:val="1"/>
                  <w:u w:val="single" w:color="auto"/>
                  <w:color w:val="666666"/>
                </w:rPr>
                <w:t>Ordinary Resolution to Grant Authority to Allot Shares for a Period of Five Years</w:t>
              </w:r>
            </w:hyperlink>
          </w:p>
        </w:tc>
        <w:tc>
          <w:tcPr>
            <w:tcW w:w="420" w:type="dxa"/>
            <w:vAlign w:val="bottom"/>
            <w:shd w:val="clear" w:color="auto" w:fill="CCEEFF"/>
          </w:tcPr>
          <w:p>
            <w:pPr>
              <w:jc w:val="right"/>
              <w:spacing w:after="0"/>
              <w:rPr>
                <w:rFonts w:ascii="Arial" w:cs="Arial" w:eastAsia="Arial" w:hAnsi="Arial"/>
                <w:sz w:val="18"/>
                <w:szCs w:val="18"/>
                <w:b w:val="1"/>
                <w:bCs w:val="1"/>
                <w:u w:val="single" w:color="auto"/>
                <w:color w:val="4800E6"/>
              </w:rPr>
            </w:pPr>
            <w:hyperlink w:anchor="page58">
              <w:r>
                <w:rPr>
                  <w:rFonts w:ascii="Arial" w:cs="Arial" w:eastAsia="Arial" w:hAnsi="Arial"/>
                  <w:sz w:val="18"/>
                  <w:szCs w:val="18"/>
                  <w:b w:val="1"/>
                  <w:bCs w:val="1"/>
                  <w:u w:val="single" w:color="auto"/>
                  <w:color w:val="4800E6"/>
                </w:rPr>
                <w:t>55</w:t>
              </w:r>
            </w:hyperlink>
          </w:p>
        </w:tc>
        <w:tc>
          <w:tcPr>
            <w:tcW w:w="0" w:type="dxa"/>
            <w:vAlign w:val="bottom"/>
          </w:tcPr>
          <w:p>
            <w:pPr>
              <w:spacing w:after="0"/>
              <w:rPr>
                <w:sz w:val="1"/>
                <w:szCs w:val="1"/>
                <w:color w:val="auto"/>
              </w:rPr>
            </w:pPr>
          </w:p>
        </w:tc>
      </w:tr>
      <w:tr>
        <w:trPr>
          <w:trHeight w:val="297"/>
        </w:trPr>
        <w:tc>
          <w:tcPr>
            <w:tcW w:w="8540" w:type="dxa"/>
            <w:vAlign w:val="bottom"/>
            <w:gridSpan w:val="7"/>
          </w:tcPr>
          <w:p>
            <w:pPr>
              <w:spacing w:after="0"/>
              <w:rPr>
                <w:rFonts w:ascii="Arial" w:cs="Arial" w:eastAsia="Arial" w:hAnsi="Arial"/>
                <w:sz w:val="18"/>
                <w:szCs w:val="18"/>
                <w:b w:val="1"/>
                <w:bCs w:val="1"/>
                <w:color w:val="4800E6"/>
              </w:rPr>
            </w:pPr>
            <w:hyperlink w:anchor="page60">
              <w:r>
                <w:rPr>
                  <w:rFonts w:ascii="Arial" w:cs="Arial" w:eastAsia="Arial" w:hAnsi="Arial"/>
                  <w:sz w:val="18"/>
                  <w:szCs w:val="18"/>
                  <w:b w:val="1"/>
                  <w:bCs w:val="1"/>
                  <w:color w:val="4800E6"/>
                </w:rPr>
                <w:t xml:space="preserve">Proposal No. 5  </w:t>
              </w:r>
              <w:r>
                <w:rPr>
                  <w:rFonts w:ascii="Arial" w:cs="Arial" w:eastAsia="Arial" w:hAnsi="Arial"/>
                  <w:sz w:val="18"/>
                  <w:szCs w:val="18"/>
                  <w:b w:val="1"/>
                  <w:bCs w:val="1"/>
                  <w:color w:val="666666"/>
                </w:rPr>
                <w:t>Special Resolution to Grant Power to Disapply Pre-Emption Rights for a Period of</w:t>
              </w:r>
            </w:hyperlink>
          </w:p>
        </w:tc>
        <w:tc>
          <w:tcPr>
            <w:tcW w:w="420" w:type="dxa"/>
            <w:vAlign w:val="bottom"/>
            <w:vMerge w:val="restart"/>
          </w:tcPr>
          <w:p>
            <w:pPr>
              <w:jc w:val="right"/>
              <w:spacing w:after="0"/>
              <w:rPr>
                <w:rFonts w:ascii="Arial" w:cs="Arial" w:eastAsia="Arial" w:hAnsi="Arial"/>
                <w:sz w:val="18"/>
                <w:szCs w:val="18"/>
                <w:b w:val="1"/>
                <w:bCs w:val="1"/>
                <w:u w:val="single" w:color="auto"/>
                <w:color w:val="4800E6"/>
              </w:rPr>
            </w:pPr>
            <w:hyperlink w:anchor="page60">
              <w:r>
                <w:rPr>
                  <w:rFonts w:ascii="Arial" w:cs="Arial" w:eastAsia="Arial" w:hAnsi="Arial"/>
                  <w:sz w:val="18"/>
                  <w:szCs w:val="18"/>
                  <w:b w:val="1"/>
                  <w:bCs w:val="1"/>
                  <w:u w:val="single" w:color="auto"/>
                  <w:color w:val="4800E6"/>
                </w:rPr>
                <w:t>57</w:t>
              </w:r>
            </w:hyperlink>
          </w:p>
        </w:tc>
        <w:tc>
          <w:tcPr>
            <w:tcW w:w="0" w:type="dxa"/>
            <w:vAlign w:val="bottom"/>
          </w:tcPr>
          <w:p>
            <w:pPr>
              <w:spacing w:after="0"/>
              <w:rPr>
                <w:sz w:val="1"/>
                <w:szCs w:val="1"/>
                <w:color w:val="auto"/>
              </w:rPr>
            </w:pPr>
          </w:p>
        </w:tc>
      </w:tr>
      <w:tr>
        <w:trPr>
          <w:trHeight w:val="196"/>
        </w:trPr>
        <w:tc>
          <w:tcPr>
            <w:tcW w:w="1380" w:type="dxa"/>
            <w:vAlign w:val="bottom"/>
            <w:tcBorders>
              <w:top w:val="single" w:sz="8" w:color="4800E6"/>
            </w:tcBorders>
          </w:tcPr>
          <w:p>
            <w:pPr>
              <w:spacing w:after="0"/>
              <w:rPr>
                <w:sz w:val="17"/>
                <w:szCs w:val="17"/>
                <w:color w:val="auto"/>
              </w:rPr>
            </w:pPr>
          </w:p>
        </w:tc>
        <w:tc>
          <w:tcPr>
            <w:tcW w:w="6880" w:type="dxa"/>
            <w:vAlign w:val="bottom"/>
            <w:tcBorders>
              <w:top w:val="single" w:sz="8" w:color="666666"/>
            </w:tcBorders>
            <w:gridSpan w:val="4"/>
          </w:tcPr>
          <w:p>
            <w:pPr>
              <w:ind w:left="60"/>
              <w:spacing w:after="0" w:line="196" w:lineRule="exact"/>
              <w:rPr>
                <w:rFonts w:ascii="Arial" w:cs="Arial" w:eastAsia="Arial" w:hAnsi="Arial"/>
                <w:sz w:val="18"/>
                <w:szCs w:val="18"/>
                <w:b w:val="1"/>
                <w:bCs w:val="1"/>
                <w:color w:val="666666"/>
              </w:rPr>
            </w:pPr>
            <w:hyperlink w:anchor="page60">
              <w:r>
                <w:rPr>
                  <w:rFonts w:ascii="Arial" w:cs="Arial" w:eastAsia="Arial" w:hAnsi="Arial"/>
                  <w:sz w:val="18"/>
                  <w:szCs w:val="18"/>
                  <w:b w:val="1"/>
                  <w:bCs w:val="1"/>
                  <w:color w:val="666666"/>
                </w:rPr>
                <w:t>Five Years</w:t>
              </w:r>
            </w:hyperlink>
          </w:p>
        </w:tc>
        <w:tc>
          <w:tcPr>
            <w:tcW w:w="280" w:type="dxa"/>
            <w:vAlign w:val="bottom"/>
            <w:gridSpan w:val="2"/>
          </w:tcPr>
          <w:p>
            <w:pPr>
              <w:spacing w:after="0"/>
              <w:rPr>
                <w:sz w:val="17"/>
                <w:szCs w:val="17"/>
                <w:color w:val="auto"/>
              </w:rPr>
            </w:pPr>
          </w:p>
        </w:tc>
        <w:tc>
          <w:tcPr>
            <w:tcW w:w="4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34"/>
        </w:trPr>
        <w:tc>
          <w:tcPr>
            <w:tcW w:w="1380" w:type="dxa"/>
            <w:vAlign w:val="bottom"/>
          </w:tcPr>
          <w:p>
            <w:pPr>
              <w:spacing w:after="0"/>
              <w:rPr>
                <w:sz w:val="2"/>
                <w:szCs w:val="2"/>
                <w:color w:val="auto"/>
              </w:rPr>
            </w:pPr>
          </w:p>
        </w:tc>
        <w:tc>
          <w:tcPr>
            <w:tcW w:w="60" w:type="dxa"/>
            <w:vAlign w:val="bottom"/>
          </w:tcPr>
          <w:p>
            <w:pPr>
              <w:spacing w:after="0"/>
              <w:rPr>
                <w:sz w:val="2"/>
                <w:szCs w:val="2"/>
                <w:color w:val="auto"/>
              </w:rPr>
            </w:pPr>
          </w:p>
        </w:tc>
        <w:tc>
          <w:tcPr>
            <w:tcW w:w="880" w:type="dxa"/>
            <w:vAlign w:val="bottom"/>
            <w:tcBorders>
              <w:top w:val="single" w:sz="8" w:color="666666"/>
            </w:tcBorders>
          </w:tcPr>
          <w:p>
            <w:pPr>
              <w:spacing w:after="0"/>
              <w:rPr>
                <w:sz w:val="2"/>
                <w:szCs w:val="2"/>
                <w:color w:val="auto"/>
              </w:rPr>
            </w:pPr>
          </w:p>
        </w:tc>
        <w:tc>
          <w:tcPr>
            <w:tcW w:w="3000" w:type="dxa"/>
            <w:vAlign w:val="bottom"/>
          </w:tcPr>
          <w:p>
            <w:pPr>
              <w:spacing w:after="0"/>
              <w:rPr>
                <w:sz w:val="2"/>
                <w:szCs w:val="2"/>
                <w:color w:val="auto"/>
              </w:rPr>
            </w:pPr>
          </w:p>
        </w:tc>
        <w:tc>
          <w:tcPr>
            <w:tcW w:w="2940" w:type="dxa"/>
            <w:vAlign w:val="bottom"/>
          </w:tcPr>
          <w:p>
            <w:pPr>
              <w:spacing w:after="0"/>
              <w:rPr>
                <w:sz w:val="2"/>
                <w:szCs w:val="2"/>
                <w:color w:val="auto"/>
              </w:rPr>
            </w:pPr>
          </w:p>
        </w:tc>
        <w:tc>
          <w:tcPr>
            <w:tcW w:w="60" w:type="dxa"/>
            <w:vAlign w:val="bottom"/>
          </w:tcPr>
          <w:p>
            <w:pPr>
              <w:spacing w:after="0"/>
              <w:rPr>
                <w:sz w:val="2"/>
                <w:szCs w:val="2"/>
                <w:color w:val="auto"/>
              </w:rPr>
            </w:pPr>
          </w:p>
        </w:tc>
        <w:tc>
          <w:tcPr>
            <w:tcW w:w="220" w:type="dxa"/>
            <w:vAlign w:val="bottom"/>
          </w:tcPr>
          <w:p>
            <w:pPr>
              <w:spacing w:after="0"/>
              <w:rPr>
                <w:sz w:val="2"/>
                <w:szCs w:val="2"/>
                <w:color w:val="auto"/>
              </w:rPr>
            </w:pPr>
          </w:p>
        </w:tc>
        <w:tc>
          <w:tcPr>
            <w:tcW w:w="4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351"/>
        </w:trPr>
        <w:tc>
          <w:tcPr>
            <w:tcW w:w="8540" w:type="dxa"/>
            <w:vAlign w:val="bottom"/>
            <w:gridSpan w:val="7"/>
            <w:shd w:val="clear" w:color="auto" w:fill="CCEEFF"/>
          </w:tcPr>
          <w:p>
            <w:pPr>
              <w:spacing w:after="0"/>
              <w:rPr>
                <w:rFonts w:ascii="Arial" w:cs="Arial" w:eastAsia="Arial" w:hAnsi="Arial"/>
                <w:sz w:val="18"/>
                <w:szCs w:val="18"/>
                <w:b w:val="1"/>
                <w:bCs w:val="1"/>
                <w:u w:val="single" w:color="auto"/>
                <w:color w:val="4800E6"/>
              </w:rPr>
            </w:pPr>
            <w:hyperlink w:anchor="page61">
              <w:r>
                <w:rPr>
                  <w:rFonts w:ascii="Arial" w:cs="Arial" w:eastAsia="Arial" w:hAnsi="Arial"/>
                  <w:sz w:val="18"/>
                  <w:szCs w:val="18"/>
                  <w:b w:val="1"/>
                  <w:bCs w:val="1"/>
                  <w:u w:val="single" w:color="auto"/>
                  <w:color w:val="4800E6"/>
                </w:rPr>
                <w:t xml:space="preserve">Proposal No. 6  </w:t>
              </w:r>
              <w:r>
                <w:rPr>
                  <w:rFonts w:ascii="Arial" w:cs="Arial" w:eastAsia="Arial" w:hAnsi="Arial"/>
                  <w:sz w:val="18"/>
                  <w:szCs w:val="18"/>
                  <w:b w:val="1"/>
                  <w:bCs w:val="1"/>
                  <w:u w:val="single" w:color="auto"/>
                  <w:color w:val="666666"/>
                </w:rPr>
                <w:t>Special Resolution to Adopt the New Articles</w:t>
              </w:r>
            </w:hyperlink>
          </w:p>
        </w:tc>
        <w:tc>
          <w:tcPr>
            <w:tcW w:w="420" w:type="dxa"/>
            <w:vAlign w:val="bottom"/>
            <w:shd w:val="clear" w:color="auto" w:fill="CCEEFF"/>
          </w:tcPr>
          <w:p>
            <w:pPr>
              <w:jc w:val="right"/>
              <w:spacing w:after="0"/>
              <w:rPr>
                <w:rFonts w:ascii="Arial" w:cs="Arial" w:eastAsia="Arial" w:hAnsi="Arial"/>
                <w:sz w:val="18"/>
                <w:szCs w:val="18"/>
                <w:b w:val="1"/>
                <w:bCs w:val="1"/>
                <w:u w:val="single" w:color="auto"/>
                <w:color w:val="4800E6"/>
              </w:rPr>
            </w:pPr>
            <w:hyperlink w:anchor="page61">
              <w:r>
                <w:rPr>
                  <w:rFonts w:ascii="Arial" w:cs="Arial" w:eastAsia="Arial" w:hAnsi="Arial"/>
                  <w:sz w:val="18"/>
                  <w:szCs w:val="18"/>
                  <w:b w:val="1"/>
                  <w:bCs w:val="1"/>
                  <w:u w:val="single" w:color="auto"/>
                  <w:color w:val="4800E6"/>
                </w:rPr>
                <w:t>58</w:t>
              </w:r>
            </w:hyperlink>
          </w:p>
        </w:tc>
        <w:tc>
          <w:tcPr>
            <w:tcW w:w="0" w:type="dxa"/>
            <w:vAlign w:val="bottom"/>
          </w:tcPr>
          <w:p>
            <w:pPr>
              <w:spacing w:after="0"/>
              <w:rPr>
                <w:sz w:val="1"/>
                <w:szCs w:val="1"/>
                <w:color w:val="auto"/>
              </w:rPr>
            </w:pPr>
          </w:p>
        </w:tc>
      </w:tr>
      <w:tr>
        <w:trPr>
          <w:trHeight w:val="351"/>
        </w:trPr>
        <w:tc>
          <w:tcPr>
            <w:tcW w:w="8540" w:type="dxa"/>
            <w:vAlign w:val="bottom"/>
            <w:gridSpan w:val="7"/>
          </w:tcPr>
          <w:p>
            <w:pPr>
              <w:spacing w:after="0"/>
              <w:rPr>
                <w:rFonts w:ascii="Arial" w:cs="Arial" w:eastAsia="Arial" w:hAnsi="Arial"/>
                <w:sz w:val="18"/>
                <w:szCs w:val="18"/>
                <w:b w:val="1"/>
                <w:bCs w:val="1"/>
                <w:u w:val="single" w:color="auto"/>
                <w:color w:val="4800E6"/>
              </w:rPr>
            </w:pPr>
            <w:hyperlink w:anchor="page63">
              <w:r>
                <w:rPr>
                  <w:rFonts w:ascii="Arial" w:cs="Arial" w:eastAsia="Arial" w:hAnsi="Arial"/>
                  <w:sz w:val="18"/>
                  <w:szCs w:val="18"/>
                  <w:b w:val="1"/>
                  <w:bCs w:val="1"/>
                  <w:u w:val="single" w:color="auto"/>
                  <w:color w:val="4800E6"/>
                </w:rPr>
                <w:t>Share Ownership Information</w:t>
              </w:r>
            </w:hyperlink>
          </w:p>
        </w:tc>
        <w:tc>
          <w:tcPr>
            <w:tcW w:w="420" w:type="dxa"/>
            <w:vAlign w:val="bottom"/>
          </w:tcPr>
          <w:p>
            <w:pPr>
              <w:jc w:val="right"/>
              <w:spacing w:after="0"/>
              <w:rPr>
                <w:rFonts w:ascii="Arial" w:cs="Arial" w:eastAsia="Arial" w:hAnsi="Arial"/>
                <w:sz w:val="18"/>
                <w:szCs w:val="18"/>
                <w:b w:val="1"/>
                <w:bCs w:val="1"/>
                <w:u w:val="single" w:color="auto"/>
                <w:color w:val="4800E6"/>
              </w:rPr>
            </w:pPr>
            <w:hyperlink w:anchor="page63">
              <w:r>
                <w:rPr>
                  <w:rFonts w:ascii="Arial" w:cs="Arial" w:eastAsia="Arial" w:hAnsi="Arial"/>
                  <w:sz w:val="18"/>
                  <w:szCs w:val="18"/>
                  <w:b w:val="1"/>
                  <w:bCs w:val="1"/>
                  <w:u w:val="single" w:color="auto"/>
                  <w:color w:val="4800E6"/>
                </w:rPr>
                <w:t>60</w:t>
              </w:r>
            </w:hyperlink>
          </w:p>
        </w:tc>
        <w:tc>
          <w:tcPr>
            <w:tcW w:w="0" w:type="dxa"/>
            <w:vAlign w:val="bottom"/>
          </w:tcPr>
          <w:p>
            <w:pPr>
              <w:spacing w:after="0"/>
              <w:rPr>
                <w:sz w:val="1"/>
                <w:szCs w:val="1"/>
                <w:color w:val="auto"/>
              </w:rPr>
            </w:pPr>
          </w:p>
        </w:tc>
      </w:tr>
      <w:tr>
        <w:trPr>
          <w:trHeight w:val="243"/>
        </w:trPr>
        <w:tc>
          <w:tcPr>
            <w:tcW w:w="8540" w:type="dxa"/>
            <w:vAlign w:val="bottom"/>
            <w:gridSpan w:val="7"/>
            <w:shd w:val="clear" w:color="auto" w:fill="CCEEFF"/>
          </w:tcPr>
          <w:p>
            <w:pPr>
              <w:spacing w:after="0"/>
              <w:rPr>
                <w:rFonts w:ascii="Arial" w:cs="Arial" w:eastAsia="Arial" w:hAnsi="Arial"/>
                <w:sz w:val="15"/>
                <w:szCs w:val="15"/>
                <w:u w:val="single" w:color="auto"/>
                <w:color w:val="0000EE"/>
              </w:rPr>
            </w:pPr>
            <w:hyperlink w:anchor="page64">
              <w:r>
                <w:rPr>
                  <w:rFonts w:ascii="Arial" w:cs="Arial" w:eastAsia="Arial" w:hAnsi="Arial"/>
                  <w:sz w:val="15"/>
                  <w:szCs w:val="15"/>
                  <w:u w:val="single" w:color="auto"/>
                  <w:color w:val="0000EE"/>
                </w:rPr>
                <w:t>Delinquent Section 16(a) Reports</w:t>
              </w:r>
            </w:hyperlink>
          </w:p>
        </w:tc>
        <w:tc>
          <w:tcPr>
            <w:tcW w:w="420" w:type="dxa"/>
            <w:vAlign w:val="bottom"/>
            <w:shd w:val="clear" w:color="auto" w:fill="CCEEFF"/>
          </w:tcPr>
          <w:p>
            <w:pPr>
              <w:jc w:val="right"/>
              <w:spacing w:after="0"/>
              <w:rPr>
                <w:rFonts w:ascii="Arial" w:cs="Arial" w:eastAsia="Arial" w:hAnsi="Arial"/>
                <w:sz w:val="15"/>
                <w:szCs w:val="15"/>
                <w:u w:val="single" w:color="auto"/>
                <w:color w:val="0000EE"/>
              </w:rPr>
            </w:pPr>
            <w:hyperlink w:anchor="page64">
              <w:r>
                <w:rPr>
                  <w:rFonts w:ascii="Arial" w:cs="Arial" w:eastAsia="Arial" w:hAnsi="Arial"/>
                  <w:sz w:val="15"/>
                  <w:szCs w:val="15"/>
                  <w:u w:val="single" w:color="auto"/>
                  <w:color w:val="0000EE"/>
                </w:rPr>
                <w:t>61</w:t>
              </w:r>
            </w:hyperlink>
          </w:p>
        </w:tc>
        <w:tc>
          <w:tcPr>
            <w:tcW w:w="0" w:type="dxa"/>
            <w:vAlign w:val="bottom"/>
          </w:tcPr>
          <w:p>
            <w:pPr>
              <w:spacing w:after="0"/>
              <w:rPr>
                <w:sz w:val="1"/>
                <w:szCs w:val="1"/>
                <w:color w:val="auto"/>
              </w:rPr>
            </w:pPr>
          </w:p>
        </w:tc>
      </w:tr>
    </w:tbl>
    <w:p>
      <w:pPr>
        <w:spacing w:after="0" w:line="99" w:lineRule="exact"/>
        <w:rPr>
          <w:sz w:val="20"/>
          <w:szCs w:val="20"/>
          <w:color w:val="auto"/>
        </w:rPr>
      </w:pPr>
    </w:p>
    <w:p>
      <w:pPr>
        <w:sectPr>
          <w:pgSz w:w="11900" w:h="16838" w:orient="portrait"/>
          <w:cols w:equalWidth="0" w:num="1">
            <w:col w:w="10160"/>
          </w:cols>
          <w:pgMar w:left="320" w:top="131" w:right="1419" w:bottom="1440" w:gutter="0" w:footer="0" w:header="0"/>
        </w:sectPr>
      </w:pPr>
    </w:p>
    <w:p>
      <w:pPr>
        <w:ind w:left="980"/>
        <w:spacing w:after="0"/>
        <w:rPr>
          <w:rFonts w:ascii="Arial" w:cs="Arial" w:eastAsia="Arial" w:hAnsi="Arial"/>
          <w:sz w:val="18"/>
          <w:szCs w:val="18"/>
          <w:b w:val="1"/>
          <w:bCs w:val="1"/>
          <w:u w:val="single" w:color="auto"/>
          <w:color w:val="4800E6"/>
        </w:rPr>
      </w:pPr>
      <w:hyperlink w:anchor="page65">
        <w:r>
          <w:rPr>
            <w:rFonts w:ascii="Arial" w:cs="Arial" w:eastAsia="Arial" w:hAnsi="Arial"/>
            <w:sz w:val="18"/>
            <w:szCs w:val="18"/>
            <w:b w:val="1"/>
            <w:bCs w:val="1"/>
            <w:u w:val="single" w:color="auto"/>
            <w:color w:val="4800E6"/>
          </w:rPr>
          <w:t>Other Proposals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622300</wp:posOffset>
            </wp:positionH>
            <wp:positionV relativeFrom="paragraph">
              <wp:posOffset>28575</wp:posOffset>
            </wp:positionV>
            <wp:extent cx="5692140" cy="22288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5692140" cy="222885"/>
                    </a:xfrm>
                    <a:prstGeom prst="rect">
                      <a:avLst/>
                    </a:prstGeom>
                    <a:noFill/>
                  </pic:spPr>
                </pic:pic>
              </a:graphicData>
            </a:graphic>
          </wp:anchor>
        </w:drawing>
      </w:r>
    </w:p>
    <w:p>
      <w:pPr>
        <w:spacing w:after="0" w:line="124" w:lineRule="exact"/>
        <w:rPr>
          <w:sz w:val="20"/>
          <w:szCs w:val="20"/>
          <w:color w:val="auto"/>
        </w:rPr>
      </w:pPr>
    </w:p>
    <w:p>
      <w:pPr>
        <w:ind w:left="980"/>
        <w:spacing w:after="0"/>
        <w:rPr>
          <w:rFonts w:ascii="Arial" w:cs="Arial" w:eastAsia="Arial" w:hAnsi="Arial"/>
          <w:sz w:val="18"/>
          <w:szCs w:val="18"/>
          <w:b w:val="1"/>
          <w:bCs w:val="1"/>
          <w:u w:val="single" w:color="auto"/>
          <w:color w:val="4800E6"/>
        </w:rPr>
      </w:pPr>
      <w:hyperlink w:anchor="page65">
        <w:r>
          <w:rPr>
            <w:rFonts w:ascii="Arial" w:cs="Arial" w:eastAsia="Arial" w:hAnsi="Arial"/>
            <w:sz w:val="18"/>
            <w:szCs w:val="18"/>
            <w:b w:val="1"/>
            <w:bCs w:val="1"/>
            <w:u w:val="single" w:color="auto"/>
            <w:color w:val="4800E6"/>
          </w:rPr>
          <w:t xml:space="preserve">Proposal No. 7  </w:t>
        </w:r>
        <w:r>
          <w:rPr>
            <w:rFonts w:ascii="Arial" w:cs="Arial" w:eastAsia="Arial" w:hAnsi="Arial"/>
            <w:sz w:val="18"/>
            <w:szCs w:val="18"/>
            <w:b w:val="1"/>
            <w:bCs w:val="1"/>
            <w:u w:val="single" w:color="auto"/>
            <w:color w:val="666666"/>
          </w:rPr>
          <w:t>Advisory Vote to Approve the UK Directors’ Remuneration Report</w:t>
        </w:r>
      </w:hyperlink>
    </w:p>
    <w:p>
      <w:pPr>
        <w:spacing w:after="0" w:line="144" w:lineRule="exact"/>
        <w:rPr>
          <w:sz w:val="20"/>
          <w:szCs w:val="20"/>
          <w:color w:val="auto"/>
        </w:rPr>
      </w:pPr>
    </w:p>
    <w:p>
      <w:pPr>
        <w:ind w:left="980"/>
        <w:spacing w:after="0"/>
        <w:rPr>
          <w:rFonts w:ascii="Arial" w:cs="Arial" w:eastAsia="Arial" w:hAnsi="Arial"/>
          <w:sz w:val="18"/>
          <w:szCs w:val="18"/>
          <w:b w:val="1"/>
          <w:bCs w:val="1"/>
          <w:u w:val="single" w:color="auto"/>
          <w:color w:val="4800E6"/>
        </w:rPr>
      </w:pPr>
      <w:hyperlink w:anchor="page66">
        <w:r>
          <w:rPr>
            <w:rFonts w:ascii="Arial" w:cs="Arial" w:eastAsia="Arial" w:hAnsi="Arial"/>
            <w:sz w:val="18"/>
            <w:szCs w:val="18"/>
            <w:b w:val="1"/>
            <w:bCs w:val="1"/>
            <w:u w:val="single" w:color="auto"/>
            <w:color w:val="4800E6"/>
          </w:rPr>
          <w:t xml:space="preserve">Proposal No. 8  </w:t>
        </w:r>
        <w:r>
          <w:rPr>
            <w:rFonts w:ascii="Arial" w:cs="Arial" w:eastAsia="Arial" w:hAnsi="Arial"/>
            <w:sz w:val="18"/>
            <w:szCs w:val="18"/>
            <w:b w:val="1"/>
            <w:bCs w:val="1"/>
            <w:u w:val="single" w:color="auto"/>
            <w:color w:val="666666"/>
          </w:rPr>
          <w:t>Reception and Adoption of the UK Annual Report and Accounts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622300</wp:posOffset>
            </wp:positionH>
            <wp:positionV relativeFrom="paragraph">
              <wp:posOffset>28575</wp:posOffset>
            </wp:positionV>
            <wp:extent cx="5692140" cy="3600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5692140" cy="360045"/>
                    </a:xfrm>
                    <a:prstGeom prst="rect">
                      <a:avLst/>
                    </a:prstGeom>
                    <a:noFill/>
                  </pic:spPr>
                </pic:pic>
              </a:graphicData>
            </a:graphic>
          </wp:anchor>
        </w:drawing>
      </w:r>
    </w:p>
    <w:p>
      <w:pPr>
        <w:spacing w:after="0" w:line="124" w:lineRule="exact"/>
        <w:rPr>
          <w:sz w:val="20"/>
          <w:szCs w:val="20"/>
          <w:color w:val="auto"/>
        </w:rPr>
      </w:pPr>
    </w:p>
    <w:p>
      <w:pPr>
        <w:ind w:left="2420" w:right="400" w:hanging="1439"/>
        <w:spacing w:after="0" w:line="287" w:lineRule="auto"/>
        <w:rPr>
          <w:rFonts w:ascii="Arial" w:cs="Arial" w:eastAsia="Arial" w:hAnsi="Arial"/>
          <w:sz w:val="18"/>
          <w:szCs w:val="18"/>
          <w:b w:val="1"/>
          <w:bCs w:val="1"/>
          <w:u w:val="single" w:color="auto"/>
          <w:color w:val="666666"/>
        </w:rPr>
      </w:pPr>
      <w:hyperlink w:anchor="page67">
        <w:r>
          <w:rPr>
            <w:rFonts w:ascii="Arial" w:cs="Arial" w:eastAsia="Arial" w:hAnsi="Arial"/>
            <w:sz w:val="18"/>
            <w:szCs w:val="18"/>
            <w:b w:val="1"/>
            <w:bCs w:val="1"/>
            <w:u w:val="single" w:color="auto"/>
            <w:color w:val="4800E6"/>
          </w:rPr>
          <w:t xml:space="preserve">Proposal No. 9 </w:t>
        </w:r>
        <w:r>
          <w:rPr>
            <w:rFonts w:ascii="Arial" w:cs="Arial" w:eastAsia="Arial" w:hAnsi="Arial"/>
            <w:sz w:val="18"/>
            <w:szCs w:val="18"/>
            <w:b w:val="1"/>
            <w:bCs w:val="1"/>
            <w:u w:val="single" w:color="auto"/>
            <w:color w:val="666666"/>
          </w:rPr>
          <w:t>Reappointment of PricewaterhouseCoopers LLP as the Company’s Statutory</w:t>
        </w:r>
      </w:hyperlink>
      <w:r>
        <w:rPr>
          <w:rFonts w:ascii="Arial" w:cs="Arial" w:eastAsia="Arial" w:hAnsi="Arial"/>
          <w:sz w:val="18"/>
          <w:szCs w:val="18"/>
          <w:b w:val="1"/>
          <w:bCs w:val="1"/>
          <w:u w:val="single" w:color="auto"/>
          <w:color w:val="4800E6"/>
        </w:rPr>
        <w:t xml:space="preserve"> </w:t>
      </w:r>
      <w:hyperlink w:anchor="page67">
        <w:r>
          <w:rPr>
            <w:rFonts w:ascii="Arial" w:cs="Arial" w:eastAsia="Arial" w:hAnsi="Arial"/>
            <w:sz w:val="18"/>
            <w:szCs w:val="18"/>
            <w:b w:val="1"/>
            <w:bCs w:val="1"/>
            <w:u w:val="single" w:color="auto"/>
            <w:color w:val="666666"/>
          </w:rPr>
          <w:t>Auditor</w:t>
        </w:r>
      </w:hyperlink>
    </w:p>
    <w:p>
      <w:pPr>
        <w:spacing w:after="0" w:line="72" w:lineRule="exact"/>
        <w:rPr>
          <w:sz w:val="20"/>
          <w:szCs w:val="20"/>
          <w:color w:val="auto"/>
        </w:rPr>
      </w:pPr>
    </w:p>
    <w:p>
      <w:pPr>
        <w:ind w:left="2520" w:hanging="1539"/>
        <w:spacing w:after="0" w:line="268" w:lineRule="auto"/>
        <w:rPr>
          <w:rFonts w:ascii="Arial" w:cs="Arial" w:eastAsia="Arial" w:hAnsi="Arial"/>
          <w:sz w:val="18"/>
          <w:szCs w:val="18"/>
          <w:b w:val="1"/>
          <w:bCs w:val="1"/>
          <w:u w:val="single" w:color="auto"/>
          <w:color w:val="666666"/>
        </w:rPr>
      </w:pPr>
      <w:hyperlink w:anchor="page68">
        <w:r>
          <w:rPr>
            <w:rFonts w:ascii="Arial" w:cs="Arial" w:eastAsia="Arial" w:hAnsi="Arial"/>
            <w:sz w:val="18"/>
            <w:szCs w:val="18"/>
            <w:b w:val="1"/>
            <w:bCs w:val="1"/>
            <w:u w:val="single" w:color="auto"/>
            <w:color w:val="4800E6"/>
          </w:rPr>
          <w:t xml:space="preserve">Proposal No. 10 </w:t>
        </w:r>
        <w:r>
          <w:rPr>
            <w:rFonts w:ascii="Arial" w:cs="Arial" w:eastAsia="Arial" w:hAnsi="Arial"/>
            <w:sz w:val="18"/>
            <w:szCs w:val="18"/>
            <w:b w:val="1"/>
            <w:bCs w:val="1"/>
            <w:u w:val="single" w:color="auto"/>
            <w:color w:val="666666"/>
          </w:rPr>
          <w:t>Authorization of the Directors and/or the Audit and Compliance Committee to</w:t>
        </w:r>
      </w:hyperlink>
      <w:r>
        <w:rPr>
          <w:rFonts w:ascii="Arial" w:cs="Arial" w:eastAsia="Arial" w:hAnsi="Arial"/>
          <w:sz w:val="18"/>
          <w:szCs w:val="18"/>
          <w:b w:val="1"/>
          <w:bCs w:val="1"/>
          <w:u w:val="single" w:color="auto"/>
          <w:color w:val="4800E6"/>
        </w:rPr>
        <w:t xml:space="preserve"> </w:t>
      </w:r>
      <w:hyperlink w:anchor="page68">
        <w:r>
          <w:rPr>
            <w:rFonts w:ascii="Arial" w:cs="Arial" w:eastAsia="Arial" w:hAnsi="Arial"/>
            <w:sz w:val="18"/>
            <w:szCs w:val="18"/>
            <w:b w:val="1"/>
            <w:bCs w:val="1"/>
            <w:u w:val="single" w:color="auto"/>
            <w:color w:val="666666"/>
          </w:rPr>
          <w:t>Determine the Remuneration of PricewaterhouseCoopers LLP in its Capacity as</w:t>
        </w:r>
      </w:hyperlink>
      <w:r>
        <w:rPr>
          <w:rFonts w:ascii="Arial" w:cs="Arial" w:eastAsia="Arial" w:hAnsi="Arial"/>
          <w:sz w:val="18"/>
          <w:szCs w:val="18"/>
          <w:b w:val="1"/>
          <w:bCs w:val="1"/>
          <w:u w:val="single" w:color="auto"/>
          <w:color w:val="666666"/>
        </w:rPr>
        <w:t xml:space="preserve"> </w:t>
      </w:r>
      <w:hyperlink w:anchor="page68">
        <w:r>
          <w:rPr>
            <w:rFonts w:ascii="Arial" w:cs="Arial" w:eastAsia="Arial" w:hAnsi="Arial"/>
            <w:sz w:val="18"/>
            <w:szCs w:val="18"/>
            <w:b w:val="1"/>
            <w:bCs w:val="1"/>
            <w:u w:val="single" w:color="auto"/>
            <w:color w:val="666666"/>
          </w:rPr>
          <w:t>UK Statutory Auditor</w:t>
        </w:r>
      </w:hyperlink>
    </w:p>
    <w:p>
      <w:pPr>
        <w:spacing w:after="0" w:line="20" w:lineRule="exact"/>
        <w:rPr>
          <w:rFonts w:ascii="Arial" w:cs="Arial" w:eastAsia="Arial" w:hAnsi="Arial"/>
          <w:sz w:val="18"/>
          <w:szCs w:val="18"/>
          <w:b w:val="1"/>
          <w:bCs w:val="1"/>
          <w:u w:val="single" w:color="auto"/>
          <w:color w:val="4800E6"/>
        </w:rPr>
      </w:pPr>
      <w:r>
        <w:rPr>
          <w:rFonts w:ascii="Arial" w:cs="Arial" w:eastAsia="Arial" w:hAnsi="Arial"/>
          <w:sz w:val="18"/>
          <w:szCs w:val="18"/>
          <w:b w:val="1"/>
          <w:bCs w:val="1"/>
          <w:u w:val="single" w:color="auto"/>
          <w:color w:val="4800E6"/>
        </w:rPr>
        <w:drawing>
          <wp:anchor simplePos="0" relativeHeight="251657728" behindDoc="1" locked="0" layoutInCell="0" allowOverlap="1">
            <wp:simplePos x="0" y="0"/>
            <wp:positionH relativeFrom="column">
              <wp:posOffset>622300</wp:posOffset>
            </wp:positionH>
            <wp:positionV relativeFrom="paragraph">
              <wp:posOffset>-5080</wp:posOffset>
            </wp:positionV>
            <wp:extent cx="5692140" cy="22288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5692140" cy="222885"/>
                    </a:xfrm>
                    <a:prstGeom prst="rect">
                      <a:avLst/>
                    </a:prstGeom>
                    <a:noFill/>
                  </pic:spPr>
                </pic:pic>
              </a:graphicData>
            </a:graphic>
          </wp:anchor>
        </w:drawing>
      </w:r>
    </w:p>
    <w:p>
      <w:pPr>
        <w:spacing w:after="0" w:line="70" w:lineRule="exact"/>
        <w:rPr>
          <w:rFonts w:ascii="Arial" w:cs="Arial" w:eastAsia="Arial" w:hAnsi="Arial"/>
          <w:sz w:val="18"/>
          <w:szCs w:val="18"/>
          <w:b w:val="1"/>
          <w:bCs w:val="1"/>
          <w:u w:val="single" w:color="auto"/>
          <w:color w:val="4800E6"/>
        </w:rPr>
      </w:pPr>
    </w:p>
    <w:p>
      <w:pPr>
        <w:ind w:left="980"/>
        <w:spacing w:after="0"/>
        <w:rPr>
          <w:rFonts w:ascii="Arial" w:cs="Arial" w:eastAsia="Arial" w:hAnsi="Arial"/>
          <w:sz w:val="18"/>
          <w:szCs w:val="18"/>
          <w:b w:val="1"/>
          <w:bCs w:val="1"/>
          <w:u w:val="single" w:color="auto"/>
          <w:color w:val="4800E6"/>
        </w:rPr>
      </w:pPr>
      <w:hyperlink w:anchor="page69">
        <w:r>
          <w:rPr>
            <w:rFonts w:ascii="Arial" w:cs="Arial" w:eastAsia="Arial" w:hAnsi="Arial"/>
            <w:sz w:val="18"/>
            <w:szCs w:val="18"/>
            <w:b w:val="1"/>
            <w:bCs w:val="1"/>
            <w:u w:val="single" w:color="auto"/>
            <w:color w:val="4800E6"/>
          </w:rPr>
          <w:t>General Matters</w:t>
        </w:r>
      </w:hyperlink>
    </w:p>
    <w:p>
      <w:pPr>
        <w:spacing w:after="0" w:line="20" w:lineRule="exact"/>
        <w:rPr>
          <w:rFonts w:ascii="Arial" w:cs="Arial" w:eastAsia="Arial" w:hAnsi="Arial"/>
          <w:sz w:val="18"/>
          <w:szCs w:val="18"/>
          <w:b w:val="1"/>
          <w:bCs w:val="1"/>
          <w:u w:val="single" w:color="auto"/>
          <w:color w:val="4800E6"/>
        </w:rPr>
      </w:pPr>
      <w:r>
        <w:rPr>
          <w:rFonts w:ascii="Arial" w:cs="Arial" w:eastAsia="Arial" w:hAnsi="Arial"/>
          <w:sz w:val="18"/>
          <w:szCs w:val="18"/>
          <w:b w:val="1"/>
          <w:bCs w:val="1"/>
          <w:u w:val="single" w:color="auto"/>
          <w:color w:val="4800E6"/>
        </w:rPr>
        <w:br w:type="column"/>
      </w:r>
    </w:p>
    <w:p>
      <w:pPr>
        <w:spacing w:after="0"/>
        <w:rPr>
          <w:rFonts w:ascii="Arial" w:cs="Arial" w:eastAsia="Arial" w:hAnsi="Arial"/>
          <w:sz w:val="17"/>
          <w:szCs w:val="17"/>
          <w:b w:val="1"/>
          <w:bCs w:val="1"/>
          <w:u w:val="single" w:color="auto"/>
          <w:color w:val="4800E6"/>
        </w:rPr>
      </w:pPr>
      <w:hyperlink w:anchor="page65">
        <w:r>
          <w:rPr>
            <w:rFonts w:ascii="Arial" w:cs="Arial" w:eastAsia="Arial" w:hAnsi="Arial"/>
            <w:sz w:val="17"/>
            <w:szCs w:val="17"/>
            <w:b w:val="1"/>
            <w:bCs w:val="1"/>
            <w:u w:val="single" w:color="auto"/>
            <w:color w:val="4800E6"/>
          </w:rPr>
          <w:t>62</w:t>
        </w:r>
      </w:hyperlink>
    </w:p>
    <w:p>
      <w:pPr>
        <w:spacing w:after="0" w:line="156" w:lineRule="exact"/>
        <w:rPr>
          <w:rFonts w:ascii="Arial" w:cs="Arial" w:eastAsia="Arial" w:hAnsi="Arial"/>
          <w:sz w:val="18"/>
          <w:szCs w:val="18"/>
          <w:b w:val="1"/>
          <w:bCs w:val="1"/>
          <w:u w:val="single" w:color="auto"/>
          <w:color w:val="4800E6"/>
        </w:rPr>
      </w:pPr>
    </w:p>
    <w:p>
      <w:pPr>
        <w:spacing w:after="0"/>
        <w:rPr>
          <w:rFonts w:ascii="Arial" w:cs="Arial" w:eastAsia="Arial" w:hAnsi="Arial"/>
          <w:sz w:val="17"/>
          <w:szCs w:val="17"/>
          <w:b w:val="1"/>
          <w:bCs w:val="1"/>
          <w:u w:val="single" w:color="auto"/>
          <w:color w:val="4800E6"/>
        </w:rPr>
      </w:pPr>
      <w:hyperlink w:anchor="page65">
        <w:r>
          <w:rPr>
            <w:rFonts w:ascii="Arial" w:cs="Arial" w:eastAsia="Arial" w:hAnsi="Arial"/>
            <w:sz w:val="17"/>
            <w:szCs w:val="17"/>
            <w:b w:val="1"/>
            <w:bCs w:val="1"/>
            <w:u w:val="single" w:color="auto"/>
            <w:color w:val="4800E6"/>
          </w:rPr>
          <w:t>62</w:t>
        </w:r>
      </w:hyperlink>
    </w:p>
    <w:p>
      <w:pPr>
        <w:spacing w:after="0" w:line="156" w:lineRule="exact"/>
        <w:rPr>
          <w:rFonts w:ascii="Arial" w:cs="Arial" w:eastAsia="Arial" w:hAnsi="Arial"/>
          <w:sz w:val="18"/>
          <w:szCs w:val="18"/>
          <w:b w:val="1"/>
          <w:bCs w:val="1"/>
          <w:u w:val="single" w:color="auto"/>
          <w:color w:val="4800E6"/>
        </w:rPr>
      </w:pPr>
    </w:p>
    <w:p>
      <w:pPr>
        <w:spacing w:after="0"/>
        <w:rPr>
          <w:rFonts w:ascii="Arial" w:cs="Arial" w:eastAsia="Arial" w:hAnsi="Arial"/>
          <w:sz w:val="17"/>
          <w:szCs w:val="17"/>
          <w:b w:val="1"/>
          <w:bCs w:val="1"/>
          <w:u w:val="single" w:color="auto"/>
          <w:color w:val="4800E6"/>
        </w:rPr>
      </w:pPr>
      <w:hyperlink w:anchor="page66">
        <w:r>
          <w:rPr>
            <w:rFonts w:ascii="Arial" w:cs="Arial" w:eastAsia="Arial" w:hAnsi="Arial"/>
            <w:sz w:val="17"/>
            <w:szCs w:val="17"/>
            <w:b w:val="1"/>
            <w:bCs w:val="1"/>
            <w:u w:val="single" w:color="auto"/>
            <w:color w:val="4800E6"/>
          </w:rPr>
          <w:t>63</w:t>
        </w:r>
      </w:hyperlink>
    </w:p>
    <w:p>
      <w:pPr>
        <w:spacing w:after="0" w:line="358" w:lineRule="exact"/>
        <w:rPr>
          <w:rFonts w:ascii="Arial" w:cs="Arial" w:eastAsia="Arial" w:hAnsi="Arial"/>
          <w:sz w:val="18"/>
          <w:szCs w:val="18"/>
          <w:b w:val="1"/>
          <w:bCs w:val="1"/>
          <w:u w:val="single" w:color="auto"/>
          <w:color w:val="4800E6"/>
        </w:rPr>
      </w:pPr>
    </w:p>
    <w:p>
      <w:pPr>
        <w:spacing w:after="0"/>
        <w:rPr>
          <w:rFonts w:ascii="Arial" w:cs="Arial" w:eastAsia="Arial" w:hAnsi="Arial"/>
          <w:sz w:val="17"/>
          <w:szCs w:val="17"/>
          <w:b w:val="1"/>
          <w:bCs w:val="1"/>
          <w:u w:val="single" w:color="auto"/>
          <w:color w:val="4800E6"/>
        </w:rPr>
      </w:pPr>
      <w:hyperlink w:anchor="page67">
        <w:r>
          <w:rPr>
            <w:rFonts w:ascii="Arial" w:cs="Arial" w:eastAsia="Arial" w:hAnsi="Arial"/>
            <w:sz w:val="17"/>
            <w:szCs w:val="17"/>
            <w:b w:val="1"/>
            <w:bCs w:val="1"/>
            <w:u w:val="single" w:color="auto"/>
            <w:color w:val="4800E6"/>
          </w:rPr>
          <w:t>64</w:t>
        </w:r>
      </w:hyperlink>
    </w:p>
    <w:p>
      <w:pPr>
        <w:spacing w:after="0" w:line="200" w:lineRule="exact"/>
        <w:rPr>
          <w:rFonts w:ascii="Arial" w:cs="Arial" w:eastAsia="Arial" w:hAnsi="Arial"/>
          <w:sz w:val="18"/>
          <w:szCs w:val="18"/>
          <w:b w:val="1"/>
          <w:bCs w:val="1"/>
          <w:u w:val="single" w:color="auto"/>
          <w:color w:val="4800E6"/>
        </w:rPr>
      </w:pPr>
    </w:p>
    <w:p>
      <w:pPr>
        <w:spacing w:after="0" w:line="388" w:lineRule="exact"/>
        <w:rPr>
          <w:rFonts w:ascii="Arial" w:cs="Arial" w:eastAsia="Arial" w:hAnsi="Arial"/>
          <w:sz w:val="18"/>
          <w:szCs w:val="18"/>
          <w:b w:val="1"/>
          <w:bCs w:val="1"/>
          <w:u w:val="single" w:color="auto"/>
          <w:color w:val="4800E6"/>
        </w:rPr>
      </w:pPr>
    </w:p>
    <w:p>
      <w:pPr>
        <w:spacing w:after="0"/>
        <w:rPr>
          <w:rFonts w:ascii="Arial" w:cs="Arial" w:eastAsia="Arial" w:hAnsi="Arial"/>
          <w:sz w:val="17"/>
          <w:szCs w:val="17"/>
          <w:b w:val="1"/>
          <w:bCs w:val="1"/>
          <w:u w:val="single" w:color="auto"/>
          <w:color w:val="4800E6"/>
        </w:rPr>
      </w:pPr>
      <w:hyperlink w:anchor="page68">
        <w:r>
          <w:rPr>
            <w:rFonts w:ascii="Arial" w:cs="Arial" w:eastAsia="Arial" w:hAnsi="Arial"/>
            <w:sz w:val="17"/>
            <w:szCs w:val="17"/>
            <w:b w:val="1"/>
            <w:bCs w:val="1"/>
            <w:u w:val="single" w:color="auto"/>
            <w:color w:val="4800E6"/>
          </w:rPr>
          <w:t>65</w:t>
        </w:r>
      </w:hyperlink>
    </w:p>
    <w:p>
      <w:pPr>
        <w:spacing w:after="0" w:line="169" w:lineRule="exact"/>
        <w:rPr>
          <w:rFonts w:ascii="Arial" w:cs="Arial" w:eastAsia="Arial" w:hAnsi="Arial"/>
          <w:sz w:val="18"/>
          <w:szCs w:val="18"/>
          <w:b w:val="1"/>
          <w:bCs w:val="1"/>
          <w:u w:val="single" w:color="auto"/>
          <w:color w:val="4800E6"/>
        </w:rPr>
      </w:pPr>
    </w:p>
    <w:p>
      <w:pPr>
        <w:spacing w:after="0"/>
        <w:rPr>
          <w:rFonts w:ascii="Arial" w:cs="Arial" w:eastAsia="Arial" w:hAnsi="Arial"/>
          <w:sz w:val="17"/>
          <w:szCs w:val="17"/>
          <w:b w:val="1"/>
          <w:bCs w:val="1"/>
          <w:u w:val="single" w:color="auto"/>
          <w:color w:val="4800E6"/>
        </w:rPr>
      </w:pPr>
      <w:hyperlink w:anchor="page69">
        <w:r>
          <w:rPr>
            <w:rFonts w:ascii="Arial" w:cs="Arial" w:eastAsia="Arial" w:hAnsi="Arial"/>
            <w:sz w:val="17"/>
            <w:szCs w:val="17"/>
            <w:b w:val="1"/>
            <w:bCs w:val="1"/>
            <w:u w:val="single" w:color="auto"/>
            <w:color w:val="4800E6"/>
          </w:rPr>
          <w:t>66</w:t>
        </w:r>
      </w:hyperlink>
    </w:p>
    <w:p>
      <w:pPr>
        <w:spacing w:after="0" w:line="94" w:lineRule="exact"/>
        <w:rPr>
          <w:rFonts w:ascii="Arial" w:cs="Arial" w:eastAsia="Arial" w:hAnsi="Arial"/>
          <w:sz w:val="18"/>
          <w:szCs w:val="18"/>
          <w:b w:val="1"/>
          <w:bCs w:val="1"/>
          <w:u w:val="single" w:color="auto"/>
          <w:color w:val="4800E6"/>
        </w:rPr>
      </w:pPr>
    </w:p>
    <w:p>
      <w:pPr>
        <w:sectPr>
          <w:pgSz w:w="11900" w:h="16838" w:orient="portrait"/>
          <w:cols w:equalWidth="0" w:num="2">
            <w:col w:w="9200" w:space="540"/>
            <w:col w:w="420"/>
          </w:cols>
          <w:pgMar w:left="320" w:top="131" w:right="1419" w:bottom="1440" w:gutter="0" w:footer="0" w:header="0"/>
          <w:type w:val="continuous"/>
        </w:sectPr>
      </w:pPr>
    </w:p>
    <w:tbl>
      <w:tblPr>
        <w:tblLayout w:type="fixed"/>
        <w:tblInd w:w="980" w:type="dxa"/>
        <w:tblCellMar>
          <w:top w:w="0" w:type="dxa"/>
          <w:left w:w="0" w:type="dxa"/>
          <w:bottom w:w="0" w:type="dxa"/>
          <w:right w:w="0" w:type="dxa"/>
        </w:tblCellMar>
      </w:tblPr>
      <w:tr>
        <w:trPr>
          <w:trHeight w:val="188"/>
        </w:trPr>
        <w:tc>
          <w:tcPr>
            <w:tcW w:w="7500" w:type="dxa"/>
            <w:vAlign w:val="bottom"/>
          </w:tcPr>
          <w:p>
            <w:pPr>
              <w:ind w:left="160"/>
              <w:spacing w:after="0"/>
              <w:rPr>
                <w:rFonts w:ascii="Arial" w:cs="Arial" w:eastAsia="Arial" w:hAnsi="Arial"/>
                <w:sz w:val="15"/>
                <w:szCs w:val="15"/>
                <w:u w:val="single" w:color="auto"/>
                <w:color w:val="0000EE"/>
              </w:rPr>
            </w:pPr>
            <w:hyperlink w:anchor="page69">
              <w:r>
                <w:rPr>
                  <w:rFonts w:ascii="Arial" w:cs="Arial" w:eastAsia="Arial" w:hAnsi="Arial"/>
                  <w:sz w:val="15"/>
                  <w:szCs w:val="15"/>
                  <w:u w:val="single" w:color="auto"/>
                  <w:color w:val="0000EE"/>
                </w:rPr>
                <w:t>Shareholder Proposals for the 2021 Annual General Meeting of Shareholders</w:t>
              </w:r>
            </w:hyperlink>
          </w:p>
        </w:tc>
        <w:tc>
          <w:tcPr>
            <w:tcW w:w="1460" w:type="dxa"/>
            <w:vAlign w:val="bottom"/>
          </w:tcPr>
          <w:p>
            <w:pPr>
              <w:jc w:val="right"/>
              <w:spacing w:after="0"/>
              <w:rPr>
                <w:rFonts w:ascii="Arial" w:cs="Arial" w:eastAsia="Arial" w:hAnsi="Arial"/>
                <w:sz w:val="15"/>
                <w:szCs w:val="15"/>
                <w:u w:val="single" w:color="auto"/>
                <w:color w:val="0000EE"/>
              </w:rPr>
            </w:pPr>
            <w:hyperlink w:anchor="page69">
              <w:r>
                <w:rPr>
                  <w:rFonts w:ascii="Arial" w:cs="Arial" w:eastAsia="Arial" w:hAnsi="Arial"/>
                  <w:sz w:val="15"/>
                  <w:szCs w:val="15"/>
                  <w:u w:val="single" w:color="auto"/>
                  <w:color w:val="0000EE"/>
                </w:rPr>
                <w:t>66</w:t>
              </w:r>
            </w:hyperlink>
          </w:p>
        </w:tc>
      </w:tr>
      <w:tr>
        <w:trPr>
          <w:trHeight w:val="247"/>
        </w:trPr>
        <w:tc>
          <w:tcPr>
            <w:tcW w:w="7500" w:type="dxa"/>
            <w:vAlign w:val="bottom"/>
            <w:shd w:val="clear" w:color="auto" w:fill="CCEEFF"/>
          </w:tcPr>
          <w:p>
            <w:pPr>
              <w:ind w:left="160"/>
              <w:spacing w:after="0"/>
              <w:rPr>
                <w:rFonts w:ascii="Arial" w:cs="Arial" w:eastAsia="Arial" w:hAnsi="Arial"/>
                <w:sz w:val="15"/>
                <w:szCs w:val="15"/>
                <w:u w:val="single" w:color="auto"/>
                <w:color w:val="0000EE"/>
              </w:rPr>
            </w:pPr>
            <w:hyperlink w:anchor="page69">
              <w:r>
                <w:rPr>
                  <w:rFonts w:ascii="Arial" w:cs="Arial" w:eastAsia="Arial" w:hAnsi="Arial"/>
                  <w:sz w:val="15"/>
                  <w:szCs w:val="15"/>
                  <w:u w:val="single" w:color="auto"/>
                  <w:color w:val="0000EE"/>
                </w:rPr>
                <w:t>Saving Resources: Householding and Electronic Communications</w:t>
              </w:r>
            </w:hyperlink>
          </w:p>
        </w:tc>
        <w:tc>
          <w:tcPr>
            <w:tcW w:w="1460" w:type="dxa"/>
            <w:vAlign w:val="bottom"/>
            <w:shd w:val="clear" w:color="auto" w:fill="CCEEFF"/>
          </w:tcPr>
          <w:p>
            <w:pPr>
              <w:jc w:val="right"/>
              <w:spacing w:after="0"/>
              <w:rPr>
                <w:rFonts w:ascii="Arial" w:cs="Arial" w:eastAsia="Arial" w:hAnsi="Arial"/>
                <w:sz w:val="15"/>
                <w:szCs w:val="15"/>
                <w:u w:val="single" w:color="auto"/>
                <w:color w:val="0000EE"/>
              </w:rPr>
            </w:pPr>
            <w:hyperlink w:anchor="page69">
              <w:r>
                <w:rPr>
                  <w:rFonts w:ascii="Arial" w:cs="Arial" w:eastAsia="Arial" w:hAnsi="Arial"/>
                  <w:sz w:val="15"/>
                  <w:szCs w:val="15"/>
                  <w:u w:val="single" w:color="auto"/>
                  <w:color w:val="0000EE"/>
                </w:rPr>
                <w:t>66</w:t>
              </w:r>
            </w:hyperlink>
          </w:p>
        </w:tc>
      </w:tr>
      <w:tr>
        <w:trPr>
          <w:trHeight w:val="239"/>
        </w:trPr>
        <w:tc>
          <w:tcPr>
            <w:tcW w:w="7500" w:type="dxa"/>
            <w:vAlign w:val="bottom"/>
          </w:tcPr>
          <w:p>
            <w:pPr>
              <w:ind w:left="160"/>
              <w:spacing w:after="0"/>
              <w:rPr>
                <w:rFonts w:ascii="Arial" w:cs="Arial" w:eastAsia="Arial" w:hAnsi="Arial"/>
                <w:sz w:val="15"/>
                <w:szCs w:val="15"/>
                <w:u w:val="single" w:color="auto"/>
                <w:color w:val="0000EE"/>
              </w:rPr>
            </w:pPr>
            <w:hyperlink w:anchor="page70">
              <w:r>
                <w:rPr>
                  <w:rFonts w:ascii="Arial" w:cs="Arial" w:eastAsia="Arial" w:hAnsi="Arial"/>
                  <w:sz w:val="15"/>
                  <w:szCs w:val="15"/>
                  <w:u w:val="single" w:color="auto"/>
                  <w:color w:val="0000EE"/>
                </w:rPr>
                <w:t>Annual Reports and Proxy Materials</w:t>
              </w:r>
            </w:hyperlink>
          </w:p>
        </w:tc>
        <w:tc>
          <w:tcPr>
            <w:tcW w:w="1460" w:type="dxa"/>
            <w:vAlign w:val="bottom"/>
          </w:tcPr>
          <w:p>
            <w:pPr>
              <w:jc w:val="right"/>
              <w:spacing w:after="0"/>
              <w:rPr>
                <w:rFonts w:ascii="Arial" w:cs="Arial" w:eastAsia="Arial" w:hAnsi="Arial"/>
                <w:sz w:val="15"/>
                <w:szCs w:val="15"/>
                <w:u w:val="single" w:color="auto"/>
                <w:color w:val="0000EE"/>
              </w:rPr>
            </w:pPr>
            <w:hyperlink w:anchor="page70">
              <w:r>
                <w:rPr>
                  <w:rFonts w:ascii="Arial" w:cs="Arial" w:eastAsia="Arial" w:hAnsi="Arial"/>
                  <w:sz w:val="15"/>
                  <w:szCs w:val="15"/>
                  <w:u w:val="single" w:color="auto"/>
                  <w:color w:val="0000EE"/>
                </w:rPr>
                <w:t>67</w:t>
              </w:r>
            </w:hyperlink>
          </w:p>
        </w:tc>
      </w:tr>
      <w:tr>
        <w:trPr>
          <w:trHeight w:val="247"/>
        </w:trPr>
        <w:tc>
          <w:tcPr>
            <w:tcW w:w="7500" w:type="dxa"/>
            <w:vAlign w:val="bottom"/>
            <w:shd w:val="clear" w:color="auto" w:fill="CCEEFF"/>
          </w:tcPr>
          <w:p>
            <w:pPr>
              <w:ind w:left="160"/>
              <w:spacing w:after="0"/>
              <w:rPr>
                <w:rFonts w:ascii="Arial" w:cs="Arial" w:eastAsia="Arial" w:hAnsi="Arial"/>
                <w:sz w:val="15"/>
                <w:szCs w:val="15"/>
                <w:u w:val="single" w:color="auto"/>
                <w:color w:val="0000EE"/>
              </w:rPr>
            </w:pPr>
            <w:hyperlink w:anchor="page70">
              <w:r>
                <w:rPr>
                  <w:rFonts w:ascii="Arial" w:cs="Arial" w:eastAsia="Arial" w:hAnsi="Arial"/>
                  <w:sz w:val="15"/>
                  <w:szCs w:val="15"/>
                  <w:u w:val="single" w:color="auto"/>
                  <w:color w:val="0000EE"/>
                </w:rPr>
                <w:t>Expenses of Solicitation</w:t>
              </w:r>
            </w:hyperlink>
          </w:p>
        </w:tc>
        <w:tc>
          <w:tcPr>
            <w:tcW w:w="1460" w:type="dxa"/>
            <w:vAlign w:val="bottom"/>
            <w:shd w:val="clear" w:color="auto" w:fill="CCEEFF"/>
          </w:tcPr>
          <w:p>
            <w:pPr>
              <w:jc w:val="right"/>
              <w:spacing w:after="0"/>
              <w:rPr>
                <w:rFonts w:ascii="Arial" w:cs="Arial" w:eastAsia="Arial" w:hAnsi="Arial"/>
                <w:sz w:val="15"/>
                <w:szCs w:val="15"/>
                <w:u w:val="single" w:color="auto"/>
                <w:color w:val="0000EE"/>
              </w:rPr>
            </w:pPr>
            <w:hyperlink w:anchor="page70">
              <w:r>
                <w:rPr>
                  <w:rFonts w:ascii="Arial" w:cs="Arial" w:eastAsia="Arial" w:hAnsi="Arial"/>
                  <w:sz w:val="15"/>
                  <w:szCs w:val="15"/>
                  <w:u w:val="single" w:color="auto"/>
                  <w:color w:val="0000EE"/>
                </w:rPr>
                <w:t>67</w:t>
              </w:r>
            </w:hyperlink>
          </w:p>
        </w:tc>
      </w:tr>
      <w:tr>
        <w:trPr>
          <w:trHeight w:val="239"/>
        </w:trPr>
        <w:tc>
          <w:tcPr>
            <w:tcW w:w="7500" w:type="dxa"/>
            <w:vAlign w:val="bottom"/>
          </w:tcPr>
          <w:p>
            <w:pPr>
              <w:ind w:left="160"/>
              <w:spacing w:after="0"/>
              <w:rPr>
                <w:rFonts w:ascii="Arial" w:cs="Arial" w:eastAsia="Arial" w:hAnsi="Arial"/>
                <w:sz w:val="15"/>
                <w:szCs w:val="15"/>
                <w:u w:val="single" w:color="auto"/>
                <w:color w:val="0000EE"/>
              </w:rPr>
            </w:pPr>
            <w:hyperlink w:anchor="page70">
              <w:r>
                <w:rPr>
                  <w:rFonts w:ascii="Arial" w:cs="Arial" w:eastAsia="Arial" w:hAnsi="Arial"/>
                  <w:sz w:val="15"/>
                  <w:szCs w:val="15"/>
                  <w:u w:val="single" w:color="auto"/>
                  <w:color w:val="0000EE"/>
                </w:rPr>
                <w:t>Frequently Asked Questions About the Annual General Meeting</w:t>
              </w:r>
            </w:hyperlink>
          </w:p>
        </w:tc>
        <w:tc>
          <w:tcPr>
            <w:tcW w:w="1460" w:type="dxa"/>
            <w:vAlign w:val="bottom"/>
          </w:tcPr>
          <w:p>
            <w:pPr>
              <w:jc w:val="right"/>
              <w:spacing w:after="0"/>
              <w:rPr>
                <w:rFonts w:ascii="Arial" w:cs="Arial" w:eastAsia="Arial" w:hAnsi="Arial"/>
                <w:sz w:val="15"/>
                <w:szCs w:val="15"/>
                <w:u w:val="single" w:color="auto"/>
                <w:color w:val="0000EE"/>
              </w:rPr>
            </w:pPr>
            <w:hyperlink w:anchor="page70">
              <w:r>
                <w:rPr>
                  <w:rFonts w:ascii="Arial" w:cs="Arial" w:eastAsia="Arial" w:hAnsi="Arial"/>
                  <w:sz w:val="15"/>
                  <w:szCs w:val="15"/>
                  <w:u w:val="single" w:color="auto"/>
                  <w:color w:val="0000EE"/>
                </w:rPr>
                <w:t>67</w:t>
              </w:r>
            </w:hyperlink>
          </w:p>
        </w:tc>
      </w:tr>
      <w:tr>
        <w:trPr>
          <w:trHeight w:val="247"/>
        </w:trPr>
        <w:tc>
          <w:tcPr>
            <w:tcW w:w="7500" w:type="dxa"/>
            <w:vAlign w:val="bottom"/>
            <w:shd w:val="clear" w:color="auto" w:fill="CCEEFF"/>
          </w:tcPr>
          <w:p>
            <w:pPr>
              <w:ind w:left="160"/>
              <w:spacing w:after="0"/>
              <w:rPr>
                <w:rFonts w:ascii="Arial" w:cs="Arial" w:eastAsia="Arial" w:hAnsi="Arial"/>
                <w:sz w:val="15"/>
                <w:szCs w:val="15"/>
                <w:u w:val="single" w:color="auto"/>
                <w:color w:val="0000EE"/>
              </w:rPr>
            </w:pPr>
            <w:hyperlink w:anchor="page75">
              <w:r>
                <w:rPr>
                  <w:rFonts w:ascii="Arial" w:cs="Arial" w:eastAsia="Arial" w:hAnsi="Arial"/>
                  <w:sz w:val="15"/>
                  <w:szCs w:val="15"/>
                  <w:u w:val="single" w:color="auto"/>
                  <w:color w:val="0000EE"/>
                </w:rPr>
                <w:t>Other Business</w:t>
              </w:r>
            </w:hyperlink>
          </w:p>
        </w:tc>
        <w:tc>
          <w:tcPr>
            <w:tcW w:w="1460" w:type="dxa"/>
            <w:vAlign w:val="bottom"/>
            <w:shd w:val="clear" w:color="auto" w:fill="CCEEFF"/>
          </w:tcPr>
          <w:p>
            <w:pPr>
              <w:jc w:val="right"/>
              <w:spacing w:after="0"/>
              <w:rPr>
                <w:rFonts w:ascii="Arial" w:cs="Arial" w:eastAsia="Arial" w:hAnsi="Arial"/>
                <w:sz w:val="15"/>
                <w:szCs w:val="15"/>
                <w:u w:val="single" w:color="auto"/>
                <w:color w:val="0000EE"/>
              </w:rPr>
            </w:pPr>
            <w:hyperlink w:anchor="page75">
              <w:r>
                <w:rPr>
                  <w:rFonts w:ascii="Arial" w:cs="Arial" w:eastAsia="Arial" w:hAnsi="Arial"/>
                  <w:sz w:val="15"/>
                  <w:szCs w:val="15"/>
                  <w:u w:val="single" w:color="auto"/>
                  <w:color w:val="0000EE"/>
                </w:rPr>
                <w:t>72</w:t>
              </w:r>
            </w:hyperlink>
          </w:p>
        </w:tc>
      </w:tr>
      <w:tr>
        <w:trPr>
          <w:trHeight w:val="351"/>
        </w:trPr>
        <w:tc>
          <w:tcPr>
            <w:tcW w:w="7500" w:type="dxa"/>
            <w:vAlign w:val="bottom"/>
          </w:tcPr>
          <w:p>
            <w:pPr>
              <w:spacing w:after="0"/>
              <w:rPr>
                <w:rFonts w:ascii="Arial" w:cs="Arial" w:eastAsia="Arial" w:hAnsi="Arial"/>
                <w:sz w:val="18"/>
                <w:szCs w:val="18"/>
                <w:b w:val="1"/>
                <w:bCs w:val="1"/>
                <w:u w:val="single" w:color="auto"/>
                <w:color w:val="4800E6"/>
              </w:rPr>
            </w:pPr>
            <w:hyperlink w:anchor="page79">
              <w:r>
                <w:rPr>
                  <w:rFonts w:ascii="Arial" w:cs="Arial" w:eastAsia="Arial" w:hAnsi="Arial"/>
                  <w:sz w:val="18"/>
                  <w:szCs w:val="18"/>
                  <w:b w:val="1"/>
                  <w:bCs w:val="1"/>
                  <w:u w:val="single" w:color="auto"/>
                  <w:color w:val="4800E6"/>
                </w:rPr>
                <w:t xml:space="preserve">Appendix A:  </w:t>
              </w:r>
              <w:r>
                <w:rPr>
                  <w:rFonts w:ascii="Arial" w:cs="Arial" w:eastAsia="Arial" w:hAnsi="Arial"/>
                  <w:sz w:val="18"/>
                  <w:szCs w:val="18"/>
                  <w:b w:val="1"/>
                  <w:bCs w:val="1"/>
                  <w:u w:val="single" w:color="auto"/>
                  <w:color w:val="666666"/>
                </w:rPr>
                <w:t>New Articles (marked against current Articles of Association)</w:t>
              </w:r>
            </w:hyperlink>
          </w:p>
        </w:tc>
        <w:tc>
          <w:tcPr>
            <w:tcW w:w="1460" w:type="dxa"/>
            <w:vAlign w:val="bottom"/>
          </w:tcPr>
          <w:p>
            <w:pPr>
              <w:jc w:val="right"/>
              <w:spacing w:after="0"/>
              <w:rPr>
                <w:rFonts w:ascii="Arial" w:cs="Arial" w:eastAsia="Arial" w:hAnsi="Arial"/>
                <w:sz w:val="18"/>
                <w:szCs w:val="18"/>
                <w:b w:val="1"/>
                <w:bCs w:val="1"/>
                <w:u w:val="single" w:color="auto"/>
                <w:color w:val="4800E6"/>
              </w:rPr>
            </w:pPr>
            <w:hyperlink w:anchor="page79">
              <w:r>
                <w:rPr>
                  <w:rFonts w:ascii="Arial" w:cs="Arial" w:eastAsia="Arial" w:hAnsi="Arial"/>
                  <w:sz w:val="18"/>
                  <w:szCs w:val="18"/>
                  <w:b w:val="1"/>
                  <w:bCs w:val="1"/>
                  <w:u w:val="single" w:color="auto"/>
                  <w:color w:val="4800E6"/>
                </w:rPr>
                <w:t>A-1</w:t>
              </w:r>
            </w:hyperlink>
          </w:p>
        </w:tc>
      </w:tr>
    </w:tbl>
    <w:p>
      <w:pPr>
        <w:spacing w:after="0" w:line="200" w:lineRule="exact"/>
        <w:rPr>
          <w:sz w:val="20"/>
          <w:szCs w:val="20"/>
          <w:color w:val="auto"/>
        </w:rPr>
      </w:pPr>
    </w:p>
    <w:p>
      <w:pPr>
        <w:sectPr>
          <w:pgSz w:w="11900" w:h="16838" w:orient="portrait"/>
          <w:cols w:equalWidth="0" w:num="1">
            <w:col w:w="10160"/>
          </w:cols>
          <w:pgMar w:left="320" w:top="131" w:right="141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ind w:left="4360"/>
        <w:spacing w:after="0"/>
        <w:tabs>
          <w:tab w:leader="none" w:pos="10060" w:val="left"/>
        </w:tabs>
        <w:rPr>
          <w:sz w:val="20"/>
          <w:szCs w:val="20"/>
          <w:color w:val="auto"/>
        </w:rPr>
      </w:pPr>
      <w:r>
        <w:rPr>
          <w:rFonts w:ascii="Arial" w:cs="Arial" w:eastAsia="Arial" w:hAnsi="Arial"/>
          <w:sz w:val="13"/>
          <w:szCs w:val="13"/>
          <w:b w:val="1"/>
          <w:bCs w:val="1"/>
          <w:color w:val="4800E6"/>
        </w:rPr>
        <w:t xml:space="preserve">LIVANOVA </w:t>
      </w:r>
      <w:r>
        <w:rPr>
          <w:rFonts w:ascii="Arial" w:cs="Arial" w:eastAsia="Arial" w:hAnsi="Arial"/>
          <w:sz w:val="13"/>
          <w:szCs w:val="13"/>
          <w:color w:val="000000"/>
        </w:rPr>
        <w:t>|</w:t>
      </w:r>
      <w:r>
        <w:rPr>
          <w:rFonts w:ascii="Arial" w:cs="Arial" w:eastAsia="Arial" w:hAnsi="Arial"/>
          <w:sz w:val="13"/>
          <w:szCs w:val="13"/>
          <w:b w:val="1"/>
          <w:bCs w:val="1"/>
          <w:color w:val="4800E6"/>
        </w:rPr>
        <w:t xml:space="preserve"> </w:t>
      </w:r>
      <w:r>
        <w:rPr>
          <w:rFonts w:ascii="Arial" w:cs="Arial" w:eastAsia="Arial" w:hAnsi="Arial"/>
          <w:sz w:val="13"/>
          <w:szCs w:val="13"/>
          <w:color w:val="4800E6"/>
        </w:rPr>
        <w:t>2020</w:t>
      </w:r>
      <w:r>
        <w:rPr>
          <w:rFonts w:ascii="Arial" w:cs="Arial" w:eastAsia="Arial" w:hAnsi="Arial"/>
          <w:sz w:val="13"/>
          <w:szCs w:val="13"/>
          <w:b w:val="1"/>
          <w:bCs w:val="1"/>
          <w:color w:val="4800E6"/>
        </w:rPr>
        <w:t xml:space="preserve"> </w:t>
      </w:r>
      <w:r>
        <w:rPr>
          <w:rFonts w:ascii="Arial" w:cs="Arial" w:eastAsia="Arial" w:hAnsi="Arial"/>
          <w:sz w:val="13"/>
          <w:szCs w:val="13"/>
          <w:color w:val="000000"/>
        </w:rPr>
        <w:t>Proxy Statement</w:t>
      </w:r>
      <w:r>
        <w:rPr>
          <w:sz w:val="20"/>
          <w:szCs w:val="20"/>
          <w:color w:val="auto"/>
        </w:rPr>
        <w:tab/>
      </w:r>
      <w:r>
        <w:rPr>
          <w:rFonts w:ascii="Arial" w:cs="Arial" w:eastAsia="Arial" w:hAnsi="Arial"/>
          <w:sz w:val="14"/>
          <w:szCs w:val="14"/>
          <w:b w:val="1"/>
          <w:bCs w:val="1"/>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519430</wp:posOffset>
            </wp:positionH>
            <wp:positionV relativeFrom="paragraph">
              <wp:posOffset>-15875</wp:posOffset>
            </wp:positionV>
            <wp:extent cx="1954530" cy="88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954530" cy="8890"/>
                    </a:xfrm>
                    <a:prstGeom prst="rect">
                      <a:avLst/>
                    </a:prstGeom>
                    <a:noFill/>
                  </pic:spPr>
                </pic:pic>
              </a:graphicData>
            </a:graphic>
          </wp:anchor>
        </w:drawing>
        <w:drawing>
          <wp:anchor simplePos="0" relativeHeight="251657728" behindDoc="1" locked="0" layoutInCell="0" allowOverlap="1">
            <wp:simplePos x="0" y="0"/>
            <wp:positionH relativeFrom="column">
              <wp:posOffset>4274185</wp:posOffset>
            </wp:positionH>
            <wp:positionV relativeFrom="paragraph">
              <wp:posOffset>-15875</wp:posOffset>
            </wp:positionV>
            <wp:extent cx="1954530" cy="88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95453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94615</wp:posOffset>
            </wp:positionV>
            <wp:extent cx="6806565" cy="171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10160"/>
          </w:cols>
          <w:pgMar w:left="320" w:top="131" w:right="1419" w:bottom="1440" w:gutter="0" w:footer="0" w:header="0"/>
          <w:type w:val="continuous"/>
        </w:sectPr>
      </w:pPr>
    </w:p>
    <w:bookmarkStart w:id="6" w:name="page7"/>
    <w:bookmarkEnd w:id="6"/>
    <w:p>
      <w:pPr>
        <w:spacing w:after="0"/>
        <w:rPr>
          <w:rFonts w:ascii="Arial" w:cs="Arial" w:eastAsia="Arial" w:hAnsi="Arial"/>
          <w:sz w:val="14"/>
          <w:szCs w:val="14"/>
          <w:color w:val="003366"/>
        </w:rPr>
      </w:pPr>
      <w:hyperlink w:anchor="page4">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ind w:left="760"/>
        <w:spacing w:after="0"/>
        <w:rPr>
          <w:sz w:val="20"/>
          <w:szCs w:val="20"/>
          <w:color w:val="auto"/>
        </w:rPr>
      </w:pPr>
      <w:r>
        <w:rPr>
          <w:rFonts w:ascii="Arial" w:cs="Arial" w:eastAsia="Arial" w:hAnsi="Arial"/>
          <w:sz w:val="47"/>
          <w:szCs w:val="47"/>
          <w:b w:val="1"/>
          <w:bCs w:val="1"/>
          <w:color w:val="4800E6"/>
        </w:rPr>
        <w:t xml:space="preserve">Proxy </w:t>
      </w:r>
      <w:r>
        <w:rPr>
          <w:rFonts w:ascii="Arial" w:cs="Arial" w:eastAsia="Arial" w:hAnsi="Arial"/>
          <w:sz w:val="47"/>
          <w:szCs w:val="47"/>
          <w:b w:val="1"/>
          <w:bCs w:val="1"/>
          <w:color w:val="666666"/>
        </w:rPr>
        <w:t>Summary</w:t>
      </w:r>
    </w:p>
    <w:p>
      <w:pPr>
        <w:spacing w:after="0" w:line="159" w:lineRule="exact"/>
        <w:rPr>
          <w:sz w:val="20"/>
          <w:szCs w:val="20"/>
          <w:color w:val="auto"/>
        </w:rPr>
      </w:pPr>
    </w:p>
    <w:p>
      <w:pPr>
        <w:ind w:left="760" w:right="259"/>
        <w:spacing w:after="0" w:line="253" w:lineRule="auto"/>
        <w:rPr>
          <w:sz w:val="20"/>
          <w:szCs w:val="20"/>
          <w:color w:val="auto"/>
        </w:rPr>
      </w:pPr>
      <w:r>
        <w:rPr>
          <w:rFonts w:ascii="Arial" w:cs="Arial" w:eastAsia="Arial" w:hAnsi="Arial"/>
          <w:sz w:val="16"/>
          <w:szCs w:val="16"/>
          <w:color w:val="auto"/>
        </w:rPr>
        <w:t>This summary highlights information described in greater detail later in this proxy statement. Please read the proxy statement in its entirety and do not rely on this summary to give you the information you need to make an informed decision on the proposals presented for your consideration.</w:t>
      </w:r>
    </w:p>
    <w:p>
      <w:pPr>
        <w:spacing w:after="0" w:line="374" w:lineRule="exact"/>
        <w:rPr>
          <w:sz w:val="20"/>
          <w:szCs w:val="20"/>
          <w:color w:val="auto"/>
        </w:rPr>
      </w:pPr>
    </w:p>
    <w:p>
      <w:pPr>
        <w:ind w:left="760" w:right="679"/>
        <w:spacing w:after="0" w:line="287" w:lineRule="auto"/>
        <w:rPr>
          <w:sz w:val="20"/>
          <w:szCs w:val="20"/>
          <w:color w:val="auto"/>
        </w:rPr>
      </w:pPr>
      <w:r>
        <w:rPr>
          <w:rFonts w:ascii="Arial" w:cs="Arial" w:eastAsia="Arial" w:hAnsi="Arial"/>
          <w:sz w:val="31"/>
          <w:szCs w:val="31"/>
          <w:b w:val="1"/>
          <w:bCs w:val="1"/>
          <w:color w:val="4800E6"/>
        </w:rPr>
        <w:t>First and foremost, please vote. Your vote and participation are very important to us.</w:t>
      </w:r>
    </w:p>
    <w:p>
      <w:pPr>
        <w:spacing w:after="0" w:line="308" w:lineRule="exact"/>
        <w:rPr>
          <w:sz w:val="20"/>
          <w:szCs w:val="20"/>
          <w:color w:val="auto"/>
        </w:rPr>
      </w:pPr>
    </w:p>
    <w:p>
      <w:pPr>
        <w:ind w:left="760"/>
        <w:spacing w:after="0"/>
        <w:rPr>
          <w:sz w:val="20"/>
          <w:szCs w:val="20"/>
          <w:color w:val="auto"/>
        </w:rPr>
      </w:pPr>
      <w:r>
        <w:rPr>
          <w:rFonts w:ascii="Arial" w:cs="Arial" w:eastAsia="Arial" w:hAnsi="Arial"/>
          <w:sz w:val="31"/>
          <w:szCs w:val="31"/>
          <w:b w:val="1"/>
          <w:bCs w:val="1"/>
          <w:color w:val="4800E6"/>
        </w:rPr>
        <w:t>2020 Annual General Meeting of Shareholders</w:t>
      </w:r>
    </w:p>
    <w:p>
      <w:pPr>
        <w:spacing w:after="0" w:line="139" w:lineRule="exact"/>
        <w:rPr>
          <w:sz w:val="20"/>
          <w:szCs w:val="20"/>
          <w:color w:val="auto"/>
        </w:rPr>
      </w:pPr>
    </w:p>
    <w:p>
      <w:pPr>
        <w:ind w:left="760"/>
        <w:spacing w:after="0"/>
        <w:tabs>
          <w:tab w:leader="none" w:pos="2260" w:val="left"/>
        </w:tabs>
        <w:rPr>
          <w:sz w:val="20"/>
          <w:szCs w:val="20"/>
          <w:color w:val="auto"/>
        </w:rPr>
      </w:pPr>
      <w:r>
        <w:rPr>
          <w:rFonts w:ascii="Arial" w:cs="Arial" w:eastAsia="Arial" w:hAnsi="Arial"/>
          <w:sz w:val="16"/>
          <w:szCs w:val="16"/>
          <w:b w:val="1"/>
          <w:bCs w:val="1"/>
          <w:color w:val="4800E6"/>
        </w:rPr>
        <w:t>Date and Time:</w:t>
      </w:r>
      <w:r>
        <w:rPr>
          <w:sz w:val="20"/>
          <w:szCs w:val="20"/>
          <w:color w:val="auto"/>
        </w:rPr>
        <w:tab/>
      </w:r>
      <w:r>
        <w:rPr>
          <w:rFonts w:ascii="Arial" w:cs="Arial" w:eastAsia="Arial" w:hAnsi="Arial"/>
          <w:sz w:val="15"/>
          <w:szCs w:val="15"/>
          <w:color w:val="auto"/>
        </w:rPr>
        <w:t>Monday, June 29, 2020 at 13:00 (Local Time in London)</w:t>
      </w:r>
    </w:p>
    <w:p>
      <w:pPr>
        <w:spacing w:after="0" w:line="100" w:lineRule="exact"/>
        <w:rPr>
          <w:sz w:val="20"/>
          <w:szCs w:val="20"/>
          <w:color w:val="auto"/>
        </w:rPr>
      </w:pPr>
    </w:p>
    <w:p>
      <w:pPr>
        <w:ind w:left="760"/>
        <w:spacing w:after="0"/>
        <w:tabs>
          <w:tab w:leader="none" w:pos="2260" w:val="left"/>
        </w:tabs>
        <w:rPr>
          <w:sz w:val="20"/>
          <w:szCs w:val="20"/>
          <w:color w:val="auto"/>
        </w:rPr>
      </w:pPr>
      <w:r>
        <w:rPr>
          <w:rFonts w:ascii="Arial" w:cs="Arial" w:eastAsia="Arial" w:hAnsi="Arial"/>
          <w:sz w:val="16"/>
          <w:szCs w:val="16"/>
          <w:b w:val="1"/>
          <w:bCs w:val="1"/>
          <w:color w:val="4800E6"/>
        </w:rPr>
        <w:t>Place:</w:t>
      </w:r>
      <w:r>
        <w:rPr>
          <w:sz w:val="20"/>
          <w:szCs w:val="20"/>
          <w:color w:val="auto"/>
        </w:rPr>
        <w:tab/>
      </w:r>
      <w:r>
        <w:rPr>
          <w:rFonts w:ascii="Arial" w:cs="Arial" w:eastAsia="Arial" w:hAnsi="Arial"/>
          <w:sz w:val="16"/>
          <w:szCs w:val="16"/>
          <w:color w:val="auto"/>
        </w:rPr>
        <w:t>Virtually on the Internet at www.meetingcenter.io/</w:t>
      </w:r>
      <w:r>
        <w:rPr>
          <w:rFonts w:ascii="Arial" w:cs="Arial" w:eastAsia="Arial" w:hAnsi="Arial"/>
          <w:sz w:val="16"/>
          <w:szCs w:val="16"/>
          <w:i w:val="1"/>
          <w:iCs w:val="1"/>
          <w:color w:val="auto"/>
        </w:rPr>
        <w:t>260382039</w:t>
      </w:r>
      <w:r>
        <w:rPr>
          <w:rFonts w:ascii="Arial" w:cs="Arial" w:eastAsia="Arial" w:hAnsi="Arial"/>
          <w:sz w:val="16"/>
          <w:szCs w:val="16"/>
          <w:color w:val="auto"/>
        </w:rPr>
        <w:t xml:space="preserve"> (Password: LIVN2020)</w:t>
      </w:r>
    </w:p>
    <w:p>
      <w:pPr>
        <w:spacing w:after="0" w:line="86" w:lineRule="exact"/>
        <w:rPr>
          <w:sz w:val="20"/>
          <w:szCs w:val="20"/>
          <w:color w:val="auto"/>
        </w:rPr>
      </w:pPr>
    </w:p>
    <w:p>
      <w:pPr>
        <w:ind w:left="760"/>
        <w:spacing w:after="0"/>
        <w:tabs>
          <w:tab w:leader="none" w:pos="2260" w:val="left"/>
        </w:tabs>
        <w:rPr>
          <w:sz w:val="20"/>
          <w:szCs w:val="20"/>
          <w:color w:val="auto"/>
        </w:rPr>
      </w:pPr>
      <w:r>
        <w:rPr>
          <w:rFonts w:ascii="Arial" w:cs="Arial" w:eastAsia="Arial" w:hAnsi="Arial"/>
          <w:sz w:val="16"/>
          <w:szCs w:val="16"/>
          <w:b w:val="1"/>
          <w:bCs w:val="1"/>
          <w:color w:val="4800E6"/>
        </w:rPr>
        <w:t>Record Date:</w:t>
      </w:r>
      <w:r>
        <w:rPr>
          <w:sz w:val="20"/>
          <w:szCs w:val="20"/>
          <w:color w:val="auto"/>
        </w:rPr>
        <w:tab/>
      </w:r>
      <w:r>
        <w:rPr>
          <w:rFonts w:ascii="Arial" w:cs="Arial" w:eastAsia="Arial" w:hAnsi="Arial"/>
          <w:sz w:val="15"/>
          <w:szCs w:val="15"/>
          <w:color w:val="auto"/>
        </w:rPr>
        <w:t>May 4, 2020</w:t>
      </w:r>
    </w:p>
    <w:p>
      <w:pPr>
        <w:spacing w:after="0" w:line="100" w:lineRule="exact"/>
        <w:rPr>
          <w:sz w:val="20"/>
          <w:szCs w:val="20"/>
          <w:color w:val="auto"/>
        </w:rPr>
      </w:pPr>
    </w:p>
    <w:p>
      <w:pPr>
        <w:ind w:left="760"/>
        <w:spacing w:after="0"/>
        <w:tabs>
          <w:tab w:leader="none" w:pos="2260" w:val="left"/>
        </w:tabs>
        <w:rPr>
          <w:sz w:val="20"/>
          <w:szCs w:val="20"/>
          <w:color w:val="auto"/>
        </w:rPr>
      </w:pPr>
      <w:r>
        <w:rPr>
          <w:rFonts w:ascii="Arial" w:cs="Arial" w:eastAsia="Arial" w:hAnsi="Arial"/>
          <w:sz w:val="16"/>
          <w:szCs w:val="16"/>
          <w:b w:val="1"/>
          <w:bCs w:val="1"/>
          <w:color w:val="4800E6"/>
        </w:rPr>
        <w:t>Mailing Date:</w:t>
      </w:r>
      <w:r>
        <w:rPr>
          <w:sz w:val="20"/>
          <w:szCs w:val="20"/>
          <w:color w:val="auto"/>
        </w:rPr>
        <w:tab/>
      </w:r>
      <w:r>
        <w:rPr>
          <w:rFonts w:ascii="Arial" w:cs="Arial" w:eastAsia="Arial" w:hAnsi="Arial"/>
          <w:sz w:val="15"/>
          <w:szCs w:val="15"/>
          <w:color w:val="auto"/>
        </w:rPr>
        <w:t>May 20, 2020</w:t>
      </w:r>
    </w:p>
    <w:p>
      <w:pPr>
        <w:spacing w:after="0" w:line="200" w:lineRule="exact"/>
        <w:rPr>
          <w:sz w:val="20"/>
          <w:szCs w:val="20"/>
          <w:color w:val="auto"/>
        </w:rPr>
      </w:pPr>
    </w:p>
    <w:p>
      <w:pPr>
        <w:spacing w:after="0" w:line="214" w:lineRule="exact"/>
        <w:rPr>
          <w:sz w:val="20"/>
          <w:szCs w:val="20"/>
          <w:color w:val="auto"/>
        </w:rPr>
      </w:pPr>
    </w:p>
    <w:p>
      <w:pPr>
        <w:ind w:left="760"/>
        <w:spacing w:after="0"/>
        <w:rPr>
          <w:sz w:val="20"/>
          <w:szCs w:val="20"/>
          <w:color w:val="auto"/>
        </w:rPr>
      </w:pPr>
      <w:r>
        <w:rPr>
          <w:rFonts w:ascii="Arial" w:cs="Arial" w:eastAsia="Arial" w:hAnsi="Arial"/>
          <w:sz w:val="31"/>
          <w:szCs w:val="31"/>
          <w:b w:val="1"/>
          <w:bCs w:val="1"/>
          <w:color w:val="4800E6"/>
        </w:rPr>
        <w:t>Voting Methods and Deadlines</w:t>
      </w:r>
    </w:p>
    <w:p>
      <w:pPr>
        <w:spacing w:after="0" w:line="309" w:lineRule="exact"/>
        <w:rPr>
          <w:sz w:val="20"/>
          <w:szCs w:val="20"/>
          <w:color w:val="auto"/>
        </w:rPr>
      </w:pPr>
    </w:p>
    <w:p>
      <w:pPr>
        <w:ind w:left="760"/>
        <w:spacing w:after="0"/>
        <w:rPr>
          <w:sz w:val="20"/>
          <w:szCs w:val="20"/>
          <w:color w:val="auto"/>
        </w:rPr>
      </w:pPr>
      <w:r>
        <w:rPr>
          <w:rFonts w:ascii="Arial" w:cs="Arial" w:eastAsia="Arial" w:hAnsi="Arial"/>
          <w:sz w:val="23"/>
          <w:szCs w:val="23"/>
          <w:b w:val="1"/>
          <w:bCs w:val="1"/>
          <w:color w:val="auto"/>
        </w:rPr>
        <w:t>In advance: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605155</wp:posOffset>
            </wp:positionH>
            <wp:positionV relativeFrom="paragraph">
              <wp:posOffset>121285</wp:posOffset>
            </wp:positionV>
            <wp:extent cx="299720" cy="28257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299720" cy="282575"/>
                    </a:xfrm>
                    <a:prstGeom prst="rect">
                      <a:avLst/>
                    </a:prstGeom>
                    <a:noFill/>
                  </pic:spPr>
                </pic:pic>
              </a:graphicData>
            </a:graphic>
          </wp:anchor>
        </w:drawing>
      </w:r>
    </w:p>
    <w:p>
      <w:pPr>
        <w:spacing w:after="0" w:line="189" w:lineRule="exact"/>
        <w:rPr>
          <w:sz w:val="20"/>
          <w:szCs w:val="20"/>
          <w:color w:val="auto"/>
        </w:rPr>
      </w:pPr>
    </w:p>
    <w:p>
      <w:pPr>
        <w:ind w:left="1740"/>
        <w:spacing w:after="0"/>
        <w:rPr>
          <w:sz w:val="20"/>
          <w:szCs w:val="20"/>
          <w:color w:val="auto"/>
        </w:rPr>
      </w:pPr>
      <w:r>
        <w:rPr>
          <w:rFonts w:ascii="Arial" w:cs="Arial" w:eastAsia="Arial" w:hAnsi="Arial"/>
          <w:sz w:val="18"/>
          <w:szCs w:val="18"/>
          <w:b w:val="1"/>
          <w:bCs w:val="1"/>
          <w:color w:val="auto"/>
        </w:rPr>
        <w:t>Internet</w:t>
      </w:r>
    </w:p>
    <w:p>
      <w:pPr>
        <w:spacing w:after="0" w:line="31" w:lineRule="exact"/>
        <w:rPr>
          <w:sz w:val="20"/>
          <w:szCs w:val="20"/>
          <w:color w:val="auto"/>
        </w:rPr>
      </w:pPr>
    </w:p>
    <w:p>
      <w:pPr>
        <w:ind w:left="1740"/>
        <w:spacing w:after="0"/>
        <w:rPr>
          <w:sz w:val="20"/>
          <w:szCs w:val="20"/>
          <w:color w:val="auto"/>
        </w:rPr>
      </w:pPr>
      <w:r>
        <w:rPr>
          <w:rFonts w:ascii="Arial" w:cs="Arial" w:eastAsia="Arial" w:hAnsi="Arial"/>
          <w:sz w:val="18"/>
          <w:szCs w:val="18"/>
          <w:color w:val="auto"/>
        </w:rPr>
        <w:t>www.envisionreports.com/LIVN or as directed by your broker, as the case may be</w:t>
      </w:r>
    </w:p>
    <w:p>
      <w:pPr>
        <w:spacing w:after="0" w:line="95" w:lineRule="exact"/>
        <w:rPr>
          <w:sz w:val="20"/>
          <w:szCs w:val="20"/>
          <w:color w:val="auto"/>
        </w:rPr>
      </w:pPr>
    </w:p>
    <w:p>
      <w:pPr>
        <w:ind w:left="1740"/>
        <w:spacing w:after="0"/>
        <w:rPr>
          <w:sz w:val="20"/>
          <w:szCs w:val="20"/>
          <w:color w:val="auto"/>
        </w:rPr>
      </w:pPr>
      <w:r>
        <w:rPr>
          <w:rFonts w:ascii="Arial" w:cs="Arial" w:eastAsia="Arial" w:hAnsi="Arial"/>
          <w:sz w:val="18"/>
          <w:szCs w:val="18"/>
          <w:b w:val="1"/>
          <w:bCs w:val="1"/>
          <w:color w:val="auto"/>
        </w:rPr>
        <w:t>Telephone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613410</wp:posOffset>
            </wp:positionH>
            <wp:positionV relativeFrom="paragraph">
              <wp:posOffset>-116205</wp:posOffset>
            </wp:positionV>
            <wp:extent cx="283210" cy="28257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283210" cy="282575"/>
                    </a:xfrm>
                    <a:prstGeom prst="rect">
                      <a:avLst/>
                    </a:prstGeom>
                    <a:noFill/>
                  </pic:spPr>
                </pic:pic>
              </a:graphicData>
            </a:graphic>
          </wp:anchor>
        </w:drawing>
      </w:r>
    </w:p>
    <w:p>
      <w:pPr>
        <w:spacing w:after="0" w:line="11" w:lineRule="exact"/>
        <w:rPr>
          <w:sz w:val="20"/>
          <w:szCs w:val="20"/>
          <w:color w:val="auto"/>
        </w:rPr>
      </w:pPr>
    </w:p>
    <w:p>
      <w:pPr>
        <w:ind w:left="1740"/>
        <w:spacing w:after="0"/>
        <w:rPr>
          <w:sz w:val="20"/>
          <w:szCs w:val="20"/>
          <w:color w:val="auto"/>
        </w:rPr>
      </w:pPr>
      <w:r>
        <w:rPr>
          <w:rFonts w:ascii="Arial" w:cs="Arial" w:eastAsia="Arial" w:hAnsi="Arial"/>
          <w:sz w:val="18"/>
          <w:szCs w:val="18"/>
          <w:color w:val="auto"/>
        </w:rPr>
        <w:t>Call the number on your proxy card</w:t>
      </w:r>
    </w:p>
    <w:p>
      <w:pPr>
        <w:spacing w:after="0" w:line="149" w:lineRule="exact"/>
        <w:rPr>
          <w:sz w:val="20"/>
          <w:szCs w:val="20"/>
          <w:color w:val="auto"/>
        </w:rPr>
      </w:pPr>
    </w:p>
    <w:p>
      <w:pPr>
        <w:ind w:left="1740"/>
        <w:spacing w:after="0"/>
        <w:rPr>
          <w:sz w:val="20"/>
          <w:szCs w:val="20"/>
          <w:color w:val="auto"/>
        </w:rPr>
      </w:pPr>
      <w:r>
        <w:rPr>
          <w:rFonts w:ascii="Arial" w:cs="Arial" w:eastAsia="Arial" w:hAnsi="Arial"/>
          <w:sz w:val="18"/>
          <w:szCs w:val="18"/>
          <w:b w:val="1"/>
          <w:bCs w:val="1"/>
          <w:color w:val="auto"/>
        </w:rPr>
        <w:t>By mail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605155</wp:posOffset>
            </wp:positionH>
            <wp:positionV relativeFrom="paragraph">
              <wp:posOffset>-125095</wp:posOffset>
            </wp:positionV>
            <wp:extent cx="308610" cy="30035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308610" cy="300355"/>
                    </a:xfrm>
                    <a:prstGeom prst="rect">
                      <a:avLst/>
                    </a:prstGeom>
                    <a:noFill/>
                  </pic:spPr>
                </pic:pic>
              </a:graphicData>
            </a:graphic>
          </wp:anchor>
        </w:drawing>
      </w:r>
    </w:p>
    <w:p>
      <w:pPr>
        <w:spacing w:after="0" w:line="11" w:lineRule="exact"/>
        <w:rPr>
          <w:sz w:val="20"/>
          <w:szCs w:val="20"/>
          <w:color w:val="auto"/>
        </w:rPr>
      </w:pPr>
    </w:p>
    <w:p>
      <w:pPr>
        <w:ind w:left="1740"/>
        <w:spacing w:after="0"/>
        <w:rPr>
          <w:sz w:val="20"/>
          <w:szCs w:val="20"/>
          <w:color w:val="auto"/>
        </w:rPr>
      </w:pPr>
      <w:r>
        <w:rPr>
          <w:rFonts w:ascii="Arial" w:cs="Arial" w:eastAsia="Arial" w:hAnsi="Arial"/>
          <w:sz w:val="18"/>
          <w:szCs w:val="18"/>
          <w:color w:val="auto"/>
        </w:rPr>
        <w:t>Sign, date and return your proxy card in the enclosed envelope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519430</wp:posOffset>
            </wp:positionH>
            <wp:positionV relativeFrom="paragraph">
              <wp:posOffset>109220</wp:posOffset>
            </wp:positionV>
            <wp:extent cx="471170" cy="28321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471170" cy="283210"/>
                    </a:xfrm>
                    <a:prstGeom prst="rect">
                      <a:avLst/>
                    </a:prstGeom>
                    <a:noFill/>
                  </pic:spPr>
                </pic:pic>
              </a:graphicData>
            </a:graphic>
          </wp:anchor>
        </w:drawing>
      </w:r>
    </w:p>
    <w:p>
      <w:pPr>
        <w:spacing w:after="0" w:line="278" w:lineRule="exact"/>
        <w:rPr>
          <w:sz w:val="20"/>
          <w:szCs w:val="20"/>
          <w:color w:val="auto"/>
        </w:rPr>
      </w:pPr>
    </w:p>
    <w:p>
      <w:pPr>
        <w:ind w:left="1740"/>
        <w:spacing w:after="0"/>
        <w:rPr>
          <w:sz w:val="20"/>
          <w:szCs w:val="20"/>
          <w:color w:val="auto"/>
        </w:rPr>
      </w:pPr>
      <w:r>
        <w:rPr>
          <w:rFonts w:ascii="Arial" w:cs="Arial" w:eastAsia="Arial" w:hAnsi="Arial"/>
          <w:sz w:val="18"/>
          <w:szCs w:val="18"/>
          <w:b w:val="1"/>
          <w:bCs w:val="1"/>
          <w:color w:val="auto"/>
        </w:rPr>
        <w:t xml:space="preserve">At the meeting: </w:t>
      </w:r>
      <w:r>
        <w:rPr>
          <w:rFonts w:ascii="Arial" w:cs="Arial" w:eastAsia="Arial" w:hAnsi="Arial"/>
          <w:sz w:val="18"/>
          <w:szCs w:val="18"/>
          <w:color w:val="auto"/>
        </w:rPr>
        <w:t>Attend virtually at www.meetingcenter.io/</w:t>
      </w:r>
      <w:r>
        <w:rPr>
          <w:rFonts w:ascii="Arial" w:cs="Arial" w:eastAsia="Arial" w:hAnsi="Arial"/>
          <w:sz w:val="18"/>
          <w:szCs w:val="18"/>
          <w:i w:val="1"/>
          <w:iCs w:val="1"/>
          <w:color w:val="auto"/>
        </w:rPr>
        <w:t>260382039</w:t>
      </w:r>
      <w:r>
        <w:rPr>
          <w:rFonts w:ascii="Arial" w:cs="Arial" w:eastAsia="Arial" w:hAnsi="Arial"/>
          <w:sz w:val="18"/>
          <w:szCs w:val="18"/>
          <w:b w:val="1"/>
          <w:bCs w:val="1"/>
          <w:color w:val="auto"/>
        </w:rPr>
        <w:t xml:space="preserve"> </w:t>
      </w:r>
      <w:r>
        <w:rPr>
          <w:rFonts w:ascii="Arial" w:cs="Arial" w:eastAsia="Arial" w:hAnsi="Arial"/>
          <w:sz w:val="18"/>
          <w:szCs w:val="18"/>
          <w:color w:val="auto"/>
        </w:rPr>
        <w:t>(Password: LIVN2020)</w:t>
      </w:r>
    </w:p>
    <w:p>
      <w:pPr>
        <w:spacing w:after="0" w:line="200" w:lineRule="exact"/>
        <w:rPr>
          <w:sz w:val="20"/>
          <w:szCs w:val="20"/>
          <w:color w:val="auto"/>
        </w:rPr>
      </w:pPr>
    </w:p>
    <w:p>
      <w:pPr>
        <w:spacing w:after="0" w:line="200" w:lineRule="exact"/>
        <w:rPr>
          <w:sz w:val="20"/>
          <w:szCs w:val="20"/>
          <w:color w:val="auto"/>
        </w:rPr>
      </w:pPr>
    </w:p>
    <w:p>
      <w:pPr>
        <w:spacing w:after="0" w:line="387" w:lineRule="exact"/>
        <w:rPr>
          <w:sz w:val="20"/>
          <w:szCs w:val="20"/>
          <w:color w:val="auto"/>
        </w:rPr>
      </w:pPr>
    </w:p>
    <w:p>
      <w:pPr>
        <w:ind w:left="760"/>
        <w:spacing w:after="0"/>
        <w:rPr>
          <w:sz w:val="20"/>
          <w:szCs w:val="20"/>
          <w:color w:val="auto"/>
        </w:rPr>
      </w:pPr>
      <w:r>
        <w:rPr>
          <w:rFonts w:ascii="Arial" w:cs="Arial" w:eastAsia="Arial" w:hAnsi="Arial"/>
          <w:sz w:val="30"/>
          <w:szCs w:val="30"/>
          <w:b w:val="1"/>
          <w:bCs w:val="1"/>
          <w:color w:val="4800E6"/>
        </w:rPr>
        <w:t>Questions and Answers About Attending our AGM and Voting</w:t>
      </w:r>
    </w:p>
    <w:p>
      <w:pPr>
        <w:spacing w:after="0" w:line="144" w:lineRule="exact"/>
        <w:rPr>
          <w:sz w:val="20"/>
          <w:szCs w:val="20"/>
          <w:color w:val="auto"/>
        </w:rPr>
      </w:pPr>
    </w:p>
    <w:p>
      <w:pPr>
        <w:ind w:left="760" w:right="279"/>
        <w:spacing w:after="0" w:line="260" w:lineRule="auto"/>
        <w:rPr>
          <w:rFonts w:ascii="Arial" w:cs="Arial" w:eastAsia="Arial" w:hAnsi="Arial"/>
          <w:sz w:val="16"/>
          <w:szCs w:val="16"/>
          <w:color w:val="auto"/>
        </w:rPr>
      </w:pPr>
      <w:r>
        <w:rPr>
          <w:rFonts w:ascii="Arial" w:cs="Arial" w:eastAsia="Arial" w:hAnsi="Arial"/>
          <w:sz w:val="16"/>
          <w:szCs w:val="16"/>
          <w:color w:val="auto"/>
        </w:rPr>
        <w:t xml:space="preserve">Please review the questions and answers about our AGM and voting beginning on page </w:t>
      </w:r>
      <w:hyperlink w:anchor="page70">
        <w:r>
          <w:rPr>
            <w:rFonts w:ascii="Arial" w:cs="Arial" w:eastAsia="Arial" w:hAnsi="Arial"/>
            <w:sz w:val="16"/>
            <w:szCs w:val="16"/>
            <w:u w:val="single" w:color="auto"/>
            <w:color w:val="0000EE"/>
          </w:rPr>
          <w:t>67</w:t>
        </w:r>
        <w:r>
          <w:rPr>
            <w:rFonts w:ascii="Arial" w:cs="Arial" w:eastAsia="Arial" w:hAnsi="Arial"/>
            <w:sz w:val="16"/>
            <w:szCs w:val="16"/>
            <w:u w:val="single" w:color="auto"/>
            <w:color w:val="auto"/>
          </w:rPr>
          <w:t xml:space="preserve"> </w:t>
        </w:r>
      </w:hyperlink>
      <w:r>
        <w:rPr>
          <w:rFonts w:ascii="Arial" w:cs="Arial" w:eastAsia="Arial" w:hAnsi="Arial"/>
          <w:sz w:val="16"/>
          <w:szCs w:val="16"/>
          <w:color w:val="auto"/>
        </w:rPr>
        <w:t>to help you vote and be aware of what you need to do to attend the AGM virtually.</w:t>
      </w:r>
    </w:p>
    <w:p>
      <w:pPr>
        <w:sectPr>
          <w:pgSz w:w="11900" w:h="16838" w:orient="portrait"/>
          <w:cols w:equalWidth="0" w:num="1">
            <w:col w:w="10139"/>
          </w:cols>
          <w:pgMar w:left="320" w:top="131"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ind w:left="540"/>
        <w:spacing w:after="0"/>
        <w:tabs>
          <w:tab w:leader="none" w:pos="4400" w:val="left"/>
          <w:tab w:leader="none" w:pos="8760" w:val="left"/>
        </w:tabs>
        <w:rPr>
          <w:sz w:val="20"/>
          <w:szCs w:val="20"/>
          <w:color w:val="auto"/>
        </w:rPr>
      </w:pPr>
      <w:r>
        <w:rPr>
          <w:rFonts w:ascii="Arial" w:cs="Arial" w:eastAsia="Arial" w:hAnsi="Arial"/>
          <w:sz w:val="14"/>
          <w:szCs w:val="14"/>
          <w:b w:val="1"/>
          <w:bCs w:val="1"/>
          <w:color w:val="auto"/>
        </w:rPr>
        <w:t>3</w:t>
      </w:r>
      <w:r>
        <w:rPr>
          <w:sz w:val="20"/>
          <w:szCs w:val="20"/>
          <w:color w:val="auto"/>
        </w:rPr>
        <w:tab/>
      </w:r>
      <w:r>
        <w:rPr>
          <w:rFonts w:ascii="Arial" w:cs="Arial" w:eastAsia="Arial" w:hAnsi="Arial"/>
          <w:sz w:val="13"/>
          <w:szCs w:val="13"/>
          <w:b w:val="1"/>
          <w:bCs w:val="1"/>
          <w:color w:val="4800E6"/>
        </w:rPr>
        <w:t xml:space="preserve">LIVANOVA </w:t>
      </w:r>
      <w:r>
        <w:rPr>
          <w:rFonts w:ascii="Arial" w:cs="Arial" w:eastAsia="Arial" w:hAnsi="Arial"/>
          <w:sz w:val="13"/>
          <w:szCs w:val="13"/>
          <w:color w:val="000000"/>
        </w:rPr>
        <w:t>|</w:t>
      </w:r>
      <w:r>
        <w:rPr>
          <w:rFonts w:ascii="Arial" w:cs="Arial" w:eastAsia="Arial" w:hAnsi="Arial"/>
          <w:sz w:val="13"/>
          <w:szCs w:val="13"/>
          <w:b w:val="1"/>
          <w:bCs w:val="1"/>
          <w:color w:val="4800E6"/>
        </w:rPr>
        <w:t xml:space="preserve"> </w:t>
      </w:r>
      <w:r>
        <w:rPr>
          <w:rFonts w:ascii="Arial" w:cs="Arial" w:eastAsia="Arial" w:hAnsi="Arial"/>
          <w:sz w:val="13"/>
          <w:szCs w:val="13"/>
          <w:color w:val="4800E6"/>
        </w:rPr>
        <w:t>2020</w:t>
      </w:r>
      <w:r>
        <w:rPr>
          <w:rFonts w:ascii="Arial" w:cs="Arial" w:eastAsia="Arial" w:hAnsi="Arial"/>
          <w:sz w:val="13"/>
          <w:szCs w:val="13"/>
          <w:b w:val="1"/>
          <w:bCs w:val="1"/>
          <w:color w:val="4800E6"/>
        </w:rPr>
        <w:t xml:space="preserve"> </w:t>
      </w:r>
      <w:r>
        <w:rPr>
          <w:rFonts w:ascii="Arial" w:cs="Arial" w:eastAsia="Arial" w:hAnsi="Arial"/>
          <w:sz w:val="13"/>
          <w:szCs w:val="13"/>
          <w:color w:val="000000"/>
        </w:rPr>
        <w:t>Proxy Statement</w:t>
      </w:r>
      <w:r>
        <w:rPr>
          <w:sz w:val="20"/>
          <w:szCs w:val="20"/>
          <w:color w:val="auto"/>
        </w:rPr>
        <w:tab/>
      </w:r>
      <w:r>
        <w:rPr>
          <w:rFonts w:ascii="Arial" w:cs="Arial" w:eastAsia="Arial" w:hAnsi="Arial"/>
          <w:sz w:val="12"/>
          <w:szCs w:val="12"/>
          <w:b w:val="1"/>
          <w:bCs w:val="1"/>
          <w:color w:val="4800E6"/>
        </w:rPr>
        <w:t>www.livanova.com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519430</wp:posOffset>
            </wp:positionH>
            <wp:positionV relativeFrom="paragraph">
              <wp:posOffset>-15875</wp:posOffset>
            </wp:positionV>
            <wp:extent cx="1954530" cy="88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1954530" cy="8890"/>
                    </a:xfrm>
                    <a:prstGeom prst="rect">
                      <a:avLst/>
                    </a:prstGeom>
                    <a:noFill/>
                  </pic:spPr>
                </pic:pic>
              </a:graphicData>
            </a:graphic>
          </wp:anchor>
        </w:drawing>
        <w:drawing>
          <wp:anchor simplePos="0" relativeHeight="251657728" behindDoc="1" locked="0" layoutInCell="0" allowOverlap="1">
            <wp:simplePos x="0" y="0"/>
            <wp:positionH relativeFrom="column">
              <wp:posOffset>4316730</wp:posOffset>
            </wp:positionH>
            <wp:positionV relativeFrom="paragraph">
              <wp:posOffset>-15875</wp:posOffset>
            </wp:positionV>
            <wp:extent cx="1028700" cy="88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102870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94615</wp:posOffset>
            </wp:positionV>
            <wp:extent cx="6806565" cy="171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10139"/>
          </w:cols>
          <w:pgMar w:left="320" w:top="131" w:right="1440" w:bottom="1440" w:gutter="0" w:footer="0" w:header="0"/>
          <w:type w:val="continuous"/>
        </w:sectPr>
      </w:pPr>
    </w:p>
    <w:bookmarkStart w:id="7" w:name="page8"/>
    <w:bookmarkEnd w:id="7"/>
    <w:p>
      <w:pPr>
        <w:spacing w:after="0"/>
        <w:rPr>
          <w:rFonts w:ascii="Arial" w:cs="Arial" w:eastAsia="Arial" w:hAnsi="Arial"/>
          <w:sz w:val="14"/>
          <w:szCs w:val="14"/>
          <w:color w:val="003366"/>
        </w:rPr>
      </w:pPr>
      <w:hyperlink w:anchor="page4">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ind w:left="760"/>
        <w:spacing w:after="0"/>
        <w:rPr>
          <w:sz w:val="20"/>
          <w:szCs w:val="20"/>
          <w:color w:val="auto"/>
        </w:rPr>
      </w:pPr>
      <w:r>
        <w:rPr>
          <w:rFonts w:ascii="Arial" w:cs="Arial" w:eastAsia="Arial" w:hAnsi="Arial"/>
          <w:sz w:val="31"/>
          <w:szCs w:val="31"/>
          <w:b w:val="1"/>
          <w:bCs w:val="1"/>
          <w:color w:val="4800E6"/>
        </w:rPr>
        <w:t>Voting Matters and Board Recommendations</w:t>
      </w:r>
    </w:p>
    <w:p>
      <w:pPr>
        <w:spacing w:after="0" w:line="239" w:lineRule="exact"/>
        <w:rPr>
          <w:sz w:val="20"/>
          <w:szCs w:val="20"/>
          <w:color w:val="auto"/>
        </w:rPr>
      </w:pPr>
    </w:p>
    <w:tbl>
      <w:tblPr>
        <w:tblLayout w:type="fixed"/>
        <w:tblInd w:w="760" w:type="dxa"/>
        <w:tblCellMar>
          <w:top w:w="0" w:type="dxa"/>
          <w:left w:w="0" w:type="dxa"/>
          <w:bottom w:w="0" w:type="dxa"/>
          <w:right w:w="0" w:type="dxa"/>
        </w:tblCellMar>
      </w:tblPr>
      <w:tr>
        <w:trPr>
          <w:trHeight w:val="162"/>
        </w:trPr>
        <w:tc>
          <w:tcPr>
            <w:tcW w:w="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7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520" w:type="dxa"/>
            <w:vAlign w:val="bottom"/>
          </w:tcPr>
          <w:p>
            <w:pPr>
              <w:ind w:left="100"/>
              <w:spacing w:after="0"/>
              <w:rPr>
                <w:sz w:val="20"/>
                <w:szCs w:val="20"/>
                <w:color w:val="auto"/>
              </w:rPr>
            </w:pPr>
            <w:r>
              <w:rPr>
                <w:rFonts w:ascii="Arial" w:cs="Arial" w:eastAsia="Arial" w:hAnsi="Arial"/>
                <w:sz w:val="14"/>
                <w:szCs w:val="14"/>
                <w:b w:val="1"/>
                <w:bCs w:val="1"/>
                <w:color w:val="4800E6"/>
              </w:rPr>
              <w:t>Board</w:t>
            </w:r>
          </w:p>
        </w:tc>
        <w:tc>
          <w:tcPr>
            <w:tcW w:w="980" w:type="dxa"/>
            <w:vAlign w:val="bottom"/>
          </w:tcPr>
          <w:p>
            <w:pPr>
              <w:ind w:left="140"/>
              <w:spacing w:after="0"/>
              <w:rPr>
                <w:sz w:val="20"/>
                <w:szCs w:val="20"/>
                <w:color w:val="auto"/>
              </w:rPr>
            </w:pPr>
            <w:r>
              <w:rPr>
                <w:rFonts w:ascii="Arial" w:cs="Arial" w:eastAsia="Arial" w:hAnsi="Arial"/>
                <w:sz w:val="14"/>
                <w:szCs w:val="14"/>
                <w:b w:val="1"/>
                <w:bCs w:val="1"/>
                <w:color w:val="4800E6"/>
              </w:rPr>
              <w:t>For More</w:t>
            </w:r>
          </w:p>
        </w:tc>
        <w:tc>
          <w:tcPr>
            <w:tcW w:w="0" w:type="dxa"/>
            <w:vAlign w:val="bottom"/>
          </w:tcPr>
          <w:p>
            <w:pPr>
              <w:spacing w:after="0"/>
              <w:rPr>
                <w:sz w:val="1"/>
                <w:szCs w:val="1"/>
                <w:color w:val="auto"/>
              </w:rPr>
            </w:pPr>
          </w:p>
        </w:tc>
      </w:tr>
      <w:tr>
        <w:trPr>
          <w:trHeight w:val="196"/>
        </w:trPr>
        <w:tc>
          <w:tcPr>
            <w:tcW w:w="60" w:type="dxa"/>
            <w:vAlign w:val="bottom"/>
            <w:tcBorders>
              <w:bottom w:val="single" w:sz="8" w:color="4800E6"/>
            </w:tcBorders>
          </w:tcPr>
          <w:p>
            <w:pPr>
              <w:spacing w:after="0"/>
              <w:rPr>
                <w:sz w:val="17"/>
                <w:szCs w:val="17"/>
                <w:color w:val="auto"/>
              </w:rPr>
            </w:pPr>
          </w:p>
        </w:tc>
        <w:tc>
          <w:tcPr>
            <w:tcW w:w="6620" w:type="dxa"/>
            <w:vAlign w:val="bottom"/>
            <w:tcBorders>
              <w:bottom w:val="single" w:sz="8" w:color="4800E6"/>
            </w:tcBorders>
            <w:gridSpan w:val="9"/>
          </w:tcPr>
          <w:p>
            <w:pPr>
              <w:spacing w:after="0"/>
              <w:rPr>
                <w:sz w:val="20"/>
                <w:szCs w:val="20"/>
                <w:color w:val="auto"/>
              </w:rPr>
            </w:pPr>
            <w:r>
              <w:rPr>
                <w:rFonts w:ascii="Arial" w:cs="Arial" w:eastAsia="Arial" w:hAnsi="Arial"/>
                <w:sz w:val="14"/>
                <w:szCs w:val="14"/>
                <w:b w:val="1"/>
                <w:bCs w:val="1"/>
                <w:color w:val="4800E6"/>
              </w:rPr>
              <w:t>Proposal</w:t>
            </w:r>
          </w:p>
        </w:tc>
        <w:tc>
          <w:tcPr>
            <w:tcW w:w="1520" w:type="dxa"/>
            <w:vAlign w:val="bottom"/>
            <w:tcBorders>
              <w:bottom w:val="single" w:sz="8" w:color="4800E6"/>
            </w:tcBorders>
          </w:tcPr>
          <w:p>
            <w:pPr>
              <w:ind w:left="100"/>
              <w:spacing w:after="0"/>
              <w:rPr>
                <w:sz w:val="20"/>
                <w:szCs w:val="20"/>
                <w:color w:val="auto"/>
              </w:rPr>
            </w:pPr>
            <w:r>
              <w:rPr>
                <w:rFonts w:ascii="Arial" w:cs="Arial" w:eastAsia="Arial" w:hAnsi="Arial"/>
                <w:sz w:val="14"/>
                <w:szCs w:val="14"/>
                <w:b w:val="1"/>
                <w:bCs w:val="1"/>
                <w:color w:val="4800E6"/>
              </w:rPr>
              <w:t>Recommendation</w:t>
            </w:r>
          </w:p>
        </w:tc>
        <w:tc>
          <w:tcPr>
            <w:tcW w:w="980" w:type="dxa"/>
            <w:vAlign w:val="bottom"/>
            <w:tcBorders>
              <w:bottom w:val="single" w:sz="8" w:color="4800E6"/>
            </w:tcBorders>
          </w:tcPr>
          <w:p>
            <w:pPr>
              <w:ind w:left="140"/>
              <w:spacing w:after="0"/>
              <w:rPr>
                <w:sz w:val="20"/>
                <w:szCs w:val="20"/>
                <w:color w:val="auto"/>
              </w:rPr>
            </w:pPr>
            <w:r>
              <w:rPr>
                <w:rFonts w:ascii="Arial" w:cs="Arial" w:eastAsia="Arial" w:hAnsi="Arial"/>
                <w:sz w:val="14"/>
                <w:szCs w:val="14"/>
                <w:b w:val="1"/>
                <w:bCs w:val="1"/>
                <w:color w:val="4800E6"/>
              </w:rPr>
              <w:t>Information</w:t>
            </w:r>
          </w:p>
        </w:tc>
        <w:tc>
          <w:tcPr>
            <w:tcW w:w="0" w:type="dxa"/>
            <w:vAlign w:val="bottom"/>
          </w:tcPr>
          <w:p>
            <w:pPr>
              <w:spacing w:after="0"/>
              <w:rPr>
                <w:sz w:val="1"/>
                <w:szCs w:val="1"/>
                <w:color w:val="auto"/>
              </w:rPr>
            </w:pPr>
          </w:p>
        </w:tc>
      </w:tr>
      <w:tr>
        <w:trPr>
          <w:trHeight w:val="202"/>
        </w:trPr>
        <w:tc>
          <w:tcPr>
            <w:tcW w:w="60" w:type="dxa"/>
            <w:vAlign w:val="bottom"/>
          </w:tcPr>
          <w:p>
            <w:pPr>
              <w:spacing w:after="0"/>
              <w:rPr>
                <w:sz w:val="17"/>
                <w:szCs w:val="17"/>
                <w:color w:val="auto"/>
              </w:rPr>
            </w:pPr>
          </w:p>
        </w:tc>
        <w:tc>
          <w:tcPr>
            <w:tcW w:w="6520" w:type="dxa"/>
            <w:vAlign w:val="bottom"/>
            <w:tcBorders>
              <w:bottom w:val="single" w:sz="8" w:color="0000EE"/>
            </w:tcBorders>
            <w:gridSpan w:val="8"/>
          </w:tcPr>
          <w:p>
            <w:pPr>
              <w:spacing w:after="0"/>
              <w:rPr>
                <w:rFonts w:ascii="Arial" w:cs="Arial" w:eastAsia="Arial" w:hAnsi="Arial"/>
                <w:sz w:val="15"/>
                <w:szCs w:val="15"/>
                <w:color w:val="0000EE"/>
              </w:rPr>
            </w:pPr>
            <w:hyperlink w:anchor="page11">
              <w:r>
                <w:rPr>
                  <w:rFonts w:ascii="Arial" w:cs="Arial" w:eastAsia="Arial" w:hAnsi="Arial"/>
                  <w:sz w:val="15"/>
                  <w:szCs w:val="15"/>
                  <w:color w:val="0000EE"/>
                </w:rPr>
                <w:t>Proposal 1 – To elect, by separate resolutions, the ten director nominees named in the Proxy</w:t>
              </w:r>
            </w:hyperlink>
          </w:p>
        </w:tc>
        <w:tc>
          <w:tcPr>
            <w:tcW w:w="100" w:type="dxa"/>
            <w:vAlign w:val="bottom"/>
          </w:tcPr>
          <w:p>
            <w:pPr>
              <w:spacing w:after="0"/>
              <w:rPr>
                <w:sz w:val="17"/>
                <w:szCs w:val="17"/>
                <w:color w:val="auto"/>
              </w:rPr>
            </w:pPr>
          </w:p>
        </w:tc>
        <w:tc>
          <w:tcPr>
            <w:tcW w:w="1520" w:type="dxa"/>
            <w:vAlign w:val="bottom"/>
            <w:vMerge w:val="restart"/>
          </w:tcPr>
          <w:p>
            <w:pPr>
              <w:ind w:left="100"/>
              <w:spacing w:after="0"/>
              <w:rPr>
                <w:rFonts w:ascii="Arial" w:cs="Arial" w:eastAsia="Arial" w:hAnsi="Arial"/>
                <w:sz w:val="15"/>
                <w:szCs w:val="15"/>
                <w:u w:val="single" w:color="auto"/>
                <w:color w:val="0000EE"/>
              </w:rPr>
            </w:pPr>
            <w:hyperlink w:anchor="page11">
              <w:r>
                <w:rPr>
                  <w:rFonts w:ascii="Arial" w:cs="Arial" w:eastAsia="Arial" w:hAnsi="Arial"/>
                  <w:sz w:val="15"/>
                  <w:szCs w:val="15"/>
                  <w:u w:val="single" w:color="auto"/>
                  <w:color w:val="0000EE"/>
                </w:rPr>
                <w:t>“</w:t>
              </w:r>
              <w:r>
                <w:rPr>
                  <w:rFonts w:ascii="Arial" w:cs="Arial" w:eastAsia="Arial" w:hAnsi="Arial"/>
                  <w:sz w:val="15"/>
                  <w:szCs w:val="15"/>
                  <w:b w:val="1"/>
                  <w:bCs w:val="1"/>
                  <w:u w:val="single" w:color="auto"/>
                  <w:color w:val="0000EE"/>
                </w:rPr>
                <w:t>FOR</w:t>
              </w:r>
              <w:r>
                <w:rPr>
                  <w:rFonts w:ascii="Arial" w:cs="Arial" w:eastAsia="Arial" w:hAnsi="Arial"/>
                  <w:sz w:val="15"/>
                  <w:szCs w:val="15"/>
                  <w:u w:val="single" w:color="auto"/>
                  <w:color w:val="0000EE"/>
                </w:rPr>
                <w:t>” all nominees</w:t>
              </w:r>
            </w:hyperlink>
          </w:p>
        </w:tc>
        <w:tc>
          <w:tcPr>
            <w:tcW w:w="9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69"/>
        </w:trPr>
        <w:tc>
          <w:tcPr>
            <w:tcW w:w="60" w:type="dxa"/>
            <w:vAlign w:val="bottom"/>
          </w:tcPr>
          <w:p>
            <w:pPr>
              <w:spacing w:after="0"/>
              <w:rPr>
                <w:sz w:val="14"/>
                <w:szCs w:val="14"/>
                <w:color w:val="auto"/>
              </w:rPr>
            </w:pPr>
          </w:p>
        </w:tc>
        <w:tc>
          <w:tcPr>
            <w:tcW w:w="6620" w:type="dxa"/>
            <w:vAlign w:val="bottom"/>
            <w:gridSpan w:val="9"/>
          </w:tcPr>
          <w:p>
            <w:pPr>
              <w:spacing w:after="0" w:line="169" w:lineRule="exact"/>
              <w:rPr>
                <w:rFonts w:ascii="Arial" w:cs="Arial" w:eastAsia="Arial" w:hAnsi="Arial"/>
                <w:sz w:val="15"/>
                <w:szCs w:val="15"/>
                <w:color w:val="0000EE"/>
              </w:rPr>
            </w:pPr>
            <w:hyperlink w:anchor="page11">
              <w:r>
                <w:rPr>
                  <w:rFonts w:ascii="Arial" w:cs="Arial" w:eastAsia="Arial" w:hAnsi="Arial"/>
                  <w:sz w:val="15"/>
                  <w:szCs w:val="15"/>
                  <w:color w:val="0000EE"/>
                </w:rPr>
                <w:t>Statement to hold office until the 2021 AGM</w:t>
              </w:r>
            </w:hyperlink>
          </w:p>
        </w:tc>
        <w:tc>
          <w:tcPr>
            <w:tcW w:w="1520" w:type="dxa"/>
            <w:vAlign w:val="bottom"/>
            <w:vMerge w:val="continue"/>
          </w:tcPr>
          <w:p>
            <w:pPr>
              <w:spacing w:after="0"/>
              <w:rPr>
                <w:sz w:val="14"/>
                <w:szCs w:val="14"/>
                <w:color w:val="auto"/>
              </w:rPr>
            </w:pPr>
          </w:p>
        </w:tc>
        <w:tc>
          <w:tcPr>
            <w:tcW w:w="980" w:type="dxa"/>
            <w:vAlign w:val="bottom"/>
          </w:tcPr>
          <w:p>
            <w:pPr>
              <w:ind w:left="140"/>
              <w:spacing w:after="0" w:line="169" w:lineRule="exact"/>
              <w:rPr>
                <w:rFonts w:ascii="Arial" w:cs="Arial" w:eastAsia="Arial" w:hAnsi="Arial"/>
                <w:sz w:val="15"/>
                <w:szCs w:val="15"/>
                <w:u w:val="single" w:color="auto"/>
                <w:color w:val="0000EE"/>
              </w:rPr>
            </w:pPr>
            <w:hyperlink w:anchor="page11">
              <w:r>
                <w:rPr>
                  <w:rFonts w:ascii="Arial" w:cs="Arial" w:eastAsia="Arial" w:hAnsi="Arial"/>
                  <w:sz w:val="15"/>
                  <w:szCs w:val="15"/>
                  <w:u w:val="single" w:color="auto"/>
                  <w:color w:val="0000EE"/>
                </w:rPr>
                <w:t>Page 8</w:t>
              </w:r>
            </w:hyperlink>
          </w:p>
        </w:tc>
        <w:tc>
          <w:tcPr>
            <w:tcW w:w="0" w:type="dxa"/>
            <w:vAlign w:val="bottom"/>
          </w:tcPr>
          <w:p>
            <w:pPr>
              <w:spacing w:after="0"/>
              <w:rPr>
                <w:sz w:val="1"/>
                <w:szCs w:val="1"/>
                <w:color w:val="auto"/>
              </w:rPr>
            </w:pPr>
          </w:p>
        </w:tc>
      </w:tr>
      <w:tr>
        <w:trPr>
          <w:trHeight w:val="34"/>
        </w:trPr>
        <w:tc>
          <w:tcPr>
            <w:tcW w:w="60" w:type="dxa"/>
            <w:vAlign w:val="bottom"/>
          </w:tcPr>
          <w:p>
            <w:pPr>
              <w:spacing w:after="0"/>
              <w:rPr>
                <w:sz w:val="2"/>
                <w:szCs w:val="2"/>
                <w:color w:val="auto"/>
              </w:rPr>
            </w:pPr>
          </w:p>
        </w:tc>
        <w:tc>
          <w:tcPr>
            <w:tcW w:w="640" w:type="dxa"/>
            <w:vAlign w:val="bottom"/>
            <w:tcBorders>
              <w:top w:val="single" w:sz="8" w:color="0000EE"/>
            </w:tcBorders>
          </w:tcPr>
          <w:p>
            <w:pPr>
              <w:spacing w:after="0"/>
              <w:rPr>
                <w:sz w:val="2"/>
                <w:szCs w:val="2"/>
                <w:color w:val="auto"/>
              </w:rPr>
            </w:pPr>
          </w:p>
        </w:tc>
        <w:tc>
          <w:tcPr>
            <w:tcW w:w="500" w:type="dxa"/>
            <w:vAlign w:val="bottom"/>
            <w:tcBorders>
              <w:top w:val="single" w:sz="8" w:color="0000EE"/>
            </w:tcBorders>
          </w:tcPr>
          <w:p>
            <w:pPr>
              <w:spacing w:after="0"/>
              <w:rPr>
                <w:sz w:val="2"/>
                <w:szCs w:val="2"/>
                <w:color w:val="auto"/>
              </w:rPr>
            </w:pPr>
          </w:p>
        </w:tc>
        <w:tc>
          <w:tcPr>
            <w:tcW w:w="1740" w:type="dxa"/>
            <w:vAlign w:val="bottom"/>
            <w:tcBorders>
              <w:top w:val="single" w:sz="8" w:color="0000EE"/>
            </w:tcBorders>
          </w:tcPr>
          <w:p>
            <w:pPr>
              <w:spacing w:after="0"/>
              <w:rPr>
                <w:sz w:val="2"/>
                <w:szCs w:val="2"/>
                <w:color w:val="auto"/>
              </w:rPr>
            </w:pPr>
          </w:p>
        </w:tc>
        <w:tc>
          <w:tcPr>
            <w:tcW w:w="8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30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2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60" w:type="dxa"/>
            <w:vAlign w:val="bottom"/>
            <w:tcBorders>
              <w:bottom w:val="single" w:sz="8" w:color="EFE9FC"/>
            </w:tcBorders>
            <w:shd w:val="clear" w:color="auto" w:fill="EFE9FC"/>
          </w:tcPr>
          <w:p>
            <w:pPr>
              <w:spacing w:after="0"/>
              <w:rPr>
                <w:sz w:val="18"/>
                <w:szCs w:val="18"/>
                <w:color w:val="auto"/>
              </w:rPr>
            </w:pPr>
          </w:p>
        </w:tc>
        <w:tc>
          <w:tcPr>
            <w:tcW w:w="6520" w:type="dxa"/>
            <w:vAlign w:val="bottom"/>
            <w:tcBorders>
              <w:bottom w:val="single" w:sz="8" w:color="0000EE"/>
            </w:tcBorders>
            <w:gridSpan w:val="8"/>
            <w:shd w:val="clear" w:color="auto" w:fill="EFE9FC"/>
          </w:tcPr>
          <w:p>
            <w:pPr>
              <w:spacing w:after="0"/>
              <w:rPr>
                <w:rFonts w:ascii="Arial" w:cs="Arial" w:eastAsia="Arial" w:hAnsi="Arial"/>
                <w:sz w:val="15"/>
                <w:szCs w:val="15"/>
                <w:color w:val="0000EE"/>
              </w:rPr>
            </w:pPr>
            <w:hyperlink w:anchor="page53">
              <w:r>
                <w:rPr>
                  <w:rFonts w:ascii="Arial" w:cs="Arial" w:eastAsia="Arial" w:hAnsi="Arial"/>
                  <w:sz w:val="15"/>
                  <w:szCs w:val="15"/>
                  <w:color w:val="0000EE"/>
                </w:rPr>
                <w:t>Proposal 2 – To approve, on an advisory basis, the Company’s compensation of its named</w:t>
              </w:r>
            </w:hyperlink>
          </w:p>
        </w:tc>
        <w:tc>
          <w:tcPr>
            <w:tcW w:w="100" w:type="dxa"/>
            <w:vAlign w:val="bottom"/>
            <w:tcBorders>
              <w:bottom w:val="single" w:sz="8" w:color="EFE9FC"/>
            </w:tcBorders>
            <w:shd w:val="clear" w:color="auto" w:fill="EFE9FC"/>
          </w:tcPr>
          <w:p>
            <w:pPr>
              <w:spacing w:after="0"/>
              <w:rPr>
                <w:sz w:val="18"/>
                <w:szCs w:val="18"/>
                <w:color w:val="auto"/>
              </w:rPr>
            </w:pPr>
          </w:p>
        </w:tc>
        <w:tc>
          <w:tcPr>
            <w:tcW w:w="1520" w:type="dxa"/>
            <w:vAlign w:val="bottom"/>
            <w:tcBorders>
              <w:bottom w:val="single" w:sz="8" w:color="EFE9FC"/>
            </w:tcBorders>
            <w:vMerge w:val="restart"/>
            <w:shd w:val="clear" w:color="auto" w:fill="EFE9FC"/>
          </w:tcPr>
          <w:p>
            <w:pPr>
              <w:ind w:left="100"/>
              <w:spacing w:after="0"/>
              <w:rPr>
                <w:rFonts w:ascii="Arial" w:cs="Arial" w:eastAsia="Arial" w:hAnsi="Arial"/>
                <w:sz w:val="15"/>
                <w:szCs w:val="15"/>
                <w:u w:val="single" w:color="auto"/>
                <w:color w:val="0000EE"/>
              </w:rPr>
            </w:pPr>
            <w:hyperlink w:anchor="page53">
              <w:r>
                <w:rPr>
                  <w:rFonts w:ascii="Arial" w:cs="Arial" w:eastAsia="Arial" w:hAnsi="Arial"/>
                  <w:sz w:val="15"/>
                  <w:szCs w:val="15"/>
                  <w:u w:val="single" w:color="auto"/>
                  <w:color w:val="0000EE"/>
                </w:rPr>
                <w:t>“</w:t>
              </w:r>
              <w:r>
                <w:rPr>
                  <w:rFonts w:ascii="Arial" w:cs="Arial" w:eastAsia="Arial" w:hAnsi="Arial"/>
                  <w:sz w:val="15"/>
                  <w:szCs w:val="15"/>
                  <w:b w:val="1"/>
                  <w:bCs w:val="1"/>
                  <w:u w:val="single" w:color="auto"/>
                  <w:color w:val="0000EE"/>
                </w:rPr>
                <w:t>FOR</w:t>
              </w:r>
              <w:r>
                <w:rPr>
                  <w:rFonts w:ascii="Arial" w:cs="Arial" w:eastAsia="Arial" w:hAnsi="Arial"/>
                  <w:sz w:val="15"/>
                  <w:szCs w:val="15"/>
                  <w:u w:val="single" w:color="auto"/>
                  <w:color w:val="0000EE"/>
                </w:rPr>
                <w:t>”</w:t>
              </w:r>
            </w:hyperlink>
          </w:p>
        </w:tc>
        <w:tc>
          <w:tcPr>
            <w:tcW w:w="980" w:type="dxa"/>
            <w:vAlign w:val="bottom"/>
            <w:tcBorders>
              <w:bottom w:val="single" w:sz="8" w:color="EFE9FC"/>
            </w:tcBorders>
            <w:shd w:val="clear" w:color="auto" w:fill="EFE9FC"/>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60" w:type="dxa"/>
            <w:vAlign w:val="bottom"/>
            <w:shd w:val="clear" w:color="auto" w:fill="EFE9FC"/>
          </w:tcPr>
          <w:p>
            <w:pPr>
              <w:spacing w:after="0"/>
              <w:rPr>
                <w:sz w:val="17"/>
                <w:szCs w:val="17"/>
                <w:color w:val="auto"/>
              </w:rPr>
            </w:pPr>
          </w:p>
        </w:tc>
        <w:tc>
          <w:tcPr>
            <w:tcW w:w="6620" w:type="dxa"/>
            <w:vAlign w:val="bottom"/>
            <w:gridSpan w:val="9"/>
            <w:shd w:val="clear" w:color="auto" w:fill="EFE9FC"/>
          </w:tcPr>
          <w:p>
            <w:pPr>
              <w:spacing w:after="0" w:line="169" w:lineRule="exact"/>
              <w:rPr>
                <w:rFonts w:ascii="Arial" w:cs="Arial" w:eastAsia="Arial" w:hAnsi="Arial"/>
                <w:sz w:val="15"/>
                <w:szCs w:val="15"/>
                <w:color w:val="0000EE"/>
              </w:rPr>
            </w:pPr>
            <w:hyperlink w:anchor="page53">
              <w:r>
                <w:rPr>
                  <w:rFonts w:ascii="Arial" w:cs="Arial" w:eastAsia="Arial" w:hAnsi="Arial"/>
                  <w:sz w:val="15"/>
                  <w:szCs w:val="15"/>
                  <w:color w:val="0000EE"/>
                </w:rPr>
                <w:t>executive officers</w:t>
              </w:r>
            </w:hyperlink>
          </w:p>
        </w:tc>
        <w:tc>
          <w:tcPr>
            <w:tcW w:w="1520" w:type="dxa"/>
            <w:vAlign w:val="bottom"/>
            <w:vMerge w:val="continue"/>
            <w:shd w:val="clear" w:color="auto" w:fill="EFE9FC"/>
          </w:tcPr>
          <w:p>
            <w:pPr>
              <w:spacing w:after="0"/>
              <w:rPr>
                <w:sz w:val="17"/>
                <w:szCs w:val="17"/>
                <w:color w:val="auto"/>
              </w:rPr>
            </w:pPr>
          </w:p>
        </w:tc>
        <w:tc>
          <w:tcPr>
            <w:tcW w:w="980" w:type="dxa"/>
            <w:vAlign w:val="bottom"/>
            <w:shd w:val="clear" w:color="auto" w:fill="EFE9FC"/>
          </w:tcPr>
          <w:p>
            <w:pPr>
              <w:ind w:left="140"/>
              <w:spacing w:after="0" w:line="169" w:lineRule="exact"/>
              <w:rPr>
                <w:rFonts w:ascii="Arial" w:cs="Arial" w:eastAsia="Arial" w:hAnsi="Arial"/>
                <w:sz w:val="15"/>
                <w:szCs w:val="15"/>
                <w:u w:val="single" w:color="auto"/>
                <w:color w:val="0000EE"/>
              </w:rPr>
            </w:pPr>
            <w:hyperlink w:anchor="page53">
              <w:r>
                <w:rPr>
                  <w:rFonts w:ascii="Arial" w:cs="Arial" w:eastAsia="Arial" w:hAnsi="Arial"/>
                  <w:sz w:val="15"/>
                  <w:szCs w:val="15"/>
                  <w:u w:val="single" w:color="auto"/>
                  <w:color w:val="0000EE"/>
                </w:rPr>
                <w:t>Page 50</w:t>
              </w:r>
            </w:hyperlink>
          </w:p>
        </w:tc>
        <w:tc>
          <w:tcPr>
            <w:tcW w:w="0" w:type="dxa"/>
            <w:vAlign w:val="bottom"/>
          </w:tcPr>
          <w:p>
            <w:pPr>
              <w:spacing w:after="0"/>
              <w:rPr>
                <w:sz w:val="1"/>
                <w:szCs w:val="1"/>
                <w:color w:val="auto"/>
              </w:rPr>
            </w:pPr>
          </w:p>
        </w:tc>
      </w:tr>
      <w:tr>
        <w:trPr>
          <w:trHeight w:val="20"/>
        </w:trPr>
        <w:tc>
          <w:tcPr>
            <w:tcW w:w="60" w:type="dxa"/>
            <w:vAlign w:val="bottom"/>
            <w:tcBorders>
              <w:top w:val="single" w:sz="8" w:color="EFE9FC"/>
            </w:tcBorders>
            <w:shd w:val="clear" w:color="auto" w:fill="FEFEFE"/>
          </w:tcPr>
          <w:p>
            <w:pPr>
              <w:spacing w:after="0" w:line="20" w:lineRule="exact"/>
              <w:rPr>
                <w:sz w:val="1"/>
                <w:szCs w:val="1"/>
                <w:color w:val="auto"/>
              </w:rPr>
            </w:pPr>
          </w:p>
        </w:tc>
        <w:tc>
          <w:tcPr>
            <w:tcW w:w="640" w:type="dxa"/>
            <w:vAlign w:val="bottom"/>
            <w:tcBorders>
              <w:top w:val="single" w:sz="8" w:color="0000EE"/>
            </w:tcBorders>
            <w:shd w:val="clear" w:color="auto" w:fill="FEFEFE"/>
          </w:tcPr>
          <w:p>
            <w:pPr>
              <w:spacing w:after="0" w:line="20" w:lineRule="exact"/>
              <w:rPr>
                <w:sz w:val="1"/>
                <w:szCs w:val="1"/>
                <w:color w:val="auto"/>
              </w:rPr>
            </w:pPr>
          </w:p>
        </w:tc>
        <w:tc>
          <w:tcPr>
            <w:tcW w:w="500" w:type="dxa"/>
            <w:vAlign w:val="bottom"/>
            <w:tcBorders>
              <w:top w:val="single" w:sz="8" w:color="0000EE"/>
            </w:tcBorders>
            <w:shd w:val="clear" w:color="auto" w:fill="FEFEFE"/>
          </w:tcPr>
          <w:p>
            <w:pPr>
              <w:spacing w:after="0" w:line="20" w:lineRule="exact"/>
              <w:rPr>
                <w:sz w:val="1"/>
                <w:szCs w:val="1"/>
                <w:color w:val="auto"/>
              </w:rPr>
            </w:pPr>
          </w:p>
        </w:tc>
        <w:tc>
          <w:tcPr>
            <w:tcW w:w="1740" w:type="dxa"/>
            <w:vAlign w:val="bottom"/>
            <w:tcBorders>
              <w:top w:val="single" w:sz="8" w:color="EFE9FC"/>
            </w:tcBorders>
            <w:shd w:val="clear" w:color="auto" w:fill="FEFEFE"/>
          </w:tcPr>
          <w:p>
            <w:pPr>
              <w:spacing w:after="0" w:line="20" w:lineRule="exact"/>
              <w:rPr>
                <w:sz w:val="1"/>
                <w:szCs w:val="1"/>
                <w:color w:val="auto"/>
              </w:rPr>
            </w:pPr>
          </w:p>
        </w:tc>
        <w:tc>
          <w:tcPr>
            <w:tcW w:w="820" w:type="dxa"/>
            <w:vAlign w:val="bottom"/>
            <w:tcBorders>
              <w:top w:val="single" w:sz="8" w:color="EFE9FC"/>
            </w:tcBorders>
            <w:shd w:val="clear" w:color="auto" w:fill="FEFEFE"/>
          </w:tcPr>
          <w:p>
            <w:pPr>
              <w:spacing w:after="0" w:line="20" w:lineRule="exact"/>
              <w:rPr>
                <w:sz w:val="1"/>
                <w:szCs w:val="1"/>
                <w:color w:val="auto"/>
              </w:rPr>
            </w:pPr>
          </w:p>
        </w:tc>
        <w:tc>
          <w:tcPr>
            <w:tcW w:w="240" w:type="dxa"/>
            <w:vAlign w:val="bottom"/>
            <w:tcBorders>
              <w:top w:val="single" w:sz="8" w:color="EFE9FC"/>
            </w:tcBorders>
            <w:shd w:val="clear" w:color="auto" w:fill="FEFEFE"/>
          </w:tcPr>
          <w:p>
            <w:pPr>
              <w:spacing w:after="0" w:line="20" w:lineRule="exact"/>
              <w:rPr>
                <w:sz w:val="1"/>
                <w:szCs w:val="1"/>
                <w:color w:val="auto"/>
              </w:rPr>
            </w:pPr>
          </w:p>
        </w:tc>
        <w:tc>
          <w:tcPr>
            <w:tcW w:w="1260" w:type="dxa"/>
            <w:vAlign w:val="bottom"/>
            <w:tcBorders>
              <w:top w:val="single" w:sz="8" w:color="EFE9FC"/>
            </w:tcBorders>
            <w:shd w:val="clear" w:color="auto" w:fill="FEFEFE"/>
          </w:tcPr>
          <w:p>
            <w:pPr>
              <w:spacing w:after="0" w:line="20" w:lineRule="exact"/>
              <w:rPr>
                <w:sz w:val="1"/>
                <w:szCs w:val="1"/>
                <w:color w:val="auto"/>
              </w:rPr>
            </w:pPr>
          </w:p>
        </w:tc>
        <w:tc>
          <w:tcPr>
            <w:tcW w:w="1300" w:type="dxa"/>
            <w:vAlign w:val="bottom"/>
            <w:tcBorders>
              <w:top w:val="single" w:sz="8" w:color="EFE9FC"/>
            </w:tcBorders>
            <w:shd w:val="clear" w:color="auto" w:fill="FEFEFE"/>
          </w:tcPr>
          <w:p>
            <w:pPr>
              <w:spacing w:after="0" w:line="20" w:lineRule="exact"/>
              <w:rPr>
                <w:sz w:val="1"/>
                <w:szCs w:val="1"/>
                <w:color w:val="auto"/>
              </w:rPr>
            </w:pPr>
          </w:p>
        </w:tc>
        <w:tc>
          <w:tcPr>
            <w:tcW w:w="20" w:type="dxa"/>
            <w:vAlign w:val="bottom"/>
            <w:tcBorders>
              <w:top w:val="single" w:sz="8" w:color="EFE9FC"/>
            </w:tcBorders>
            <w:shd w:val="clear" w:color="auto" w:fill="FEFEFE"/>
          </w:tcPr>
          <w:p>
            <w:pPr>
              <w:spacing w:after="0" w:line="20" w:lineRule="exact"/>
              <w:rPr>
                <w:sz w:val="1"/>
                <w:szCs w:val="1"/>
                <w:color w:val="auto"/>
              </w:rPr>
            </w:pPr>
          </w:p>
        </w:tc>
        <w:tc>
          <w:tcPr>
            <w:tcW w:w="100" w:type="dxa"/>
            <w:vAlign w:val="bottom"/>
            <w:tcBorders>
              <w:top w:val="single" w:sz="8" w:color="EFE9FC"/>
            </w:tcBorders>
            <w:shd w:val="clear" w:color="auto" w:fill="FEFEFE"/>
          </w:tcPr>
          <w:p>
            <w:pPr>
              <w:spacing w:after="0" w:line="20" w:lineRule="exact"/>
              <w:rPr>
                <w:sz w:val="1"/>
                <w:szCs w:val="1"/>
                <w:color w:val="auto"/>
              </w:rPr>
            </w:pPr>
          </w:p>
        </w:tc>
        <w:tc>
          <w:tcPr>
            <w:tcW w:w="1520" w:type="dxa"/>
            <w:vAlign w:val="bottom"/>
            <w:tcBorders>
              <w:top w:val="single" w:sz="8" w:color="EFE9FC"/>
            </w:tcBorders>
            <w:shd w:val="clear" w:color="auto" w:fill="FEFEFE"/>
          </w:tcPr>
          <w:p>
            <w:pPr>
              <w:spacing w:after="0" w:line="20" w:lineRule="exact"/>
              <w:rPr>
                <w:sz w:val="1"/>
                <w:szCs w:val="1"/>
                <w:color w:val="auto"/>
              </w:rPr>
            </w:pPr>
          </w:p>
        </w:tc>
        <w:tc>
          <w:tcPr>
            <w:tcW w:w="980" w:type="dxa"/>
            <w:vAlign w:val="bottom"/>
            <w:tcBorders>
              <w:top w:val="single" w:sz="8" w:color="EFE9FC"/>
            </w:tcBorders>
            <w:shd w:val="clear" w:color="auto" w:fill="FEFEF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60" w:type="dxa"/>
            <w:vAlign w:val="bottom"/>
          </w:tcPr>
          <w:p>
            <w:pPr>
              <w:spacing w:after="0"/>
              <w:rPr>
                <w:sz w:val="17"/>
                <w:szCs w:val="17"/>
                <w:color w:val="auto"/>
              </w:rPr>
            </w:pPr>
          </w:p>
        </w:tc>
        <w:tc>
          <w:tcPr>
            <w:tcW w:w="6500" w:type="dxa"/>
            <w:vAlign w:val="bottom"/>
            <w:tcBorders>
              <w:bottom w:val="single" w:sz="8" w:color="0000EE"/>
            </w:tcBorders>
            <w:gridSpan w:val="7"/>
          </w:tcPr>
          <w:p>
            <w:pPr>
              <w:spacing w:after="0"/>
              <w:rPr>
                <w:rFonts w:ascii="Arial" w:cs="Arial" w:eastAsia="Arial" w:hAnsi="Arial"/>
                <w:sz w:val="15"/>
                <w:szCs w:val="15"/>
                <w:color w:val="0000EE"/>
                <w:w w:val="98"/>
              </w:rPr>
            </w:pPr>
            <w:hyperlink w:anchor="page57">
              <w:r>
                <w:rPr>
                  <w:rFonts w:ascii="Arial" w:cs="Arial" w:eastAsia="Arial" w:hAnsi="Arial"/>
                  <w:sz w:val="15"/>
                  <w:szCs w:val="15"/>
                  <w:color w:val="0000EE"/>
                  <w:w w:val="98"/>
                </w:rPr>
                <w:t>Proposal 3 – To ratify the appointment of PricewaterhouseCoopers LLP, a Delaware limited liability</w:t>
              </w:r>
            </w:hyperlink>
          </w:p>
        </w:tc>
        <w:tc>
          <w:tcPr>
            <w:tcW w:w="120" w:type="dxa"/>
            <w:vAlign w:val="bottom"/>
            <w:gridSpan w:val="2"/>
          </w:tcPr>
          <w:p>
            <w:pPr>
              <w:spacing w:after="0"/>
              <w:rPr>
                <w:sz w:val="17"/>
                <w:szCs w:val="17"/>
                <w:color w:val="auto"/>
              </w:rPr>
            </w:pPr>
          </w:p>
        </w:tc>
        <w:tc>
          <w:tcPr>
            <w:tcW w:w="1520" w:type="dxa"/>
            <w:vAlign w:val="bottom"/>
            <w:vMerge w:val="restart"/>
          </w:tcPr>
          <w:p>
            <w:pPr>
              <w:ind w:left="100"/>
              <w:spacing w:after="0"/>
              <w:rPr>
                <w:rFonts w:ascii="Arial" w:cs="Arial" w:eastAsia="Arial" w:hAnsi="Arial"/>
                <w:sz w:val="15"/>
                <w:szCs w:val="15"/>
                <w:u w:val="single" w:color="auto"/>
                <w:color w:val="0000EE"/>
              </w:rPr>
            </w:pPr>
            <w:hyperlink w:anchor="page57">
              <w:r>
                <w:rPr>
                  <w:rFonts w:ascii="Arial" w:cs="Arial" w:eastAsia="Arial" w:hAnsi="Arial"/>
                  <w:sz w:val="15"/>
                  <w:szCs w:val="15"/>
                  <w:u w:val="single" w:color="auto"/>
                  <w:color w:val="0000EE"/>
                </w:rPr>
                <w:t>“</w:t>
              </w:r>
              <w:r>
                <w:rPr>
                  <w:rFonts w:ascii="Arial" w:cs="Arial" w:eastAsia="Arial" w:hAnsi="Arial"/>
                  <w:sz w:val="15"/>
                  <w:szCs w:val="15"/>
                  <w:b w:val="1"/>
                  <w:bCs w:val="1"/>
                  <w:u w:val="single" w:color="auto"/>
                  <w:color w:val="0000EE"/>
                </w:rPr>
                <w:t>FOR</w:t>
              </w:r>
              <w:r>
                <w:rPr>
                  <w:rFonts w:ascii="Arial" w:cs="Arial" w:eastAsia="Arial" w:hAnsi="Arial"/>
                  <w:sz w:val="15"/>
                  <w:szCs w:val="15"/>
                  <w:u w:val="single" w:color="auto"/>
                  <w:color w:val="0000EE"/>
                </w:rPr>
                <w:t>”</w:t>
              </w:r>
            </w:hyperlink>
          </w:p>
        </w:tc>
        <w:tc>
          <w:tcPr>
            <w:tcW w:w="9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69"/>
        </w:trPr>
        <w:tc>
          <w:tcPr>
            <w:tcW w:w="60" w:type="dxa"/>
            <w:vAlign w:val="bottom"/>
          </w:tcPr>
          <w:p>
            <w:pPr>
              <w:spacing w:after="0"/>
              <w:rPr>
                <w:sz w:val="14"/>
                <w:szCs w:val="14"/>
                <w:color w:val="auto"/>
              </w:rPr>
            </w:pPr>
          </w:p>
        </w:tc>
        <w:tc>
          <w:tcPr>
            <w:tcW w:w="6620" w:type="dxa"/>
            <w:vAlign w:val="bottom"/>
            <w:gridSpan w:val="9"/>
          </w:tcPr>
          <w:p>
            <w:pPr>
              <w:spacing w:after="0" w:line="169" w:lineRule="exact"/>
              <w:rPr>
                <w:rFonts w:ascii="Arial" w:cs="Arial" w:eastAsia="Arial" w:hAnsi="Arial"/>
                <w:sz w:val="15"/>
                <w:szCs w:val="15"/>
                <w:color w:val="0000EE"/>
              </w:rPr>
            </w:pPr>
            <w:hyperlink w:anchor="page57">
              <w:r>
                <w:rPr>
                  <w:rFonts w:ascii="Arial" w:cs="Arial" w:eastAsia="Arial" w:hAnsi="Arial"/>
                  <w:sz w:val="15"/>
                  <w:szCs w:val="15"/>
                  <w:color w:val="0000EE"/>
                </w:rPr>
                <w:t>partnership, as the Company’s independent registered public accountancy firm</w:t>
              </w:r>
            </w:hyperlink>
          </w:p>
        </w:tc>
        <w:tc>
          <w:tcPr>
            <w:tcW w:w="1520" w:type="dxa"/>
            <w:vAlign w:val="bottom"/>
            <w:vMerge w:val="continue"/>
          </w:tcPr>
          <w:p>
            <w:pPr>
              <w:spacing w:after="0"/>
              <w:rPr>
                <w:sz w:val="14"/>
                <w:szCs w:val="14"/>
                <w:color w:val="auto"/>
              </w:rPr>
            </w:pPr>
          </w:p>
        </w:tc>
        <w:tc>
          <w:tcPr>
            <w:tcW w:w="980" w:type="dxa"/>
            <w:vAlign w:val="bottom"/>
          </w:tcPr>
          <w:p>
            <w:pPr>
              <w:ind w:left="140"/>
              <w:spacing w:after="0" w:line="169" w:lineRule="exact"/>
              <w:rPr>
                <w:rFonts w:ascii="Arial" w:cs="Arial" w:eastAsia="Arial" w:hAnsi="Arial"/>
                <w:sz w:val="15"/>
                <w:szCs w:val="15"/>
                <w:u w:val="single" w:color="auto"/>
                <w:color w:val="0000EE"/>
              </w:rPr>
            </w:pPr>
            <w:hyperlink w:anchor="page57">
              <w:r>
                <w:rPr>
                  <w:rFonts w:ascii="Arial" w:cs="Arial" w:eastAsia="Arial" w:hAnsi="Arial"/>
                  <w:sz w:val="15"/>
                  <w:szCs w:val="15"/>
                  <w:u w:val="single" w:color="auto"/>
                  <w:color w:val="0000EE"/>
                </w:rPr>
                <w:t>Page 54</w:t>
              </w:r>
            </w:hyperlink>
          </w:p>
        </w:tc>
        <w:tc>
          <w:tcPr>
            <w:tcW w:w="0" w:type="dxa"/>
            <w:vAlign w:val="bottom"/>
          </w:tcPr>
          <w:p>
            <w:pPr>
              <w:spacing w:after="0"/>
              <w:rPr>
                <w:sz w:val="1"/>
                <w:szCs w:val="1"/>
                <w:color w:val="auto"/>
              </w:rPr>
            </w:pPr>
          </w:p>
        </w:tc>
      </w:tr>
      <w:tr>
        <w:trPr>
          <w:trHeight w:val="34"/>
        </w:trPr>
        <w:tc>
          <w:tcPr>
            <w:tcW w:w="60" w:type="dxa"/>
            <w:vAlign w:val="bottom"/>
          </w:tcPr>
          <w:p>
            <w:pPr>
              <w:spacing w:after="0"/>
              <w:rPr>
                <w:sz w:val="2"/>
                <w:szCs w:val="2"/>
                <w:color w:val="auto"/>
              </w:rPr>
            </w:pPr>
          </w:p>
        </w:tc>
        <w:tc>
          <w:tcPr>
            <w:tcW w:w="640" w:type="dxa"/>
            <w:vAlign w:val="bottom"/>
            <w:tcBorders>
              <w:top w:val="single" w:sz="8" w:color="0000EE"/>
            </w:tcBorders>
          </w:tcPr>
          <w:p>
            <w:pPr>
              <w:spacing w:after="0"/>
              <w:rPr>
                <w:sz w:val="2"/>
                <w:szCs w:val="2"/>
                <w:color w:val="auto"/>
              </w:rPr>
            </w:pPr>
          </w:p>
        </w:tc>
        <w:tc>
          <w:tcPr>
            <w:tcW w:w="500" w:type="dxa"/>
            <w:vAlign w:val="bottom"/>
            <w:tcBorders>
              <w:top w:val="single" w:sz="8" w:color="0000EE"/>
            </w:tcBorders>
          </w:tcPr>
          <w:p>
            <w:pPr>
              <w:spacing w:after="0"/>
              <w:rPr>
                <w:sz w:val="2"/>
                <w:szCs w:val="2"/>
                <w:color w:val="auto"/>
              </w:rPr>
            </w:pPr>
          </w:p>
        </w:tc>
        <w:tc>
          <w:tcPr>
            <w:tcW w:w="1740" w:type="dxa"/>
            <w:vAlign w:val="bottom"/>
            <w:tcBorders>
              <w:top w:val="single" w:sz="8" w:color="0000EE"/>
            </w:tcBorders>
          </w:tcPr>
          <w:p>
            <w:pPr>
              <w:spacing w:after="0"/>
              <w:rPr>
                <w:sz w:val="2"/>
                <w:szCs w:val="2"/>
                <w:color w:val="auto"/>
              </w:rPr>
            </w:pPr>
          </w:p>
        </w:tc>
        <w:tc>
          <w:tcPr>
            <w:tcW w:w="820" w:type="dxa"/>
            <w:vAlign w:val="bottom"/>
            <w:tcBorders>
              <w:top w:val="single" w:sz="8" w:color="0000EE"/>
            </w:tcBorders>
          </w:tcPr>
          <w:p>
            <w:pPr>
              <w:spacing w:after="0"/>
              <w:rPr>
                <w:sz w:val="2"/>
                <w:szCs w:val="2"/>
                <w:color w:val="auto"/>
              </w:rPr>
            </w:pPr>
          </w:p>
        </w:tc>
        <w:tc>
          <w:tcPr>
            <w:tcW w:w="240" w:type="dxa"/>
            <w:vAlign w:val="bottom"/>
            <w:tcBorders>
              <w:top w:val="single" w:sz="8" w:color="0000EE"/>
            </w:tcBorders>
          </w:tcPr>
          <w:p>
            <w:pPr>
              <w:spacing w:after="0"/>
              <w:rPr>
                <w:sz w:val="2"/>
                <w:szCs w:val="2"/>
                <w:color w:val="auto"/>
              </w:rPr>
            </w:pPr>
          </w:p>
        </w:tc>
        <w:tc>
          <w:tcPr>
            <w:tcW w:w="1260" w:type="dxa"/>
            <w:vAlign w:val="bottom"/>
            <w:tcBorders>
              <w:top w:val="single" w:sz="8" w:color="0000EE"/>
            </w:tcBorders>
          </w:tcPr>
          <w:p>
            <w:pPr>
              <w:spacing w:after="0"/>
              <w:rPr>
                <w:sz w:val="2"/>
                <w:szCs w:val="2"/>
                <w:color w:val="auto"/>
              </w:rPr>
            </w:pPr>
          </w:p>
        </w:tc>
        <w:tc>
          <w:tcPr>
            <w:tcW w:w="130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2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7"/>
        </w:trPr>
        <w:tc>
          <w:tcPr>
            <w:tcW w:w="60" w:type="dxa"/>
            <w:vAlign w:val="bottom"/>
            <w:tcBorders>
              <w:bottom w:val="single" w:sz="8" w:color="EFE9FC"/>
            </w:tcBorders>
            <w:shd w:val="clear" w:color="auto" w:fill="EFE9FC"/>
          </w:tcPr>
          <w:p>
            <w:pPr>
              <w:spacing w:after="0"/>
              <w:rPr>
                <w:sz w:val="24"/>
                <w:szCs w:val="24"/>
                <w:color w:val="auto"/>
              </w:rPr>
            </w:pPr>
          </w:p>
        </w:tc>
        <w:tc>
          <w:tcPr>
            <w:tcW w:w="6620" w:type="dxa"/>
            <w:vAlign w:val="bottom"/>
            <w:tcBorders>
              <w:bottom w:val="single" w:sz="8" w:color="EFE9FC"/>
            </w:tcBorders>
            <w:gridSpan w:val="9"/>
            <w:shd w:val="clear" w:color="auto" w:fill="EFE9FC"/>
          </w:tcPr>
          <w:p>
            <w:pPr>
              <w:spacing w:after="0"/>
              <w:rPr>
                <w:rFonts w:ascii="Arial" w:cs="Arial" w:eastAsia="Arial" w:hAnsi="Arial"/>
                <w:sz w:val="15"/>
                <w:szCs w:val="15"/>
                <w:u w:val="single" w:color="auto"/>
                <w:color w:val="0000EE"/>
              </w:rPr>
            </w:pPr>
            <w:hyperlink w:anchor="page58">
              <w:r>
                <w:rPr>
                  <w:rFonts w:ascii="Arial" w:cs="Arial" w:eastAsia="Arial" w:hAnsi="Arial"/>
                  <w:sz w:val="15"/>
                  <w:szCs w:val="15"/>
                  <w:u w:val="single" w:color="auto"/>
                  <w:color w:val="0000EE"/>
                </w:rPr>
                <w:t>Proposal 4 – To grant authority to allot shares for a period of five years</w:t>
              </w:r>
            </w:hyperlink>
          </w:p>
        </w:tc>
        <w:tc>
          <w:tcPr>
            <w:tcW w:w="1520" w:type="dxa"/>
            <w:vAlign w:val="bottom"/>
            <w:tcBorders>
              <w:bottom w:val="single" w:sz="8" w:color="EFE9FC"/>
            </w:tcBorders>
            <w:shd w:val="clear" w:color="auto" w:fill="EFE9FC"/>
          </w:tcPr>
          <w:p>
            <w:pPr>
              <w:ind w:left="100"/>
              <w:spacing w:after="0"/>
              <w:rPr>
                <w:rFonts w:ascii="Arial" w:cs="Arial" w:eastAsia="Arial" w:hAnsi="Arial"/>
                <w:sz w:val="15"/>
                <w:szCs w:val="15"/>
                <w:u w:val="single" w:color="auto"/>
                <w:color w:val="0000EE"/>
              </w:rPr>
            </w:pPr>
            <w:hyperlink w:anchor="page58">
              <w:r>
                <w:rPr>
                  <w:rFonts w:ascii="Arial" w:cs="Arial" w:eastAsia="Arial" w:hAnsi="Arial"/>
                  <w:sz w:val="15"/>
                  <w:szCs w:val="15"/>
                  <w:u w:val="single" w:color="auto"/>
                  <w:color w:val="0000EE"/>
                </w:rPr>
                <w:t>“</w:t>
              </w:r>
              <w:r>
                <w:rPr>
                  <w:rFonts w:ascii="Arial" w:cs="Arial" w:eastAsia="Arial" w:hAnsi="Arial"/>
                  <w:sz w:val="15"/>
                  <w:szCs w:val="15"/>
                  <w:b w:val="1"/>
                  <w:bCs w:val="1"/>
                  <w:u w:val="single" w:color="auto"/>
                  <w:color w:val="0000EE"/>
                </w:rPr>
                <w:t>FOR</w:t>
              </w:r>
              <w:r>
                <w:rPr>
                  <w:rFonts w:ascii="Arial" w:cs="Arial" w:eastAsia="Arial" w:hAnsi="Arial"/>
                  <w:sz w:val="15"/>
                  <w:szCs w:val="15"/>
                  <w:u w:val="single" w:color="auto"/>
                  <w:color w:val="0000EE"/>
                </w:rPr>
                <w:t>”</w:t>
              </w:r>
            </w:hyperlink>
          </w:p>
        </w:tc>
        <w:tc>
          <w:tcPr>
            <w:tcW w:w="980" w:type="dxa"/>
            <w:vAlign w:val="bottom"/>
            <w:tcBorders>
              <w:bottom w:val="single" w:sz="8" w:color="EFE9FC"/>
            </w:tcBorders>
            <w:shd w:val="clear" w:color="auto" w:fill="EFE9FC"/>
          </w:tcPr>
          <w:p>
            <w:pPr>
              <w:ind w:left="140"/>
              <w:spacing w:after="0"/>
              <w:rPr>
                <w:rFonts w:ascii="Arial" w:cs="Arial" w:eastAsia="Arial" w:hAnsi="Arial"/>
                <w:sz w:val="15"/>
                <w:szCs w:val="15"/>
                <w:u w:val="single" w:color="auto"/>
                <w:color w:val="0000EE"/>
              </w:rPr>
            </w:pPr>
            <w:hyperlink w:anchor="page58">
              <w:r>
                <w:rPr>
                  <w:rFonts w:ascii="Arial" w:cs="Arial" w:eastAsia="Arial" w:hAnsi="Arial"/>
                  <w:sz w:val="15"/>
                  <w:szCs w:val="15"/>
                  <w:u w:val="single" w:color="auto"/>
                  <w:color w:val="0000EE"/>
                </w:rPr>
                <w:t>Page 55</w:t>
              </w:r>
            </w:hyperlink>
          </w:p>
        </w:tc>
        <w:tc>
          <w:tcPr>
            <w:tcW w:w="0" w:type="dxa"/>
            <w:vAlign w:val="bottom"/>
          </w:tcPr>
          <w:p>
            <w:pPr>
              <w:spacing w:after="0"/>
              <w:rPr>
                <w:sz w:val="1"/>
                <w:szCs w:val="1"/>
                <w:color w:val="auto"/>
              </w:rPr>
            </w:pPr>
          </w:p>
        </w:tc>
      </w:tr>
      <w:tr>
        <w:trPr>
          <w:trHeight w:val="216"/>
        </w:trPr>
        <w:tc>
          <w:tcPr>
            <w:tcW w:w="60" w:type="dxa"/>
            <w:vAlign w:val="bottom"/>
          </w:tcPr>
          <w:p>
            <w:pPr>
              <w:spacing w:after="0"/>
              <w:rPr>
                <w:sz w:val="18"/>
                <w:szCs w:val="18"/>
                <w:color w:val="auto"/>
              </w:rPr>
            </w:pPr>
          </w:p>
        </w:tc>
        <w:tc>
          <w:tcPr>
            <w:tcW w:w="6620" w:type="dxa"/>
            <w:vAlign w:val="bottom"/>
            <w:gridSpan w:val="9"/>
          </w:tcPr>
          <w:p>
            <w:pPr>
              <w:spacing w:after="0"/>
              <w:rPr>
                <w:rFonts w:ascii="Arial" w:cs="Arial" w:eastAsia="Arial" w:hAnsi="Arial"/>
                <w:sz w:val="15"/>
                <w:szCs w:val="15"/>
                <w:color w:val="0000EE"/>
              </w:rPr>
            </w:pPr>
            <w:hyperlink w:anchor="page60">
              <w:r>
                <w:rPr>
                  <w:rFonts w:ascii="Arial" w:cs="Arial" w:eastAsia="Arial" w:hAnsi="Arial"/>
                  <w:sz w:val="15"/>
                  <w:szCs w:val="15"/>
                  <w:color w:val="0000EE"/>
                </w:rPr>
                <w:t>Proposal 5 – Special Resolution to grant power to disapply pre-emption rights for a period of</w:t>
              </w:r>
            </w:hyperlink>
          </w:p>
        </w:tc>
        <w:tc>
          <w:tcPr>
            <w:tcW w:w="1520" w:type="dxa"/>
            <w:vAlign w:val="bottom"/>
            <w:vMerge w:val="restart"/>
          </w:tcPr>
          <w:p>
            <w:pPr>
              <w:ind w:left="100"/>
              <w:spacing w:after="0"/>
              <w:rPr>
                <w:rFonts w:ascii="Arial" w:cs="Arial" w:eastAsia="Arial" w:hAnsi="Arial"/>
                <w:sz w:val="15"/>
                <w:szCs w:val="15"/>
                <w:u w:val="single" w:color="auto"/>
                <w:color w:val="0000EE"/>
              </w:rPr>
            </w:pPr>
            <w:hyperlink w:anchor="page60">
              <w:r>
                <w:rPr>
                  <w:rFonts w:ascii="Arial" w:cs="Arial" w:eastAsia="Arial" w:hAnsi="Arial"/>
                  <w:sz w:val="15"/>
                  <w:szCs w:val="15"/>
                  <w:u w:val="single" w:color="auto"/>
                  <w:color w:val="0000EE"/>
                </w:rPr>
                <w:t>“</w:t>
              </w:r>
              <w:r>
                <w:rPr>
                  <w:rFonts w:ascii="Arial" w:cs="Arial" w:eastAsia="Arial" w:hAnsi="Arial"/>
                  <w:sz w:val="15"/>
                  <w:szCs w:val="15"/>
                  <w:b w:val="1"/>
                  <w:bCs w:val="1"/>
                  <w:u w:val="single" w:color="auto"/>
                  <w:color w:val="0000EE"/>
                </w:rPr>
                <w:t>FOR</w:t>
              </w:r>
              <w:r>
                <w:rPr>
                  <w:rFonts w:ascii="Arial" w:cs="Arial" w:eastAsia="Arial" w:hAnsi="Arial"/>
                  <w:sz w:val="15"/>
                  <w:szCs w:val="15"/>
                  <w:u w:val="single" w:color="auto"/>
                  <w:color w:val="0000EE"/>
                </w:rPr>
                <w:t>”</w:t>
              </w:r>
            </w:hyperlink>
          </w:p>
        </w:tc>
        <w:tc>
          <w:tcPr>
            <w:tcW w:w="9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69"/>
        </w:trPr>
        <w:tc>
          <w:tcPr>
            <w:tcW w:w="60" w:type="dxa"/>
            <w:vAlign w:val="bottom"/>
          </w:tcPr>
          <w:p>
            <w:pPr>
              <w:spacing w:after="0"/>
              <w:rPr>
                <w:sz w:val="14"/>
                <w:szCs w:val="14"/>
                <w:color w:val="auto"/>
              </w:rPr>
            </w:pPr>
          </w:p>
        </w:tc>
        <w:tc>
          <w:tcPr>
            <w:tcW w:w="6500" w:type="dxa"/>
            <w:vAlign w:val="bottom"/>
            <w:tcBorders>
              <w:top w:val="single" w:sz="8" w:color="0000EE"/>
            </w:tcBorders>
            <w:gridSpan w:val="7"/>
          </w:tcPr>
          <w:p>
            <w:pPr>
              <w:spacing w:after="0" w:line="169" w:lineRule="exact"/>
              <w:rPr>
                <w:rFonts w:ascii="Arial" w:cs="Arial" w:eastAsia="Arial" w:hAnsi="Arial"/>
                <w:sz w:val="15"/>
                <w:szCs w:val="15"/>
                <w:color w:val="0000EE"/>
              </w:rPr>
            </w:pPr>
            <w:hyperlink w:anchor="page60">
              <w:r>
                <w:rPr>
                  <w:rFonts w:ascii="Arial" w:cs="Arial" w:eastAsia="Arial" w:hAnsi="Arial"/>
                  <w:sz w:val="15"/>
                  <w:szCs w:val="15"/>
                  <w:color w:val="0000EE"/>
                </w:rPr>
                <w:t>five years</w:t>
              </w:r>
            </w:hyperlink>
          </w:p>
        </w:tc>
        <w:tc>
          <w:tcPr>
            <w:tcW w:w="120" w:type="dxa"/>
            <w:vAlign w:val="bottom"/>
            <w:gridSpan w:val="2"/>
          </w:tcPr>
          <w:p>
            <w:pPr>
              <w:spacing w:after="0"/>
              <w:rPr>
                <w:sz w:val="14"/>
                <w:szCs w:val="14"/>
                <w:color w:val="auto"/>
              </w:rPr>
            </w:pPr>
          </w:p>
        </w:tc>
        <w:tc>
          <w:tcPr>
            <w:tcW w:w="1520" w:type="dxa"/>
            <w:vAlign w:val="bottom"/>
            <w:vMerge w:val="continue"/>
          </w:tcPr>
          <w:p>
            <w:pPr>
              <w:spacing w:after="0"/>
              <w:rPr>
                <w:sz w:val="14"/>
                <w:szCs w:val="14"/>
                <w:color w:val="auto"/>
              </w:rPr>
            </w:pPr>
          </w:p>
        </w:tc>
        <w:tc>
          <w:tcPr>
            <w:tcW w:w="980" w:type="dxa"/>
            <w:vAlign w:val="bottom"/>
          </w:tcPr>
          <w:p>
            <w:pPr>
              <w:ind w:left="140"/>
              <w:spacing w:after="0" w:line="169" w:lineRule="exact"/>
              <w:rPr>
                <w:rFonts w:ascii="Arial" w:cs="Arial" w:eastAsia="Arial" w:hAnsi="Arial"/>
                <w:sz w:val="15"/>
                <w:szCs w:val="15"/>
                <w:u w:val="single" w:color="auto"/>
                <w:color w:val="0000EE"/>
              </w:rPr>
            </w:pPr>
            <w:hyperlink w:anchor="page60">
              <w:r>
                <w:rPr>
                  <w:rFonts w:ascii="Arial" w:cs="Arial" w:eastAsia="Arial" w:hAnsi="Arial"/>
                  <w:sz w:val="15"/>
                  <w:szCs w:val="15"/>
                  <w:u w:val="single" w:color="auto"/>
                  <w:color w:val="0000EE"/>
                </w:rPr>
                <w:t>Page 57</w:t>
              </w:r>
            </w:hyperlink>
          </w:p>
        </w:tc>
        <w:tc>
          <w:tcPr>
            <w:tcW w:w="0" w:type="dxa"/>
            <w:vAlign w:val="bottom"/>
          </w:tcPr>
          <w:p>
            <w:pPr>
              <w:spacing w:after="0"/>
              <w:rPr>
                <w:sz w:val="1"/>
                <w:szCs w:val="1"/>
                <w:color w:val="auto"/>
              </w:rPr>
            </w:pPr>
          </w:p>
        </w:tc>
      </w:tr>
      <w:tr>
        <w:trPr>
          <w:trHeight w:val="34"/>
        </w:trPr>
        <w:tc>
          <w:tcPr>
            <w:tcW w:w="60" w:type="dxa"/>
            <w:vAlign w:val="bottom"/>
          </w:tcPr>
          <w:p>
            <w:pPr>
              <w:spacing w:after="0"/>
              <w:rPr>
                <w:sz w:val="2"/>
                <w:szCs w:val="2"/>
                <w:color w:val="auto"/>
              </w:rPr>
            </w:pPr>
          </w:p>
        </w:tc>
        <w:tc>
          <w:tcPr>
            <w:tcW w:w="640" w:type="dxa"/>
            <w:vAlign w:val="bottom"/>
            <w:tcBorders>
              <w:top w:val="single" w:sz="8" w:color="0000EE"/>
            </w:tcBorders>
          </w:tcPr>
          <w:p>
            <w:pPr>
              <w:spacing w:after="0"/>
              <w:rPr>
                <w:sz w:val="2"/>
                <w:szCs w:val="2"/>
                <w:color w:val="auto"/>
              </w:rPr>
            </w:pPr>
          </w:p>
        </w:tc>
        <w:tc>
          <w:tcPr>
            <w:tcW w:w="500" w:type="dxa"/>
            <w:vAlign w:val="bottom"/>
          </w:tcPr>
          <w:p>
            <w:pPr>
              <w:spacing w:after="0"/>
              <w:rPr>
                <w:sz w:val="2"/>
                <w:szCs w:val="2"/>
                <w:color w:val="auto"/>
              </w:rPr>
            </w:pPr>
          </w:p>
        </w:tc>
        <w:tc>
          <w:tcPr>
            <w:tcW w:w="1740" w:type="dxa"/>
            <w:vAlign w:val="bottom"/>
          </w:tcPr>
          <w:p>
            <w:pPr>
              <w:spacing w:after="0"/>
              <w:rPr>
                <w:sz w:val="2"/>
                <w:szCs w:val="2"/>
                <w:color w:val="auto"/>
              </w:rPr>
            </w:pPr>
          </w:p>
        </w:tc>
        <w:tc>
          <w:tcPr>
            <w:tcW w:w="8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30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2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7"/>
        </w:trPr>
        <w:tc>
          <w:tcPr>
            <w:tcW w:w="60" w:type="dxa"/>
            <w:vAlign w:val="bottom"/>
            <w:tcBorders>
              <w:bottom w:val="single" w:sz="8" w:color="EFE9FC"/>
            </w:tcBorders>
            <w:shd w:val="clear" w:color="auto" w:fill="EFE9FC"/>
          </w:tcPr>
          <w:p>
            <w:pPr>
              <w:spacing w:after="0"/>
              <w:rPr>
                <w:sz w:val="24"/>
                <w:szCs w:val="24"/>
                <w:color w:val="auto"/>
              </w:rPr>
            </w:pPr>
          </w:p>
        </w:tc>
        <w:tc>
          <w:tcPr>
            <w:tcW w:w="6620" w:type="dxa"/>
            <w:vAlign w:val="bottom"/>
            <w:tcBorders>
              <w:bottom w:val="single" w:sz="8" w:color="EFE9FC"/>
            </w:tcBorders>
            <w:gridSpan w:val="9"/>
            <w:shd w:val="clear" w:color="auto" w:fill="EFE9FC"/>
          </w:tcPr>
          <w:p>
            <w:pPr>
              <w:spacing w:after="0"/>
              <w:rPr>
                <w:rFonts w:ascii="Arial" w:cs="Arial" w:eastAsia="Arial" w:hAnsi="Arial"/>
                <w:sz w:val="15"/>
                <w:szCs w:val="15"/>
                <w:u w:val="single" w:color="auto"/>
                <w:color w:val="0000EE"/>
              </w:rPr>
            </w:pPr>
            <w:hyperlink w:anchor="page61">
              <w:r>
                <w:rPr>
                  <w:rFonts w:ascii="Arial" w:cs="Arial" w:eastAsia="Arial" w:hAnsi="Arial"/>
                  <w:sz w:val="15"/>
                  <w:szCs w:val="15"/>
                  <w:u w:val="single" w:color="auto"/>
                  <w:color w:val="0000EE"/>
                </w:rPr>
                <w:t>Proposal 6 – Special Resolution to adopt the New Articles</w:t>
              </w:r>
            </w:hyperlink>
          </w:p>
        </w:tc>
        <w:tc>
          <w:tcPr>
            <w:tcW w:w="1520" w:type="dxa"/>
            <w:vAlign w:val="bottom"/>
            <w:tcBorders>
              <w:bottom w:val="single" w:sz="8" w:color="EFE9FC"/>
            </w:tcBorders>
            <w:shd w:val="clear" w:color="auto" w:fill="EFE9FC"/>
          </w:tcPr>
          <w:p>
            <w:pPr>
              <w:ind w:left="100"/>
              <w:spacing w:after="0"/>
              <w:rPr>
                <w:rFonts w:ascii="Arial" w:cs="Arial" w:eastAsia="Arial" w:hAnsi="Arial"/>
                <w:sz w:val="15"/>
                <w:szCs w:val="15"/>
                <w:u w:val="single" w:color="auto"/>
                <w:color w:val="0000EE"/>
              </w:rPr>
            </w:pPr>
            <w:hyperlink w:anchor="page61">
              <w:r>
                <w:rPr>
                  <w:rFonts w:ascii="Arial" w:cs="Arial" w:eastAsia="Arial" w:hAnsi="Arial"/>
                  <w:sz w:val="15"/>
                  <w:szCs w:val="15"/>
                  <w:u w:val="single" w:color="auto"/>
                  <w:color w:val="0000EE"/>
                </w:rPr>
                <w:t>“</w:t>
              </w:r>
              <w:r>
                <w:rPr>
                  <w:rFonts w:ascii="Arial" w:cs="Arial" w:eastAsia="Arial" w:hAnsi="Arial"/>
                  <w:sz w:val="15"/>
                  <w:szCs w:val="15"/>
                  <w:b w:val="1"/>
                  <w:bCs w:val="1"/>
                  <w:u w:val="single" w:color="auto"/>
                  <w:color w:val="0000EE"/>
                </w:rPr>
                <w:t>FOR</w:t>
              </w:r>
              <w:r>
                <w:rPr>
                  <w:rFonts w:ascii="Arial" w:cs="Arial" w:eastAsia="Arial" w:hAnsi="Arial"/>
                  <w:sz w:val="15"/>
                  <w:szCs w:val="15"/>
                  <w:u w:val="single" w:color="auto"/>
                  <w:color w:val="0000EE"/>
                </w:rPr>
                <w:t>”</w:t>
              </w:r>
            </w:hyperlink>
          </w:p>
        </w:tc>
        <w:tc>
          <w:tcPr>
            <w:tcW w:w="980" w:type="dxa"/>
            <w:vAlign w:val="bottom"/>
            <w:tcBorders>
              <w:bottom w:val="single" w:sz="8" w:color="EFE9FC"/>
            </w:tcBorders>
            <w:shd w:val="clear" w:color="auto" w:fill="EFE9FC"/>
          </w:tcPr>
          <w:p>
            <w:pPr>
              <w:ind w:left="140"/>
              <w:spacing w:after="0"/>
              <w:rPr>
                <w:rFonts w:ascii="Arial" w:cs="Arial" w:eastAsia="Arial" w:hAnsi="Arial"/>
                <w:sz w:val="15"/>
                <w:szCs w:val="15"/>
                <w:u w:val="single" w:color="auto"/>
                <w:color w:val="0000EE"/>
              </w:rPr>
            </w:pPr>
            <w:hyperlink w:anchor="page61">
              <w:r>
                <w:rPr>
                  <w:rFonts w:ascii="Arial" w:cs="Arial" w:eastAsia="Arial" w:hAnsi="Arial"/>
                  <w:sz w:val="15"/>
                  <w:szCs w:val="15"/>
                  <w:u w:val="single" w:color="auto"/>
                  <w:color w:val="0000EE"/>
                </w:rPr>
                <w:t>Page 58</w:t>
              </w:r>
            </w:hyperlink>
          </w:p>
        </w:tc>
        <w:tc>
          <w:tcPr>
            <w:tcW w:w="0" w:type="dxa"/>
            <w:vAlign w:val="bottom"/>
          </w:tcPr>
          <w:p>
            <w:pPr>
              <w:spacing w:after="0"/>
              <w:rPr>
                <w:sz w:val="1"/>
                <w:szCs w:val="1"/>
                <w:color w:val="auto"/>
              </w:rPr>
            </w:pPr>
          </w:p>
        </w:tc>
      </w:tr>
      <w:tr>
        <w:trPr>
          <w:trHeight w:val="216"/>
        </w:trPr>
        <w:tc>
          <w:tcPr>
            <w:tcW w:w="60" w:type="dxa"/>
            <w:vAlign w:val="bottom"/>
          </w:tcPr>
          <w:p>
            <w:pPr>
              <w:spacing w:after="0"/>
              <w:rPr>
                <w:sz w:val="18"/>
                <w:szCs w:val="18"/>
                <w:color w:val="auto"/>
              </w:rPr>
            </w:pPr>
          </w:p>
        </w:tc>
        <w:tc>
          <w:tcPr>
            <w:tcW w:w="6520" w:type="dxa"/>
            <w:vAlign w:val="bottom"/>
            <w:tcBorders>
              <w:bottom w:val="single" w:sz="8" w:color="0000EE"/>
            </w:tcBorders>
            <w:gridSpan w:val="8"/>
          </w:tcPr>
          <w:p>
            <w:pPr>
              <w:spacing w:after="0"/>
              <w:rPr>
                <w:rFonts w:ascii="Arial" w:cs="Arial" w:eastAsia="Arial" w:hAnsi="Arial"/>
                <w:sz w:val="15"/>
                <w:szCs w:val="15"/>
                <w:color w:val="0000EE"/>
              </w:rPr>
            </w:pPr>
            <w:hyperlink w:anchor="page65">
              <w:r>
                <w:rPr>
                  <w:rFonts w:ascii="Arial" w:cs="Arial" w:eastAsia="Arial" w:hAnsi="Arial"/>
                  <w:sz w:val="15"/>
                  <w:szCs w:val="15"/>
                  <w:color w:val="0000EE"/>
                </w:rPr>
                <w:t>Proposal 7 – To approve, on an advisory basis, the UK directors’ remuneration report in the form</w:t>
              </w:r>
            </w:hyperlink>
          </w:p>
        </w:tc>
        <w:tc>
          <w:tcPr>
            <w:tcW w:w="100" w:type="dxa"/>
            <w:vAlign w:val="bottom"/>
          </w:tcPr>
          <w:p>
            <w:pPr>
              <w:spacing w:after="0"/>
              <w:rPr>
                <w:sz w:val="18"/>
                <w:szCs w:val="18"/>
                <w:color w:val="auto"/>
              </w:rPr>
            </w:pPr>
          </w:p>
        </w:tc>
        <w:tc>
          <w:tcPr>
            <w:tcW w:w="1520" w:type="dxa"/>
            <w:vAlign w:val="bottom"/>
            <w:vMerge w:val="restart"/>
          </w:tcPr>
          <w:p>
            <w:pPr>
              <w:ind w:left="100"/>
              <w:spacing w:after="0"/>
              <w:rPr>
                <w:rFonts w:ascii="Arial" w:cs="Arial" w:eastAsia="Arial" w:hAnsi="Arial"/>
                <w:sz w:val="15"/>
                <w:szCs w:val="15"/>
                <w:u w:val="single" w:color="auto"/>
                <w:color w:val="0000EE"/>
              </w:rPr>
            </w:pPr>
            <w:hyperlink w:anchor="page65">
              <w:r>
                <w:rPr>
                  <w:rFonts w:ascii="Arial" w:cs="Arial" w:eastAsia="Arial" w:hAnsi="Arial"/>
                  <w:sz w:val="15"/>
                  <w:szCs w:val="15"/>
                  <w:u w:val="single" w:color="auto"/>
                  <w:color w:val="0000EE"/>
                </w:rPr>
                <w:t>“</w:t>
              </w:r>
              <w:r>
                <w:rPr>
                  <w:rFonts w:ascii="Arial" w:cs="Arial" w:eastAsia="Arial" w:hAnsi="Arial"/>
                  <w:sz w:val="15"/>
                  <w:szCs w:val="15"/>
                  <w:b w:val="1"/>
                  <w:bCs w:val="1"/>
                  <w:u w:val="single" w:color="auto"/>
                  <w:color w:val="0000EE"/>
                </w:rPr>
                <w:t>FOR</w:t>
              </w:r>
              <w:r>
                <w:rPr>
                  <w:rFonts w:ascii="Arial" w:cs="Arial" w:eastAsia="Arial" w:hAnsi="Arial"/>
                  <w:sz w:val="15"/>
                  <w:szCs w:val="15"/>
                  <w:u w:val="single" w:color="auto"/>
                  <w:color w:val="0000EE"/>
                </w:rPr>
                <w:t>”</w:t>
              </w:r>
            </w:hyperlink>
          </w:p>
        </w:tc>
        <w:tc>
          <w:tcPr>
            <w:tcW w:w="9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60" w:type="dxa"/>
            <w:vAlign w:val="bottom"/>
          </w:tcPr>
          <w:p>
            <w:pPr>
              <w:spacing w:after="0"/>
              <w:rPr>
                <w:sz w:val="17"/>
                <w:szCs w:val="17"/>
                <w:color w:val="auto"/>
              </w:rPr>
            </w:pPr>
          </w:p>
        </w:tc>
        <w:tc>
          <w:tcPr>
            <w:tcW w:w="6620" w:type="dxa"/>
            <w:vAlign w:val="bottom"/>
            <w:gridSpan w:val="9"/>
          </w:tcPr>
          <w:p>
            <w:pPr>
              <w:spacing w:after="0"/>
              <w:rPr>
                <w:rFonts w:ascii="Arial" w:cs="Arial" w:eastAsia="Arial" w:hAnsi="Arial"/>
                <w:sz w:val="15"/>
                <w:szCs w:val="15"/>
                <w:u w:val="single" w:color="auto"/>
                <w:color w:val="0000EE"/>
              </w:rPr>
            </w:pPr>
            <w:hyperlink w:anchor="page65">
              <w:r>
                <w:rPr>
                  <w:rFonts w:ascii="Arial" w:cs="Arial" w:eastAsia="Arial" w:hAnsi="Arial"/>
                  <w:sz w:val="15"/>
                  <w:szCs w:val="15"/>
                  <w:u w:val="single" w:color="auto"/>
                  <w:color w:val="0000EE"/>
                </w:rPr>
                <w:t>set out in the Company’s UK annual report and accounts for the period ended December 31, 2019</w:t>
              </w:r>
            </w:hyperlink>
          </w:p>
        </w:tc>
        <w:tc>
          <w:tcPr>
            <w:tcW w:w="1520" w:type="dxa"/>
            <w:vAlign w:val="bottom"/>
            <w:vMerge w:val="continue"/>
          </w:tcPr>
          <w:p>
            <w:pPr>
              <w:spacing w:after="0"/>
              <w:rPr>
                <w:sz w:val="17"/>
                <w:szCs w:val="17"/>
                <w:color w:val="auto"/>
              </w:rPr>
            </w:pPr>
          </w:p>
        </w:tc>
        <w:tc>
          <w:tcPr>
            <w:tcW w:w="980" w:type="dxa"/>
            <w:vAlign w:val="bottom"/>
          </w:tcPr>
          <w:p>
            <w:pPr>
              <w:ind w:left="140"/>
              <w:spacing w:after="0"/>
              <w:rPr>
                <w:rFonts w:ascii="Arial" w:cs="Arial" w:eastAsia="Arial" w:hAnsi="Arial"/>
                <w:sz w:val="15"/>
                <w:szCs w:val="15"/>
                <w:u w:val="single" w:color="auto"/>
                <w:color w:val="0000EE"/>
              </w:rPr>
            </w:pPr>
            <w:hyperlink w:anchor="page65">
              <w:r>
                <w:rPr>
                  <w:rFonts w:ascii="Arial" w:cs="Arial" w:eastAsia="Arial" w:hAnsi="Arial"/>
                  <w:sz w:val="15"/>
                  <w:szCs w:val="15"/>
                  <w:u w:val="single" w:color="auto"/>
                  <w:color w:val="0000EE"/>
                </w:rPr>
                <w:t>Page 62</w:t>
              </w:r>
            </w:hyperlink>
          </w:p>
        </w:tc>
        <w:tc>
          <w:tcPr>
            <w:tcW w:w="0" w:type="dxa"/>
            <w:vAlign w:val="bottom"/>
          </w:tcPr>
          <w:p>
            <w:pPr>
              <w:spacing w:after="0"/>
              <w:rPr>
                <w:sz w:val="1"/>
                <w:szCs w:val="1"/>
                <w:color w:val="auto"/>
              </w:rPr>
            </w:pPr>
          </w:p>
        </w:tc>
      </w:tr>
      <w:tr>
        <w:trPr>
          <w:trHeight w:val="22"/>
        </w:trPr>
        <w:tc>
          <w:tcPr>
            <w:tcW w:w="6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9"/>
        </w:trPr>
        <w:tc>
          <w:tcPr>
            <w:tcW w:w="60" w:type="dxa"/>
            <w:vAlign w:val="bottom"/>
            <w:tcBorders>
              <w:bottom w:val="single" w:sz="8" w:color="EFE9FC"/>
            </w:tcBorders>
            <w:shd w:val="clear" w:color="auto" w:fill="EFE9FC"/>
          </w:tcPr>
          <w:p>
            <w:pPr>
              <w:spacing w:after="0"/>
              <w:rPr>
                <w:sz w:val="19"/>
                <w:szCs w:val="19"/>
                <w:color w:val="auto"/>
              </w:rPr>
            </w:pPr>
          </w:p>
        </w:tc>
        <w:tc>
          <w:tcPr>
            <w:tcW w:w="6520" w:type="dxa"/>
            <w:vAlign w:val="bottom"/>
            <w:tcBorders>
              <w:bottom w:val="single" w:sz="8" w:color="0000EE"/>
            </w:tcBorders>
            <w:gridSpan w:val="8"/>
            <w:shd w:val="clear" w:color="auto" w:fill="EFE9FC"/>
          </w:tcPr>
          <w:p>
            <w:pPr>
              <w:spacing w:after="0"/>
              <w:rPr>
                <w:rFonts w:ascii="Arial" w:cs="Arial" w:eastAsia="Arial" w:hAnsi="Arial"/>
                <w:sz w:val="15"/>
                <w:szCs w:val="15"/>
                <w:color w:val="0000EE"/>
              </w:rPr>
            </w:pPr>
            <w:hyperlink w:anchor="page66">
              <w:r>
                <w:rPr>
                  <w:rFonts w:ascii="Arial" w:cs="Arial" w:eastAsia="Arial" w:hAnsi="Arial"/>
                  <w:sz w:val="15"/>
                  <w:szCs w:val="15"/>
                  <w:color w:val="0000EE"/>
                </w:rPr>
                <w:t>Proposal 8 – To receive and adopt the Company’s audited UK statutory accounts for the year</w:t>
              </w:r>
            </w:hyperlink>
          </w:p>
        </w:tc>
        <w:tc>
          <w:tcPr>
            <w:tcW w:w="100" w:type="dxa"/>
            <w:vAlign w:val="bottom"/>
            <w:tcBorders>
              <w:bottom w:val="single" w:sz="8" w:color="EFE9FC"/>
            </w:tcBorders>
            <w:shd w:val="clear" w:color="auto" w:fill="EFE9FC"/>
          </w:tcPr>
          <w:p>
            <w:pPr>
              <w:spacing w:after="0"/>
              <w:rPr>
                <w:sz w:val="19"/>
                <w:szCs w:val="19"/>
                <w:color w:val="auto"/>
              </w:rPr>
            </w:pPr>
          </w:p>
        </w:tc>
        <w:tc>
          <w:tcPr>
            <w:tcW w:w="1520" w:type="dxa"/>
            <w:vAlign w:val="bottom"/>
            <w:tcBorders>
              <w:bottom w:val="single" w:sz="8" w:color="EFE9FC"/>
            </w:tcBorders>
            <w:vMerge w:val="restart"/>
            <w:shd w:val="clear" w:color="auto" w:fill="EFE9FC"/>
          </w:tcPr>
          <w:p>
            <w:pPr>
              <w:ind w:left="100"/>
              <w:spacing w:after="0"/>
              <w:rPr>
                <w:rFonts w:ascii="Arial" w:cs="Arial" w:eastAsia="Arial" w:hAnsi="Arial"/>
                <w:sz w:val="15"/>
                <w:szCs w:val="15"/>
                <w:u w:val="single" w:color="auto"/>
                <w:color w:val="0000EE"/>
              </w:rPr>
            </w:pPr>
            <w:hyperlink w:anchor="page66">
              <w:r>
                <w:rPr>
                  <w:rFonts w:ascii="Arial" w:cs="Arial" w:eastAsia="Arial" w:hAnsi="Arial"/>
                  <w:sz w:val="15"/>
                  <w:szCs w:val="15"/>
                  <w:u w:val="single" w:color="auto"/>
                  <w:color w:val="0000EE"/>
                </w:rPr>
                <w:t>“</w:t>
              </w:r>
              <w:r>
                <w:rPr>
                  <w:rFonts w:ascii="Arial" w:cs="Arial" w:eastAsia="Arial" w:hAnsi="Arial"/>
                  <w:sz w:val="15"/>
                  <w:szCs w:val="15"/>
                  <w:b w:val="1"/>
                  <w:bCs w:val="1"/>
                  <w:u w:val="single" w:color="auto"/>
                  <w:color w:val="0000EE"/>
                </w:rPr>
                <w:t>FOR</w:t>
              </w:r>
              <w:r>
                <w:rPr>
                  <w:rFonts w:ascii="Arial" w:cs="Arial" w:eastAsia="Arial" w:hAnsi="Arial"/>
                  <w:sz w:val="15"/>
                  <w:szCs w:val="15"/>
                  <w:u w:val="single" w:color="auto"/>
                  <w:color w:val="0000EE"/>
                </w:rPr>
                <w:t>”</w:t>
              </w:r>
            </w:hyperlink>
          </w:p>
        </w:tc>
        <w:tc>
          <w:tcPr>
            <w:tcW w:w="980" w:type="dxa"/>
            <w:vAlign w:val="bottom"/>
            <w:tcBorders>
              <w:bottom w:val="single" w:sz="8" w:color="EFE9FC"/>
            </w:tcBorders>
            <w:shd w:val="clear" w:color="auto" w:fill="EFE9FC"/>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60" w:type="dxa"/>
            <w:vAlign w:val="bottom"/>
            <w:tcBorders>
              <w:bottom w:val="single" w:sz="8" w:color="EFE9FC"/>
            </w:tcBorders>
            <w:shd w:val="clear" w:color="auto" w:fill="EFE9FC"/>
          </w:tcPr>
          <w:p>
            <w:pPr>
              <w:spacing w:after="0"/>
              <w:rPr>
                <w:sz w:val="18"/>
                <w:szCs w:val="18"/>
                <w:color w:val="auto"/>
              </w:rPr>
            </w:pPr>
          </w:p>
        </w:tc>
        <w:tc>
          <w:tcPr>
            <w:tcW w:w="6620" w:type="dxa"/>
            <w:vAlign w:val="bottom"/>
            <w:tcBorders>
              <w:bottom w:val="single" w:sz="8" w:color="EFE9FC"/>
            </w:tcBorders>
            <w:gridSpan w:val="9"/>
            <w:shd w:val="clear" w:color="auto" w:fill="EFE9FC"/>
          </w:tcPr>
          <w:p>
            <w:pPr>
              <w:spacing w:after="0"/>
              <w:rPr>
                <w:rFonts w:ascii="Arial" w:cs="Arial" w:eastAsia="Arial" w:hAnsi="Arial"/>
                <w:sz w:val="15"/>
                <w:szCs w:val="15"/>
                <w:u w:val="single" w:color="auto"/>
                <w:color w:val="0000EE"/>
              </w:rPr>
            </w:pPr>
            <w:hyperlink w:anchor="page66">
              <w:r>
                <w:rPr>
                  <w:rFonts w:ascii="Arial" w:cs="Arial" w:eastAsia="Arial" w:hAnsi="Arial"/>
                  <w:sz w:val="15"/>
                  <w:szCs w:val="15"/>
                  <w:u w:val="single" w:color="auto"/>
                  <w:color w:val="0000EE"/>
                </w:rPr>
                <w:t>ended December 31, 2019, together with the reports of the directors and auditors thereon</w:t>
              </w:r>
            </w:hyperlink>
          </w:p>
        </w:tc>
        <w:tc>
          <w:tcPr>
            <w:tcW w:w="1520" w:type="dxa"/>
            <w:vAlign w:val="bottom"/>
            <w:tcBorders>
              <w:bottom w:val="single" w:sz="8" w:color="EFE9FC"/>
            </w:tcBorders>
            <w:vMerge w:val="continue"/>
            <w:shd w:val="clear" w:color="auto" w:fill="EFE9FC"/>
          </w:tcPr>
          <w:p>
            <w:pPr>
              <w:spacing w:after="0"/>
              <w:rPr>
                <w:sz w:val="18"/>
                <w:szCs w:val="18"/>
                <w:color w:val="auto"/>
              </w:rPr>
            </w:pPr>
          </w:p>
        </w:tc>
        <w:tc>
          <w:tcPr>
            <w:tcW w:w="980" w:type="dxa"/>
            <w:vAlign w:val="bottom"/>
            <w:tcBorders>
              <w:bottom w:val="single" w:sz="8" w:color="EFE9FC"/>
            </w:tcBorders>
            <w:shd w:val="clear" w:color="auto" w:fill="EFE9FC"/>
          </w:tcPr>
          <w:p>
            <w:pPr>
              <w:ind w:left="140"/>
              <w:spacing w:after="0"/>
              <w:rPr>
                <w:rFonts w:ascii="Arial" w:cs="Arial" w:eastAsia="Arial" w:hAnsi="Arial"/>
                <w:sz w:val="15"/>
                <w:szCs w:val="15"/>
                <w:u w:val="single" w:color="auto"/>
                <w:color w:val="0000EE"/>
              </w:rPr>
            </w:pPr>
            <w:hyperlink w:anchor="page66">
              <w:r>
                <w:rPr>
                  <w:rFonts w:ascii="Arial" w:cs="Arial" w:eastAsia="Arial" w:hAnsi="Arial"/>
                  <w:sz w:val="15"/>
                  <w:szCs w:val="15"/>
                  <w:u w:val="single" w:color="auto"/>
                  <w:color w:val="0000EE"/>
                </w:rPr>
                <w:t>Page 63</w:t>
              </w:r>
            </w:hyperlink>
          </w:p>
        </w:tc>
        <w:tc>
          <w:tcPr>
            <w:tcW w:w="0" w:type="dxa"/>
            <w:vAlign w:val="bottom"/>
          </w:tcPr>
          <w:p>
            <w:pPr>
              <w:spacing w:after="0"/>
              <w:rPr>
                <w:sz w:val="1"/>
                <w:szCs w:val="1"/>
                <w:color w:val="auto"/>
              </w:rPr>
            </w:pPr>
          </w:p>
        </w:tc>
      </w:tr>
      <w:tr>
        <w:trPr>
          <w:trHeight w:val="216"/>
        </w:trPr>
        <w:tc>
          <w:tcPr>
            <w:tcW w:w="60" w:type="dxa"/>
            <w:vAlign w:val="bottom"/>
          </w:tcPr>
          <w:p>
            <w:pPr>
              <w:spacing w:after="0"/>
              <w:rPr>
                <w:sz w:val="18"/>
                <w:szCs w:val="18"/>
                <w:color w:val="auto"/>
              </w:rPr>
            </w:pPr>
          </w:p>
        </w:tc>
        <w:tc>
          <w:tcPr>
            <w:tcW w:w="6520" w:type="dxa"/>
            <w:vAlign w:val="bottom"/>
            <w:tcBorders>
              <w:bottom w:val="single" w:sz="8" w:color="0000EE"/>
            </w:tcBorders>
            <w:gridSpan w:val="8"/>
          </w:tcPr>
          <w:p>
            <w:pPr>
              <w:spacing w:after="0"/>
              <w:rPr>
                <w:rFonts w:ascii="Arial" w:cs="Arial" w:eastAsia="Arial" w:hAnsi="Arial"/>
                <w:sz w:val="15"/>
                <w:szCs w:val="15"/>
                <w:color w:val="0000EE"/>
              </w:rPr>
            </w:pPr>
            <w:hyperlink w:anchor="page67">
              <w:r>
                <w:rPr>
                  <w:rFonts w:ascii="Arial" w:cs="Arial" w:eastAsia="Arial" w:hAnsi="Arial"/>
                  <w:sz w:val="15"/>
                  <w:szCs w:val="15"/>
                  <w:color w:val="0000EE"/>
                </w:rPr>
                <w:t>Proposal 9 – To re-appoint PricewaterhouseCoopers LLP, a limited partnership organized under</w:t>
              </w:r>
            </w:hyperlink>
          </w:p>
        </w:tc>
        <w:tc>
          <w:tcPr>
            <w:tcW w:w="100" w:type="dxa"/>
            <w:vAlign w:val="bottom"/>
          </w:tcPr>
          <w:p>
            <w:pPr>
              <w:spacing w:after="0"/>
              <w:rPr>
                <w:sz w:val="18"/>
                <w:szCs w:val="18"/>
                <w:color w:val="auto"/>
              </w:rPr>
            </w:pPr>
          </w:p>
        </w:tc>
        <w:tc>
          <w:tcPr>
            <w:tcW w:w="1520" w:type="dxa"/>
            <w:vAlign w:val="bottom"/>
            <w:vMerge w:val="restart"/>
          </w:tcPr>
          <w:p>
            <w:pPr>
              <w:ind w:left="100"/>
              <w:spacing w:after="0"/>
              <w:rPr>
                <w:rFonts w:ascii="Arial" w:cs="Arial" w:eastAsia="Arial" w:hAnsi="Arial"/>
                <w:sz w:val="15"/>
                <w:szCs w:val="15"/>
                <w:u w:val="single" w:color="auto"/>
                <w:color w:val="0000EE"/>
              </w:rPr>
            </w:pPr>
            <w:hyperlink w:anchor="page67">
              <w:r>
                <w:rPr>
                  <w:rFonts w:ascii="Arial" w:cs="Arial" w:eastAsia="Arial" w:hAnsi="Arial"/>
                  <w:sz w:val="15"/>
                  <w:szCs w:val="15"/>
                  <w:u w:val="single" w:color="auto"/>
                  <w:color w:val="0000EE"/>
                </w:rPr>
                <w:t>“</w:t>
              </w:r>
              <w:r>
                <w:rPr>
                  <w:rFonts w:ascii="Arial" w:cs="Arial" w:eastAsia="Arial" w:hAnsi="Arial"/>
                  <w:sz w:val="15"/>
                  <w:szCs w:val="15"/>
                  <w:b w:val="1"/>
                  <w:bCs w:val="1"/>
                  <w:u w:val="single" w:color="auto"/>
                  <w:color w:val="0000EE"/>
                </w:rPr>
                <w:t>FOR</w:t>
              </w:r>
              <w:r>
                <w:rPr>
                  <w:rFonts w:ascii="Arial" w:cs="Arial" w:eastAsia="Arial" w:hAnsi="Arial"/>
                  <w:sz w:val="15"/>
                  <w:szCs w:val="15"/>
                  <w:u w:val="single" w:color="auto"/>
                  <w:color w:val="0000EE"/>
                </w:rPr>
                <w:t>”</w:t>
              </w:r>
            </w:hyperlink>
          </w:p>
        </w:tc>
        <w:tc>
          <w:tcPr>
            <w:tcW w:w="9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69"/>
        </w:trPr>
        <w:tc>
          <w:tcPr>
            <w:tcW w:w="60" w:type="dxa"/>
            <w:vAlign w:val="bottom"/>
          </w:tcPr>
          <w:p>
            <w:pPr>
              <w:spacing w:after="0"/>
              <w:rPr>
                <w:sz w:val="14"/>
                <w:szCs w:val="14"/>
                <w:color w:val="auto"/>
              </w:rPr>
            </w:pPr>
          </w:p>
        </w:tc>
        <w:tc>
          <w:tcPr>
            <w:tcW w:w="6620" w:type="dxa"/>
            <w:vAlign w:val="bottom"/>
            <w:gridSpan w:val="9"/>
          </w:tcPr>
          <w:p>
            <w:pPr>
              <w:spacing w:after="0" w:line="169" w:lineRule="exact"/>
              <w:rPr>
                <w:rFonts w:ascii="Arial" w:cs="Arial" w:eastAsia="Arial" w:hAnsi="Arial"/>
                <w:sz w:val="15"/>
                <w:szCs w:val="15"/>
                <w:color w:val="0000EE"/>
              </w:rPr>
            </w:pPr>
            <w:hyperlink w:anchor="page67">
              <w:r>
                <w:rPr>
                  <w:rFonts w:ascii="Arial" w:cs="Arial" w:eastAsia="Arial" w:hAnsi="Arial"/>
                  <w:sz w:val="15"/>
                  <w:szCs w:val="15"/>
                  <w:color w:val="0000EE"/>
                </w:rPr>
                <w:t>the laws of England, as the Company’s UK statutory auditor</w:t>
              </w:r>
            </w:hyperlink>
          </w:p>
        </w:tc>
        <w:tc>
          <w:tcPr>
            <w:tcW w:w="1520" w:type="dxa"/>
            <w:vAlign w:val="bottom"/>
            <w:vMerge w:val="continue"/>
          </w:tcPr>
          <w:p>
            <w:pPr>
              <w:spacing w:after="0"/>
              <w:rPr>
                <w:sz w:val="14"/>
                <w:szCs w:val="14"/>
                <w:color w:val="auto"/>
              </w:rPr>
            </w:pPr>
          </w:p>
        </w:tc>
        <w:tc>
          <w:tcPr>
            <w:tcW w:w="980" w:type="dxa"/>
            <w:vAlign w:val="bottom"/>
          </w:tcPr>
          <w:p>
            <w:pPr>
              <w:ind w:left="140"/>
              <w:spacing w:after="0" w:line="169" w:lineRule="exact"/>
              <w:rPr>
                <w:rFonts w:ascii="Arial" w:cs="Arial" w:eastAsia="Arial" w:hAnsi="Arial"/>
                <w:sz w:val="15"/>
                <w:szCs w:val="15"/>
                <w:u w:val="single" w:color="auto"/>
                <w:color w:val="0000EE"/>
              </w:rPr>
            </w:pPr>
            <w:hyperlink w:anchor="page67">
              <w:r>
                <w:rPr>
                  <w:rFonts w:ascii="Arial" w:cs="Arial" w:eastAsia="Arial" w:hAnsi="Arial"/>
                  <w:sz w:val="15"/>
                  <w:szCs w:val="15"/>
                  <w:u w:val="single" w:color="auto"/>
                  <w:color w:val="0000EE"/>
                </w:rPr>
                <w:t>Page 64</w:t>
              </w:r>
            </w:hyperlink>
          </w:p>
        </w:tc>
        <w:tc>
          <w:tcPr>
            <w:tcW w:w="0" w:type="dxa"/>
            <w:vAlign w:val="bottom"/>
          </w:tcPr>
          <w:p>
            <w:pPr>
              <w:spacing w:after="0"/>
              <w:rPr>
                <w:sz w:val="1"/>
                <w:szCs w:val="1"/>
                <w:color w:val="auto"/>
              </w:rPr>
            </w:pPr>
          </w:p>
        </w:tc>
      </w:tr>
      <w:tr>
        <w:trPr>
          <w:trHeight w:val="34"/>
        </w:trPr>
        <w:tc>
          <w:tcPr>
            <w:tcW w:w="60" w:type="dxa"/>
            <w:vAlign w:val="bottom"/>
          </w:tcPr>
          <w:p>
            <w:pPr>
              <w:spacing w:after="0"/>
              <w:rPr>
                <w:sz w:val="2"/>
                <w:szCs w:val="2"/>
                <w:color w:val="auto"/>
              </w:rPr>
            </w:pPr>
          </w:p>
        </w:tc>
        <w:tc>
          <w:tcPr>
            <w:tcW w:w="640" w:type="dxa"/>
            <w:vAlign w:val="bottom"/>
            <w:tcBorders>
              <w:top w:val="single" w:sz="8" w:color="0000EE"/>
            </w:tcBorders>
          </w:tcPr>
          <w:p>
            <w:pPr>
              <w:spacing w:after="0"/>
              <w:rPr>
                <w:sz w:val="2"/>
                <w:szCs w:val="2"/>
                <w:color w:val="auto"/>
              </w:rPr>
            </w:pPr>
          </w:p>
        </w:tc>
        <w:tc>
          <w:tcPr>
            <w:tcW w:w="500" w:type="dxa"/>
            <w:vAlign w:val="bottom"/>
            <w:tcBorders>
              <w:top w:val="single" w:sz="8" w:color="0000EE"/>
            </w:tcBorders>
          </w:tcPr>
          <w:p>
            <w:pPr>
              <w:spacing w:after="0"/>
              <w:rPr>
                <w:sz w:val="2"/>
                <w:szCs w:val="2"/>
                <w:color w:val="auto"/>
              </w:rPr>
            </w:pPr>
          </w:p>
        </w:tc>
        <w:tc>
          <w:tcPr>
            <w:tcW w:w="1740" w:type="dxa"/>
            <w:vAlign w:val="bottom"/>
            <w:tcBorders>
              <w:top w:val="single" w:sz="8" w:color="0000EE"/>
            </w:tcBorders>
          </w:tcPr>
          <w:p>
            <w:pPr>
              <w:spacing w:after="0"/>
              <w:rPr>
                <w:sz w:val="2"/>
                <w:szCs w:val="2"/>
                <w:color w:val="auto"/>
              </w:rPr>
            </w:pPr>
          </w:p>
        </w:tc>
        <w:tc>
          <w:tcPr>
            <w:tcW w:w="820" w:type="dxa"/>
            <w:vAlign w:val="bottom"/>
            <w:tcBorders>
              <w:top w:val="single" w:sz="8" w:color="0000EE"/>
            </w:tcBorders>
          </w:tcPr>
          <w:p>
            <w:pPr>
              <w:spacing w:after="0"/>
              <w:rPr>
                <w:sz w:val="2"/>
                <w:szCs w:val="2"/>
                <w:color w:val="auto"/>
              </w:rPr>
            </w:pPr>
          </w:p>
        </w:tc>
        <w:tc>
          <w:tcPr>
            <w:tcW w:w="240" w:type="dxa"/>
            <w:vAlign w:val="bottom"/>
            <w:tcBorders>
              <w:top w:val="single" w:sz="8" w:color="0000EE"/>
            </w:tcBorders>
          </w:tcPr>
          <w:p>
            <w:pPr>
              <w:spacing w:after="0"/>
              <w:rPr>
                <w:sz w:val="2"/>
                <w:szCs w:val="2"/>
                <w:color w:val="auto"/>
              </w:rPr>
            </w:pPr>
          </w:p>
        </w:tc>
        <w:tc>
          <w:tcPr>
            <w:tcW w:w="1260" w:type="dxa"/>
            <w:vAlign w:val="bottom"/>
          </w:tcPr>
          <w:p>
            <w:pPr>
              <w:spacing w:after="0"/>
              <w:rPr>
                <w:sz w:val="2"/>
                <w:szCs w:val="2"/>
                <w:color w:val="auto"/>
              </w:rPr>
            </w:pPr>
          </w:p>
        </w:tc>
        <w:tc>
          <w:tcPr>
            <w:tcW w:w="130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2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60" w:type="dxa"/>
            <w:vAlign w:val="bottom"/>
            <w:shd w:val="clear" w:color="auto" w:fill="EFE9FC"/>
          </w:tcPr>
          <w:p>
            <w:pPr>
              <w:spacing w:after="0"/>
              <w:rPr>
                <w:sz w:val="19"/>
                <w:szCs w:val="19"/>
                <w:color w:val="auto"/>
              </w:rPr>
            </w:pPr>
          </w:p>
        </w:tc>
        <w:tc>
          <w:tcPr>
            <w:tcW w:w="6620" w:type="dxa"/>
            <w:vAlign w:val="bottom"/>
            <w:gridSpan w:val="9"/>
            <w:shd w:val="clear" w:color="auto" w:fill="EFE9FC"/>
          </w:tcPr>
          <w:p>
            <w:pPr>
              <w:spacing w:after="0"/>
              <w:rPr>
                <w:rFonts w:ascii="Arial" w:cs="Arial" w:eastAsia="Arial" w:hAnsi="Arial"/>
                <w:sz w:val="15"/>
                <w:szCs w:val="15"/>
                <w:color w:val="0000EE"/>
              </w:rPr>
            </w:pPr>
            <w:hyperlink w:anchor="page68">
              <w:r>
                <w:rPr>
                  <w:rFonts w:ascii="Arial" w:cs="Arial" w:eastAsia="Arial" w:hAnsi="Arial"/>
                  <w:sz w:val="15"/>
                  <w:szCs w:val="15"/>
                  <w:color w:val="0000EE"/>
                </w:rPr>
                <w:t>Proposal 10 – To authorize the directors and/or the Audit and Compliance Committee to determine</w:t>
              </w:r>
            </w:hyperlink>
          </w:p>
        </w:tc>
        <w:tc>
          <w:tcPr>
            <w:tcW w:w="1520" w:type="dxa"/>
            <w:vAlign w:val="bottom"/>
            <w:vMerge w:val="restart"/>
            <w:shd w:val="clear" w:color="auto" w:fill="EFE9FC"/>
          </w:tcPr>
          <w:p>
            <w:pPr>
              <w:ind w:left="100"/>
              <w:spacing w:after="0"/>
              <w:rPr>
                <w:rFonts w:ascii="Arial" w:cs="Arial" w:eastAsia="Arial" w:hAnsi="Arial"/>
                <w:sz w:val="15"/>
                <w:szCs w:val="15"/>
                <w:u w:val="single" w:color="auto"/>
                <w:color w:val="0000EE"/>
              </w:rPr>
            </w:pPr>
            <w:hyperlink w:anchor="page68">
              <w:r>
                <w:rPr>
                  <w:rFonts w:ascii="Arial" w:cs="Arial" w:eastAsia="Arial" w:hAnsi="Arial"/>
                  <w:sz w:val="15"/>
                  <w:szCs w:val="15"/>
                  <w:u w:val="single" w:color="auto"/>
                  <w:color w:val="0000EE"/>
                </w:rPr>
                <w:t>“</w:t>
              </w:r>
              <w:r>
                <w:rPr>
                  <w:rFonts w:ascii="Arial" w:cs="Arial" w:eastAsia="Arial" w:hAnsi="Arial"/>
                  <w:sz w:val="15"/>
                  <w:szCs w:val="15"/>
                  <w:b w:val="1"/>
                  <w:bCs w:val="1"/>
                  <w:u w:val="single" w:color="auto"/>
                  <w:color w:val="0000EE"/>
                </w:rPr>
                <w:t>FOR</w:t>
              </w:r>
              <w:r>
                <w:rPr>
                  <w:rFonts w:ascii="Arial" w:cs="Arial" w:eastAsia="Arial" w:hAnsi="Arial"/>
                  <w:sz w:val="15"/>
                  <w:szCs w:val="15"/>
                  <w:u w:val="single" w:color="auto"/>
                  <w:color w:val="0000EE"/>
                </w:rPr>
                <w:t>”</w:t>
              </w:r>
            </w:hyperlink>
          </w:p>
        </w:tc>
        <w:tc>
          <w:tcPr>
            <w:tcW w:w="980" w:type="dxa"/>
            <w:vAlign w:val="bottom"/>
            <w:shd w:val="clear" w:color="auto" w:fill="EFE9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60" w:type="dxa"/>
            <w:vAlign w:val="bottom"/>
            <w:tcBorders>
              <w:top w:val="single" w:sz="8" w:color="EFE9FC"/>
              <w:bottom w:val="single" w:sz="8" w:color="4800E6"/>
            </w:tcBorders>
            <w:shd w:val="clear" w:color="auto" w:fill="EFE9FC"/>
          </w:tcPr>
          <w:p>
            <w:pPr>
              <w:spacing w:after="0"/>
              <w:rPr>
                <w:sz w:val="19"/>
                <w:szCs w:val="19"/>
                <w:color w:val="auto"/>
              </w:rPr>
            </w:pPr>
          </w:p>
        </w:tc>
        <w:tc>
          <w:tcPr>
            <w:tcW w:w="3700" w:type="dxa"/>
            <w:vAlign w:val="bottom"/>
            <w:tcBorders>
              <w:top w:val="single" w:sz="8" w:color="0000EE"/>
              <w:bottom w:val="single" w:sz="8" w:color="0000EE"/>
            </w:tcBorders>
            <w:gridSpan w:val="4"/>
            <w:shd w:val="clear" w:color="auto" w:fill="EFE9FC"/>
          </w:tcPr>
          <w:p>
            <w:pPr>
              <w:spacing w:after="0" w:line="169" w:lineRule="exact"/>
              <w:rPr>
                <w:rFonts w:ascii="Arial" w:cs="Arial" w:eastAsia="Arial" w:hAnsi="Arial"/>
                <w:sz w:val="15"/>
                <w:szCs w:val="15"/>
                <w:color w:val="0000EE"/>
                <w:w w:val="99"/>
              </w:rPr>
            </w:pPr>
            <w:hyperlink w:anchor="page68">
              <w:r>
                <w:rPr>
                  <w:rFonts w:ascii="Arial" w:cs="Arial" w:eastAsia="Arial" w:hAnsi="Arial"/>
                  <w:sz w:val="15"/>
                  <w:szCs w:val="15"/>
                  <w:color w:val="0000EE"/>
                  <w:w w:val="99"/>
                </w:rPr>
                <w:t>the remuneration of the Company’s UK statutory auditor</w:t>
              </w:r>
            </w:hyperlink>
          </w:p>
        </w:tc>
        <w:tc>
          <w:tcPr>
            <w:tcW w:w="2800" w:type="dxa"/>
            <w:vAlign w:val="bottom"/>
            <w:tcBorders>
              <w:top w:val="single" w:sz="8" w:color="0000EE"/>
              <w:bottom w:val="single" w:sz="8" w:color="4800E6"/>
            </w:tcBorders>
            <w:gridSpan w:val="3"/>
            <w:shd w:val="clear" w:color="auto" w:fill="EFE9FC"/>
          </w:tcPr>
          <w:p>
            <w:pPr>
              <w:spacing w:after="0"/>
              <w:rPr>
                <w:sz w:val="19"/>
                <w:szCs w:val="19"/>
                <w:color w:val="auto"/>
              </w:rPr>
            </w:pPr>
          </w:p>
        </w:tc>
        <w:tc>
          <w:tcPr>
            <w:tcW w:w="120" w:type="dxa"/>
            <w:vAlign w:val="bottom"/>
            <w:tcBorders>
              <w:top w:val="single" w:sz="8" w:color="EFE9FC"/>
              <w:bottom w:val="single" w:sz="8" w:color="4800E6"/>
            </w:tcBorders>
            <w:gridSpan w:val="2"/>
            <w:shd w:val="clear" w:color="auto" w:fill="EFE9FC"/>
          </w:tcPr>
          <w:p>
            <w:pPr>
              <w:spacing w:after="0"/>
              <w:rPr>
                <w:sz w:val="19"/>
                <w:szCs w:val="19"/>
                <w:color w:val="auto"/>
              </w:rPr>
            </w:pPr>
          </w:p>
        </w:tc>
        <w:tc>
          <w:tcPr>
            <w:tcW w:w="1520" w:type="dxa"/>
            <w:vAlign w:val="bottom"/>
            <w:tcBorders>
              <w:top w:val="single" w:sz="8" w:color="EFE9FC"/>
              <w:bottom w:val="single" w:sz="8" w:color="4800E6"/>
            </w:tcBorders>
            <w:vMerge w:val="continue"/>
            <w:shd w:val="clear" w:color="auto" w:fill="EFE9FC"/>
          </w:tcPr>
          <w:p>
            <w:pPr>
              <w:spacing w:after="0"/>
              <w:rPr>
                <w:sz w:val="19"/>
                <w:szCs w:val="19"/>
                <w:color w:val="auto"/>
              </w:rPr>
            </w:pPr>
          </w:p>
        </w:tc>
        <w:tc>
          <w:tcPr>
            <w:tcW w:w="980" w:type="dxa"/>
            <w:vAlign w:val="bottom"/>
            <w:tcBorders>
              <w:top w:val="single" w:sz="8" w:color="EFE9FC"/>
              <w:bottom w:val="single" w:sz="8" w:color="4800E6"/>
            </w:tcBorders>
            <w:shd w:val="clear" w:color="auto" w:fill="EFE9FC"/>
          </w:tcPr>
          <w:p>
            <w:pPr>
              <w:ind w:left="140"/>
              <w:spacing w:after="0" w:line="169" w:lineRule="exact"/>
              <w:rPr>
                <w:rFonts w:ascii="Arial" w:cs="Arial" w:eastAsia="Arial" w:hAnsi="Arial"/>
                <w:sz w:val="15"/>
                <w:szCs w:val="15"/>
                <w:u w:val="single" w:color="auto"/>
                <w:color w:val="0000EE"/>
              </w:rPr>
            </w:pPr>
            <w:hyperlink w:anchor="page68">
              <w:r>
                <w:rPr>
                  <w:rFonts w:ascii="Arial" w:cs="Arial" w:eastAsia="Arial" w:hAnsi="Arial"/>
                  <w:sz w:val="15"/>
                  <w:szCs w:val="15"/>
                  <w:u w:val="single" w:color="auto"/>
                  <w:color w:val="0000EE"/>
                </w:rPr>
                <w:t>Page 65</w:t>
              </w:r>
            </w:hyperlink>
          </w:p>
        </w:tc>
        <w:tc>
          <w:tcPr>
            <w:tcW w:w="0" w:type="dxa"/>
            <w:vAlign w:val="bottom"/>
          </w:tcPr>
          <w:p>
            <w:pPr>
              <w:spacing w:after="0"/>
              <w:rPr>
                <w:sz w:val="1"/>
                <w:szCs w:val="1"/>
                <w:color w:val="auto"/>
              </w:rPr>
            </w:pPr>
          </w:p>
        </w:tc>
      </w:tr>
    </w:tbl>
    <w:p>
      <w:pPr>
        <w:spacing w:after="0" w:line="377" w:lineRule="exact"/>
        <w:rPr>
          <w:sz w:val="20"/>
          <w:szCs w:val="20"/>
          <w:color w:val="auto"/>
        </w:rPr>
      </w:pPr>
    </w:p>
    <w:p>
      <w:pPr>
        <w:ind w:left="760"/>
        <w:spacing w:after="0"/>
        <w:rPr>
          <w:sz w:val="20"/>
          <w:szCs w:val="20"/>
          <w:color w:val="auto"/>
        </w:rPr>
      </w:pPr>
      <w:r>
        <w:rPr>
          <w:rFonts w:ascii="Arial" w:cs="Arial" w:eastAsia="Arial" w:hAnsi="Arial"/>
          <w:sz w:val="31"/>
          <w:szCs w:val="31"/>
          <w:b w:val="1"/>
          <w:bCs w:val="1"/>
          <w:color w:val="4800E6"/>
        </w:rPr>
        <w:t>Director Nominees</w:t>
      </w:r>
    </w:p>
    <w:p>
      <w:pPr>
        <w:spacing w:after="0" w:line="146" w:lineRule="exact"/>
        <w:rPr>
          <w:sz w:val="20"/>
          <w:szCs w:val="20"/>
          <w:color w:val="auto"/>
        </w:rPr>
      </w:pPr>
    </w:p>
    <w:p>
      <w:pPr>
        <w:jc w:val="both"/>
        <w:ind w:left="760" w:right="400"/>
        <w:spacing w:after="0" w:line="253" w:lineRule="auto"/>
        <w:rPr>
          <w:rFonts w:ascii="Arial" w:cs="Arial" w:eastAsia="Arial" w:hAnsi="Arial"/>
          <w:sz w:val="16"/>
          <w:szCs w:val="16"/>
          <w:color w:val="0000EE"/>
        </w:rPr>
      </w:pPr>
      <w:r>
        <w:rPr>
          <w:rFonts w:ascii="Arial" w:cs="Arial" w:eastAsia="Arial" w:hAnsi="Arial"/>
          <w:sz w:val="16"/>
          <w:szCs w:val="16"/>
          <w:color w:val="auto"/>
        </w:rPr>
        <w:t xml:space="preserve">You are being asked to vote, by separate ordinary resolutions, on the election of the following ten nominees, each for a one-year term. Election is by a majority of the votes cast. Detailed information about each Director’s background and skills begins on page </w:t>
      </w:r>
      <w:hyperlink w:anchor="page14">
        <w:r>
          <w:rPr>
            <w:rFonts w:ascii="Arial" w:cs="Arial" w:eastAsia="Arial" w:hAnsi="Arial"/>
            <w:sz w:val="16"/>
            <w:szCs w:val="16"/>
            <w:u w:val="single" w:color="auto"/>
            <w:color w:val="0000EE"/>
          </w:rPr>
          <w:t>11</w:t>
        </w:r>
      </w:hyperlink>
      <w:r>
        <w:rPr>
          <w:rFonts w:ascii="Arial" w:cs="Arial" w:eastAsia="Arial" w:hAnsi="Arial"/>
          <w:sz w:val="16"/>
          <w:szCs w:val="16"/>
          <w:color w:val="000000"/>
        </w:rPr>
        <w:t>.</w:t>
      </w:r>
    </w:p>
    <w:p>
      <w:pPr>
        <w:spacing w:after="0" w:line="132" w:lineRule="exact"/>
        <w:rPr>
          <w:sz w:val="20"/>
          <w:szCs w:val="20"/>
          <w:color w:val="auto"/>
        </w:rPr>
      </w:pPr>
    </w:p>
    <w:tbl>
      <w:tblPr>
        <w:tblLayout w:type="fixed"/>
        <w:tblInd w:w="760" w:type="dxa"/>
        <w:tblCellMar>
          <w:top w:w="0" w:type="dxa"/>
          <w:left w:w="0" w:type="dxa"/>
          <w:bottom w:w="0" w:type="dxa"/>
          <w:right w:w="0" w:type="dxa"/>
        </w:tblCellMar>
      </w:tblPr>
      <w:tr>
        <w:trPr>
          <w:trHeight w:val="162"/>
        </w:trPr>
        <w:tc>
          <w:tcPr>
            <w:tcW w:w="20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800" w:type="dxa"/>
            <w:vAlign w:val="bottom"/>
          </w:tcPr>
          <w:p>
            <w:pPr>
              <w:jc w:val="right"/>
              <w:ind w:right="84"/>
              <w:spacing w:after="0"/>
              <w:rPr>
                <w:sz w:val="20"/>
                <w:szCs w:val="20"/>
                <w:color w:val="auto"/>
              </w:rPr>
            </w:pPr>
            <w:r>
              <w:rPr>
                <w:rFonts w:ascii="Arial" w:cs="Arial" w:eastAsia="Arial" w:hAnsi="Arial"/>
                <w:sz w:val="14"/>
                <w:szCs w:val="14"/>
                <w:b w:val="1"/>
                <w:bCs w:val="1"/>
                <w:color w:val="4800E6"/>
              </w:rPr>
              <w:t>Director</w:t>
            </w:r>
          </w:p>
        </w:tc>
        <w:tc>
          <w:tcPr>
            <w:tcW w:w="4520" w:type="dxa"/>
            <w:vAlign w:val="bottom"/>
          </w:tcPr>
          <w:p>
            <w:pPr>
              <w:spacing w:after="0"/>
              <w:rPr>
                <w:sz w:val="14"/>
                <w:szCs w:val="14"/>
                <w:color w:val="auto"/>
              </w:rPr>
            </w:pPr>
          </w:p>
        </w:tc>
        <w:tc>
          <w:tcPr>
            <w:tcW w:w="1040" w:type="dxa"/>
            <w:vAlign w:val="bottom"/>
          </w:tcPr>
          <w:p>
            <w:pPr>
              <w:spacing w:after="0"/>
              <w:rPr>
                <w:sz w:val="14"/>
                <w:szCs w:val="14"/>
                <w:color w:val="auto"/>
              </w:rPr>
            </w:pPr>
          </w:p>
        </w:tc>
      </w:tr>
      <w:tr>
        <w:trPr>
          <w:trHeight w:val="196"/>
        </w:trPr>
        <w:tc>
          <w:tcPr>
            <w:tcW w:w="2020" w:type="dxa"/>
            <w:vAlign w:val="bottom"/>
            <w:tcBorders>
              <w:bottom w:val="single" w:sz="8" w:color="4800E6"/>
            </w:tcBorders>
          </w:tcPr>
          <w:p>
            <w:pPr>
              <w:ind w:left="40"/>
              <w:spacing w:after="0"/>
              <w:rPr>
                <w:sz w:val="20"/>
                <w:szCs w:val="20"/>
                <w:color w:val="auto"/>
              </w:rPr>
            </w:pPr>
            <w:r>
              <w:rPr>
                <w:rFonts w:ascii="Arial" w:cs="Arial" w:eastAsia="Arial" w:hAnsi="Arial"/>
                <w:sz w:val="14"/>
                <w:szCs w:val="14"/>
                <w:b w:val="1"/>
                <w:bCs w:val="1"/>
                <w:color w:val="4800E6"/>
              </w:rPr>
              <w:t>Name</w:t>
            </w:r>
          </w:p>
        </w:tc>
        <w:tc>
          <w:tcPr>
            <w:tcW w:w="800" w:type="dxa"/>
            <w:vAlign w:val="bottom"/>
            <w:tcBorders>
              <w:bottom w:val="single" w:sz="8" w:color="4800E6"/>
            </w:tcBorders>
          </w:tcPr>
          <w:p>
            <w:pPr>
              <w:jc w:val="right"/>
              <w:ind w:right="44"/>
              <w:spacing w:after="0"/>
              <w:rPr>
                <w:sz w:val="20"/>
                <w:szCs w:val="20"/>
                <w:color w:val="auto"/>
              </w:rPr>
            </w:pPr>
            <w:r>
              <w:rPr>
                <w:rFonts w:ascii="Arial" w:cs="Arial" w:eastAsia="Arial" w:hAnsi="Arial"/>
                <w:sz w:val="14"/>
                <w:szCs w:val="14"/>
                <w:b w:val="1"/>
                <w:bCs w:val="1"/>
                <w:color w:val="4800E6"/>
              </w:rPr>
              <w:t>Age</w:t>
            </w:r>
          </w:p>
        </w:tc>
        <w:tc>
          <w:tcPr>
            <w:tcW w:w="800" w:type="dxa"/>
            <w:vAlign w:val="bottom"/>
            <w:tcBorders>
              <w:bottom w:val="single" w:sz="8" w:color="4800E6"/>
            </w:tcBorders>
          </w:tcPr>
          <w:p>
            <w:pPr>
              <w:jc w:val="right"/>
              <w:ind w:right="44"/>
              <w:spacing w:after="0"/>
              <w:rPr>
                <w:sz w:val="20"/>
                <w:szCs w:val="20"/>
                <w:color w:val="auto"/>
              </w:rPr>
            </w:pPr>
            <w:r>
              <w:rPr>
                <w:rFonts w:ascii="Arial" w:cs="Arial" w:eastAsia="Arial" w:hAnsi="Arial"/>
                <w:sz w:val="14"/>
                <w:szCs w:val="14"/>
                <w:b w:val="1"/>
                <w:bCs w:val="1"/>
                <w:color w:val="4800E6"/>
              </w:rPr>
              <w:t>Since</w:t>
            </w:r>
          </w:p>
        </w:tc>
        <w:tc>
          <w:tcPr>
            <w:tcW w:w="4520" w:type="dxa"/>
            <w:vAlign w:val="bottom"/>
            <w:tcBorders>
              <w:bottom w:val="single" w:sz="8" w:color="4800E6"/>
            </w:tcBorders>
          </w:tcPr>
          <w:p>
            <w:pPr>
              <w:ind w:left="120"/>
              <w:spacing w:after="0"/>
              <w:rPr>
                <w:sz w:val="20"/>
                <w:szCs w:val="20"/>
                <w:color w:val="auto"/>
              </w:rPr>
            </w:pPr>
            <w:r>
              <w:rPr>
                <w:rFonts w:ascii="Arial" w:cs="Arial" w:eastAsia="Arial" w:hAnsi="Arial"/>
                <w:sz w:val="14"/>
                <w:szCs w:val="14"/>
                <w:b w:val="1"/>
                <w:bCs w:val="1"/>
                <w:color w:val="4800E6"/>
              </w:rPr>
              <w:t>Principal Position</w:t>
            </w:r>
          </w:p>
        </w:tc>
        <w:tc>
          <w:tcPr>
            <w:tcW w:w="1040" w:type="dxa"/>
            <w:vAlign w:val="bottom"/>
            <w:tcBorders>
              <w:bottom w:val="single" w:sz="8" w:color="4800E6"/>
            </w:tcBorders>
          </w:tcPr>
          <w:p>
            <w:pPr>
              <w:jc w:val="right"/>
              <w:spacing w:after="0"/>
              <w:rPr>
                <w:sz w:val="20"/>
                <w:szCs w:val="20"/>
                <w:color w:val="auto"/>
              </w:rPr>
            </w:pPr>
            <w:r>
              <w:rPr>
                <w:rFonts w:ascii="Arial" w:cs="Arial" w:eastAsia="Arial" w:hAnsi="Arial"/>
                <w:sz w:val="14"/>
                <w:szCs w:val="14"/>
                <w:b w:val="1"/>
                <w:bCs w:val="1"/>
                <w:color w:val="4800E6"/>
              </w:rPr>
              <w:t>Independent</w:t>
            </w:r>
          </w:p>
        </w:tc>
      </w:tr>
      <w:tr>
        <w:trPr>
          <w:trHeight w:val="221"/>
        </w:trPr>
        <w:tc>
          <w:tcPr>
            <w:tcW w:w="2020" w:type="dxa"/>
            <w:vAlign w:val="bottom"/>
          </w:tcPr>
          <w:p>
            <w:pPr>
              <w:ind w:left="40"/>
              <w:spacing w:after="0"/>
              <w:rPr>
                <w:sz w:val="20"/>
                <w:szCs w:val="20"/>
                <w:color w:val="auto"/>
              </w:rPr>
            </w:pPr>
            <w:r>
              <w:rPr>
                <w:rFonts w:ascii="Arial" w:cs="Arial" w:eastAsia="Arial" w:hAnsi="Arial"/>
                <w:sz w:val="15"/>
                <w:szCs w:val="15"/>
                <w:color w:val="auto"/>
              </w:rPr>
              <w:t>Francesco Bianchi</w:t>
            </w:r>
          </w:p>
        </w:tc>
        <w:tc>
          <w:tcPr>
            <w:tcW w:w="800" w:type="dxa"/>
            <w:vAlign w:val="bottom"/>
          </w:tcPr>
          <w:p>
            <w:pPr>
              <w:jc w:val="right"/>
              <w:ind w:right="44"/>
              <w:spacing w:after="0"/>
              <w:rPr>
                <w:sz w:val="20"/>
                <w:szCs w:val="20"/>
                <w:color w:val="auto"/>
              </w:rPr>
            </w:pPr>
            <w:r>
              <w:rPr>
                <w:rFonts w:ascii="Arial" w:cs="Arial" w:eastAsia="Arial" w:hAnsi="Arial"/>
                <w:sz w:val="15"/>
                <w:szCs w:val="15"/>
                <w:color w:val="auto"/>
              </w:rPr>
              <w:t>63</w:t>
            </w:r>
          </w:p>
        </w:tc>
        <w:tc>
          <w:tcPr>
            <w:tcW w:w="800" w:type="dxa"/>
            <w:vAlign w:val="bottom"/>
          </w:tcPr>
          <w:p>
            <w:pPr>
              <w:jc w:val="right"/>
              <w:ind w:right="24"/>
              <w:spacing w:after="0"/>
              <w:rPr>
                <w:sz w:val="20"/>
                <w:szCs w:val="20"/>
                <w:color w:val="auto"/>
              </w:rPr>
            </w:pPr>
            <w:r>
              <w:rPr>
                <w:rFonts w:ascii="Arial" w:cs="Arial" w:eastAsia="Arial" w:hAnsi="Arial"/>
                <w:sz w:val="15"/>
                <w:szCs w:val="15"/>
                <w:color w:val="auto"/>
              </w:rPr>
              <w:t>2015</w:t>
            </w:r>
          </w:p>
        </w:tc>
        <w:tc>
          <w:tcPr>
            <w:tcW w:w="4520" w:type="dxa"/>
            <w:vAlign w:val="bottom"/>
          </w:tcPr>
          <w:p>
            <w:pPr>
              <w:ind w:left="120"/>
              <w:spacing w:after="0"/>
              <w:rPr>
                <w:sz w:val="20"/>
                <w:szCs w:val="20"/>
                <w:color w:val="auto"/>
              </w:rPr>
            </w:pPr>
            <w:r>
              <w:rPr>
                <w:rFonts w:ascii="Arial" w:cs="Arial" w:eastAsia="Arial" w:hAnsi="Arial"/>
                <w:sz w:val="15"/>
                <w:szCs w:val="15"/>
                <w:color w:val="auto"/>
              </w:rPr>
              <w:t>Chairman, Seven Capital Partners S.r.l.</w:t>
            </w:r>
          </w:p>
        </w:tc>
        <w:tc>
          <w:tcPr>
            <w:tcW w:w="1040" w:type="dxa"/>
            <w:vAlign w:val="bottom"/>
          </w:tcPr>
          <w:p>
            <w:pPr>
              <w:jc w:val="right"/>
              <w:spacing w:after="0"/>
              <w:rPr>
                <w:sz w:val="20"/>
                <w:szCs w:val="20"/>
                <w:color w:val="auto"/>
              </w:rPr>
            </w:pPr>
            <w:r>
              <w:rPr>
                <w:rFonts w:ascii="Arial" w:cs="Arial" w:eastAsia="Arial" w:hAnsi="Arial"/>
                <w:sz w:val="15"/>
                <w:szCs w:val="15"/>
                <w:color w:val="auto"/>
              </w:rPr>
              <w:t>Yes</w:t>
            </w:r>
          </w:p>
        </w:tc>
      </w:tr>
      <w:tr>
        <w:trPr>
          <w:trHeight w:val="22"/>
        </w:trPr>
        <w:tc>
          <w:tcPr>
            <w:tcW w:w="20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452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r>
      <w:tr>
        <w:trPr>
          <w:trHeight w:val="250"/>
        </w:trPr>
        <w:tc>
          <w:tcPr>
            <w:tcW w:w="2020" w:type="dxa"/>
            <w:vAlign w:val="bottom"/>
            <w:tcBorders>
              <w:bottom w:val="single" w:sz="8" w:color="EFE9FC"/>
            </w:tcBorders>
            <w:shd w:val="clear" w:color="auto" w:fill="EFE9FC"/>
          </w:tcPr>
          <w:p>
            <w:pPr>
              <w:ind w:left="40"/>
              <w:spacing w:after="0"/>
              <w:rPr>
                <w:sz w:val="20"/>
                <w:szCs w:val="20"/>
                <w:color w:val="auto"/>
              </w:rPr>
            </w:pPr>
            <w:r>
              <w:rPr>
                <w:rFonts w:ascii="Arial" w:cs="Arial" w:eastAsia="Arial" w:hAnsi="Arial"/>
                <w:sz w:val="15"/>
                <w:szCs w:val="15"/>
                <w:color w:val="auto"/>
              </w:rPr>
              <w:t>Stacy Enxing Seng</w:t>
            </w:r>
          </w:p>
        </w:tc>
        <w:tc>
          <w:tcPr>
            <w:tcW w:w="800" w:type="dxa"/>
            <w:vAlign w:val="bottom"/>
            <w:tcBorders>
              <w:bottom w:val="single" w:sz="8" w:color="EFE9FC"/>
            </w:tcBorders>
            <w:shd w:val="clear" w:color="auto" w:fill="EFE9FC"/>
          </w:tcPr>
          <w:p>
            <w:pPr>
              <w:jc w:val="right"/>
              <w:ind w:right="44"/>
              <w:spacing w:after="0"/>
              <w:rPr>
                <w:sz w:val="20"/>
                <w:szCs w:val="20"/>
                <w:color w:val="auto"/>
              </w:rPr>
            </w:pPr>
            <w:r>
              <w:rPr>
                <w:rFonts w:ascii="Arial" w:cs="Arial" w:eastAsia="Arial" w:hAnsi="Arial"/>
                <w:sz w:val="15"/>
                <w:szCs w:val="15"/>
                <w:color w:val="auto"/>
              </w:rPr>
              <w:t>55</w:t>
            </w:r>
          </w:p>
        </w:tc>
        <w:tc>
          <w:tcPr>
            <w:tcW w:w="800" w:type="dxa"/>
            <w:vAlign w:val="bottom"/>
            <w:tcBorders>
              <w:bottom w:val="single" w:sz="8" w:color="EFE9FC"/>
            </w:tcBorders>
            <w:shd w:val="clear" w:color="auto" w:fill="EFE9FC"/>
          </w:tcPr>
          <w:p>
            <w:pPr>
              <w:jc w:val="right"/>
              <w:ind w:right="24"/>
              <w:spacing w:after="0"/>
              <w:rPr>
                <w:sz w:val="20"/>
                <w:szCs w:val="20"/>
                <w:color w:val="auto"/>
              </w:rPr>
            </w:pPr>
            <w:r>
              <w:rPr>
                <w:rFonts w:ascii="Arial" w:cs="Arial" w:eastAsia="Arial" w:hAnsi="Arial"/>
                <w:sz w:val="15"/>
                <w:szCs w:val="15"/>
                <w:color w:val="auto"/>
              </w:rPr>
              <w:t>2019</w:t>
            </w:r>
          </w:p>
        </w:tc>
        <w:tc>
          <w:tcPr>
            <w:tcW w:w="4520" w:type="dxa"/>
            <w:vAlign w:val="bottom"/>
            <w:tcBorders>
              <w:bottom w:val="single" w:sz="8" w:color="EFE9FC"/>
            </w:tcBorders>
            <w:shd w:val="clear" w:color="auto" w:fill="EFE9FC"/>
          </w:tcPr>
          <w:p>
            <w:pPr>
              <w:ind w:left="120"/>
              <w:spacing w:after="0"/>
              <w:rPr>
                <w:sz w:val="20"/>
                <w:szCs w:val="20"/>
                <w:color w:val="auto"/>
              </w:rPr>
            </w:pPr>
            <w:r>
              <w:rPr>
                <w:rFonts w:ascii="Arial" w:cs="Arial" w:eastAsia="Arial" w:hAnsi="Arial"/>
                <w:sz w:val="15"/>
                <w:szCs w:val="15"/>
                <w:color w:val="auto"/>
              </w:rPr>
              <w:t>Venture Partner, Lightstone Ventures</w:t>
            </w:r>
          </w:p>
        </w:tc>
        <w:tc>
          <w:tcPr>
            <w:tcW w:w="1040" w:type="dxa"/>
            <w:vAlign w:val="bottom"/>
            <w:tcBorders>
              <w:bottom w:val="single" w:sz="8" w:color="EFE9FC"/>
            </w:tcBorders>
            <w:shd w:val="clear" w:color="auto" w:fill="EFE9FC"/>
          </w:tcPr>
          <w:p>
            <w:pPr>
              <w:jc w:val="right"/>
              <w:spacing w:after="0"/>
              <w:rPr>
                <w:sz w:val="20"/>
                <w:szCs w:val="20"/>
                <w:color w:val="auto"/>
              </w:rPr>
            </w:pPr>
            <w:r>
              <w:rPr>
                <w:rFonts w:ascii="Arial" w:cs="Arial" w:eastAsia="Arial" w:hAnsi="Arial"/>
                <w:sz w:val="15"/>
                <w:szCs w:val="15"/>
                <w:color w:val="auto"/>
              </w:rPr>
              <w:t>Yes</w:t>
            </w:r>
          </w:p>
        </w:tc>
      </w:tr>
      <w:tr>
        <w:trPr>
          <w:trHeight w:val="221"/>
        </w:trPr>
        <w:tc>
          <w:tcPr>
            <w:tcW w:w="2020" w:type="dxa"/>
            <w:vAlign w:val="bottom"/>
          </w:tcPr>
          <w:p>
            <w:pPr>
              <w:ind w:left="40"/>
              <w:spacing w:after="0"/>
              <w:rPr>
                <w:sz w:val="20"/>
                <w:szCs w:val="20"/>
                <w:color w:val="auto"/>
              </w:rPr>
            </w:pPr>
            <w:r>
              <w:rPr>
                <w:rFonts w:ascii="Arial" w:cs="Arial" w:eastAsia="Arial" w:hAnsi="Arial"/>
                <w:sz w:val="15"/>
                <w:szCs w:val="15"/>
                <w:color w:val="auto"/>
              </w:rPr>
              <w:t>William Kozy</w:t>
            </w:r>
          </w:p>
        </w:tc>
        <w:tc>
          <w:tcPr>
            <w:tcW w:w="800" w:type="dxa"/>
            <w:vAlign w:val="bottom"/>
          </w:tcPr>
          <w:p>
            <w:pPr>
              <w:jc w:val="right"/>
              <w:ind w:right="44"/>
              <w:spacing w:after="0"/>
              <w:rPr>
                <w:sz w:val="20"/>
                <w:szCs w:val="20"/>
                <w:color w:val="auto"/>
              </w:rPr>
            </w:pPr>
            <w:r>
              <w:rPr>
                <w:rFonts w:ascii="Arial" w:cs="Arial" w:eastAsia="Arial" w:hAnsi="Arial"/>
                <w:sz w:val="15"/>
                <w:szCs w:val="15"/>
                <w:color w:val="auto"/>
              </w:rPr>
              <w:t>68</w:t>
            </w:r>
          </w:p>
        </w:tc>
        <w:tc>
          <w:tcPr>
            <w:tcW w:w="800" w:type="dxa"/>
            <w:vAlign w:val="bottom"/>
          </w:tcPr>
          <w:p>
            <w:pPr>
              <w:jc w:val="right"/>
              <w:ind w:right="24"/>
              <w:spacing w:after="0"/>
              <w:rPr>
                <w:sz w:val="20"/>
                <w:szCs w:val="20"/>
                <w:color w:val="auto"/>
              </w:rPr>
            </w:pPr>
            <w:r>
              <w:rPr>
                <w:rFonts w:ascii="Arial" w:cs="Arial" w:eastAsia="Arial" w:hAnsi="Arial"/>
                <w:sz w:val="15"/>
                <w:szCs w:val="15"/>
                <w:color w:val="auto"/>
              </w:rPr>
              <w:t>2018</w:t>
            </w:r>
          </w:p>
        </w:tc>
        <w:tc>
          <w:tcPr>
            <w:tcW w:w="4520" w:type="dxa"/>
            <w:vAlign w:val="bottom"/>
          </w:tcPr>
          <w:p>
            <w:pPr>
              <w:ind w:left="120"/>
              <w:spacing w:after="0"/>
              <w:rPr>
                <w:sz w:val="20"/>
                <w:szCs w:val="20"/>
                <w:color w:val="auto"/>
              </w:rPr>
            </w:pPr>
            <w:r>
              <w:rPr>
                <w:rFonts w:ascii="Arial" w:cs="Arial" w:eastAsia="Arial" w:hAnsi="Arial"/>
                <w:sz w:val="15"/>
                <w:szCs w:val="15"/>
                <w:color w:val="auto"/>
              </w:rPr>
              <w:t>Retired, EVP and COO, Becton, Dickinson and Company</w:t>
            </w:r>
          </w:p>
        </w:tc>
        <w:tc>
          <w:tcPr>
            <w:tcW w:w="1040" w:type="dxa"/>
            <w:vAlign w:val="bottom"/>
          </w:tcPr>
          <w:p>
            <w:pPr>
              <w:jc w:val="right"/>
              <w:spacing w:after="0"/>
              <w:rPr>
                <w:sz w:val="20"/>
                <w:szCs w:val="20"/>
                <w:color w:val="auto"/>
              </w:rPr>
            </w:pPr>
            <w:r>
              <w:rPr>
                <w:rFonts w:ascii="Arial" w:cs="Arial" w:eastAsia="Arial" w:hAnsi="Arial"/>
                <w:sz w:val="15"/>
                <w:szCs w:val="15"/>
                <w:color w:val="auto"/>
              </w:rPr>
              <w:t>Yes</w:t>
            </w:r>
          </w:p>
        </w:tc>
      </w:tr>
      <w:tr>
        <w:trPr>
          <w:trHeight w:val="22"/>
        </w:trPr>
        <w:tc>
          <w:tcPr>
            <w:tcW w:w="20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452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r>
      <w:tr>
        <w:trPr>
          <w:trHeight w:val="250"/>
        </w:trPr>
        <w:tc>
          <w:tcPr>
            <w:tcW w:w="2020" w:type="dxa"/>
            <w:vAlign w:val="bottom"/>
            <w:tcBorders>
              <w:bottom w:val="single" w:sz="8" w:color="EFE9FC"/>
            </w:tcBorders>
            <w:shd w:val="clear" w:color="auto" w:fill="EFE9FC"/>
          </w:tcPr>
          <w:p>
            <w:pPr>
              <w:ind w:left="40"/>
              <w:spacing w:after="0"/>
              <w:rPr>
                <w:sz w:val="20"/>
                <w:szCs w:val="20"/>
                <w:color w:val="auto"/>
              </w:rPr>
            </w:pPr>
            <w:r>
              <w:rPr>
                <w:rFonts w:ascii="Arial" w:cs="Arial" w:eastAsia="Arial" w:hAnsi="Arial"/>
                <w:sz w:val="15"/>
                <w:szCs w:val="15"/>
                <w:color w:val="auto"/>
              </w:rPr>
              <w:t>Damien McDonald</w:t>
            </w:r>
          </w:p>
        </w:tc>
        <w:tc>
          <w:tcPr>
            <w:tcW w:w="800" w:type="dxa"/>
            <w:vAlign w:val="bottom"/>
            <w:tcBorders>
              <w:bottom w:val="single" w:sz="8" w:color="EFE9FC"/>
            </w:tcBorders>
            <w:shd w:val="clear" w:color="auto" w:fill="EFE9FC"/>
          </w:tcPr>
          <w:p>
            <w:pPr>
              <w:jc w:val="right"/>
              <w:ind w:right="44"/>
              <w:spacing w:after="0"/>
              <w:rPr>
                <w:sz w:val="20"/>
                <w:szCs w:val="20"/>
                <w:color w:val="auto"/>
              </w:rPr>
            </w:pPr>
            <w:r>
              <w:rPr>
                <w:rFonts w:ascii="Arial" w:cs="Arial" w:eastAsia="Arial" w:hAnsi="Arial"/>
                <w:sz w:val="15"/>
                <w:szCs w:val="15"/>
                <w:color w:val="auto"/>
              </w:rPr>
              <w:t>55</w:t>
            </w:r>
          </w:p>
        </w:tc>
        <w:tc>
          <w:tcPr>
            <w:tcW w:w="800" w:type="dxa"/>
            <w:vAlign w:val="bottom"/>
            <w:tcBorders>
              <w:bottom w:val="single" w:sz="8" w:color="EFE9FC"/>
            </w:tcBorders>
            <w:shd w:val="clear" w:color="auto" w:fill="EFE9FC"/>
          </w:tcPr>
          <w:p>
            <w:pPr>
              <w:jc w:val="right"/>
              <w:ind w:right="24"/>
              <w:spacing w:after="0"/>
              <w:rPr>
                <w:sz w:val="20"/>
                <w:szCs w:val="20"/>
                <w:color w:val="auto"/>
              </w:rPr>
            </w:pPr>
            <w:r>
              <w:rPr>
                <w:rFonts w:ascii="Arial" w:cs="Arial" w:eastAsia="Arial" w:hAnsi="Arial"/>
                <w:sz w:val="15"/>
                <w:szCs w:val="15"/>
                <w:color w:val="auto"/>
              </w:rPr>
              <w:t>2017</w:t>
            </w:r>
          </w:p>
        </w:tc>
        <w:tc>
          <w:tcPr>
            <w:tcW w:w="4520" w:type="dxa"/>
            <w:vAlign w:val="bottom"/>
            <w:tcBorders>
              <w:bottom w:val="single" w:sz="8" w:color="EFE9FC"/>
            </w:tcBorders>
            <w:shd w:val="clear" w:color="auto" w:fill="EFE9FC"/>
          </w:tcPr>
          <w:p>
            <w:pPr>
              <w:ind w:left="120"/>
              <w:spacing w:after="0"/>
              <w:rPr>
                <w:sz w:val="20"/>
                <w:szCs w:val="20"/>
                <w:color w:val="auto"/>
              </w:rPr>
            </w:pPr>
            <w:r>
              <w:rPr>
                <w:rFonts w:ascii="Arial" w:cs="Arial" w:eastAsia="Arial" w:hAnsi="Arial"/>
                <w:sz w:val="15"/>
                <w:szCs w:val="15"/>
                <w:color w:val="auto"/>
              </w:rPr>
              <w:t>CEO, LivaNova</w:t>
            </w:r>
          </w:p>
        </w:tc>
        <w:tc>
          <w:tcPr>
            <w:tcW w:w="1040" w:type="dxa"/>
            <w:vAlign w:val="bottom"/>
            <w:tcBorders>
              <w:bottom w:val="single" w:sz="8" w:color="EFE9FC"/>
            </w:tcBorders>
            <w:shd w:val="clear" w:color="auto" w:fill="EFE9FC"/>
          </w:tcPr>
          <w:p>
            <w:pPr>
              <w:jc w:val="right"/>
              <w:spacing w:after="0"/>
              <w:rPr>
                <w:sz w:val="20"/>
                <w:szCs w:val="20"/>
                <w:color w:val="auto"/>
              </w:rPr>
            </w:pPr>
            <w:r>
              <w:rPr>
                <w:rFonts w:ascii="Arial" w:cs="Arial" w:eastAsia="Arial" w:hAnsi="Arial"/>
                <w:sz w:val="15"/>
                <w:szCs w:val="15"/>
                <w:color w:val="auto"/>
              </w:rPr>
              <w:t>No</w:t>
            </w:r>
          </w:p>
        </w:tc>
      </w:tr>
      <w:tr>
        <w:trPr>
          <w:trHeight w:val="221"/>
        </w:trPr>
        <w:tc>
          <w:tcPr>
            <w:tcW w:w="2020" w:type="dxa"/>
            <w:vAlign w:val="bottom"/>
          </w:tcPr>
          <w:p>
            <w:pPr>
              <w:ind w:left="40"/>
              <w:spacing w:after="0"/>
              <w:rPr>
                <w:sz w:val="20"/>
                <w:szCs w:val="20"/>
                <w:color w:val="auto"/>
              </w:rPr>
            </w:pPr>
            <w:r>
              <w:rPr>
                <w:rFonts w:ascii="Arial" w:cs="Arial" w:eastAsia="Arial" w:hAnsi="Arial"/>
                <w:sz w:val="15"/>
                <w:szCs w:val="15"/>
                <w:color w:val="auto"/>
              </w:rPr>
              <w:t>Daniel Moore</w:t>
            </w:r>
          </w:p>
        </w:tc>
        <w:tc>
          <w:tcPr>
            <w:tcW w:w="800" w:type="dxa"/>
            <w:vAlign w:val="bottom"/>
          </w:tcPr>
          <w:p>
            <w:pPr>
              <w:jc w:val="right"/>
              <w:ind w:right="44"/>
              <w:spacing w:after="0"/>
              <w:rPr>
                <w:sz w:val="20"/>
                <w:szCs w:val="20"/>
                <w:color w:val="auto"/>
              </w:rPr>
            </w:pPr>
            <w:r>
              <w:rPr>
                <w:rFonts w:ascii="Arial" w:cs="Arial" w:eastAsia="Arial" w:hAnsi="Arial"/>
                <w:sz w:val="15"/>
                <w:szCs w:val="15"/>
                <w:color w:val="auto"/>
              </w:rPr>
              <w:t>59</w:t>
            </w:r>
          </w:p>
        </w:tc>
        <w:tc>
          <w:tcPr>
            <w:tcW w:w="800" w:type="dxa"/>
            <w:vAlign w:val="bottom"/>
          </w:tcPr>
          <w:p>
            <w:pPr>
              <w:jc w:val="right"/>
              <w:ind w:right="24"/>
              <w:spacing w:after="0"/>
              <w:rPr>
                <w:sz w:val="20"/>
                <w:szCs w:val="20"/>
                <w:color w:val="auto"/>
              </w:rPr>
            </w:pPr>
            <w:r>
              <w:rPr>
                <w:rFonts w:ascii="Arial" w:cs="Arial" w:eastAsia="Arial" w:hAnsi="Arial"/>
                <w:sz w:val="15"/>
                <w:szCs w:val="15"/>
                <w:color w:val="auto"/>
              </w:rPr>
              <w:t>2015</w:t>
            </w:r>
          </w:p>
        </w:tc>
        <w:tc>
          <w:tcPr>
            <w:tcW w:w="4520" w:type="dxa"/>
            <w:vAlign w:val="bottom"/>
          </w:tcPr>
          <w:p>
            <w:pPr>
              <w:ind w:left="120"/>
              <w:spacing w:after="0"/>
              <w:rPr>
                <w:sz w:val="20"/>
                <w:szCs w:val="20"/>
                <w:color w:val="auto"/>
              </w:rPr>
            </w:pPr>
            <w:r>
              <w:rPr>
                <w:rFonts w:ascii="Arial" w:cs="Arial" w:eastAsia="Arial" w:hAnsi="Arial"/>
                <w:sz w:val="15"/>
                <w:szCs w:val="15"/>
                <w:color w:val="auto"/>
              </w:rPr>
              <w:t>Chairman of the Board; private investor</w:t>
            </w:r>
          </w:p>
        </w:tc>
        <w:tc>
          <w:tcPr>
            <w:tcW w:w="1040" w:type="dxa"/>
            <w:vAlign w:val="bottom"/>
          </w:tcPr>
          <w:p>
            <w:pPr>
              <w:jc w:val="right"/>
              <w:spacing w:after="0"/>
              <w:rPr>
                <w:sz w:val="20"/>
                <w:szCs w:val="20"/>
                <w:color w:val="auto"/>
              </w:rPr>
            </w:pPr>
            <w:r>
              <w:rPr>
                <w:rFonts w:ascii="Arial" w:cs="Arial" w:eastAsia="Arial" w:hAnsi="Arial"/>
                <w:sz w:val="15"/>
                <w:szCs w:val="15"/>
                <w:color w:val="auto"/>
              </w:rPr>
              <w:t>Yes</w:t>
            </w:r>
          </w:p>
        </w:tc>
      </w:tr>
      <w:tr>
        <w:trPr>
          <w:trHeight w:val="22"/>
        </w:trPr>
        <w:tc>
          <w:tcPr>
            <w:tcW w:w="20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452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r>
      <w:tr>
        <w:trPr>
          <w:trHeight w:val="250"/>
        </w:trPr>
        <w:tc>
          <w:tcPr>
            <w:tcW w:w="2020" w:type="dxa"/>
            <w:vAlign w:val="bottom"/>
            <w:tcBorders>
              <w:bottom w:val="single" w:sz="8" w:color="EFE9FC"/>
            </w:tcBorders>
            <w:shd w:val="clear" w:color="auto" w:fill="EFE9FC"/>
          </w:tcPr>
          <w:p>
            <w:pPr>
              <w:ind w:left="40"/>
              <w:spacing w:after="0"/>
              <w:rPr>
                <w:sz w:val="20"/>
                <w:szCs w:val="20"/>
                <w:color w:val="auto"/>
              </w:rPr>
            </w:pPr>
            <w:r>
              <w:rPr>
                <w:rFonts w:ascii="Arial" w:cs="Arial" w:eastAsia="Arial" w:hAnsi="Arial"/>
                <w:sz w:val="15"/>
                <w:szCs w:val="15"/>
                <w:color w:val="auto"/>
              </w:rPr>
              <w:t>Hugh Morrison</w:t>
            </w:r>
          </w:p>
        </w:tc>
        <w:tc>
          <w:tcPr>
            <w:tcW w:w="800" w:type="dxa"/>
            <w:vAlign w:val="bottom"/>
            <w:tcBorders>
              <w:bottom w:val="single" w:sz="8" w:color="EFE9FC"/>
            </w:tcBorders>
            <w:shd w:val="clear" w:color="auto" w:fill="EFE9FC"/>
          </w:tcPr>
          <w:p>
            <w:pPr>
              <w:jc w:val="right"/>
              <w:ind w:right="44"/>
              <w:spacing w:after="0"/>
              <w:rPr>
                <w:sz w:val="20"/>
                <w:szCs w:val="20"/>
                <w:color w:val="auto"/>
              </w:rPr>
            </w:pPr>
            <w:r>
              <w:rPr>
                <w:rFonts w:ascii="Arial" w:cs="Arial" w:eastAsia="Arial" w:hAnsi="Arial"/>
                <w:sz w:val="15"/>
                <w:szCs w:val="15"/>
                <w:color w:val="auto"/>
              </w:rPr>
              <w:t>73</w:t>
            </w:r>
          </w:p>
        </w:tc>
        <w:tc>
          <w:tcPr>
            <w:tcW w:w="800" w:type="dxa"/>
            <w:vAlign w:val="bottom"/>
            <w:tcBorders>
              <w:bottom w:val="single" w:sz="8" w:color="EFE9FC"/>
            </w:tcBorders>
            <w:shd w:val="clear" w:color="auto" w:fill="EFE9FC"/>
          </w:tcPr>
          <w:p>
            <w:pPr>
              <w:jc w:val="right"/>
              <w:ind w:right="24"/>
              <w:spacing w:after="0"/>
              <w:rPr>
                <w:sz w:val="20"/>
                <w:szCs w:val="20"/>
                <w:color w:val="auto"/>
              </w:rPr>
            </w:pPr>
            <w:r>
              <w:rPr>
                <w:rFonts w:ascii="Arial" w:cs="Arial" w:eastAsia="Arial" w:hAnsi="Arial"/>
                <w:sz w:val="15"/>
                <w:szCs w:val="15"/>
                <w:color w:val="auto"/>
              </w:rPr>
              <w:t>2015</w:t>
            </w:r>
          </w:p>
        </w:tc>
        <w:tc>
          <w:tcPr>
            <w:tcW w:w="4520" w:type="dxa"/>
            <w:vAlign w:val="bottom"/>
            <w:tcBorders>
              <w:bottom w:val="single" w:sz="8" w:color="EFE9FC"/>
            </w:tcBorders>
            <w:shd w:val="clear" w:color="auto" w:fill="EFE9FC"/>
          </w:tcPr>
          <w:p>
            <w:pPr>
              <w:ind w:left="120"/>
              <w:spacing w:after="0"/>
              <w:rPr>
                <w:sz w:val="20"/>
                <w:szCs w:val="20"/>
                <w:color w:val="auto"/>
              </w:rPr>
            </w:pPr>
            <w:r>
              <w:rPr>
                <w:rFonts w:ascii="Arial" w:cs="Arial" w:eastAsia="Arial" w:hAnsi="Arial"/>
                <w:sz w:val="15"/>
                <w:szCs w:val="15"/>
                <w:color w:val="auto"/>
              </w:rPr>
              <w:t>Independent consultant and private investor</w:t>
            </w:r>
          </w:p>
        </w:tc>
        <w:tc>
          <w:tcPr>
            <w:tcW w:w="1040" w:type="dxa"/>
            <w:vAlign w:val="bottom"/>
            <w:tcBorders>
              <w:bottom w:val="single" w:sz="8" w:color="EFE9FC"/>
            </w:tcBorders>
            <w:shd w:val="clear" w:color="auto" w:fill="EFE9FC"/>
          </w:tcPr>
          <w:p>
            <w:pPr>
              <w:jc w:val="right"/>
              <w:spacing w:after="0"/>
              <w:rPr>
                <w:sz w:val="20"/>
                <w:szCs w:val="20"/>
                <w:color w:val="auto"/>
              </w:rPr>
            </w:pPr>
            <w:r>
              <w:rPr>
                <w:rFonts w:ascii="Arial" w:cs="Arial" w:eastAsia="Arial" w:hAnsi="Arial"/>
                <w:sz w:val="15"/>
                <w:szCs w:val="15"/>
                <w:color w:val="auto"/>
              </w:rPr>
              <w:t>Yes</w:t>
            </w:r>
          </w:p>
        </w:tc>
      </w:tr>
      <w:tr>
        <w:trPr>
          <w:trHeight w:val="235"/>
        </w:trPr>
        <w:tc>
          <w:tcPr>
            <w:tcW w:w="2020" w:type="dxa"/>
            <w:vAlign w:val="bottom"/>
          </w:tcPr>
          <w:p>
            <w:pPr>
              <w:ind w:left="40"/>
              <w:spacing w:after="0"/>
              <w:rPr>
                <w:sz w:val="20"/>
                <w:szCs w:val="20"/>
                <w:color w:val="auto"/>
              </w:rPr>
            </w:pPr>
            <w:r>
              <w:rPr>
                <w:rFonts w:ascii="Arial" w:cs="Arial" w:eastAsia="Arial" w:hAnsi="Arial"/>
                <w:sz w:val="15"/>
                <w:szCs w:val="15"/>
                <w:color w:val="auto"/>
              </w:rPr>
              <w:t>Alfred Novak</w:t>
            </w:r>
          </w:p>
        </w:tc>
        <w:tc>
          <w:tcPr>
            <w:tcW w:w="800" w:type="dxa"/>
            <w:vAlign w:val="bottom"/>
          </w:tcPr>
          <w:p>
            <w:pPr>
              <w:jc w:val="right"/>
              <w:ind w:right="44"/>
              <w:spacing w:after="0"/>
              <w:rPr>
                <w:sz w:val="20"/>
                <w:szCs w:val="20"/>
                <w:color w:val="auto"/>
              </w:rPr>
            </w:pPr>
            <w:r>
              <w:rPr>
                <w:rFonts w:ascii="Arial" w:cs="Arial" w:eastAsia="Arial" w:hAnsi="Arial"/>
                <w:sz w:val="15"/>
                <w:szCs w:val="15"/>
                <w:color w:val="auto"/>
              </w:rPr>
              <w:t>72</w:t>
            </w:r>
          </w:p>
        </w:tc>
        <w:tc>
          <w:tcPr>
            <w:tcW w:w="800" w:type="dxa"/>
            <w:vAlign w:val="bottom"/>
          </w:tcPr>
          <w:p>
            <w:pPr>
              <w:jc w:val="right"/>
              <w:ind w:right="24"/>
              <w:spacing w:after="0"/>
              <w:rPr>
                <w:sz w:val="20"/>
                <w:szCs w:val="20"/>
                <w:color w:val="auto"/>
              </w:rPr>
            </w:pPr>
            <w:r>
              <w:rPr>
                <w:rFonts w:ascii="Arial" w:cs="Arial" w:eastAsia="Arial" w:hAnsi="Arial"/>
                <w:sz w:val="15"/>
                <w:szCs w:val="15"/>
                <w:color w:val="auto"/>
              </w:rPr>
              <w:t>2015</w:t>
            </w:r>
          </w:p>
        </w:tc>
        <w:tc>
          <w:tcPr>
            <w:tcW w:w="4520" w:type="dxa"/>
            <w:vAlign w:val="bottom"/>
          </w:tcPr>
          <w:p>
            <w:pPr>
              <w:ind w:left="120"/>
              <w:spacing w:after="0"/>
              <w:rPr>
                <w:sz w:val="20"/>
                <w:szCs w:val="20"/>
                <w:color w:val="auto"/>
              </w:rPr>
            </w:pPr>
            <w:r>
              <w:rPr>
                <w:rFonts w:ascii="Arial" w:cs="Arial" w:eastAsia="Arial" w:hAnsi="Arial"/>
                <w:sz w:val="15"/>
                <w:szCs w:val="15"/>
                <w:color w:val="auto"/>
              </w:rPr>
              <w:t>Private investor</w:t>
            </w:r>
          </w:p>
        </w:tc>
        <w:tc>
          <w:tcPr>
            <w:tcW w:w="1040" w:type="dxa"/>
            <w:vAlign w:val="bottom"/>
          </w:tcPr>
          <w:p>
            <w:pPr>
              <w:jc w:val="right"/>
              <w:spacing w:after="0"/>
              <w:rPr>
                <w:sz w:val="20"/>
                <w:szCs w:val="20"/>
                <w:color w:val="auto"/>
              </w:rPr>
            </w:pPr>
            <w:r>
              <w:rPr>
                <w:rFonts w:ascii="Arial" w:cs="Arial" w:eastAsia="Arial" w:hAnsi="Arial"/>
                <w:sz w:val="15"/>
                <w:szCs w:val="15"/>
                <w:color w:val="auto"/>
              </w:rPr>
              <w:t>Yes</w:t>
            </w:r>
          </w:p>
        </w:tc>
      </w:tr>
      <w:tr>
        <w:trPr>
          <w:trHeight w:val="22"/>
        </w:trPr>
        <w:tc>
          <w:tcPr>
            <w:tcW w:w="20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452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r>
      <w:tr>
        <w:trPr>
          <w:trHeight w:val="264"/>
        </w:trPr>
        <w:tc>
          <w:tcPr>
            <w:tcW w:w="2020" w:type="dxa"/>
            <w:vAlign w:val="bottom"/>
            <w:tcBorders>
              <w:bottom w:val="single" w:sz="8" w:color="EFE9FC"/>
            </w:tcBorders>
            <w:shd w:val="clear" w:color="auto" w:fill="EFE9FC"/>
          </w:tcPr>
          <w:p>
            <w:pPr>
              <w:ind w:left="40"/>
              <w:spacing w:after="0"/>
              <w:rPr>
                <w:sz w:val="20"/>
                <w:szCs w:val="20"/>
                <w:color w:val="auto"/>
              </w:rPr>
            </w:pPr>
            <w:r>
              <w:rPr>
                <w:rFonts w:ascii="Arial" w:cs="Arial" w:eastAsia="Arial" w:hAnsi="Arial"/>
                <w:sz w:val="15"/>
                <w:szCs w:val="15"/>
                <w:color w:val="auto"/>
              </w:rPr>
              <w:t>Sharon O’Kane, Ph.D.</w:t>
            </w:r>
          </w:p>
        </w:tc>
        <w:tc>
          <w:tcPr>
            <w:tcW w:w="800" w:type="dxa"/>
            <w:vAlign w:val="bottom"/>
            <w:tcBorders>
              <w:bottom w:val="single" w:sz="8" w:color="EFE9FC"/>
            </w:tcBorders>
            <w:shd w:val="clear" w:color="auto" w:fill="EFE9FC"/>
          </w:tcPr>
          <w:p>
            <w:pPr>
              <w:jc w:val="right"/>
              <w:ind w:right="44"/>
              <w:spacing w:after="0"/>
              <w:rPr>
                <w:sz w:val="20"/>
                <w:szCs w:val="20"/>
                <w:color w:val="auto"/>
              </w:rPr>
            </w:pPr>
            <w:r>
              <w:rPr>
                <w:rFonts w:ascii="Arial" w:cs="Arial" w:eastAsia="Arial" w:hAnsi="Arial"/>
                <w:sz w:val="15"/>
                <w:szCs w:val="15"/>
                <w:color w:val="auto"/>
              </w:rPr>
              <w:t>52</w:t>
            </w:r>
          </w:p>
        </w:tc>
        <w:tc>
          <w:tcPr>
            <w:tcW w:w="800" w:type="dxa"/>
            <w:vAlign w:val="bottom"/>
            <w:tcBorders>
              <w:bottom w:val="single" w:sz="8" w:color="EFE9FC"/>
            </w:tcBorders>
            <w:shd w:val="clear" w:color="auto" w:fill="EFE9FC"/>
          </w:tcPr>
          <w:p>
            <w:pPr>
              <w:jc w:val="right"/>
              <w:ind w:right="24"/>
              <w:spacing w:after="0"/>
              <w:rPr>
                <w:sz w:val="20"/>
                <w:szCs w:val="20"/>
                <w:color w:val="auto"/>
              </w:rPr>
            </w:pPr>
            <w:r>
              <w:rPr>
                <w:rFonts w:ascii="Arial" w:cs="Arial" w:eastAsia="Arial" w:hAnsi="Arial"/>
                <w:sz w:val="15"/>
                <w:szCs w:val="15"/>
                <w:color w:val="auto"/>
              </w:rPr>
              <w:t>2015</w:t>
            </w:r>
          </w:p>
        </w:tc>
        <w:tc>
          <w:tcPr>
            <w:tcW w:w="4520" w:type="dxa"/>
            <w:vAlign w:val="bottom"/>
            <w:tcBorders>
              <w:bottom w:val="single" w:sz="8" w:color="EFE9FC"/>
            </w:tcBorders>
            <w:shd w:val="clear" w:color="auto" w:fill="EFE9FC"/>
          </w:tcPr>
          <w:p>
            <w:pPr>
              <w:ind w:left="120"/>
              <w:spacing w:after="0"/>
              <w:rPr>
                <w:sz w:val="20"/>
                <w:szCs w:val="20"/>
                <w:color w:val="auto"/>
              </w:rPr>
            </w:pPr>
            <w:r>
              <w:rPr>
                <w:rFonts w:ascii="Arial" w:cs="Arial" w:eastAsia="Arial" w:hAnsi="Arial"/>
                <w:sz w:val="15"/>
                <w:szCs w:val="15"/>
                <w:color w:val="auto"/>
              </w:rPr>
              <w:t>Entrepreneur in Residence, University College Dublin</w:t>
            </w:r>
          </w:p>
        </w:tc>
        <w:tc>
          <w:tcPr>
            <w:tcW w:w="1040" w:type="dxa"/>
            <w:vAlign w:val="bottom"/>
            <w:tcBorders>
              <w:bottom w:val="single" w:sz="8" w:color="EFE9FC"/>
            </w:tcBorders>
            <w:shd w:val="clear" w:color="auto" w:fill="EFE9FC"/>
          </w:tcPr>
          <w:p>
            <w:pPr>
              <w:jc w:val="right"/>
              <w:spacing w:after="0"/>
              <w:rPr>
                <w:sz w:val="20"/>
                <w:szCs w:val="20"/>
                <w:color w:val="auto"/>
              </w:rPr>
            </w:pPr>
            <w:r>
              <w:rPr>
                <w:rFonts w:ascii="Arial" w:cs="Arial" w:eastAsia="Arial" w:hAnsi="Arial"/>
                <w:sz w:val="15"/>
                <w:szCs w:val="15"/>
                <w:color w:val="auto"/>
              </w:rPr>
              <w:t>Yes</w:t>
            </w:r>
          </w:p>
        </w:tc>
      </w:tr>
      <w:tr>
        <w:trPr>
          <w:trHeight w:val="235"/>
        </w:trPr>
        <w:tc>
          <w:tcPr>
            <w:tcW w:w="2020" w:type="dxa"/>
            <w:vAlign w:val="bottom"/>
          </w:tcPr>
          <w:p>
            <w:pPr>
              <w:ind w:left="40"/>
              <w:spacing w:after="0"/>
              <w:rPr>
                <w:sz w:val="20"/>
                <w:szCs w:val="20"/>
                <w:color w:val="auto"/>
              </w:rPr>
            </w:pPr>
            <w:r>
              <w:rPr>
                <w:rFonts w:ascii="Arial" w:cs="Arial" w:eastAsia="Arial" w:hAnsi="Arial"/>
                <w:sz w:val="15"/>
                <w:szCs w:val="15"/>
                <w:color w:val="auto"/>
              </w:rPr>
              <w:t>Arthur Rosenthal, Ph.D.</w:t>
            </w:r>
          </w:p>
        </w:tc>
        <w:tc>
          <w:tcPr>
            <w:tcW w:w="800" w:type="dxa"/>
            <w:vAlign w:val="bottom"/>
          </w:tcPr>
          <w:p>
            <w:pPr>
              <w:jc w:val="right"/>
              <w:ind w:right="44"/>
              <w:spacing w:after="0"/>
              <w:rPr>
                <w:sz w:val="20"/>
                <w:szCs w:val="20"/>
                <w:color w:val="auto"/>
              </w:rPr>
            </w:pPr>
            <w:r>
              <w:rPr>
                <w:rFonts w:ascii="Arial" w:cs="Arial" w:eastAsia="Arial" w:hAnsi="Arial"/>
                <w:sz w:val="15"/>
                <w:szCs w:val="15"/>
                <w:color w:val="auto"/>
              </w:rPr>
              <w:t>73</w:t>
            </w:r>
          </w:p>
        </w:tc>
        <w:tc>
          <w:tcPr>
            <w:tcW w:w="800" w:type="dxa"/>
            <w:vAlign w:val="bottom"/>
          </w:tcPr>
          <w:p>
            <w:pPr>
              <w:jc w:val="right"/>
              <w:ind w:right="24"/>
              <w:spacing w:after="0"/>
              <w:rPr>
                <w:sz w:val="20"/>
                <w:szCs w:val="20"/>
                <w:color w:val="auto"/>
              </w:rPr>
            </w:pPr>
            <w:r>
              <w:rPr>
                <w:rFonts w:ascii="Arial" w:cs="Arial" w:eastAsia="Arial" w:hAnsi="Arial"/>
                <w:sz w:val="15"/>
                <w:szCs w:val="15"/>
                <w:color w:val="auto"/>
              </w:rPr>
              <w:t>2015</w:t>
            </w:r>
          </w:p>
        </w:tc>
        <w:tc>
          <w:tcPr>
            <w:tcW w:w="4520" w:type="dxa"/>
            <w:vAlign w:val="bottom"/>
          </w:tcPr>
          <w:p>
            <w:pPr>
              <w:ind w:left="120"/>
              <w:spacing w:after="0"/>
              <w:rPr>
                <w:sz w:val="20"/>
                <w:szCs w:val="20"/>
                <w:color w:val="auto"/>
              </w:rPr>
            </w:pPr>
            <w:r>
              <w:rPr>
                <w:rFonts w:ascii="Arial" w:cs="Arial" w:eastAsia="Arial" w:hAnsi="Arial"/>
                <w:sz w:val="15"/>
                <w:szCs w:val="15"/>
                <w:color w:val="auto"/>
              </w:rPr>
              <w:t>Retired CEO, EyeCue, Inc</w:t>
            </w:r>
          </w:p>
        </w:tc>
        <w:tc>
          <w:tcPr>
            <w:tcW w:w="1040" w:type="dxa"/>
            <w:vAlign w:val="bottom"/>
          </w:tcPr>
          <w:p>
            <w:pPr>
              <w:jc w:val="right"/>
              <w:spacing w:after="0"/>
              <w:rPr>
                <w:sz w:val="20"/>
                <w:szCs w:val="20"/>
                <w:color w:val="auto"/>
              </w:rPr>
            </w:pPr>
            <w:r>
              <w:rPr>
                <w:rFonts w:ascii="Arial" w:cs="Arial" w:eastAsia="Arial" w:hAnsi="Arial"/>
                <w:sz w:val="15"/>
                <w:szCs w:val="15"/>
                <w:color w:val="auto"/>
              </w:rPr>
              <w:t>Yes</w:t>
            </w:r>
          </w:p>
        </w:tc>
      </w:tr>
      <w:tr>
        <w:trPr>
          <w:trHeight w:val="22"/>
        </w:trPr>
        <w:tc>
          <w:tcPr>
            <w:tcW w:w="20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452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r>
      <w:tr>
        <w:trPr>
          <w:trHeight w:val="250"/>
        </w:trPr>
        <w:tc>
          <w:tcPr>
            <w:tcW w:w="2020" w:type="dxa"/>
            <w:vAlign w:val="bottom"/>
            <w:tcBorders>
              <w:bottom w:val="single" w:sz="8" w:color="EFE9FC"/>
            </w:tcBorders>
            <w:shd w:val="clear" w:color="auto" w:fill="EFE9FC"/>
          </w:tcPr>
          <w:p>
            <w:pPr>
              <w:ind w:left="40"/>
              <w:spacing w:after="0"/>
              <w:rPr>
                <w:sz w:val="20"/>
                <w:szCs w:val="20"/>
                <w:color w:val="auto"/>
              </w:rPr>
            </w:pPr>
            <w:r>
              <w:rPr>
                <w:rFonts w:ascii="Arial" w:cs="Arial" w:eastAsia="Arial" w:hAnsi="Arial"/>
                <w:sz w:val="15"/>
                <w:szCs w:val="15"/>
                <w:color w:val="auto"/>
              </w:rPr>
              <w:t>Andrea Saia</w:t>
            </w:r>
          </w:p>
        </w:tc>
        <w:tc>
          <w:tcPr>
            <w:tcW w:w="800" w:type="dxa"/>
            <w:vAlign w:val="bottom"/>
            <w:tcBorders>
              <w:bottom w:val="single" w:sz="8" w:color="EFE9FC"/>
            </w:tcBorders>
            <w:shd w:val="clear" w:color="auto" w:fill="EFE9FC"/>
          </w:tcPr>
          <w:p>
            <w:pPr>
              <w:jc w:val="right"/>
              <w:ind w:right="44"/>
              <w:spacing w:after="0"/>
              <w:rPr>
                <w:sz w:val="20"/>
                <w:szCs w:val="20"/>
                <w:color w:val="auto"/>
              </w:rPr>
            </w:pPr>
            <w:r>
              <w:rPr>
                <w:rFonts w:ascii="Arial" w:cs="Arial" w:eastAsia="Arial" w:hAnsi="Arial"/>
                <w:sz w:val="15"/>
                <w:szCs w:val="15"/>
                <w:color w:val="auto"/>
              </w:rPr>
              <w:t>62</w:t>
            </w:r>
          </w:p>
        </w:tc>
        <w:tc>
          <w:tcPr>
            <w:tcW w:w="800" w:type="dxa"/>
            <w:vAlign w:val="bottom"/>
            <w:tcBorders>
              <w:bottom w:val="single" w:sz="8" w:color="EFE9FC"/>
            </w:tcBorders>
            <w:shd w:val="clear" w:color="auto" w:fill="EFE9FC"/>
          </w:tcPr>
          <w:p>
            <w:pPr>
              <w:jc w:val="right"/>
              <w:ind w:right="24"/>
              <w:spacing w:after="0"/>
              <w:rPr>
                <w:sz w:val="20"/>
                <w:szCs w:val="20"/>
                <w:color w:val="auto"/>
              </w:rPr>
            </w:pPr>
            <w:r>
              <w:rPr>
                <w:rFonts w:ascii="Arial" w:cs="Arial" w:eastAsia="Arial" w:hAnsi="Arial"/>
                <w:sz w:val="15"/>
                <w:szCs w:val="15"/>
                <w:color w:val="auto"/>
              </w:rPr>
              <w:t>2016</w:t>
            </w:r>
          </w:p>
        </w:tc>
        <w:tc>
          <w:tcPr>
            <w:tcW w:w="4520" w:type="dxa"/>
            <w:vAlign w:val="bottom"/>
            <w:tcBorders>
              <w:bottom w:val="single" w:sz="8" w:color="EFE9FC"/>
            </w:tcBorders>
            <w:shd w:val="clear" w:color="auto" w:fill="EFE9FC"/>
          </w:tcPr>
          <w:p>
            <w:pPr>
              <w:ind w:left="120"/>
              <w:spacing w:after="0"/>
              <w:rPr>
                <w:sz w:val="20"/>
                <w:szCs w:val="20"/>
                <w:color w:val="auto"/>
              </w:rPr>
            </w:pPr>
            <w:r>
              <w:rPr>
                <w:rFonts w:ascii="Arial" w:cs="Arial" w:eastAsia="Arial" w:hAnsi="Arial"/>
                <w:sz w:val="15"/>
                <w:szCs w:val="15"/>
                <w:color w:val="auto"/>
              </w:rPr>
              <w:t>Retired, Global Head of Vision Care, Alcon Division, Novartis AG</w:t>
            </w:r>
          </w:p>
        </w:tc>
        <w:tc>
          <w:tcPr>
            <w:tcW w:w="1040" w:type="dxa"/>
            <w:vAlign w:val="bottom"/>
            <w:tcBorders>
              <w:bottom w:val="single" w:sz="8" w:color="EFE9FC"/>
            </w:tcBorders>
            <w:shd w:val="clear" w:color="auto" w:fill="EFE9FC"/>
          </w:tcPr>
          <w:p>
            <w:pPr>
              <w:jc w:val="right"/>
              <w:spacing w:after="0"/>
              <w:rPr>
                <w:sz w:val="20"/>
                <w:szCs w:val="20"/>
                <w:color w:val="auto"/>
              </w:rPr>
            </w:pPr>
            <w:r>
              <w:rPr>
                <w:rFonts w:ascii="Arial" w:cs="Arial" w:eastAsia="Arial" w:hAnsi="Arial"/>
                <w:sz w:val="15"/>
                <w:szCs w:val="15"/>
                <w:color w:val="auto"/>
              </w:rPr>
              <w:t>Yes</w:t>
            </w:r>
          </w:p>
        </w:tc>
      </w:tr>
      <w:tr>
        <w:trPr>
          <w:trHeight w:val="20"/>
        </w:trPr>
        <w:tc>
          <w:tcPr>
            <w:tcW w:w="2020" w:type="dxa"/>
            <w:vAlign w:val="bottom"/>
            <w:shd w:val="clear" w:color="auto" w:fill="4800E6"/>
          </w:tcPr>
          <w:p>
            <w:pPr>
              <w:spacing w:after="0" w:line="20" w:lineRule="exact"/>
              <w:rPr>
                <w:sz w:val="1"/>
                <w:szCs w:val="1"/>
                <w:color w:val="auto"/>
              </w:rPr>
            </w:pPr>
          </w:p>
        </w:tc>
        <w:tc>
          <w:tcPr>
            <w:tcW w:w="800" w:type="dxa"/>
            <w:vAlign w:val="bottom"/>
            <w:shd w:val="clear" w:color="auto" w:fill="4800E6"/>
          </w:tcPr>
          <w:p>
            <w:pPr>
              <w:spacing w:after="0" w:line="20" w:lineRule="exact"/>
              <w:rPr>
                <w:sz w:val="1"/>
                <w:szCs w:val="1"/>
                <w:color w:val="auto"/>
              </w:rPr>
            </w:pPr>
          </w:p>
        </w:tc>
        <w:tc>
          <w:tcPr>
            <w:tcW w:w="800" w:type="dxa"/>
            <w:vAlign w:val="bottom"/>
            <w:shd w:val="clear" w:color="auto" w:fill="4800E6"/>
          </w:tcPr>
          <w:p>
            <w:pPr>
              <w:spacing w:after="0" w:line="20" w:lineRule="exact"/>
              <w:rPr>
                <w:sz w:val="1"/>
                <w:szCs w:val="1"/>
                <w:color w:val="auto"/>
              </w:rPr>
            </w:pPr>
          </w:p>
        </w:tc>
        <w:tc>
          <w:tcPr>
            <w:tcW w:w="4520" w:type="dxa"/>
            <w:vAlign w:val="bottom"/>
            <w:shd w:val="clear" w:color="auto" w:fill="4800E6"/>
          </w:tcPr>
          <w:p>
            <w:pPr>
              <w:spacing w:after="0" w:line="20" w:lineRule="exact"/>
              <w:rPr>
                <w:sz w:val="1"/>
                <w:szCs w:val="1"/>
                <w:color w:val="auto"/>
              </w:rPr>
            </w:pPr>
          </w:p>
        </w:tc>
        <w:tc>
          <w:tcPr>
            <w:tcW w:w="1040" w:type="dxa"/>
            <w:vAlign w:val="bottom"/>
            <w:shd w:val="clear" w:color="auto" w:fill="4800E6"/>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0160"/>
          </w:cols>
          <w:pgMar w:left="320" w:top="131" w:right="141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ind w:left="4360"/>
        <w:spacing w:after="0"/>
        <w:tabs>
          <w:tab w:leader="none" w:pos="10060" w:val="left"/>
        </w:tabs>
        <w:rPr>
          <w:sz w:val="20"/>
          <w:szCs w:val="20"/>
          <w:color w:val="auto"/>
        </w:rPr>
      </w:pPr>
      <w:r>
        <w:rPr>
          <w:rFonts w:ascii="Arial" w:cs="Arial" w:eastAsia="Arial" w:hAnsi="Arial"/>
          <w:sz w:val="13"/>
          <w:szCs w:val="13"/>
          <w:b w:val="1"/>
          <w:bCs w:val="1"/>
          <w:color w:val="4800E6"/>
        </w:rPr>
        <w:t xml:space="preserve">LIVANOVA </w:t>
      </w:r>
      <w:r>
        <w:rPr>
          <w:rFonts w:ascii="Arial" w:cs="Arial" w:eastAsia="Arial" w:hAnsi="Arial"/>
          <w:sz w:val="13"/>
          <w:szCs w:val="13"/>
          <w:color w:val="000000"/>
        </w:rPr>
        <w:t>|</w:t>
      </w:r>
      <w:r>
        <w:rPr>
          <w:rFonts w:ascii="Arial" w:cs="Arial" w:eastAsia="Arial" w:hAnsi="Arial"/>
          <w:sz w:val="13"/>
          <w:szCs w:val="13"/>
          <w:b w:val="1"/>
          <w:bCs w:val="1"/>
          <w:color w:val="4800E6"/>
        </w:rPr>
        <w:t xml:space="preserve"> </w:t>
      </w:r>
      <w:r>
        <w:rPr>
          <w:rFonts w:ascii="Arial" w:cs="Arial" w:eastAsia="Arial" w:hAnsi="Arial"/>
          <w:sz w:val="13"/>
          <w:szCs w:val="13"/>
          <w:color w:val="4800E6"/>
        </w:rPr>
        <w:t>2020</w:t>
      </w:r>
      <w:r>
        <w:rPr>
          <w:rFonts w:ascii="Arial" w:cs="Arial" w:eastAsia="Arial" w:hAnsi="Arial"/>
          <w:sz w:val="13"/>
          <w:szCs w:val="13"/>
          <w:b w:val="1"/>
          <w:bCs w:val="1"/>
          <w:color w:val="4800E6"/>
        </w:rPr>
        <w:t xml:space="preserve"> </w:t>
      </w:r>
      <w:r>
        <w:rPr>
          <w:rFonts w:ascii="Arial" w:cs="Arial" w:eastAsia="Arial" w:hAnsi="Arial"/>
          <w:sz w:val="13"/>
          <w:szCs w:val="13"/>
          <w:color w:val="000000"/>
        </w:rPr>
        <w:t>Proxy Statement</w:t>
      </w:r>
      <w:r>
        <w:rPr>
          <w:sz w:val="20"/>
          <w:szCs w:val="20"/>
          <w:color w:val="auto"/>
        </w:rPr>
        <w:tab/>
      </w:r>
      <w:r>
        <w:rPr>
          <w:rFonts w:ascii="Arial" w:cs="Arial" w:eastAsia="Arial" w:hAnsi="Arial"/>
          <w:sz w:val="14"/>
          <w:szCs w:val="14"/>
          <w:b w:val="1"/>
          <w:bCs w:val="1"/>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519430</wp:posOffset>
            </wp:positionH>
            <wp:positionV relativeFrom="paragraph">
              <wp:posOffset>-15875</wp:posOffset>
            </wp:positionV>
            <wp:extent cx="1954530" cy="88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1954530" cy="8890"/>
                    </a:xfrm>
                    <a:prstGeom prst="rect">
                      <a:avLst/>
                    </a:prstGeom>
                    <a:noFill/>
                  </pic:spPr>
                </pic:pic>
              </a:graphicData>
            </a:graphic>
          </wp:anchor>
        </w:drawing>
        <w:drawing>
          <wp:anchor simplePos="0" relativeHeight="251657728" behindDoc="1" locked="0" layoutInCell="0" allowOverlap="1">
            <wp:simplePos x="0" y="0"/>
            <wp:positionH relativeFrom="column">
              <wp:posOffset>4274185</wp:posOffset>
            </wp:positionH>
            <wp:positionV relativeFrom="paragraph">
              <wp:posOffset>-15875</wp:posOffset>
            </wp:positionV>
            <wp:extent cx="1954530" cy="88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195453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94615</wp:posOffset>
            </wp:positionV>
            <wp:extent cx="6806565" cy="171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10160"/>
          </w:cols>
          <w:pgMar w:left="320" w:top="131" w:right="1419" w:bottom="1440" w:gutter="0" w:footer="0" w:header="0"/>
          <w:type w:val="continuous"/>
        </w:sectPr>
      </w:pPr>
    </w:p>
    <w:bookmarkStart w:id="8" w:name="page9"/>
    <w:bookmarkEnd w:id="8"/>
    <w:p>
      <w:pPr>
        <w:spacing w:after="0"/>
        <w:rPr>
          <w:rFonts w:ascii="Arial" w:cs="Arial" w:eastAsia="Arial" w:hAnsi="Arial"/>
          <w:sz w:val="14"/>
          <w:szCs w:val="14"/>
          <w:color w:val="003366"/>
        </w:rPr>
      </w:pPr>
      <w:hyperlink w:anchor="page4">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ind w:left="760"/>
        <w:spacing w:after="0"/>
        <w:rPr>
          <w:sz w:val="20"/>
          <w:szCs w:val="20"/>
          <w:color w:val="auto"/>
        </w:rPr>
      </w:pPr>
      <w:r>
        <w:rPr>
          <w:rFonts w:ascii="Arial" w:cs="Arial" w:eastAsia="Arial" w:hAnsi="Arial"/>
          <w:sz w:val="31"/>
          <w:szCs w:val="31"/>
          <w:b w:val="1"/>
          <w:bCs w:val="1"/>
          <w:color w:val="4800E6"/>
        </w:rPr>
        <w:t>Executive Compensation Philosophy</w:t>
      </w:r>
    </w:p>
    <w:p>
      <w:pPr>
        <w:spacing w:after="0" w:line="146" w:lineRule="exact"/>
        <w:rPr>
          <w:sz w:val="20"/>
          <w:szCs w:val="20"/>
          <w:color w:val="auto"/>
        </w:rPr>
      </w:pPr>
    </w:p>
    <w:p>
      <w:pPr>
        <w:ind w:left="760" w:right="399"/>
        <w:spacing w:after="0" w:line="250" w:lineRule="auto"/>
        <w:rPr>
          <w:sz w:val="20"/>
          <w:szCs w:val="20"/>
          <w:color w:val="auto"/>
        </w:rPr>
      </w:pPr>
      <w:r>
        <w:rPr>
          <w:rFonts w:ascii="Arial" w:cs="Arial" w:eastAsia="Arial" w:hAnsi="Arial"/>
          <w:sz w:val="16"/>
          <w:szCs w:val="16"/>
          <w:color w:val="auto"/>
        </w:rPr>
        <w:t>Our market-competitive executive compensation program acts as an incentive for our named executive officers (“NEOs”) to perform at their highest level, take appropriate risks and drive shareholder return in the short and long term. Our executive compensation program aims to ensure that we recruit and retain key executive officers responsible for our success and align the interests of our executive officers, including our NEOs, with shareholders. To achieve these ends, the Compensation Committee structures the executive compensation program to:</w:t>
      </w:r>
    </w:p>
    <w:p>
      <w:pPr>
        <w:spacing w:after="0" w:line="27" w:lineRule="exact"/>
        <w:rPr>
          <w:sz w:val="20"/>
          <w:szCs w:val="20"/>
          <w:color w:val="auto"/>
        </w:rPr>
      </w:pPr>
    </w:p>
    <w:p>
      <w:pPr>
        <w:ind w:left="920" w:right="939" w:hanging="156"/>
        <w:spacing w:after="0" w:line="260" w:lineRule="auto"/>
        <w:tabs>
          <w:tab w:leader="none" w:pos="920" w:val="left"/>
        </w:tabs>
        <w:numPr>
          <w:ilvl w:val="0"/>
          <w:numId w:val="10"/>
        </w:numPr>
        <w:rPr>
          <w:rFonts w:ascii="Arial" w:cs="Arial" w:eastAsia="Arial" w:hAnsi="Arial"/>
          <w:sz w:val="16"/>
          <w:szCs w:val="16"/>
          <w:color w:val="4800E6"/>
        </w:rPr>
      </w:pPr>
      <w:r>
        <w:rPr>
          <w:rFonts w:ascii="Arial" w:cs="Arial" w:eastAsia="Arial" w:hAnsi="Arial"/>
          <w:sz w:val="16"/>
          <w:szCs w:val="16"/>
          <w:color w:val="auto"/>
        </w:rPr>
        <w:t>Target NEO pay around the market median to attract, motivate and retain talented executive officers with the skills and experience to ensure our long-term success;</w:t>
      </w:r>
    </w:p>
    <w:p>
      <w:pPr>
        <w:spacing w:after="0" w:line="6" w:lineRule="exact"/>
        <w:rPr>
          <w:rFonts w:ascii="Arial" w:cs="Arial" w:eastAsia="Arial" w:hAnsi="Arial"/>
          <w:sz w:val="16"/>
          <w:szCs w:val="16"/>
          <w:color w:val="4800E6"/>
        </w:rPr>
      </w:pPr>
    </w:p>
    <w:p>
      <w:pPr>
        <w:ind w:left="920" w:right="479" w:hanging="156"/>
        <w:spacing w:after="0" w:line="260" w:lineRule="auto"/>
        <w:tabs>
          <w:tab w:leader="none" w:pos="920" w:val="left"/>
        </w:tabs>
        <w:numPr>
          <w:ilvl w:val="0"/>
          <w:numId w:val="10"/>
        </w:numPr>
        <w:rPr>
          <w:rFonts w:ascii="Arial" w:cs="Arial" w:eastAsia="Arial" w:hAnsi="Arial"/>
          <w:sz w:val="16"/>
          <w:szCs w:val="16"/>
          <w:color w:val="4800E6"/>
        </w:rPr>
      </w:pPr>
      <w:r>
        <w:rPr>
          <w:rFonts w:ascii="Arial" w:cs="Arial" w:eastAsia="Arial" w:hAnsi="Arial"/>
          <w:sz w:val="16"/>
          <w:szCs w:val="16"/>
          <w:color w:val="auto"/>
        </w:rPr>
        <w:t>Use multiple pay and award vehicles that work together to reward performance and retain talent, while maintaining alignment with shareholder interests;</w:t>
      </w:r>
    </w:p>
    <w:p>
      <w:pPr>
        <w:spacing w:after="0" w:line="19" w:lineRule="exact"/>
        <w:rPr>
          <w:rFonts w:ascii="Arial" w:cs="Arial" w:eastAsia="Arial" w:hAnsi="Arial"/>
          <w:sz w:val="16"/>
          <w:szCs w:val="16"/>
          <w:color w:val="4800E6"/>
        </w:rPr>
      </w:pPr>
    </w:p>
    <w:p>
      <w:pPr>
        <w:ind w:left="920" w:right="959" w:hanging="156"/>
        <w:spacing w:after="0" w:line="260" w:lineRule="auto"/>
        <w:tabs>
          <w:tab w:leader="none" w:pos="920" w:val="left"/>
        </w:tabs>
        <w:numPr>
          <w:ilvl w:val="0"/>
          <w:numId w:val="10"/>
        </w:numPr>
        <w:rPr>
          <w:rFonts w:ascii="Arial" w:cs="Arial" w:eastAsia="Arial" w:hAnsi="Arial"/>
          <w:sz w:val="16"/>
          <w:szCs w:val="16"/>
          <w:color w:val="4800E6"/>
        </w:rPr>
      </w:pPr>
      <w:r>
        <w:rPr>
          <w:rFonts w:ascii="Arial" w:cs="Arial" w:eastAsia="Arial" w:hAnsi="Arial"/>
          <w:sz w:val="16"/>
          <w:szCs w:val="16"/>
          <w:color w:val="auto"/>
        </w:rPr>
        <w:t>Reward individual performance with base salary and a cash-based short-term bonus ensuring a meaningful link to our operational performance and shareholder interests;</w:t>
      </w:r>
    </w:p>
    <w:p>
      <w:pPr>
        <w:spacing w:after="0" w:line="19" w:lineRule="exact"/>
        <w:rPr>
          <w:rFonts w:ascii="Arial" w:cs="Arial" w:eastAsia="Arial" w:hAnsi="Arial"/>
          <w:sz w:val="16"/>
          <w:szCs w:val="16"/>
          <w:color w:val="4800E6"/>
        </w:rPr>
      </w:pPr>
    </w:p>
    <w:p>
      <w:pPr>
        <w:ind w:left="920" w:right="779" w:hanging="156"/>
        <w:spacing w:after="0" w:line="260" w:lineRule="auto"/>
        <w:tabs>
          <w:tab w:leader="none" w:pos="920" w:val="left"/>
        </w:tabs>
        <w:numPr>
          <w:ilvl w:val="0"/>
          <w:numId w:val="10"/>
        </w:numPr>
        <w:rPr>
          <w:rFonts w:ascii="Arial" w:cs="Arial" w:eastAsia="Arial" w:hAnsi="Arial"/>
          <w:sz w:val="16"/>
          <w:szCs w:val="16"/>
          <w:color w:val="4800E6"/>
        </w:rPr>
      </w:pPr>
      <w:r>
        <w:rPr>
          <w:rFonts w:ascii="Arial" w:cs="Arial" w:eastAsia="Arial" w:hAnsi="Arial"/>
          <w:sz w:val="16"/>
          <w:szCs w:val="16"/>
          <w:color w:val="auto"/>
        </w:rPr>
        <w:t>Pay a substantial portion of each NEO’s compensation as variable pay contingent upon the achievement of our business objectives;</w:t>
      </w:r>
    </w:p>
    <w:p>
      <w:pPr>
        <w:spacing w:after="0" w:line="6" w:lineRule="exact"/>
        <w:rPr>
          <w:rFonts w:ascii="Arial" w:cs="Arial" w:eastAsia="Arial" w:hAnsi="Arial"/>
          <w:sz w:val="16"/>
          <w:szCs w:val="16"/>
          <w:color w:val="4800E6"/>
        </w:rPr>
      </w:pPr>
    </w:p>
    <w:p>
      <w:pPr>
        <w:jc w:val="both"/>
        <w:ind w:left="920" w:right="499" w:hanging="156"/>
        <w:spacing w:after="0" w:line="253" w:lineRule="auto"/>
        <w:tabs>
          <w:tab w:leader="none" w:pos="920" w:val="left"/>
        </w:tabs>
        <w:numPr>
          <w:ilvl w:val="0"/>
          <w:numId w:val="10"/>
        </w:numPr>
        <w:rPr>
          <w:rFonts w:ascii="Arial" w:cs="Arial" w:eastAsia="Arial" w:hAnsi="Arial"/>
          <w:sz w:val="16"/>
          <w:szCs w:val="16"/>
          <w:color w:val="4800E6"/>
        </w:rPr>
      </w:pPr>
      <w:r>
        <w:rPr>
          <w:rFonts w:ascii="Arial" w:cs="Arial" w:eastAsia="Arial" w:hAnsi="Arial"/>
          <w:sz w:val="16"/>
          <w:szCs w:val="16"/>
          <w:color w:val="auto"/>
        </w:rPr>
        <w:t>Balance the components of compensation so that short-term (annual) and long-term performance objectives are recognized because our success depends on our executive officers being focused on critical strategic and tactical objectives, both short-term and long-term;</w:t>
      </w:r>
    </w:p>
    <w:p>
      <w:pPr>
        <w:spacing w:after="0" w:line="25" w:lineRule="exact"/>
        <w:rPr>
          <w:rFonts w:ascii="Arial" w:cs="Arial" w:eastAsia="Arial" w:hAnsi="Arial"/>
          <w:sz w:val="16"/>
          <w:szCs w:val="16"/>
          <w:color w:val="4800E6"/>
        </w:rPr>
      </w:pPr>
    </w:p>
    <w:p>
      <w:pPr>
        <w:ind w:left="920" w:hanging="156"/>
        <w:spacing w:after="0"/>
        <w:tabs>
          <w:tab w:leader="none" w:pos="920" w:val="left"/>
        </w:tabs>
        <w:numPr>
          <w:ilvl w:val="0"/>
          <w:numId w:val="10"/>
        </w:numPr>
        <w:rPr>
          <w:rFonts w:ascii="Arial" w:cs="Arial" w:eastAsia="Arial" w:hAnsi="Arial"/>
          <w:sz w:val="16"/>
          <w:szCs w:val="16"/>
          <w:color w:val="4800E6"/>
        </w:rPr>
      </w:pPr>
      <w:r>
        <w:rPr>
          <w:rFonts w:ascii="Arial" w:cs="Arial" w:eastAsia="Arial" w:hAnsi="Arial"/>
          <w:sz w:val="16"/>
          <w:szCs w:val="16"/>
          <w:color w:val="auto"/>
        </w:rPr>
        <w:t>Encourage NEOs to have a meaningful ownership interest in the Company with stock ownership guidelines;</w:t>
      </w:r>
    </w:p>
    <w:p>
      <w:pPr>
        <w:spacing w:after="0" w:line="45" w:lineRule="exact"/>
        <w:rPr>
          <w:rFonts w:ascii="Arial" w:cs="Arial" w:eastAsia="Arial" w:hAnsi="Arial"/>
          <w:sz w:val="16"/>
          <w:szCs w:val="16"/>
          <w:color w:val="4800E6"/>
        </w:rPr>
      </w:pPr>
    </w:p>
    <w:p>
      <w:pPr>
        <w:ind w:left="920" w:hanging="156"/>
        <w:spacing w:after="0"/>
        <w:tabs>
          <w:tab w:leader="none" w:pos="920" w:val="left"/>
        </w:tabs>
        <w:numPr>
          <w:ilvl w:val="0"/>
          <w:numId w:val="10"/>
        </w:numPr>
        <w:rPr>
          <w:rFonts w:ascii="Arial" w:cs="Arial" w:eastAsia="Arial" w:hAnsi="Arial"/>
          <w:sz w:val="16"/>
          <w:szCs w:val="16"/>
          <w:color w:val="4800E6"/>
        </w:rPr>
      </w:pPr>
      <w:r>
        <w:rPr>
          <w:rFonts w:ascii="Arial" w:cs="Arial" w:eastAsia="Arial" w:hAnsi="Arial"/>
          <w:sz w:val="16"/>
          <w:szCs w:val="16"/>
          <w:color w:val="auto"/>
        </w:rPr>
        <w:t>Vest equity awards over time to promote retention;</w:t>
      </w:r>
    </w:p>
    <w:p>
      <w:pPr>
        <w:spacing w:after="0" w:line="32" w:lineRule="exact"/>
        <w:rPr>
          <w:rFonts w:ascii="Arial" w:cs="Arial" w:eastAsia="Arial" w:hAnsi="Arial"/>
          <w:sz w:val="16"/>
          <w:szCs w:val="16"/>
          <w:color w:val="4800E6"/>
        </w:rPr>
      </w:pPr>
    </w:p>
    <w:p>
      <w:pPr>
        <w:ind w:left="920" w:hanging="156"/>
        <w:spacing w:after="0"/>
        <w:tabs>
          <w:tab w:leader="none" w:pos="920" w:val="left"/>
        </w:tabs>
        <w:numPr>
          <w:ilvl w:val="0"/>
          <w:numId w:val="10"/>
        </w:numPr>
        <w:rPr>
          <w:rFonts w:ascii="Arial" w:cs="Arial" w:eastAsia="Arial" w:hAnsi="Arial"/>
          <w:sz w:val="16"/>
          <w:szCs w:val="16"/>
          <w:color w:val="4800E6"/>
        </w:rPr>
      </w:pPr>
      <w:r>
        <w:rPr>
          <w:rFonts w:ascii="Arial" w:cs="Arial" w:eastAsia="Arial" w:hAnsi="Arial"/>
          <w:sz w:val="16"/>
          <w:szCs w:val="16"/>
          <w:color w:val="auto"/>
        </w:rPr>
        <w:t>Have clawback provisions in our plans to mitigate risk; and</w:t>
      </w:r>
    </w:p>
    <w:p>
      <w:pPr>
        <w:spacing w:after="0" w:line="45" w:lineRule="exact"/>
        <w:rPr>
          <w:rFonts w:ascii="Arial" w:cs="Arial" w:eastAsia="Arial" w:hAnsi="Arial"/>
          <w:sz w:val="16"/>
          <w:szCs w:val="16"/>
          <w:color w:val="4800E6"/>
        </w:rPr>
      </w:pPr>
    </w:p>
    <w:p>
      <w:pPr>
        <w:ind w:left="920" w:hanging="156"/>
        <w:spacing w:after="0"/>
        <w:tabs>
          <w:tab w:leader="none" w:pos="920" w:val="left"/>
        </w:tabs>
        <w:numPr>
          <w:ilvl w:val="0"/>
          <w:numId w:val="10"/>
        </w:numPr>
        <w:rPr>
          <w:rFonts w:ascii="Arial" w:cs="Arial" w:eastAsia="Arial" w:hAnsi="Arial"/>
          <w:sz w:val="16"/>
          <w:szCs w:val="16"/>
          <w:color w:val="4800E6"/>
        </w:rPr>
      </w:pPr>
      <w:r>
        <w:rPr>
          <w:rFonts w:ascii="Arial" w:cs="Arial" w:eastAsia="Arial" w:hAnsi="Arial"/>
          <w:sz w:val="16"/>
          <w:szCs w:val="16"/>
          <w:color w:val="auto"/>
        </w:rPr>
        <w:t>Work with an independent compensation consultant to ensure our program is meeting its goals.</w:t>
      </w:r>
    </w:p>
    <w:p>
      <w:pPr>
        <w:sectPr>
          <w:pgSz w:w="11900" w:h="16838" w:orient="portrait"/>
          <w:cols w:equalWidth="0" w:num="1">
            <w:col w:w="10139"/>
          </w:cols>
          <w:pgMar w:left="320" w:top="131"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ind w:left="540"/>
        <w:spacing w:after="0"/>
        <w:tabs>
          <w:tab w:leader="none" w:pos="4400" w:val="left"/>
          <w:tab w:leader="none" w:pos="8760" w:val="left"/>
        </w:tabs>
        <w:rPr>
          <w:sz w:val="20"/>
          <w:szCs w:val="20"/>
          <w:color w:val="auto"/>
        </w:rPr>
      </w:pPr>
      <w:r>
        <w:rPr>
          <w:rFonts w:ascii="Arial" w:cs="Arial" w:eastAsia="Arial" w:hAnsi="Arial"/>
          <w:sz w:val="14"/>
          <w:szCs w:val="14"/>
          <w:b w:val="1"/>
          <w:bCs w:val="1"/>
          <w:color w:val="auto"/>
        </w:rPr>
        <w:t>5</w:t>
      </w:r>
      <w:r>
        <w:rPr>
          <w:sz w:val="20"/>
          <w:szCs w:val="20"/>
          <w:color w:val="auto"/>
        </w:rPr>
        <w:tab/>
      </w:r>
      <w:r>
        <w:rPr>
          <w:rFonts w:ascii="Arial" w:cs="Arial" w:eastAsia="Arial" w:hAnsi="Arial"/>
          <w:sz w:val="13"/>
          <w:szCs w:val="13"/>
          <w:b w:val="1"/>
          <w:bCs w:val="1"/>
          <w:color w:val="4800E6"/>
        </w:rPr>
        <w:t xml:space="preserve">LIVANOVA </w:t>
      </w:r>
      <w:r>
        <w:rPr>
          <w:rFonts w:ascii="Arial" w:cs="Arial" w:eastAsia="Arial" w:hAnsi="Arial"/>
          <w:sz w:val="13"/>
          <w:szCs w:val="13"/>
          <w:color w:val="000000"/>
        </w:rPr>
        <w:t>|</w:t>
      </w:r>
      <w:r>
        <w:rPr>
          <w:rFonts w:ascii="Arial" w:cs="Arial" w:eastAsia="Arial" w:hAnsi="Arial"/>
          <w:sz w:val="13"/>
          <w:szCs w:val="13"/>
          <w:b w:val="1"/>
          <w:bCs w:val="1"/>
          <w:color w:val="4800E6"/>
        </w:rPr>
        <w:t xml:space="preserve"> </w:t>
      </w:r>
      <w:r>
        <w:rPr>
          <w:rFonts w:ascii="Arial" w:cs="Arial" w:eastAsia="Arial" w:hAnsi="Arial"/>
          <w:sz w:val="13"/>
          <w:szCs w:val="13"/>
          <w:color w:val="4800E6"/>
        </w:rPr>
        <w:t>2020</w:t>
      </w:r>
      <w:r>
        <w:rPr>
          <w:rFonts w:ascii="Arial" w:cs="Arial" w:eastAsia="Arial" w:hAnsi="Arial"/>
          <w:sz w:val="13"/>
          <w:szCs w:val="13"/>
          <w:b w:val="1"/>
          <w:bCs w:val="1"/>
          <w:color w:val="4800E6"/>
        </w:rPr>
        <w:t xml:space="preserve"> </w:t>
      </w:r>
      <w:r>
        <w:rPr>
          <w:rFonts w:ascii="Arial" w:cs="Arial" w:eastAsia="Arial" w:hAnsi="Arial"/>
          <w:sz w:val="13"/>
          <w:szCs w:val="13"/>
          <w:color w:val="000000"/>
        </w:rPr>
        <w:t>Proxy Statement</w:t>
      </w:r>
      <w:r>
        <w:rPr>
          <w:sz w:val="20"/>
          <w:szCs w:val="20"/>
          <w:color w:val="auto"/>
        </w:rPr>
        <w:tab/>
      </w:r>
      <w:r>
        <w:rPr>
          <w:rFonts w:ascii="Arial" w:cs="Arial" w:eastAsia="Arial" w:hAnsi="Arial"/>
          <w:sz w:val="12"/>
          <w:szCs w:val="12"/>
          <w:b w:val="1"/>
          <w:bCs w:val="1"/>
          <w:color w:val="4800E6"/>
        </w:rPr>
        <w:t>www.livanova.com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519430</wp:posOffset>
            </wp:positionH>
            <wp:positionV relativeFrom="paragraph">
              <wp:posOffset>-15875</wp:posOffset>
            </wp:positionV>
            <wp:extent cx="1954530" cy="88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1954530" cy="8890"/>
                    </a:xfrm>
                    <a:prstGeom prst="rect">
                      <a:avLst/>
                    </a:prstGeom>
                    <a:noFill/>
                  </pic:spPr>
                </pic:pic>
              </a:graphicData>
            </a:graphic>
          </wp:anchor>
        </w:drawing>
        <w:drawing>
          <wp:anchor simplePos="0" relativeHeight="251657728" behindDoc="1" locked="0" layoutInCell="0" allowOverlap="1">
            <wp:simplePos x="0" y="0"/>
            <wp:positionH relativeFrom="column">
              <wp:posOffset>4316730</wp:posOffset>
            </wp:positionH>
            <wp:positionV relativeFrom="paragraph">
              <wp:posOffset>-15875</wp:posOffset>
            </wp:positionV>
            <wp:extent cx="1028700" cy="88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102870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94615</wp:posOffset>
            </wp:positionV>
            <wp:extent cx="6806565" cy="171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10139"/>
          </w:cols>
          <w:pgMar w:left="320" w:top="131" w:right="1440" w:bottom="1440" w:gutter="0" w:footer="0" w:header="0"/>
          <w:type w:val="continuous"/>
        </w:sectPr>
      </w:pPr>
    </w:p>
    <w:bookmarkStart w:id="9" w:name="page10"/>
    <w:bookmarkEnd w:id="9"/>
    <w:p>
      <w:pPr>
        <w:spacing w:after="0"/>
        <w:rPr>
          <w:rFonts w:ascii="Arial" w:cs="Arial" w:eastAsia="Arial" w:hAnsi="Arial"/>
          <w:sz w:val="14"/>
          <w:szCs w:val="14"/>
          <w:color w:val="003366"/>
        </w:rPr>
      </w:pPr>
      <w:hyperlink w:anchor="page4">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ind w:left="760"/>
        <w:spacing w:after="0"/>
        <w:rPr>
          <w:sz w:val="20"/>
          <w:szCs w:val="20"/>
          <w:color w:val="auto"/>
        </w:rPr>
      </w:pPr>
      <w:r>
        <w:rPr>
          <w:rFonts w:ascii="Arial" w:cs="Arial" w:eastAsia="Arial" w:hAnsi="Arial"/>
          <w:sz w:val="47"/>
          <w:szCs w:val="47"/>
          <w:b w:val="1"/>
          <w:bCs w:val="1"/>
          <w:color w:val="4800E6"/>
        </w:rPr>
        <w:t>Cautionary Note Regarding</w:t>
      </w:r>
    </w:p>
    <w:p>
      <w:pPr>
        <w:spacing w:after="0" w:line="71" w:lineRule="exact"/>
        <w:rPr>
          <w:sz w:val="20"/>
          <w:szCs w:val="20"/>
          <w:color w:val="auto"/>
        </w:rPr>
      </w:pPr>
    </w:p>
    <w:p>
      <w:pPr>
        <w:ind w:left="760"/>
        <w:spacing w:after="0"/>
        <w:rPr>
          <w:sz w:val="20"/>
          <w:szCs w:val="20"/>
          <w:color w:val="auto"/>
        </w:rPr>
      </w:pPr>
      <w:r>
        <w:rPr>
          <w:rFonts w:ascii="Arial" w:cs="Arial" w:eastAsia="Arial" w:hAnsi="Arial"/>
          <w:sz w:val="47"/>
          <w:szCs w:val="47"/>
          <w:b w:val="1"/>
          <w:bCs w:val="1"/>
          <w:color w:val="666666"/>
        </w:rPr>
        <w:t>Forward-Looking Statements</w:t>
      </w:r>
    </w:p>
    <w:p>
      <w:pPr>
        <w:spacing w:after="0" w:line="101" w:lineRule="exact"/>
        <w:rPr>
          <w:sz w:val="20"/>
          <w:szCs w:val="20"/>
          <w:color w:val="auto"/>
        </w:rPr>
      </w:pPr>
    </w:p>
    <w:p>
      <w:pPr>
        <w:ind w:left="760" w:right="260"/>
        <w:spacing w:after="0" w:line="266" w:lineRule="auto"/>
        <w:rPr>
          <w:sz w:val="20"/>
          <w:szCs w:val="20"/>
          <w:color w:val="auto"/>
        </w:rPr>
      </w:pPr>
      <w:r>
        <w:rPr>
          <w:rFonts w:ascii="Arial" w:cs="Arial" w:eastAsia="Arial" w:hAnsi="Arial"/>
          <w:sz w:val="15"/>
          <w:szCs w:val="15"/>
          <w:color w:val="auto"/>
        </w:rPr>
        <w:t>This proxy statement contains forward-looking statements within the meaning of the US federal securities laws. Forward-looking statements may be identified by words like “may,” “could,” “seek,” “guidance,” “predict,” “potential,” “likely,” “believe,” “will,” “should,” “expect,” “anticipate,” “estimate,” “plan,” “intend,” “forecast,” “foresee” or variations of these terms and similar expressions, or the negative of these terms or similar expressions. Forward-looking statements in this proxy statement include, but are not limited to, statements regarding individual and Company performance objectives and targets. These and other forward-looking statements are based on our beliefs, assumptions and estimates using information available to us at the time and are not intended to be guarantees of future events or performance. Factors that may cause actual results to differ materially from those contemplated by the statements in this proxy statement can be found in our periodic reports on file with the SEC. The forward-looking statements speak only as of the date of this proxy statement and undue reliance should not be placed on these statements. We disclaim any intention or obligation to publicly update or revise any forward-looking statements, unless required by applicable securities laws. This cautionary statement is applicable to all forward-looking statements contained in this document.</w:t>
      </w:r>
    </w:p>
    <w:p>
      <w:pPr>
        <w:sectPr>
          <w:pgSz w:w="11900" w:h="16838" w:orient="portrait"/>
          <w:cols w:equalWidth="0" w:num="1">
            <w:col w:w="10160"/>
          </w:cols>
          <w:pgMar w:left="320" w:top="131" w:right="141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p>
      <w:pPr>
        <w:ind w:left="4360"/>
        <w:spacing w:after="0"/>
        <w:tabs>
          <w:tab w:leader="none" w:pos="10060" w:val="left"/>
        </w:tabs>
        <w:rPr>
          <w:sz w:val="20"/>
          <w:szCs w:val="20"/>
          <w:color w:val="auto"/>
        </w:rPr>
      </w:pPr>
      <w:r>
        <w:rPr>
          <w:rFonts w:ascii="Arial" w:cs="Arial" w:eastAsia="Arial" w:hAnsi="Arial"/>
          <w:sz w:val="13"/>
          <w:szCs w:val="13"/>
          <w:b w:val="1"/>
          <w:bCs w:val="1"/>
          <w:color w:val="4800E6"/>
        </w:rPr>
        <w:t xml:space="preserve">LIVANOVA </w:t>
      </w:r>
      <w:r>
        <w:rPr>
          <w:rFonts w:ascii="Arial" w:cs="Arial" w:eastAsia="Arial" w:hAnsi="Arial"/>
          <w:sz w:val="13"/>
          <w:szCs w:val="13"/>
          <w:color w:val="000000"/>
        </w:rPr>
        <w:t>|</w:t>
      </w:r>
      <w:r>
        <w:rPr>
          <w:rFonts w:ascii="Arial" w:cs="Arial" w:eastAsia="Arial" w:hAnsi="Arial"/>
          <w:sz w:val="13"/>
          <w:szCs w:val="13"/>
          <w:b w:val="1"/>
          <w:bCs w:val="1"/>
          <w:color w:val="4800E6"/>
        </w:rPr>
        <w:t xml:space="preserve"> </w:t>
      </w:r>
      <w:r>
        <w:rPr>
          <w:rFonts w:ascii="Arial" w:cs="Arial" w:eastAsia="Arial" w:hAnsi="Arial"/>
          <w:sz w:val="13"/>
          <w:szCs w:val="13"/>
          <w:color w:val="4800E6"/>
        </w:rPr>
        <w:t>2020</w:t>
      </w:r>
      <w:r>
        <w:rPr>
          <w:rFonts w:ascii="Arial" w:cs="Arial" w:eastAsia="Arial" w:hAnsi="Arial"/>
          <w:sz w:val="13"/>
          <w:szCs w:val="13"/>
          <w:b w:val="1"/>
          <w:bCs w:val="1"/>
          <w:color w:val="4800E6"/>
        </w:rPr>
        <w:t xml:space="preserve"> </w:t>
      </w:r>
      <w:r>
        <w:rPr>
          <w:rFonts w:ascii="Arial" w:cs="Arial" w:eastAsia="Arial" w:hAnsi="Arial"/>
          <w:sz w:val="13"/>
          <w:szCs w:val="13"/>
          <w:color w:val="000000"/>
        </w:rPr>
        <w:t>Proxy Statement</w:t>
      </w:r>
      <w:r>
        <w:rPr>
          <w:sz w:val="20"/>
          <w:szCs w:val="20"/>
          <w:color w:val="auto"/>
        </w:rPr>
        <w:tab/>
      </w:r>
      <w:r>
        <w:rPr>
          <w:rFonts w:ascii="Arial" w:cs="Arial" w:eastAsia="Arial" w:hAnsi="Arial"/>
          <w:sz w:val="14"/>
          <w:szCs w:val="14"/>
          <w:b w:val="1"/>
          <w:bCs w:val="1"/>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519430</wp:posOffset>
            </wp:positionH>
            <wp:positionV relativeFrom="paragraph">
              <wp:posOffset>-15875</wp:posOffset>
            </wp:positionV>
            <wp:extent cx="1954530" cy="825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1954530" cy="8255"/>
                    </a:xfrm>
                    <a:prstGeom prst="rect">
                      <a:avLst/>
                    </a:prstGeom>
                    <a:noFill/>
                  </pic:spPr>
                </pic:pic>
              </a:graphicData>
            </a:graphic>
          </wp:anchor>
        </w:drawing>
        <w:drawing>
          <wp:anchor simplePos="0" relativeHeight="251657728" behindDoc="1" locked="0" layoutInCell="0" allowOverlap="1">
            <wp:simplePos x="0" y="0"/>
            <wp:positionH relativeFrom="column">
              <wp:posOffset>4274185</wp:posOffset>
            </wp:positionH>
            <wp:positionV relativeFrom="paragraph">
              <wp:posOffset>-15875</wp:posOffset>
            </wp:positionV>
            <wp:extent cx="1954530" cy="825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195453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94615</wp:posOffset>
            </wp:positionV>
            <wp:extent cx="6806565" cy="171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10160"/>
          </w:cols>
          <w:pgMar w:left="320" w:top="131" w:right="1419" w:bottom="1440" w:gutter="0" w:footer="0" w:header="0"/>
          <w:type w:val="continuous"/>
        </w:sectPr>
      </w:pPr>
    </w:p>
    <w:bookmarkStart w:id="10" w:name="page11"/>
    <w:bookmarkEnd w:id="10"/>
    <w:p>
      <w:pPr>
        <w:spacing w:after="0"/>
        <w:rPr>
          <w:rFonts w:ascii="Arial" w:cs="Arial" w:eastAsia="Arial" w:hAnsi="Arial"/>
          <w:sz w:val="14"/>
          <w:szCs w:val="14"/>
          <w:color w:val="003366"/>
        </w:rPr>
      </w:pPr>
      <w:hyperlink w:anchor="page4">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ind w:left="760"/>
        <w:spacing w:after="0"/>
        <w:rPr>
          <w:sz w:val="20"/>
          <w:szCs w:val="20"/>
          <w:color w:val="auto"/>
        </w:rPr>
      </w:pPr>
      <w:r>
        <w:rPr>
          <w:rFonts w:ascii="Arial" w:cs="Arial" w:eastAsia="Arial" w:hAnsi="Arial"/>
          <w:sz w:val="47"/>
          <w:szCs w:val="47"/>
          <w:b w:val="1"/>
          <w:bCs w:val="1"/>
          <w:color w:val="4800E6"/>
        </w:rPr>
        <w:t xml:space="preserve">Resolutions and </w:t>
      </w:r>
      <w:r>
        <w:rPr>
          <w:rFonts w:ascii="Arial" w:cs="Arial" w:eastAsia="Arial" w:hAnsi="Arial"/>
          <w:sz w:val="47"/>
          <w:szCs w:val="47"/>
          <w:b w:val="1"/>
          <w:bCs w:val="1"/>
          <w:color w:val="666666"/>
        </w:rPr>
        <w:t>Voting</w:t>
      </w:r>
    </w:p>
    <w:p>
      <w:pPr>
        <w:spacing w:after="0" w:line="200" w:lineRule="exact"/>
        <w:rPr>
          <w:sz w:val="20"/>
          <w:szCs w:val="20"/>
          <w:color w:val="auto"/>
        </w:rPr>
      </w:pPr>
    </w:p>
    <w:p>
      <w:pPr>
        <w:spacing w:after="0" w:line="253" w:lineRule="exact"/>
        <w:rPr>
          <w:sz w:val="20"/>
          <w:szCs w:val="20"/>
          <w:color w:val="auto"/>
        </w:rPr>
      </w:pPr>
    </w:p>
    <w:p>
      <w:pPr>
        <w:ind w:left="760"/>
        <w:spacing w:after="0"/>
        <w:rPr>
          <w:sz w:val="20"/>
          <w:szCs w:val="20"/>
          <w:color w:val="auto"/>
        </w:rPr>
      </w:pPr>
      <w:r>
        <w:rPr>
          <w:rFonts w:ascii="Arial" w:cs="Arial" w:eastAsia="Arial" w:hAnsi="Arial"/>
          <w:sz w:val="31"/>
          <w:szCs w:val="31"/>
          <w:b w:val="1"/>
          <w:bCs w:val="1"/>
          <w:color w:val="4800E6"/>
        </w:rPr>
        <w:t>Voting on a Poll</w:t>
      </w:r>
    </w:p>
    <w:p>
      <w:pPr>
        <w:spacing w:after="0" w:line="146" w:lineRule="exact"/>
        <w:rPr>
          <w:sz w:val="20"/>
          <w:szCs w:val="20"/>
          <w:color w:val="auto"/>
        </w:rPr>
      </w:pPr>
    </w:p>
    <w:p>
      <w:pPr>
        <w:ind w:left="760"/>
        <w:spacing w:after="0"/>
        <w:rPr>
          <w:sz w:val="20"/>
          <w:szCs w:val="20"/>
          <w:color w:val="auto"/>
        </w:rPr>
      </w:pPr>
      <w:r>
        <w:rPr>
          <w:rFonts w:ascii="Arial" w:cs="Arial" w:eastAsia="Arial" w:hAnsi="Arial"/>
          <w:sz w:val="16"/>
          <w:szCs w:val="16"/>
          <w:color w:val="auto"/>
        </w:rPr>
        <w:t>In accordance with best practice and our Articles of Association, all voting at the Company’s AGM is done on a poll.</w:t>
      </w:r>
    </w:p>
    <w:p>
      <w:pPr>
        <w:spacing w:after="0" w:line="394" w:lineRule="exact"/>
        <w:rPr>
          <w:sz w:val="20"/>
          <w:szCs w:val="20"/>
          <w:color w:val="auto"/>
        </w:rPr>
      </w:pPr>
    </w:p>
    <w:p>
      <w:pPr>
        <w:ind w:left="760"/>
        <w:spacing w:after="0"/>
        <w:rPr>
          <w:sz w:val="20"/>
          <w:szCs w:val="20"/>
          <w:color w:val="auto"/>
        </w:rPr>
      </w:pPr>
      <w:r>
        <w:rPr>
          <w:rFonts w:ascii="Arial" w:cs="Arial" w:eastAsia="Arial" w:hAnsi="Arial"/>
          <w:sz w:val="31"/>
          <w:szCs w:val="31"/>
          <w:b w:val="1"/>
          <w:bCs w:val="1"/>
          <w:color w:val="4800E6"/>
        </w:rPr>
        <w:t>Ordinary and Special Resolutions</w:t>
      </w:r>
    </w:p>
    <w:p>
      <w:pPr>
        <w:spacing w:after="0" w:line="146" w:lineRule="exact"/>
        <w:rPr>
          <w:sz w:val="20"/>
          <w:szCs w:val="20"/>
          <w:color w:val="auto"/>
        </w:rPr>
      </w:pPr>
    </w:p>
    <w:p>
      <w:pPr>
        <w:ind w:left="760" w:right="299"/>
        <w:spacing w:after="0" w:line="251" w:lineRule="auto"/>
        <w:rPr>
          <w:sz w:val="20"/>
          <w:szCs w:val="20"/>
          <w:color w:val="auto"/>
        </w:rPr>
      </w:pPr>
      <w:r>
        <w:rPr>
          <w:rFonts w:ascii="Arial" w:cs="Arial" w:eastAsia="Arial" w:hAnsi="Arial"/>
          <w:sz w:val="16"/>
          <w:szCs w:val="16"/>
          <w:color w:val="auto"/>
        </w:rPr>
        <w:t>The Companies Act specifies a number of matters that must be effected by special resolution of a company’s shareholders. A resolution passed on a poll taken at a meeting is passed as a special resolution if it is passed by members representing 75% (or more) of the total voting rights of members who, being entitled to vote, do so virtually at the meeting, by proxy or in advance of the meeting. At the 2020 AGM, there are two special resolutions to be voted upon (Proposals 5 and 6).</w:t>
      </w:r>
    </w:p>
    <w:p>
      <w:pPr>
        <w:spacing w:after="0" w:line="67" w:lineRule="exact"/>
        <w:rPr>
          <w:sz w:val="20"/>
          <w:szCs w:val="20"/>
          <w:color w:val="auto"/>
        </w:rPr>
      </w:pPr>
    </w:p>
    <w:p>
      <w:pPr>
        <w:ind w:left="760" w:right="319"/>
        <w:spacing w:after="0" w:line="253" w:lineRule="auto"/>
        <w:rPr>
          <w:sz w:val="20"/>
          <w:szCs w:val="20"/>
          <w:color w:val="auto"/>
        </w:rPr>
      </w:pPr>
      <w:r>
        <w:rPr>
          <w:rFonts w:ascii="Arial" w:cs="Arial" w:eastAsia="Arial" w:hAnsi="Arial"/>
          <w:sz w:val="16"/>
          <w:szCs w:val="16"/>
          <w:color w:val="auto"/>
        </w:rPr>
        <w:t>All other resolutions at the 2020 AGM are ordinary resolutions. These resolutions will pass on a poll at the AGM if members representing a simple majority of the total voting rights of members who, being entitled to vote, do so virtually at the meeting or by proxy or in advance of the meeting.</w:t>
      </w:r>
    </w:p>
    <w:p>
      <w:pPr>
        <w:spacing w:after="0" w:line="374" w:lineRule="exact"/>
        <w:rPr>
          <w:sz w:val="20"/>
          <w:szCs w:val="20"/>
          <w:color w:val="auto"/>
        </w:rPr>
      </w:pPr>
    </w:p>
    <w:p>
      <w:pPr>
        <w:ind w:left="760"/>
        <w:spacing w:after="0"/>
        <w:rPr>
          <w:sz w:val="20"/>
          <w:szCs w:val="20"/>
          <w:color w:val="auto"/>
        </w:rPr>
      </w:pPr>
      <w:r>
        <w:rPr>
          <w:rFonts w:ascii="Arial" w:cs="Arial" w:eastAsia="Arial" w:hAnsi="Arial"/>
          <w:sz w:val="31"/>
          <w:szCs w:val="31"/>
          <w:b w:val="1"/>
          <w:bCs w:val="1"/>
          <w:color w:val="4800E6"/>
        </w:rPr>
        <w:t>Abstentions</w:t>
      </w:r>
    </w:p>
    <w:p>
      <w:pPr>
        <w:spacing w:after="0" w:line="146" w:lineRule="exact"/>
        <w:rPr>
          <w:sz w:val="20"/>
          <w:szCs w:val="20"/>
          <w:color w:val="auto"/>
        </w:rPr>
      </w:pPr>
    </w:p>
    <w:p>
      <w:pPr>
        <w:ind w:left="760" w:right="559"/>
        <w:spacing w:after="0" w:line="260" w:lineRule="auto"/>
        <w:rPr>
          <w:sz w:val="20"/>
          <w:szCs w:val="20"/>
          <w:color w:val="auto"/>
        </w:rPr>
      </w:pPr>
      <w:r>
        <w:rPr>
          <w:rFonts w:ascii="Arial" w:cs="Arial" w:eastAsia="Arial" w:hAnsi="Arial"/>
          <w:sz w:val="16"/>
          <w:szCs w:val="16"/>
          <w:color w:val="auto"/>
        </w:rPr>
        <w:t>Under English law, an abstention is not a vote in law and will not be counted in the calculation of the proportion of votes ‘for’ or ‘against’ the resolution.</w:t>
      </w:r>
    </w:p>
    <w:p>
      <w:pPr>
        <w:spacing w:after="0" w:line="368" w:lineRule="exact"/>
        <w:rPr>
          <w:sz w:val="20"/>
          <w:szCs w:val="20"/>
          <w:color w:val="auto"/>
        </w:rPr>
      </w:pPr>
    </w:p>
    <w:p>
      <w:pPr>
        <w:ind w:left="760"/>
        <w:spacing w:after="0"/>
        <w:rPr>
          <w:sz w:val="20"/>
          <w:szCs w:val="20"/>
          <w:color w:val="auto"/>
        </w:rPr>
      </w:pPr>
      <w:r>
        <w:rPr>
          <w:rFonts w:ascii="Arial" w:cs="Arial" w:eastAsia="Arial" w:hAnsi="Arial"/>
          <w:sz w:val="31"/>
          <w:szCs w:val="31"/>
          <w:b w:val="1"/>
          <w:bCs w:val="1"/>
          <w:color w:val="4800E6"/>
        </w:rPr>
        <w:t>Broker Non-Votes</w:t>
      </w:r>
    </w:p>
    <w:p>
      <w:pPr>
        <w:spacing w:after="0" w:line="146" w:lineRule="exact"/>
        <w:rPr>
          <w:sz w:val="20"/>
          <w:szCs w:val="20"/>
          <w:color w:val="auto"/>
        </w:rPr>
      </w:pPr>
    </w:p>
    <w:p>
      <w:pPr>
        <w:ind w:left="760" w:right="219"/>
        <w:spacing w:after="0" w:line="248" w:lineRule="auto"/>
        <w:rPr>
          <w:sz w:val="20"/>
          <w:szCs w:val="20"/>
          <w:color w:val="auto"/>
        </w:rPr>
      </w:pPr>
      <w:r>
        <w:rPr>
          <w:rFonts w:ascii="Arial" w:cs="Arial" w:eastAsia="Arial" w:hAnsi="Arial"/>
          <w:sz w:val="16"/>
          <w:szCs w:val="16"/>
          <w:color w:val="auto"/>
        </w:rPr>
        <w:t>If you are a beneficial owner and hold shares through an account with a bank or broker, your shares may be voted if you do not provide voting instructions. Brokerage firms have the authority under the New York Stock Exchange rules to vote shares for which their customers do not provide voting instructions on routine matters. When a matter is not routine and the brokerage firm has not received voting instructions from the beneficial owner, the brokerage firm cannot vote the shares on that matter. This is called a broker non-vote. For example, the ratification of the selection of independent auditors is considered a routine matter, and the brokerage firm can vote for or against this resolution at its discretion, but the election of directors is not considered routine for these purposes. Following a narrowing of interpretation of the definition of a ‘routine matter,’ the only resolutions that are now considered routine are the ratification of the selection of independent auditors for US purposes and re-appointment of independent auditors for UK purposes. All of our other resolutions at the 2020 AGM are non-routine matters.</w:t>
      </w:r>
    </w:p>
    <w:p>
      <w:pPr>
        <w:spacing w:after="0" w:line="379" w:lineRule="exact"/>
        <w:rPr>
          <w:sz w:val="20"/>
          <w:szCs w:val="20"/>
          <w:color w:val="auto"/>
        </w:rPr>
      </w:pPr>
    </w:p>
    <w:p>
      <w:pPr>
        <w:ind w:left="760"/>
        <w:spacing w:after="0"/>
        <w:rPr>
          <w:sz w:val="20"/>
          <w:szCs w:val="20"/>
          <w:color w:val="auto"/>
        </w:rPr>
      </w:pPr>
      <w:r>
        <w:rPr>
          <w:rFonts w:ascii="Arial" w:cs="Arial" w:eastAsia="Arial" w:hAnsi="Arial"/>
          <w:sz w:val="31"/>
          <w:szCs w:val="31"/>
          <w:b w:val="1"/>
          <w:bCs w:val="1"/>
          <w:color w:val="4800E6"/>
        </w:rPr>
        <w:t>Possible Selections on the Ballot</w:t>
      </w:r>
    </w:p>
    <w:p>
      <w:pPr>
        <w:spacing w:after="0" w:line="132" w:lineRule="exact"/>
        <w:rPr>
          <w:sz w:val="20"/>
          <w:szCs w:val="20"/>
          <w:color w:val="auto"/>
        </w:rPr>
      </w:pPr>
    </w:p>
    <w:p>
      <w:pPr>
        <w:ind w:left="760" w:right="379"/>
        <w:spacing w:after="0" w:line="260" w:lineRule="auto"/>
        <w:rPr>
          <w:sz w:val="20"/>
          <w:szCs w:val="20"/>
          <w:color w:val="auto"/>
        </w:rPr>
      </w:pPr>
      <w:r>
        <w:rPr>
          <w:rFonts w:ascii="Arial" w:cs="Arial" w:eastAsia="Arial" w:hAnsi="Arial"/>
          <w:sz w:val="16"/>
          <w:szCs w:val="16"/>
          <w:color w:val="auto"/>
        </w:rPr>
        <w:t>You can vote ‘for’ or ‘against’ a resolution. Each of these votes will have legal effect under English law in that they count as votes cast. An abstention, indicated by electing ‘abstain’ is not a vote under English law as indicated above.</w:t>
      </w:r>
    </w:p>
    <w:p>
      <w:pPr>
        <w:sectPr>
          <w:pgSz w:w="11900" w:h="16838" w:orient="portrait"/>
          <w:cols w:equalWidth="0" w:num="1">
            <w:col w:w="10139"/>
          </w:cols>
          <w:pgMar w:left="320" w:top="132"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6" w:lineRule="exact"/>
        <w:rPr>
          <w:sz w:val="20"/>
          <w:szCs w:val="20"/>
          <w:color w:val="auto"/>
        </w:rPr>
      </w:pPr>
    </w:p>
    <w:p>
      <w:pPr>
        <w:ind w:left="540"/>
        <w:spacing w:after="0"/>
        <w:tabs>
          <w:tab w:leader="none" w:pos="4400" w:val="left"/>
          <w:tab w:leader="none" w:pos="8760" w:val="left"/>
        </w:tabs>
        <w:rPr>
          <w:sz w:val="20"/>
          <w:szCs w:val="20"/>
          <w:color w:val="auto"/>
        </w:rPr>
      </w:pPr>
      <w:r>
        <w:rPr>
          <w:rFonts w:ascii="Arial" w:cs="Arial" w:eastAsia="Arial" w:hAnsi="Arial"/>
          <w:sz w:val="14"/>
          <w:szCs w:val="14"/>
          <w:b w:val="1"/>
          <w:bCs w:val="1"/>
          <w:color w:val="auto"/>
        </w:rPr>
        <w:t>7</w:t>
      </w:r>
      <w:r>
        <w:rPr>
          <w:sz w:val="20"/>
          <w:szCs w:val="20"/>
          <w:color w:val="auto"/>
        </w:rPr>
        <w:tab/>
      </w:r>
      <w:r>
        <w:rPr>
          <w:rFonts w:ascii="Arial" w:cs="Arial" w:eastAsia="Arial" w:hAnsi="Arial"/>
          <w:sz w:val="13"/>
          <w:szCs w:val="13"/>
          <w:b w:val="1"/>
          <w:bCs w:val="1"/>
          <w:color w:val="4800E6"/>
        </w:rPr>
        <w:t xml:space="preserve">LIVANOVA </w:t>
      </w:r>
      <w:r>
        <w:rPr>
          <w:rFonts w:ascii="Arial" w:cs="Arial" w:eastAsia="Arial" w:hAnsi="Arial"/>
          <w:sz w:val="13"/>
          <w:szCs w:val="13"/>
          <w:color w:val="000000"/>
        </w:rPr>
        <w:t>|</w:t>
      </w:r>
      <w:r>
        <w:rPr>
          <w:rFonts w:ascii="Arial" w:cs="Arial" w:eastAsia="Arial" w:hAnsi="Arial"/>
          <w:sz w:val="13"/>
          <w:szCs w:val="13"/>
          <w:b w:val="1"/>
          <w:bCs w:val="1"/>
          <w:color w:val="4800E6"/>
        </w:rPr>
        <w:t xml:space="preserve"> </w:t>
      </w:r>
      <w:r>
        <w:rPr>
          <w:rFonts w:ascii="Arial" w:cs="Arial" w:eastAsia="Arial" w:hAnsi="Arial"/>
          <w:sz w:val="13"/>
          <w:szCs w:val="13"/>
          <w:color w:val="4800E6"/>
        </w:rPr>
        <w:t>2020</w:t>
      </w:r>
      <w:r>
        <w:rPr>
          <w:rFonts w:ascii="Arial" w:cs="Arial" w:eastAsia="Arial" w:hAnsi="Arial"/>
          <w:sz w:val="13"/>
          <w:szCs w:val="13"/>
          <w:b w:val="1"/>
          <w:bCs w:val="1"/>
          <w:color w:val="4800E6"/>
        </w:rPr>
        <w:t xml:space="preserve"> </w:t>
      </w:r>
      <w:r>
        <w:rPr>
          <w:rFonts w:ascii="Arial" w:cs="Arial" w:eastAsia="Arial" w:hAnsi="Arial"/>
          <w:sz w:val="13"/>
          <w:szCs w:val="13"/>
          <w:color w:val="000000"/>
        </w:rPr>
        <w:t>Proxy Statement</w:t>
      </w:r>
      <w:r>
        <w:rPr>
          <w:sz w:val="20"/>
          <w:szCs w:val="20"/>
          <w:color w:val="auto"/>
        </w:rPr>
        <w:tab/>
      </w:r>
      <w:r>
        <w:rPr>
          <w:rFonts w:ascii="Arial" w:cs="Arial" w:eastAsia="Arial" w:hAnsi="Arial"/>
          <w:sz w:val="12"/>
          <w:szCs w:val="12"/>
          <w:b w:val="1"/>
          <w:bCs w:val="1"/>
          <w:color w:val="4800E6"/>
        </w:rPr>
        <w:t>www.livanova.com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519430</wp:posOffset>
            </wp:positionH>
            <wp:positionV relativeFrom="paragraph">
              <wp:posOffset>-15875</wp:posOffset>
            </wp:positionV>
            <wp:extent cx="1954530" cy="825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1954530" cy="8255"/>
                    </a:xfrm>
                    <a:prstGeom prst="rect">
                      <a:avLst/>
                    </a:prstGeom>
                    <a:noFill/>
                  </pic:spPr>
                </pic:pic>
              </a:graphicData>
            </a:graphic>
          </wp:anchor>
        </w:drawing>
        <w:drawing>
          <wp:anchor simplePos="0" relativeHeight="251657728" behindDoc="1" locked="0" layoutInCell="0" allowOverlap="1">
            <wp:simplePos x="0" y="0"/>
            <wp:positionH relativeFrom="column">
              <wp:posOffset>4316730</wp:posOffset>
            </wp:positionH>
            <wp:positionV relativeFrom="paragraph">
              <wp:posOffset>-15875</wp:posOffset>
            </wp:positionV>
            <wp:extent cx="1028700" cy="825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102870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94615</wp:posOffset>
            </wp:positionV>
            <wp:extent cx="6806565" cy="171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10139"/>
          </w:cols>
          <w:pgMar w:left="320" w:top="132" w:right="1440" w:bottom="1440" w:gutter="0" w:footer="0" w:header="0"/>
          <w:type w:val="continuous"/>
        </w:sectPr>
      </w:pPr>
    </w:p>
    <w:bookmarkStart w:id="11" w:name="page12"/>
    <w:bookmarkEnd w:id="11"/>
    <w:p>
      <w:pPr>
        <w:spacing w:after="0"/>
        <w:rPr>
          <w:rFonts w:ascii="Arial" w:cs="Arial" w:eastAsia="Arial" w:hAnsi="Arial"/>
          <w:sz w:val="14"/>
          <w:szCs w:val="14"/>
          <w:color w:val="003366"/>
        </w:rPr>
      </w:pPr>
      <w:hyperlink w:anchor="page4">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ind w:left="760"/>
        <w:spacing w:after="0"/>
        <w:rPr>
          <w:sz w:val="20"/>
          <w:szCs w:val="20"/>
          <w:color w:val="auto"/>
        </w:rPr>
      </w:pPr>
      <w:r>
        <w:rPr>
          <w:rFonts w:ascii="Arial" w:cs="Arial" w:eastAsia="Arial" w:hAnsi="Arial"/>
          <w:sz w:val="47"/>
          <w:szCs w:val="47"/>
          <w:b w:val="1"/>
          <w:bCs w:val="1"/>
          <w:color w:val="4800E6"/>
        </w:rPr>
        <w:t xml:space="preserve">Proposal No. 1 </w:t>
      </w:r>
      <w:r>
        <w:rPr>
          <w:rFonts w:ascii="Arial" w:cs="Arial" w:eastAsia="Arial" w:hAnsi="Arial"/>
          <w:sz w:val="47"/>
          <w:szCs w:val="47"/>
          <w:b w:val="1"/>
          <w:bCs w:val="1"/>
          <w:color w:val="666666"/>
        </w:rPr>
        <w:t>Election of Directors</w:t>
      </w:r>
    </w:p>
    <w:p>
      <w:pPr>
        <w:spacing w:after="0" w:line="159" w:lineRule="exact"/>
        <w:rPr>
          <w:sz w:val="20"/>
          <w:szCs w:val="20"/>
          <w:color w:val="auto"/>
        </w:rPr>
      </w:pPr>
    </w:p>
    <w:p>
      <w:pPr>
        <w:ind w:left="760" w:right="220"/>
        <w:spacing w:after="0" w:line="249" w:lineRule="auto"/>
        <w:rPr>
          <w:sz w:val="20"/>
          <w:szCs w:val="20"/>
          <w:color w:val="auto"/>
        </w:rPr>
      </w:pPr>
      <w:r>
        <w:rPr>
          <w:rFonts w:ascii="Arial" w:cs="Arial" w:eastAsia="Arial" w:hAnsi="Arial"/>
          <w:sz w:val="16"/>
          <w:szCs w:val="16"/>
          <w:color w:val="auto"/>
        </w:rPr>
        <w:t>The selection of qualified directors is critical to the long-term success of the Company and its shareholders. Director nominees must be able to contribute significantly to the Board’s discussion and decision-making on the broad array of complex issues facing the Company. The Board of Directors’ (the “Board”) established process for director selection begins with an assessment of our strategic objectives and the skills, experience and qualifications needed to further those objectives. Through that process, the Board has determined that its nominees for election as directors at the 2020 AGM collectively represent the best mix of experience, qualifications and skills to further the long-term interests of all shareholders.</w:t>
      </w:r>
    </w:p>
    <w:p>
      <w:pPr>
        <w:spacing w:after="0" w:line="83" w:lineRule="exact"/>
        <w:rPr>
          <w:sz w:val="20"/>
          <w:szCs w:val="20"/>
          <w:color w:val="auto"/>
        </w:rPr>
      </w:pPr>
    </w:p>
    <w:p>
      <w:pPr>
        <w:ind w:left="760"/>
        <w:spacing w:after="0"/>
        <w:rPr>
          <w:sz w:val="20"/>
          <w:szCs w:val="20"/>
          <w:color w:val="auto"/>
        </w:rPr>
      </w:pPr>
      <w:r>
        <w:rPr>
          <w:rFonts w:ascii="Arial" w:cs="Arial" w:eastAsia="Arial" w:hAnsi="Arial"/>
          <w:sz w:val="16"/>
          <w:szCs w:val="16"/>
          <w:color w:val="auto"/>
        </w:rPr>
        <w:t>The Board is unclassified. Directors are currently elected for one-year terms.</w:t>
      </w:r>
    </w:p>
    <w:p>
      <w:pPr>
        <w:spacing w:after="0" w:line="86" w:lineRule="exact"/>
        <w:rPr>
          <w:sz w:val="20"/>
          <w:szCs w:val="20"/>
          <w:color w:val="auto"/>
        </w:rPr>
      </w:pPr>
    </w:p>
    <w:p>
      <w:pPr>
        <w:jc w:val="both"/>
        <w:ind w:left="760" w:right="460"/>
        <w:spacing w:after="0" w:line="253" w:lineRule="auto"/>
        <w:rPr>
          <w:rFonts w:ascii="Arial" w:cs="Arial" w:eastAsia="Arial" w:hAnsi="Arial"/>
          <w:sz w:val="16"/>
          <w:szCs w:val="16"/>
          <w:color w:val="auto"/>
        </w:rPr>
      </w:pPr>
      <w:r>
        <w:rPr>
          <w:rFonts w:ascii="Arial" w:cs="Arial" w:eastAsia="Arial" w:hAnsi="Arial"/>
          <w:sz w:val="16"/>
          <w:szCs w:val="16"/>
          <w:color w:val="auto"/>
        </w:rPr>
        <w:t xml:space="preserve">You are being asked to vote, by separate ordinary resolutions, on the election of the following ten director nominees, each for a one-year term. Election is by a majority of the votes cast in an uncontested election such as this one. Detailed information about each director nominee’s background, skill sets and areas of expertise can be found beginning on page </w:t>
      </w:r>
      <w:hyperlink w:anchor="page14">
        <w:r>
          <w:rPr>
            <w:rFonts w:ascii="Arial" w:cs="Arial" w:eastAsia="Arial" w:hAnsi="Arial"/>
            <w:sz w:val="16"/>
            <w:szCs w:val="16"/>
            <w:u w:val="single" w:color="auto"/>
            <w:color w:val="0000EE"/>
          </w:rPr>
          <w:t>11</w:t>
        </w:r>
      </w:hyperlink>
      <w:r>
        <w:rPr>
          <w:rFonts w:ascii="Arial" w:cs="Arial" w:eastAsia="Arial" w:hAnsi="Arial"/>
          <w:sz w:val="16"/>
          <w:szCs w:val="16"/>
          <w:color w:val="auto"/>
        </w:rPr>
        <w:t>.</w:t>
      </w:r>
    </w:p>
    <w:p>
      <w:pPr>
        <w:spacing w:after="0" w:line="109" w:lineRule="exact"/>
        <w:rPr>
          <w:sz w:val="20"/>
          <w:szCs w:val="20"/>
          <w:color w:val="auto"/>
        </w:rPr>
      </w:pPr>
    </w:p>
    <w:p>
      <w:pPr>
        <w:ind w:left="760"/>
        <w:spacing w:after="0"/>
        <w:rPr>
          <w:sz w:val="20"/>
          <w:szCs w:val="20"/>
          <w:color w:val="auto"/>
        </w:rPr>
      </w:pPr>
      <w:r>
        <w:rPr>
          <w:rFonts w:ascii="Arial" w:cs="Arial" w:eastAsia="Arial" w:hAnsi="Arial"/>
          <w:sz w:val="18"/>
          <w:szCs w:val="18"/>
          <w:b w:val="1"/>
          <w:bCs w:val="1"/>
          <w:color w:val="4800E6"/>
        </w:rPr>
        <w:t>DIRECTOR NOMINEES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485140</wp:posOffset>
            </wp:positionH>
            <wp:positionV relativeFrom="paragraph">
              <wp:posOffset>97155</wp:posOffset>
            </wp:positionV>
            <wp:extent cx="5829300" cy="825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5829300" cy="8255"/>
                    </a:xfrm>
                    <a:prstGeom prst="rect">
                      <a:avLst/>
                    </a:prstGeom>
                    <a:noFill/>
                  </pic:spPr>
                </pic:pic>
              </a:graphicData>
            </a:graphic>
          </wp:anchor>
        </w:drawing>
      </w:r>
    </w:p>
    <w:p>
      <w:pPr>
        <w:spacing w:after="0" w:line="184" w:lineRule="exact"/>
        <w:rPr>
          <w:sz w:val="20"/>
          <w:szCs w:val="20"/>
          <w:color w:val="auto"/>
        </w:rPr>
      </w:pPr>
    </w:p>
    <w:tbl>
      <w:tblPr>
        <w:tblLayout w:type="fixed"/>
        <w:tblInd w:w="760" w:type="dxa"/>
        <w:tblCellMar>
          <w:top w:w="0" w:type="dxa"/>
          <w:left w:w="0" w:type="dxa"/>
          <w:bottom w:w="0" w:type="dxa"/>
          <w:right w:w="0" w:type="dxa"/>
        </w:tblCellMar>
      </w:tblPr>
      <w:tr>
        <w:trPr>
          <w:trHeight w:val="184"/>
        </w:trPr>
        <w:tc>
          <w:tcPr>
            <w:tcW w:w="3020" w:type="dxa"/>
            <w:vAlign w:val="bottom"/>
          </w:tcPr>
          <w:p>
            <w:pPr>
              <w:ind w:left="60"/>
              <w:spacing w:after="0"/>
              <w:rPr>
                <w:sz w:val="20"/>
                <w:szCs w:val="20"/>
                <w:color w:val="auto"/>
              </w:rPr>
            </w:pPr>
            <w:r>
              <w:rPr>
                <w:rFonts w:ascii="Arial" w:cs="Arial" w:eastAsia="Arial" w:hAnsi="Arial"/>
                <w:sz w:val="15"/>
                <w:szCs w:val="15"/>
                <w:color w:val="auto"/>
              </w:rPr>
              <w:t>Francesco Bianchi</w:t>
            </w:r>
          </w:p>
        </w:tc>
        <w:tc>
          <w:tcPr>
            <w:tcW w:w="6160" w:type="dxa"/>
            <w:vAlign w:val="bottom"/>
          </w:tcPr>
          <w:p>
            <w:pPr>
              <w:ind w:left="1680"/>
              <w:spacing w:after="0"/>
              <w:rPr>
                <w:sz w:val="20"/>
                <w:szCs w:val="20"/>
                <w:color w:val="auto"/>
              </w:rPr>
            </w:pPr>
            <w:r>
              <w:rPr>
                <w:rFonts w:ascii="Arial" w:cs="Arial" w:eastAsia="Arial" w:hAnsi="Arial"/>
                <w:sz w:val="15"/>
                <w:szCs w:val="15"/>
                <w:color w:val="auto"/>
              </w:rPr>
              <w:t>Hugh Morrison</w:t>
            </w:r>
          </w:p>
        </w:tc>
      </w:tr>
      <w:tr>
        <w:trPr>
          <w:trHeight w:val="22"/>
        </w:trPr>
        <w:tc>
          <w:tcPr>
            <w:tcW w:w="3020" w:type="dxa"/>
            <w:vAlign w:val="bottom"/>
          </w:tcPr>
          <w:p>
            <w:pPr>
              <w:spacing w:after="0" w:line="20" w:lineRule="exact"/>
              <w:rPr>
                <w:sz w:val="1"/>
                <w:szCs w:val="1"/>
                <w:color w:val="auto"/>
              </w:rPr>
            </w:pPr>
          </w:p>
        </w:tc>
        <w:tc>
          <w:tcPr>
            <w:tcW w:w="6160" w:type="dxa"/>
            <w:vAlign w:val="bottom"/>
          </w:tcPr>
          <w:p>
            <w:pPr>
              <w:spacing w:after="0" w:line="20" w:lineRule="exact"/>
              <w:rPr>
                <w:sz w:val="1"/>
                <w:szCs w:val="1"/>
                <w:color w:val="auto"/>
              </w:rPr>
            </w:pPr>
          </w:p>
        </w:tc>
      </w:tr>
      <w:tr>
        <w:trPr>
          <w:trHeight w:val="237"/>
        </w:trPr>
        <w:tc>
          <w:tcPr>
            <w:tcW w:w="3020" w:type="dxa"/>
            <w:vAlign w:val="bottom"/>
            <w:tcBorders>
              <w:bottom w:val="single" w:sz="8" w:color="EFE9FC"/>
            </w:tcBorders>
            <w:shd w:val="clear" w:color="auto" w:fill="EFE9FC"/>
          </w:tcPr>
          <w:p>
            <w:pPr>
              <w:ind w:left="60"/>
              <w:spacing w:after="0"/>
              <w:rPr>
                <w:sz w:val="20"/>
                <w:szCs w:val="20"/>
                <w:color w:val="auto"/>
              </w:rPr>
            </w:pPr>
            <w:r>
              <w:rPr>
                <w:rFonts w:ascii="Arial" w:cs="Arial" w:eastAsia="Arial" w:hAnsi="Arial"/>
                <w:sz w:val="15"/>
                <w:szCs w:val="15"/>
                <w:color w:val="auto"/>
              </w:rPr>
              <w:t>Stacy Enxing Seng</w:t>
            </w:r>
          </w:p>
        </w:tc>
        <w:tc>
          <w:tcPr>
            <w:tcW w:w="6160" w:type="dxa"/>
            <w:vAlign w:val="bottom"/>
            <w:tcBorders>
              <w:bottom w:val="single" w:sz="8" w:color="EFE9FC"/>
            </w:tcBorders>
            <w:shd w:val="clear" w:color="auto" w:fill="EFE9FC"/>
          </w:tcPr>
          <w:p>
            <w:pPr>
              <w:ind w:left="1680"/>
              <w:spacing w:after="0"/>
              <w:rPr>
                <w:sz w:val="20"/>
                <w:szCs w:val="20"/>
                <w:color w:val="auto"/>
              </w:rPr>
            </w:pPr>
            <w:r>
              <w:rPr>
                <w:rFonts w:ascii="Arial" w:cs="Arial" w:eastAsia="Arial" w:hAnsi="Arial"/>
                <w:sz w:val="15"/>
                <w:szCs w:val="15"/>
                <w:color w:val="auto"/>
              </w:rPr>
              <w:t>Alfred Novak</w:t>
            </w:r>
          </w:p>
        </w:tc>
      </w:tr>
      <w:tr>
        <w:trPr>
          <w:trHeight w:val="208"/>
        </w:trPr>
        <w:tc>
          <w:tcPr>
            <w:tcW w:w="3020" w:type="dxa"/>
            <w:vAlign w:val="bottom"/>
          </w:tcPr>
          <w:p>
            <w:pPr>
              <w:ind w:left="60"/>
              <w:spacing w:after="0"/>
              <w:rPr>
                <w:sz w:val="20"/>
                <w:szCs w:val="20"/>
                <w:color w:val="auto"/>
              </w:rPr>
            </w:pPr>
            <w:r>
              <w:rPr>
                <w:rFonts w:ascii="Arial" w:cs="Arial" w:eastAsia="Arial" w:hAnsi="Arial"/>
                <w:sz w:val="15"/>
                <w:szCs w:val="15"/>
                <w:color w:val="auto"/>
              </w:rPr>
              <w:t>William Kozy</w:t>
            </w:r>
          </w:p>
        </w:tc>
        <w:tc>
          <w:tcPr>
            <w:tcW w:w="6160" w:type="dxa"/>
            <w:vAlign w:val="bottom"/>
          </w:tcPr>
          <w:p>
            <w:pPr>
              <w:ind w:left="1680"/>
              <w:spacing w:after="0"/>
              <w:rPr>
                <w:sz w:val="20"/>
                <w:szCs w:val="20"/>
                <w:color w:val="auto"/>
              </w:rPr>
            </w:pPr>
            <w:r>
              <w:rPr>
                <w:rFonts w:ascii="Arial" w:cs="Arial" w:eastAsia="Arial" w:hAnsi="Arial"/>
                <w:sz w:val="15"/>
                <w:szCs w:val="15"/>
                <w:color w:val="auto"/>
              </w:rPr>
              <w:t>Sharon O’Kane, Ph.D.</w:t>
            </w:r>
          </w:p>
        </w:tc>
      </w:tr>
      <w:tr>
        <w:trPr>
          <w:trHeight w:val="22"/>
        </w:trPr>
        <w:tc>
          <w:tcPr>
            <w:tcW w:w="3020" w:type="dxa"/>
            <w:vAlign w:val="bottom"/>
          </w:tcPr>
          <w:p>
            <w:pPr>
              <w:spacing w:after="0" w:line="20" w:lineRule="exact"/>
              <w:rPr>
                <w:sz w:val="1"/>
                <w:szCs w:val="1"/>
                <w:color w:val="auto"/>
              </w:rPr>
            </w:pPr>
          </w:p>
        </w:tc>
        <w:tc>
          <w:tcPr>
            <w:tcW w:w="6160" w:type="dxa"/>
            <w:vAlign w:val="bottom"/>
          </w:tcPr>
          <w:p>
            <w:pPr>
              <w:spacing w:after="0" w:line="20" w:lineRule="exact"/>
              <w:rPr>
                <w:sz w:val="1"/>
                <w:szCs w:val="1"/>
                <w:color w:val="auto"/>
              </w:rPr>
            </w:pPr>
          </w:p>
        </w:tc>
      </w:tr>
      <w:tr>
        <w:trPr>
          <w:trHeight w:val="237"/>
        </w:trPr>
        <w:tc>
          <w:tcPr>
            <w:tcW w:w="3020" w:type="dxa"/>
            <w:vAlign w:val="bottom"/>
            <w:tcBorders>
              <w:bottom w:val="single" w:sz="8" w:color="EFE9FC"/>
            </w:tcBorders>
            <w:shd w:val="clear" w:color="auto" w:fill="EFE9FC"/>
          </w:tcPr>
          <w:p>
            <w:pPr>
              <w:ind w:left="60"/>
              <w:spacing w:after="0"/>
              <w:rPr>
                <w:sz w:val="20"/>
                <w:szCs w:val="20"/>
                <w:color w:val="auto"/>
              </w:rPr>
            </w:pPr>
            <w:r>
              <w:rPr>
                <w:rFonts w:ascii="Arial" w:cs="Arial" w:eastAsia="Arial" w:hAnsi="Arial"/>
                <w:sz w:val="15"/>
                <w:szCs w:val="15"/>
                <w:color w:val="auto"/>
              </w:rPr>
              <w:t>Damien McDonald</w:t>
            </w:r>
          </w:p>
        </w:tc>
        <w:tc>
          <w:tcPr>
            <w:tcW w:w="6160" w:type="dxa"/>
            <w:vAlign w:val="bottom"/>
            <w:tcBorders>
              <w:bottom w:val="single" w:sz="8" w:color="EFE9FC"/>
            </w:tcBorders>
            <w:shd w:val="clear" w:color="auto" w:fill="EFE9FC"/>
          </w:tcPr>
          <w:p>
            <w:pPr>
              <w:ind w:left="1680"/>
              <w:spacing w:after="0"/>
              <w:rPr>
                <w:sz w:val="20"/>
                <w:szCs w:val="20"/>
                <w:color w:val="auto"/>
              </w:rPr>
            </w:pPr>
            <w:r>
              <w:rPr>
                <w:rFonts w:ascii="Arial" w:cs="Arial" w:eastAsia="Arial" w:hAnsi="Arial"/>
                <w:sz w:val="15"/>
                <w:szCs w:val="15"/>
                <w:color w:val="auto"/>
              </w:rPr>
              <w:t>Arthur Rosenthal, Ph.D.</w:t>
            </w:r>
          </w:p>
        </w:tc>
      </w:tr>
      <w:tr>
        <w:trPr>
          <w:trHeight w:val="208"/>
        </w:trPr>
        <w:tc>
          <w:tcPr>
            <w:tcW w:w="3020" w:type="dxa"/>
            <w:vAlign w:val="bottom"/>
          </w:tcPr>
          <w:p>
            <w:pPr>
              <w:ind w:left="60"/>
              <w:spacing w:after="0"/>
              <w:rPr>
                <w:sz w:val="20"/>
                <w:szCs w:val="20"/>
                <w:color w:val="auto"/>
              </w:rPr>
            </w:pPr>
            <w:r>
              <w:rPr>
                <w:rFonts w:ascii="Arial" w:cs="Arial" w:eastAsia="Arial" w:hAnsi="Arial"/>
                <w:sz w:val="15"/>
                <w:szCs w:val="15"/>
                <w:color w:val="auto"/>
              </w:rPr>
              <w:t>Daniel Moore</w:t>
            </w:r>
          </w:p>
        </w:tc>
        <w:tc>
          <w:tcPr>
            <w:tcW w:w="6160" w:type="dxa"/>
            <w:vAlign w:val="bottom"/>
          </w:tcPr>
          <w:p>
            <w:pPr>
              <w:ind w:left="1680"/>
              <w:spacing w:after="0"/>
              <w:rPr>
                <w:sz w:val="20"/>
                <w:szCs w:val="20"/>
                <w:color w:val="auto"/>
              </w:rPr>
            </w:pPr>
            <w:r>
              <w:rPr>
                <w:rFonts w:ascii="Arial" w:cs="Arial" w:eastAsia="Arial" w:hAnsi="Arial"/>
                <w:sz w:val="15"/>
                <w:szCs w:val="15"/>
                <w:color w:val="auto"/>
              </w:rPr>
              <w:t>Andrea Saia</w:t>
            </w:r>
          </w:p>
        </w:tc>
      </w:tr>
      <w:tr>
        <w:trPr>
          <w:trHeight w:val="22"/>
        </w:trPr>
        <w:tc>
          <w:tcPr>
            <w:tcW w:w="3020" w:type="dxa"/>
            <w:vAlign w:val="bottom"/>
            <w:tcBorders>
              <w:bottom w:val="single" w:sz="8" w:color="4800E6"/>
            </w:tcBorders>
          </w:tcPr>
          <w:p>
            <w:pPr>
              <w:spacing w:after="0" w:line="20" w:lineRule="exact"/>
              <w:rPr>
                <w:sz w:val="1"/>
                <w:szCs w:val="1"/>
                <w:color w:val="auto"/>
              </w:rPr>
            </w:pPr>
          </w:p>
        </w:tc>
        <w:tc>
          <w:tcPr>
            <w:tcW w:w="6160" w:type="dxa"/>
            <w:vAlign w:val="bottom"/>
            <w:tcBorders>
              <w:bottom w:val="single" w:sz="8" w:color="4800E6"/>
            </w:tcBorders>
          </w:tcPr>
          <w:p>
            <w:pPr>
              <w:spacing w:after="0" w:line="20" w:lineRule="exact"/>
              <w:rPr>
                <w:sz w:val="1"/>
                <w:szCs w:val="1"/>
                <w:color w:val="auto"/>
              </w:rPr>
            </w:pPr>
          </w:p>
        </w:tc>
      </w:tr>
    </w:tbl>
    <w:p>
      <w:pPr>
        <w:spacing w:after="0" w:line="390" w:lineRule="exact"/>
        <w:rPr>
          <w:sz w:val="20"/>
          <w:szCs w:val="20"/>
          <w:color w:val="auto"/>
        </w:rPr>
      </w:pPr>
    </w:p>
    <w:p>
      <w:pPr>
        <w:ind w:left="760"/>
        <w:spacing w:after="0"/>
        <w:rPr>
          <w:sz w:val="20"/>
          <w:szCs w:val="20"/>
          <w:color w:val="auto"/>
        </w:rPr>
      </w:pPr>
      <w:r>
        <w:rPr>
          <w:rFonts w:ascii="Arial" w:cs="Arial" w:eastAsia="Arial" w:hAnsi="Arial"/>
          <w:sz w:val="31"/>
          <w:szCs w:val="31"/>
          <w:b w:val="1"/>
          <w:bCs w:val="1"/>
          <w:color w:val="4800E6"/>
        </w:rPr>
        <w:t>Vote Required</w:t>
      </w:r>
    </w:p>
    <w:p>
      <w:pPr>
        <w:spacing w:after="0" w:line="132" w:lineRule="exact"/>
        <w:rPr>
          <w:sz w:val="20"/>
          <w:szCs w:val="20"/>
          <w:color w:val="auto"/>
        </w:rPr>
      </w:pPr>
    </w:p>
    <w:p>
      <w:pPr>
        <w:ind w:left="760" w:right="400"/>
        <w:spacing w:after="0" w:line="260" w:lineRule="auto"/>
        <w:rPr>
          <w:sz w:val="20"/>
          <w:szCs w:val="20"/>
          <w:color w:val="auto"/>
        </w:rPr>
      </w:pPr>
      <w:r>
        <w:rPr>
          <w:rFonts w:ascii="Arial" w:cs="Arial" w:eastAsia="Arial" w:hAnsi="Arial"/>
          <w:sz w:val="16"/>
          <w:szCs w:val="16"/>
          <w:color w:val="auto"/>
        </w:rPr>
        <w:t>Each director nominee is elected by a simple majority of the total votes present at the AGM, in person or by proxy, and entitled to vote on the proposal.</w:t>
      </w:r>
    </w:p>
    <w:p>
      <w:pPr>
        <w:spacing w:after="0" w:line="368" w:lineRule="exact"/>
        <w:rPr>
          <w:sz w:val="20"/>
          <w:szCs w:val="20"/>
          <w:color w:val="auto"/>
        </w:rPr>
      </w:pPr>
    </w:p>
    <w:p>
      <w:pPr>
        <w:ind w:left="760"/>
        <w:spacing w:after="0"/>
        <w:rPr>
          <w:sz w:val="20"/>
          <w:szCs w:val="20"/>
          <w:color w:val="auto"/>
        </w:rPr>
      </w:pPr>
      <w:r>
        <w:rPr>
          <w:rFonts w:ascii="Arial" w:cs="Arial" w:eastAsia="Arial" w:hAnsi="Arial"/>
          <w:sz w:val="31"/>
          <w:szCs w:val="31"/>
          <w:b w:val="1"/>
          <w:bCs w:val="1"/>
          <w:color w:val="4800E6"/>
        </w:rPr>
        <w:t>Board Recommendation</w:t>
      </w:r>
    </w:p>
    <w:p>
      <w:pPr>
        <w:spacing w:after="0" w:line="99" w:lineRule="exact"/>
        <w:rPr>
          <w:sz w:val="20"/>
          <w:szCs w:val="20"/>
          <w:color w:val="auto"/>
        </w:rPr>
      </w:pPr>
    </w:p>
    <w:p>
      <w:pPr>
        <w:ind w:left="1080"/>
        <w:spacing w:after="0"/>
        <w:rPr>
          <w:sz w:val="20"/>
          <w:szCs w:val="20"/>
          <w:color w:val="auto"/>
        </w:rPr>
      </w:pPr>
      <w:r>
        <w:rPr>
          <w:rFonts w:ascii="Arial" w:cs="Arial" w:eastAsia="Arial" w:hAnsi="Arial"/>
          <w:sz w:val="16"/>
          <w:szCs w:val="16"/>
          <w:color w:val="auto"/>
        </w:rPr>
        <w:t xml:space="preserve">THE BOARD RECOMMENDS A </w:t>
      </w:r>
      <w:r>
        <w:rPr>
          <w:rFonts w:ascii="Arial" w:cs="Arial" w:eastAsia="Arial" w:hAnsi="Arial"/>
          <w:sz w:val="16"/>
          <w:szCs w:val="16"/>
          <w:b w:val="1"/>
          <w:bCs w:val="1"/>
          <w:color w:val="FF4C4C"/>
        </w:rPr>
        <w:t>VOTE FOR</w:t>
      </w:r>
      <w:r>
        <w:rPr>
          <w:rFonts w:ascii="Arial" w:cs="Arial" w:eastAsia="Arial" w:hAnsi="Arial"/>
          <w:sz w:val="16"/>
          <w:szCs w:val="16"/>
          <w:color w:val="auto"/>
        </w:rPr>
        <w:t xml:space="preserve"> THE ELECTION TO THE BOARD OF EACH OF THE DIRECTOR NOMINEES.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485140</wp:posOffset>
            </wp:positionH>
            <wp:positionV relativeFrom="paragraph">
              <wp:posOffset>-113030</wp:posOffset>
            </wp:positionV>
            <wp:extent cx="137160" cy="13716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ectPr>
          <w:pgSz w:w="11900" w:h="16838" w:orient="portrait"/>
          <w:cols w:equalWidth="0" w:num="1">
            <w:col w:w="10160"/>
          </w:cols>
          <w:pgMar w:left="320" w:top="132" w:right="141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6" w:lineRule="exact"/>
        <w:rPr>
          <w:sz w:val="20"/>
          <w:szCs w:val="20"/>
          <w:color w:val="auto"/>
        </w:rPr>
      </w:pPr>
    </w:p>
    <w:p>
      <w:pPr>
        <w:ind w:left="4360"/>
        <w:spacing w:after="0"/>
        <w:tabs>
          <w:tab w:leader="none" w:pos="10060" w:val="left"/>
        </w:tabs>
        <w:rPr>
          <w:sz w:val="20"/>
          <w:szCs w:val="20"/>
          <w:color w:val="auto"/>
        </w:rPr>
      </w:pPr>
      <w:r>
        <w:rPr>
          <w:rFonts w:ascii="Arial" w:cs="Arial" w:eastAsia="Arial" w:hAnsi="Arial"/>
          <w:sz w:val="13"/>
          <w:szCs w:val="13"/>
          <w:b w:val="1"/>
          <w:bCs w:val="1"/>
          <w:color w:val="4800E6"/>
        </w:rPr>
        <w:t xml:space="preserve">LIVANOVA </w:t>
      </w:r>
      <w:r>
        <w:rPr>
          <w:rFonts w:ascii="Arial" w:cs="Arial" w:eastAsia="Arial" w:hAnsi="Arial"/>
          <w:sz w:val="13"/>
          <w:szCs w:val="13"/>
          <w:color w:val="000000"/>
        </w:rPr>
        <w:t>|</w:t>
      </w:r>
      <w:r>
        <w:rPr>
          <w:rFonts w:ascii="Arial" w:cs="Arial" w:eastAsia="Arial" w:hAnsi="Arial"/>
          <w:sz w:val="13"/>
          <w:szCs w:val="13"/>
          <w:b w:val="1"/>
          <w:bCs w:val="1"/>
          <w:color w:val="4800E6"/>
        </w:rPr>
        <w:t xml:space="preserve"> </w:t>
      </w:r>
      <w:r>
        <w:rPr>
          <w:rFonts w:ascii="Arial" w:cs="Arial" w:eastAsia="Arial" w:hAnsi="Arial"/>
          <w:sz w:val="13"/>
          <w:szCs w:val="13"/>
          <w:color w:val="4800E6"/>
        </w:rPr>
        <w:t>2020</w:t>
      </w:r>
      <w:r>
        <w:rPr>
          <w:rFonts w:ascii="Arial" w:cs="Arial" w:eastAsia="Arial" w:hAnsi="Arial"/>
          <w:sz w:val="13"/>
          <w:szCs w:val="13"/>
          <w:b w:val="1"/>
          <w:bCs w:val="1"/>
          <w:color w:val="4800E6"/>
        </w:rPr>
        <w:t xml:space="preserve"> </w:t>
      </w:r>
      <w:r>
        <w:rPr>
          <w:rFonts w:ascii="Arial" w:cs="Arial" w:eastAsia="Arial" w:hAnsi="Arial"/>
          <w:sz w:val="13"/>
          <w:szCs w:val="13"/>
          <w:color w:val="000000"/>
        </w:rPr>
        <w:t>Proxy Statement</w:t>
      </w:r>
      <w:r>
        <w:rPr>
          <w:sz w:val="20"/>
          <w:szCs w:val="20"/>
          <w:color w:val="auto"/>
        </w:rPr>
        <w:tab/>
      </w:r>
      <w:r>
        <w:rPr>
          <w:rFonts w:ascii="Arial" w:cs="Arial" w:eastAsia="Arial" w:hAnsi="Arial"/>
          <w:sz w:val="14"/>
          <w:szCs w:val="14"/>
          <w:b w:val="1"/>
          <w:bCs w:val="1"/>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519430</wp:posOffset>
            </wp:positionH>
            <wp:positionV relativeFrom="paragraph">
              <wp:posOffset>-15875</wp:posOffset>
            </wp:positionV>
            <wp:extent cx="1954530" cy="889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1954530" cy="8890"/>
                    </a:xfrm>
                    <a:prstGeom prst="rect">
                      <a:avLst/>
                    </a:prstGeom>
                    <a:noFill/>
                  </pic:spPr>
                </pic:pic>
              </a:graphicData>
            </a:graphic>
          </wp:anchor>
        </w:drawing>
        <w:drawing>
          <wp:anchor simplePos="0" relativeHeight="251657728" behindDoc="1" locked="0" layoutInCell="0" allowOverlap="1">
            <wp:simplePos x="0" y="0"/>
            <wp:positionH relativeFrom="column">
              <wp:posOffset>4274185</wp:posOffset>
            </wp:positionH>
            <wp:positionV relativeFrom="paragraph">
              <wp:posOffset>-15875</wp:posOffset>
            </wp:positionV>
            <wp:extent cx="1954530" cy="889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195453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94615</wp:posOffset>
            </wp:positionV>
            <wp:extent cx="6806565" cy="171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10160"/>
          </w:cols>
          <w:pgMar w:left="320" w:top="132" w:right="1419" w:bottom="1440" w:gutter="0" w:footer="0" w:header="0"/>
          <w:type w:val="continuous"/>
        </w:sectPr>
      </w:pPr>
    </w:p>
    <w:bookmarkStart w:id="12" w:name="page13"/>
    <w:bookmarkEnd w:id="12"/>
    <w:p>
      <w:pPr>
        <w:spacing w:after="0"/>
        <w:rPr>
          <w:rFonts w:ascii="Arial" w:cs="Arial" w:eastAsia="Arial" w:hAnsi="Arial"/>
          <w:sz w:val="14"/>
          <w:szCs w:val="14"/>
          <w:color w:val="003366"/>
        </w:rPr>
      </w:pPr>
      <w:hyperlink w:anchor="page4">
        <w:r>
          <w:rPr>
            <w:rFonts w:ascii="Arial" w:cs="Arial" w:eastAsia="Arial" w:hAnsi="Arial"/>
            <w:sz w:val="14"/>
            <w:szCs w:val="14"/>
            <w:color w:val="003366"/>
          </w:rPr>
          <w:t>TABLE OF CONTENTS</w:t>
        </w:r>
      </w:hyperlink>
    </w:p>
    <w:p>
      <w:pPr>
        <w:spacing w:after="0" w:line="338" w:lineRule="exact"/>
        <w:rPr>
          <w:sz w:val="20"/>
          <w:szCs w:val="20"/>
          <w:color w:val="auto"/>
        </w:rPr>
      </w:pPr>
    </w:p>
    <w:p>
      <w:pPr>
        <w:ind w:left="760"/>
        <w:spacing w:after="0"/>
        <w:rPr>
          <w:sz w:val="20"/>
          <w:szCs w:val="20"/>
          <w:color w:val="auto"/>
        </w:rPr>
      </w:pPr>
      <w:r>
        <w:rPr>
          <w:rFonts w:ascii="Arial" w:cs="Arial" w:eastAsia="Arial" w:hAnsi="Arial"/>
          <w:sz w:val="13"/>
          <w:szCs w:val="13"/>
          <w:b w:val="1"/>
          <w:bCs w:val="1"/>
          <w:color w:val="auto"/>
        </w:rPr>
        <w:t xml:space="preserve">Corporate </w:t>
      </w:r>
      <w:r>
        <w:rPr>
          <w:rFonts w:ascii="Arial" w:cs="Arial" w:eastAsia="Arial" w:hAnsi="Arial"/>
          <w:sz w:val="13"/>
          <w:szCs w:val="13"/>
          <w:b w:val="1"/>
          <w:bCs w:val="1"/>
          <w:color w:val="666666"/>
        </w:rPr>
        <w:t>Governance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485140</wp:posOffset>
            </wp:positionH>
            <wp:positionV relativeFrom="paragraph">
              <wp:posOffset>30480</wp:posOffset>
            </wp:positionV>
            <wp:extent cx="5829300" cy="825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5829300" cy="8255"/>
                    </a:xfrm>
                    <a:prstGeom prst="rect">
                      <a:avLst/>
                    </a:prstGeom>
                    <a:noFill/>
                  </pic:spPr>
                </pic:pic>
              </a:graphicData>
            </a:graphic>
          </wp:anchor>
        </w:drawing>
      </w:r>
    </w:p>
    <w:p>
      <w:pPr>
        <w:spacing w:after="0" w:line="60" w:lineRule="exact"/>
        <w:rPr>
          <w:sz w:val="20"/>
          <w:szCs w:val="20"/>
          <w:color w:val="auto"/>
        </w:rPr>
      </w:pPr>
    </w:p>
    <w:p>
      <w:pPr>
        <w:ind w:left="760"/>
        <w:spacing w:after="0"/>
        <w:rPr>
          <w:sz w:val="20"/>
          <w:szCs w:val="20"/>
          <w:color w:val="auto"/>
        </w:rPr>
      </w:pPr>
      <w:r>
        <w:rPr>
          <w:rFonts w:ascii="Arial" w:cs="Arial" w:eastAsia="Arial" w:hAnsi="Arial"/>
          <w:sz w:val="13"/>
          <w:szCs w:val="13"/>
          <w:b w:val="1"/>
          <w:bCs w:val="1"/>
          <w:color w:val="4800E6"/>
        </w:rPr>
        <w:t>The Board of Directors</w:t>
      </w:r>
    </w:p>
    <w:p>
      <w:pPr>
        <w:spacing w:after="0" w:line="200" w:lineRule="exact"/>
        <w:rPr>
          <w:sz w:val="20"/>
          <w:szCs w:val="20"/>
          <w:color w:val="auto"/>
        </w:rPr>
      </w:pPr>
    </w:p>
    <w:p>
      <w:pPr>
        <w:spacing w:after="0" w:line="379" w:lineRule="exact"/>
        <w:rPr>
          <w:sz w:val="20"/>
          <w:szCs w:val="20"/>
          <w:color w:val="auto"/>
        </w:rPr>
      </w:pPr>
    </w:p>
    <w:p>
      <w:pPr>
        <w:ind w:left="760"/>
        <w:spacing w:after="0"/>
        <w:rPr>
          <w:sz w:val="20"/>
          <w:szCs w:val="20"/>
          <w:color w:val="auto"/>
        </w:rPr>
      </w:pPr>
      <w:r>
        <w:rPr>
          <w:rFonts w:ascii="Arial" w:cs="Arial" w:eastAsia="Arial" w:hAnsi="Arial"/>
          <w:sz w:val="47"/>
          <w:szCs w:val="47"/>
          <w:b w:val="1"/>
          <w:bCs w:val="1"/>
          <w:color w:val="4800E6"/>
        </w:rPr>
        <w:t xml:space="preserve">Corporate </w:t>
      </w:r>
      <w:r>
        <w:rPr>
          <w:rFonts w:ascii="Arial" w:cs="Arial" w:eastAsia="Arial" w:hAnsi="Arial"/>
          <w:sz w:val="47"/>
          <w:szCs w:val="47"/>
          <w:b w:val="1"/>
          <w:bCs w:val="1"/>
          <w:color w:val="666666"/>
        </w:rPr>
        <w:t>Governance</w:t>
      </w:r>
    </w:p>
    <w:p>
      <w:pPr>
        <w:spacing w:after="0" w:line="200" w:lineRule="exact"/>
        <w:rPr>
          <w:sz w:val="20"/>
          <w:szCs w:val="20"/>
          <w:color w:val="auto"/>
        </w:rPr>
      </w:pPr>
    </w:p>
    <w:p>
      <w:pPr>
        <w:spacing w:after="0" w:line="253" w:lineRule="exact"/>
        <w:rPr>
          <w:sz w:val="20"/>
          <w:szCs w:val="20"/>
          <w:color w:val="auto"/>
        </w:rPr>
      </w:pPr>
    </w:p>
    <w:p>
      <w:pPr>
        <w:ind w:left="760"/>
        <w:spacing w:after="0"/>
        <w:rPr>
          <w:sz w:val="20"/>
          <w:szCs w:val="20"/>
          <w:color w:val="auto"/>
        </w:rPr>
      </w:pPr>
      <w:r>
        <w:rPr>
          <w:rFonts w:ascii="Arial" w:cs="Arial" w:eastAsia="Arial" w:hAnsi="Arial"/>
          <w:sz w:val="31"/>
          <w:szCs w:val="31"/>
          <w:b w:val="1"/>
          <w:bCs w:val="1"/>
          <w:color w:val="4800E6"/>
        </w:rPr>
        <w:t>The Board of Directors</w:t>
      </w:r>
    </w:p>
    <w:p>
      <w:pPr>
        <w:spacing w:after="0" w:line="146" w:lineRule="exact"/>
        <w:rPr>
          <w:sz w:val="20"/>
          <w:szCs w:val="20"/>
          <w:color w:val="auto"/>
        </w:rPr>
      </w:pPr>
    </w:p>
    <w:p>
      <w:pPr>
        <w:ind w:left="760" w:right="359"/>
        <w:spacing w:after="0" w:line="270" w:lineRule="auto"/>
        <w:rPr>
          <w:sz w:val="20"/>
          <w:szCs w:val="20"/>
          <w:color w:val="auto"/>
        </w:rPr>
      </w:pPr>
      <w:r>
        <w:rPr>
          <w:rFonts w:ascii="Arial" w:cs="Arial" w:eastAsia="Arial" w:hAnsi="Arial"/>
          <w:sz w:val="15"/>
          <w:szCs w:val="15"/>
          <w:color w:val="auto"/>
        </w:rPr>
        <w:t>Our Articles of Association provide that the number of directors shall be nine unless otherwise decided by the Board. On April 23, 2019, the Board increased the size of the Board to ten directors in order to accommodate a broader skill set on the Board. The New Articles presented for consideration in this proxy statement would set the number of directors at ten. Upon the recommendation of our Nominating and Corporate Governance Committee, the Board has nominated the persons named under Proposal No. 1 to serve as directors until the 2021 AGM or their earlier resignation or removal. All directors are elected annually.</w:t>
      </w:r>
    </w:p>
    <w:p>
      <w:pPr>
        <w:spacing w:after="0" w:line="69" w:lineRule="exact"/>
        <w:rPr>
          <w:sz w:val="20"/>
          <w:szCs w:val="20"/>
          <w:color w:val="auto"/>
        </w:rPr>
      </w:pPr>
    </w:p>
    <w:p>
      <w:pPr>
        <w:ind w:left="760" w:right="559"/>
        <w:spacing w:after="0" w:line="253" w:lineRule="auto"/>
        <w:rPr>
          <w:sz w:val="20"/>
          <w:szCs w:val="20"/>
          <w:color w:val="auto"/>
        </w:rPr>
      </w:pPr>
      <w:r>
        <w:rPr>
          <w:rFonts w:ascii="Arial" w:cs="Arial" w:eastAsia="Arial" w:hAnsi="Arial"/>
          <w:sz w:val="16"/>
          <w:szCs w:val="16"/>
          <w:color w:val="auto"/>
        </w:rPr>
        <w:t>With the exception of Mr. McDonald, our chief executive officer (“CEO”), each of the named nominees is independent under applicable rules of Nasdaq and the US Securities and Exchange Commission (“SEC”). If re-elected, Mr. Moore will continue to serve as the Company’s independent and non-executive chairman of the Board.</w:t>
      </w:r>
    </w:p>
    <w:p>
      <w:pPr>
        <w:spacing w:after="0" w:line="243" w:lineRule="exact"/>
        <w:rPr>
          <w:sz w:val="20"/>
          <w:szCs w:val="20"/>
          <w:color w:val="auto"/>
        </w:rPr>
      </w:pPr>
    </w:p>
    <w:p>
      <w:pPr>
        <w:ind w:left="760"/>
        <w:spacing w:after="0"/>
        <w:rPr>
          <w:sz w:val="20"/>
          <w:szCs w:val="20"/>
          <w:color w:val="auto"/>
        </w:rPr>
      </w:pPr>
      <w:r>
        <w:rPr>
          <w:rFonts w:ascii="Arial" w:cs="Arial" w:eastAsia="Arial" w:hAnsi="Arial"/>
          <w:sz w:val="23"/>
          <w:szCs w:val="23"/>
          <w:b w:val="1"/>
          <w:bCs w:val="1"/>
          <w:color w:val="auto"/>
        </w:rPr>
        <w:t>Board Qualifications and Director Selection</w:t>
      </w:r>
    </w:p>
    <w:p>
      <w:pPr>
        <w:spacing w:after="0" w:line="139" w:lineRule="exact"/>
        <w:rPr>
          <w:sz w:val="20"/>
          <w:szCs w:val="20"/>
          <w:color w:val="auto"/>
        </w:rPr>
      </w:pPr>
    </w:p>
    <w:p>
      <w:pPr>
        <w:ind w:left="760" w:right="359"/>
        <w:spacing w:after="0" w:line="251" w:lineRule="auto"/>
        <w:rPr>
          <w:sz w:val="20"/>
          <w:szCs w:val="20"/>
          <w:color w:val="auto"/>
        </w:rPr>
      </w:pPr>
      <w:r>
        <w:rPr>
          <w:rFonts w:ascii="Arial" w:cs="Arial" w:eastAsia="Arial" w:hAnsi="Arial"/>
          <w:sz w:val="16"/>
          <w:szCs w:val="16"/>
          <w:color w:val="auto"/>
        </w:rPr>
        <w:t>The selection process for directors is set out in our Corporate Governance Guidelines and in the charter of the Nominating and Corporate Governance Committee. These documents are available at https://investor.livanova.com. The charter authorizes the Nominating and Corporate Governance Committee to determine the qualifications, qualities, skills and other expertise required to be a director but also sets out certain minimum qualification requirements:</w:t>
      </w:r>
    </w:p>
    <w:p>
      <w:pPr>
        <w:spacing w:after="0" w:line="13" w:lineRule="exact"/>
        <w:rPr>
          <w:sz w:val="20"/>
          <w:szCs w:val="20"/>
          <w:color w:val="auto"/>
        </w:rPr>
      </w:pPr>
    </w:p>
    <w:p>
      <w:pPr>
        <w:ind w:left="920" w:hanging="156"/>
        <w:spacing w:after="0"/>
        <w:tabs>
          <w:tab w:leader="none" w:pos="920" w:val="left"/>
        </w:tabs>
        <w:numPr>
          <w:ilvl w:val="0"/>
          <w:numId w:val="11"/>
        </w:numPr>
        <w:rPr>
          <w:rFonts w:ascii="Arial" w:cs="Arial" w:eastAsia="Arial" w:hAnsi="Arial"/>
          <w:sz w:val="16"/>
          <w:szCs w:val="16"/>
          <w:color w:val="4800E6"/>
        </w:rPr>
      </w:pPr>
      <w:r>
        <w:rPr>
          <w:rFonts w:ascii="Arial" w:cs="Arial" w:eastAsia="Arial" w:hAnsi="Arial"/>
          <w:sz w:val="16"/>
          <w:szCs w:val="16"/>
          <w:color w:val="auto"/>
        </w:rPr>
        <w:t>high ethical behavior;</w:t>
      </w:r>
    </w:p>
    <w:p>
      <w:pPr>
        <w:spacing w:after="0" w:line="32" w:lineRule="exact"/>
        <w:rPr>
          <w:rFonts w:ascii="Arial" w:cs="Arial" w:eastAsia="Arial" w:hAnsi="Arial"/>
          <w:sz w:val="16"/>
          <w:szCs w:val="16"/>
          <w:color w:val="4800E6"/>
        </w:rPr>
      </w:pPr>
    </w:p>
    <w:p>
      <w:pPr>
        <w:ind w:left="920" w:hanging="156"/>
        <w:spacing w:after="0"/>
        <w:tabs>
          <w:tab w:leader="none" w:pos="920" w:val="left"/>
        </w:tabs>
        <w:numPr>
          <w:ilvl w:val="0"/>
          <w:numId w:val="11"/>
        </w:numPr>
        <w:rPr>
          <w:rFonts w:ascii="Arial" w:cs="Arial" w:eastAsia="Arial" w:hAnsi="Arial"/>
          <w:sz w:val="16"/>
          <w:szCs w:val="16"/>
          <w:color w:val="4800E6"/>
        </w:rPr>
      </w:pPr>
      <w:r>
        <w:rPr>
          <w:rFonts w:ascii="Arial" w:cs="Arial" w:eastAsia="Arial" w:hAnsi="Arial"/>
          <w:sz w:val="16"/>
          <w:szCs w:val="16"/>
          <w:color w:val="auto"/>
        </w:rPr>
        <w:t>accomplishments within their respective fields;</w:t>
      </w:r>
    </w:p>
    <w:p>
      <w:pPr>
        <w:spacing w:after="0" w:line="45" w:lineRule="exact"/>
        <w:rPr>
          <w:rFonts w:ascii="Arial" w:cs="Arial" w:eastAsia="Arial" w:hAnsi="Arial"/>
          <w:sz w:val="16"/>
          <w:szCs w:val="16"/>
          <w:color w:val="4800E6"/>
        </w:rPr>
      </w:pPr>
    </w:p>
    <w:p>
      <w:pPr>
        <w:ind w:left="920" w:hanging="156"/>
        <w:spacing w:after="0"/>
        <w:tabs>
          <w:tab w:leader="none" w:pos="920" w:val="left"/>
        </w:tabs>
        <w:numPr>
          <w:ilvl w:val="0"/>
          <w:numId w:val="11"/>
        </w:numPr>
        <w:rPr>
          <w:rFonts w:ascii="Arial" w:cs="Arial" w:eastAsia="Arial" w:hAnsi="Arial"/>
          <w:sz w:val="16"/>
          <w:szCs w:val="16"/>
          <w:color w:val="4800E6"/>
        </w:rPr>
      </w:pPr>
      <w:r>
        <w:rPr>
          <w:rFonts w:ascii="Arial" w:cs="Arial" w:eastAsia="Arial" w:hAnsi="Arial"/>
          <w:sz w:val="16"/>
          <w:szCs w:val="16"/>
          <w:color w:val="auto"/>
        </w:rPr>
        <w:t>relevant business and financial expertise and experience;</w:t>
      </w:r>
    </w:p>
    <w:p>
      <w:pPr>
        <w:spacing w:after="0" w:line="32" w:lineRule="exact"/>
        <w:rPr>
          <w:rFonts w:ascii="Arial" w:cs="Arial" w:eastAsia="Arial" w:hAnsi="Arial"/>
          <w:sz w:val="16"/>
          <w:szCs w:val="16"/>
          <w:color w:val="4800E6"/>
        </w:rPr>
      </w:pPr>
    </w:p>
    <w:p>
      <w:pPr>
        <w:ind w:left="920" w:hanging="156"/>
        <w:spacing w:after="0"/>
        <w:tabs>
          <w:tab w:leader="none" w:pos="920" w:val="left"/>
        </w:tabs>
        <w:numPr>
          <w:ilvl w:val="0"/>
          <w:numId w:val="11"/>
        </w:numPr>
        <w:rPr>
          <w:rFonts w:ascii="Arial" w:cs="Arial" w:eastAsia="Arial" w:hAnsi="Arial"/>
          <w:sz w:val="16"/>
          <w:szCs w:val="16"/>
          <w:color w:val="4800E6"/>
        </w:rPr>
      </w:pPr>
      <w:r>
        <w:rPr>
          <w:rFonts w:ascii="Arial" w:cs="Arial" w:eastAsia="Arial" w:hAnsi="Arial"/>
          <w:sz w:val="16"/>
          <w:szCs w:val="16"/>
          <w:color w:val="auto"/>
        </w:rPr>
        <w:t>sound business judgment; and</w:t>
      </w:r>
    </w:p>
    <w:p>
      <w:pPr>
        <w:spacing w:after="0" w:line="45" w:lineRule="exact"/>
        <w:rPr>
          <w:rFonts w:ascii="Arial" w:cs="Arial" w:eastAsia="Arial" w:hAnsi="Arial"/>
          <w:sz w:val="16"/>
          <w:szCs w:val="16"/>
          <w:color w:val="4800E6"/>
        </w:rPr>
      </w:pPr>
    </w:p>
    <w:p>
      <w:pPr>
        <w:ind w:left="920" w:hanging="156"/>
        <w:spacing w:after="0"/>
        <w:tabs>
          <w:tab w:leader="none" w:pos="920" w:val="left"/>
        </w:tabs>
        <w:numPr>
          <w:ilvl w:val="0"/>
          <w:numId w:val="11"/>
        </w:numPr>
        <w:rPr>
          <w:rFonts w:ascii="Arial" w:cs="Arial" w:eastAsia="Arial" w:hAnsi="Arial"/>
          <w:sz w:val="16"/>
          <w:szCs w:val="16"/>
          <w:color w:val="4800E6"/>
        </w:rPr>
      </w:pPr>
      <w:r>
        <w:rPr>
          <w:rFonts w:ascii="Arial" w:cs="Arial" w:eastAsia="Arial" w:hAnsi="Arial"/>
          <w:sz w:val="16"/>
          <w:szCs w:val="16"/>
          <w:color w:val="auto"/>
        </w:rPr>
        <w:t>diversity, including with respect to gender, race/ethnicity, geography, professional experience, skills and tenure.</w:t>
      </w:r>
    </w:p>
    <w:p>
      <w:pPr>
        <w:spacing w:after="0" w:line="86" w:lineRule="exact"/>
        <w:rPr>
          <w:sz w:val="20"/>
          <w:szCs w:val="20"/>
          <w:color w:val="auto"/>
        </w:rPr>
      </w:pPr>
    </w:p>
    <w:p>
      <w:pPr>
        <w:ind w:left="760" w:right="939"/>
        <w:spacing w:after="0" w:line="260" w:lineRule="auto"/>
        <w:rPr>
          <w:sz w:val="20"/>
          <w:szCs w:val="20"/>
          <w:color w:val="auto"/>
        </w:rPr>
      </w:pPr>
      <w:r>
        <w:rPr>
          <w:rFonts w:ascii="Arial" w:cs="Arial" w:eastAsia="Arial" w:hAnsi="Arial"/>
          <w:sz w:val="16"/>
          <w:szCs w:val="16"/>
          <w:color w:val="auto"/>
        </w:rPr>
        <w:t>Our Articles of Association stipulate that directors must be able to understand and speak English sufficiently to be able to participate fully in all meetings of the Board.</w:t>
      </w:r>
    </w:p>
    <w:p>
      <w:pPr>
        <w:spacing w:after="0" w:line="74" w:lineRule="exact"/>
        <w:rPr>
          <w:sz w:val="20"/>
          <w:szCs w:val="20"/>
          <w:color w:val="auto"/>
        </w:rPr>
      </w:pPr>
    </w:p>
    <w:p>
      <w:pPr>
        <w:ind w:left="760" w:right="239"/>
        <w:spacing w:after="0" w:line="250" w:lineRule="auto"/>
        <w:rPr>
          <w:sz w:val="20"/>
          <w:szCs w:val="20"/>
          <w:color w:val="auto"/>
        </w:rPr>
      </w:pPr>
      <w:r>
        <w:rPr>
          <w:rFonts w:ascii="Arial" w:cs="Arial" w:eastAsia="Arial" w:hAnsi="Arial"/>
          <w:sz w:val="16"/>
          <w:szCs w:val="16"/>
          <w:color w:val="auto"/>
        </w:rPr>
        <w:t>The Board has not introduced term or age limits. While term limits may foster fresh ideas and viewpoints, they hold the disadvantage of losing the contribution of directors who have been able to develop, over a period of time, increased insight into the Company and its operations and, therefore, provide significant contributions to the Board as a whole. As an alternative to term limits, the Nominating and Corporate Governance Committee reviews each director’s continued tenure on the Board annually. All of our directors have served for fewer than six years.</w:t>
      </w:r>
    </w:p>
    <w:p>
      <w:pPr>
        <w:spacing w:after="0" w:line="81" w:lineRule="exact"/>
        <w:rPr>
          <w:sz w:val="20"/>
          <w:szCs w:val="20"/>
          <w:color w:val="auto"/>
        </w:rPr>
      </w:pPr>
    </w:p>
    <w:p>
      <w:pPr>
        <w:ind w:left="760" w:right="279"/>
        <w:spacing w:after="0" w:line="248" w:lineRule="auto"/>
        <w:rPr>
          <w:sz w:val="20"/>
          <w:szCs w:val="20"/>
          <w:color w:val="auto"/>
        </w:rPr>
      </w:pPr>
      <w:r>
        <w:rPr>
          <w:rFonts w:ascii="Arial" w:cs="Arial" w:eastAsia="Arial" w:hAnsi="Arial"/>
          <w:sz w:val="16"/>
          <w:szCs w:val="16"/>
          <w:color w:val="auto"/>
        </w:rPr>
        <w:t>The Nominating and Corporate Governance Committee conducts a skills analysis and considers that analysis in the context of the Company’s strategic plan in order to identify skills and expertise required to lead the Company now and in the future. It also considers the results of the Board and its committees’ annual self-assessments to identify any further gaps as well as Board succession planning and ultimately determines the qualifications, qualities, skills and other expertise (in addition to the minimum requirements set out above) desired at this juncture in the Company’s development. The Nominating and Corporate Governance Committee then assesses all current directors who expressed an interest in being re-nominated as well as potential new candidates and makes its recommendation to the Board.</w:t>
      </w:r>
    </w:p>
    <w:p>
      <w:pPr>
        <w:spacing w:after="0" w:line="73" w:lineRule="exact"/>
        <w:rPr>
          <w:sz w:val="20"/>
          <w:szCs w:val="20"/>
          <w:color w:val="auto"/>
        </w:rPr>
      </w:pPr>
    </w:p>
    <w:p>
      <w:pPr>
        <w:ind w:left="760" w:right="439"/>
        <w:spacing w:after="0" w:line="251" w:lineRule="auto"/>
        <w:rPr>
          <w:sz w:val="20"/>
          <w:szCs w:val="20"/>
          <w:color w:val="auto"/>
        </w:rPr>
      </w:pPr>
      <w:r>
        <w:rPr>
          <w:rFonts w:ascii="Arial" w:cs="Arial" w:eastAsia="Arial" w:hAnsi="Arial"/>
          <w:sz w:val="16"/>
          <w:szCs w:val="16"/>
          <w:color w:val="auto"/>
        </w:rPr>
        <w:t>The Nominating and Corporate Governance Committee may consider candidates for our Board from any reasonable source, including from a search firm engaged by the committee and shareholder recommendations subject to the procedures set forth below and the full procedures identified in our Corporate Governance Guidelines. Any invitation to join our Board is extended by the Board and by the chair of the Nominating and Corporate Governance Committee.</w:t>
      </w:r>
    </w:p>
    <w:p>
      <w:pPr>
        <w:spacing w:after="0" w:line="81" w:lineRule="exact"/>
        <w:rPr>
          <w:sz w:val="20"/>
          <w:szCs w:val="20"/>
          <w:color w:val="auto"/>
        </w:rPr>
      </w:pPr>
    </w:p>
    <w:p>
      <w:pPr>
        <w:ind w:left="760" w:right="259"/>
        <w:spacing w:after="0" w:line="251" w:lineRule="auto"/>
        <w:rPr>
          <w:sz w:val="20"/>
          <w:szCs w:val="20"/>
          <w:color w:val="auto"/>
        </w:rPr>
      </w:pPr>
      <w:r>
        <w:rPr>
          <w:rFonts w:ascii="Arial" w:cs="Arial" w:eastAsia="Arial" w:hAnsi="Arial"/>
          <w:sz w:val="16"/>
          <w:szCs w:val="16"/>
          <w:color w:val="auto"/>
        </w:rPr>
        <w:t>Although we do not have a formal policy with regard to the consideration of any director nominees recommended by shareholders, a shareholder or group of shareholders may recommend potential candidates for consideration. We do not have such a policy because the Nominating and Corporate Governance Committee believes that it can adequately evaluate any such nominees on a case-by-case basis. No shareholder nominees were submitted for consideration at the 2020 AGM.</w:t>
      </w:r>
    </w:p>
    <w:p>
      <w:pPr>
        <w:spacing w:after="0" w:line="81" w:lineRule="exact"/>
        <w:rPr>
          <w:sz w:val="20"/>
          <w:szCs w:val="20"/>
          <w:color w:val="auto"/>
        </w:rPr>
      </w:pPr>
    </w:p>
    <w:p>
      <w:pPr>
        <w:ind w:left="760" w:right="439"/>
        <w:spacing w:after="0" w:line="246" w:lineRule="auto"/>
        <w:rPr>
          <w:sz w:val="20"/>
          <w:szCs w:val="20"/>
          <w:color w:val="auto"/>
        </w:rPr>
      </w:pPr>
      <w:r>
        <w:rPr>
          <w:rFonts w:ascii="Arial" w:cs="Arial" w:eastAsia="Arial" w:hAnsi="Arial"/>
          <w:sz w:val="16"/>
          <w:szCs w:val="16"/>
          <w:color w:val="auto"/>
        </w:rPr>
        <w:t>Nominees for consideration by the Nominating and Corporate Governance Committee may be sent in writing to the Office of the Company Secretary, by mail at 20 Eastbourne Terrace, London W2 6LG, United Kingdom, not less than 90 nor more than</w:t>
      </w:r>
    </w:p>
    <w:p>
      <w:pPr>
        <w:spacing w:after="0" w:line="1" w:lineRule="exact"/>
        <w:rPr>
          <w:sz w:val="20"/>
          <w:szCs w:val="20"/>
          <w:color w:val="auto"/>
        </w:rPr>
      </w:pPr>
    </w:p>
    <w:p>
      <w:pPr>
        <w:ind w:left="760" w:right="239"/>
        <w:spacing w:after="0" w:line="278" w:lineRule="auto"/>
        <w:rPr>
          <w:sz w:val="20"/>
          <w:szCs w:val="20"/>
          <w:color w:val="auto"/>
        </w:rPr>
      </w:pPr>
      <w:r>
        <w:rPr>
          <w:rFonts w:ascii="Arial" w:cs="Arial" w:eastAsia="Arial" w:hAnsi="Arial"/>
          <w:sz w:val="15"/>
          <w:szCs w:val="15"/>
          <w:color w:val="auto"/>
        </w:rPr>
        <w:t>120 days prior to the first anniversary of the AGM for the previous year. The written nomination must include all information relating to such director nominee that is required to be disclosed in a proxy statement or other filings required to be made in connection with solicitations of proxies for election of directors, or otherwise required, pursuant to Regulation 14A under the US Securities</w:t>
      </w:r>
    </w:p>
    <w:p>
      <w:pPr>
        <w:spacing w:after="0" w:line="263" w:lineRule="exact"/>
        <w:rPr>
          <w:sz w:val="20"/>
          <w:szCs w:val="20"/>
          <w:color w:val="auto"/>
        </w:rPr>
      </w:pPr>
    </w:p>
    <w:p>
      <w:pPr>
        <w:ind w:left="540"/>
        <w:spacing w:after="0"/>
        <w:tabs>
          <w:tab w:leader="none" w:pos="4400" w:val="left"/>
          <w:tab w:leader="none" w:pos="8760" w:val="left"/>
        </w:tabs>
        <w:rPr>
          <w:sz w:val="20"/>
          <w:szCs w:val="20"/>
          <w:color w:val="auto"/>
        </w:rPr>
      </w:pPr>
      <w:r>
        <w:rPr>
          <w:rFonts w:ascii="Arial" w:cs="Arial" w:eastAsia="Arial" w:hAnsi="Arial"/>
          <w:sz w:val="14"/>
          <w:szCs w:val="14"/>
          <w:b w:val="1"/>
          <w:bCs w:val="1"/>
          <w:color w:val="auto"/>
        </w:rPr>
        <w:t>9</w:t>
      </w:r>
      <w:r>
        <w:rPr>
          <w:sz w:val="20"/>
          <w:szCs w:val="20"/>
          <w:color w:val="auto"/>
        </w:rPr>
        <w:tab/>
      </w:r>
      <w:r>
        <w:rPr>
          <w:rFonts w:ascii="Arial" w:cs="Arial" w:eastAsia="Arial" w:hAnsi="Arial"/>
          <w:sz w:val="13"/>
          <w:szCs w:val="13"/>
          <w:b w:val="1"/>
          <w:bCs w:val="1"/>
          <w:color w:val="4800E6"/>
        </w:rPr>
        <w:t xml:space="preserve">LIVANOVA </w:t>
      </w:r>
      <w:r>
        <w:rPr>
          <w:rFonts w:ascii="Arial" w:cs="Arial" w:eastAsia="Arial" w:hAnsi="Arial"/>
          <w:sz w:val="13"/>
          <w:szCs w:val="13"/>
          <w:color w:val="000000"/>
        </w:rPr>
        <w:t>|</w:t>
      </w:r>
      <w:r>
        <w:rPr>
          <w:rFonts w:ascii="Arial" w:cs="Arial" w:eastAsia="Arial" w:hAnsi="Arial"/>
          <w:sz w:val="13"/>
          <w:szCs w:val="13"/>
          <w:b w:val="1"/>
          <w:bCs w:val="1"/>
          <w:color w:val="4800E6"/>
        </w:rPr>
        <w:t xml:space="preserve"> </w:t>
      </w:r>
      <w:r>
        <w:rPr>
          <w:rFonts w:ascii="Arial" w:cs="Arial" w:eastAsia="Arial" w:hAnsi="Arial"/>
          <w:sz w:val="13"/>
          <w:szCs w:val="13"/>
          <w:color w:val="4800E6"/>
        </w:rPr>
        <w:t>2020</w:t>
      </w:r>
      <w:r>
        <w:rPr>
          <w:rFonts w:ascii="Arial" w:cs="Arial" w:eastAsia="Arial" w:hAnsi="Arial"/>
          <w:sz w:val="13"/>
          <w:szCs w:val="13"/>
          <w:b w:val="1"/>
          <w:bCs w:val="1"/>
          <w:color w:val="4800E6"/>
        </w:rPr>
        <w:t xml:space="preserve"> </w:t>
      </w:r>
      <w:r>
        <w:rPr>
          <w:rFonts w:ascii="Arial" w:cs="Arial" w:eastAsia="Arial" w:hAnsi="Arial"/>
          <w:sz w:val="13"/>
          <w:szCs w:val="13"/>
          <w:color w:val="000000"/>
        </w:rPr>
        <w:t>Proxy Statement</w:t>
      </w:r>
      <w:r>
        <w:rPr>
          <w:sz w:val="20"/>
          <w:szCs w:val="20"/>
          <w:color w:val="auto"/>
        </w:rPr>
        <w:tab/>
      </w:r>
      <w:r>
        <w:rPr>
          <w:rFonts w:ascii="Arial" w:cs="Arial" w:eastAsia="Arial" w:hAnsi="Arial"/>
          <w:sz w:val="12"/>
          <w:szCs w:val="12"/>
          <w:b w:val="1"/>
          <w:bCs w:val="1"/>
          <w:color w:val="4800E6"/>
        </w:rPr>
        <w:t>www.livanova.com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519430</wp:posOffset>
            </wp:positionH>
            <wp:positionV relativeFrom="paragraph">
              <wp:posOffset>-24765</wp:posOffset>
            </wp:positionV>
            <wp:extent cx="1954530" cy="889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1954530" cy="8890"/>
                    </a:xfrm>
                    <a:prstGeom prst="rect">
                      <a:avLst/>
                    </a:prstGeom>
                    <a:noFill/>
                  </pic:spPr>
                </pic:pic>
              </a:graphicData>
            </a:graphic>
          </wp:anchor>
        </w:drawing>
        <w:drawing>
          <wp:anchor simplePos="0" relativeHeight="251657728" behindDoc="1" locked="0" layoutInCell="0" allowOverlap="1">
            <wp:simplePos x="0" y="0"/>
            <wp:positionH relativeFrom="column">
              <wp:posOffset>4316730</wp:posOffset>
            </wp:positionH>
            <wp:positionV relativeFrom="paragraph">
              <wp:posOffset>-24765</wp:posOffset>
            </wp:positionV>
            <wp:extent cx="1028700" cy="889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102870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86360</wp:posOffset>
            </wp:positionV>
            <wp:extent cx="6806565" cy="171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10139"/>
          </w:cols>
          <w:pgMar w:left="320" w:top="132" w:right="1440" w:bottom="1440" w:gutter="0" w:footer="0" w:header="0"/>
        </w:sectPr>
      </w:pPr>
    </w:p>
    <w:bookmarkStart w:id="13" w:name="page14"/>
    <w:bookmarkEnd w:id="13"/>
    <w:p>
      <w:pPr>
        <w:spacing w:after="0"/>
        <w:rPr>
          <w:rFonts w:ascii="Arial" w:cs="Arial" w:eastAsia="Arial" w:hAnsi="Arial"/>
          <w:sz w:val="14"/>
          <w:szCs w:val="14"/>
          <w:color w:val="003366"/>
        </w:rPr>
      </w:pPr>
      <w:hyperlink w:anchor="page4">
        <w:r>
          <w:rPr>
            <w:rFonts w:ascii="Arial" w:cs="Arial" w:eastAsia="Arial" w:hAnsi="Arial"/>
            <w:sz w:val="14"/>
            <w:szCs w:val="14"/>
            <w:color w:val="003366"/>
          </w:rPr>
          <w:t>TABLE OF CONTENTS</w:t>
        </w:r>
      </w:hyperlink>
    </w:p>
    <w:p>
      <w:pPr>
        <w:spacing w:after="0" w:line="338" w:lineRule="exact"/>
        <w:rPr>
          <w:sz w:val="20"/>
          <w:szCs w:val="20"/>
          <w:color w:val="auto"/>
        </w:rPr>
      </w:pPr>
    </w:p>
    <w:p>
      <w:pPr>
        <w:jc w:val="right"/>
        <w:ind w:right="780"/>
        <w:spacing w:after="0"/>
        <w:rPr>
          <w:sz w:val="20"/>
          <w:szCs w:val="20"/>
          <w:color w:val="auto"/>
        </w:rPr>
      </w:pPr>
      <w:r>
        <w:rPr>
          <w:rFonts w:ascii="Arial" w:cs="Arial" w:eastAsia="Arial" w:hAnsi="Arial"/>
          <w:sz w:val="13"/>
          <w:szCs w:val="13"/>
          <w:b w:val="1"/>
          <w:bCs w:val="1"/>
          <w:color w:val="auto"/>
        </w:rPr>
        <w:t xml:space="preserve">Corporate </w:t>
      </w:r>
      <w:r>
        <w:rPr>
          <w:rFonts w:ascii="Arial" w:cs="Arial" w:eastAsia="Arial" w:hAnsi="Arial"/>
          <w:sz w:val="13"/>
          <w:szCs w:val="13"/>
          <w:b w:val="1"/>
          <w:bCs w:val="1"/>
          <w:color w:val="666666"/>
        </w:rPr>
        <w:t>Governance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485140</wp:posOffset>
            </wp:positionH>
            <wp:positionV relativeFrom="paragraph">
              <wp:posOffset>30480</wp:posOffset>
            </wp:positionV>
            <wp:extent cx="5829300" cy="825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5829300" cy="8255"/>
                    </a:xfrm>
                    <a:prstGeom prst="rect">
                      <a:avLst/>
                    </a:prstGeom>
                    <a:noFill/>
                  </pic:spPr>
                </pic:pic>
              </a:graphicData>
            </a:graphic>
          </wp:anchor>
        </w:drawing>
      </w:r>
    </w:p>
    <w:p>
      <w:pPr>
        <w:spacing w:after="0" w:line="60" w:lineRule="exact"/>
        <w:rPr>
          <w:sz w:val="20"/>
          <w:szCs w:val="20"/>
          <w:color w:val="auto"/>
        </w:rPr>
      </w:pPr>
    </w:p>
    <w:p>
      <w:pPr>
        <w:jc w:val="right"/>
        <w:ind w:right="780"/>
        <w:spacing w:after="0"/>
        <w:rPr>
          <w:sz w:val="20"/>
          <w:szCs w:val="20"/>
          <w:color w:val="auto"/>
        </w:rPr>
      </w:pPr>
      <w:r>
        <w:rPr>
          <w:rFonts w:ascii="Arial" w:cs="Arial" w:eastAsia="Arial" w:hAnsi="Arial"/>
          <w:sz w:val="13"/>
          <w:szCs w:val="13"/>
          <w:b w:val="1"/>
          <w:bCs w:val="1"/>
          <w:color w:val="4800E6"/>
        </w:rPr>
        <w:t>The Board of Directors</w:t>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ind w:left="760" w:right="1320"/>
        <w:spacing w:after="0" w:line="260" w:lineRule="auto"/>
        <w:rPr>
          <w:sz w:val="20"/>
          <w:szCs w:val="20"/>
          <w:color w:val="auto"/>
        </w:rPr>
      </w:pPr>
      <w:r>
        <w:rPr>
          <w:rFonts w:ascii="Arial" w:cs="Arial" w:eastAsia="Arial" w:hAnsi="Arial"/>
          <w:sz w:val="16"/>
          <w:szCs w:val="16"/>
          <w:color w:val="auto"/>
        </w:rPr>
        <w:t>Exchange Act of 1934, as amended (the “Exchange Act”), including such person’s written consent to be named in the proxy statement as a nominee and to serve as a director if elected. In addition, the nomination must include:</w:t>
      </w:r>
    </w:p>
    <w:p>
      <w:pPr>
        <w:spacing w:after="0" w:line="20" w:lineRule="exact"/>
        <w:rPr>
          <w:sz w:val="20"/>
          <w:szCs w:val="20"/>
          <w:color w:val="auto"/>
        </w:rPr>
      </w:pPr>
    </w:p>
    <w:p>
      <w:pPr>
        <w:ind w:left="920" w:hanging="156"/>
        <w:spacing w:after="0"/>
        <w:tabs>
          <w:tab w:leader="none" w:pos="920" w:val="left"/>
        </w:tabs>
        <w:numPr>
          <w:ilvl w:val="0"/>
          <w:numId w:val="12"/>
        </w:numPr>
        <w:rPr>
          <w:rFonts w:ascii="Arial" w:cs="Arial" w:eastAsia="Arial" w:hAnsi="Arial"/>
          <w:sz w:val="16"/>
          <w:szCs w:val="16"/>
          <w:color w:val="4800E6"/>
        </w:rPr>
      </w:pPr>
      <w:r>
        <w:rPr>
          <w:rFonts w:ascii="Arial" w:cs="Arial" w:eastAsia="Arial" w:hAnsi="Arial"/>
          <w:sz w:val="16"/>
          <w:szCs w:val="16"/>
          <w:color w:val="auto"/>
        </w:rPr>
        <w:t>the nominating shareholder’s or shareholders’ name(s) and address(es) as they appear on the Company’s books;</w:t>
      </w:r>
    </w:p>
    <w:p>
      <w:pPr>
        <w:spacing w:after="0" w:line="45" w:lineRule="exact"/>
        <w:rPr>
          <w:rFonts w:ascii="Arial" w:cs="Arial" w:eastAsia="Arial" w:hAnsi="Arial"/>
          <w:sz w:val="16"/>
          <w:szCs w:val="16"/>
          <w:color w:val="4800E6"/>
        </w:rPr>
      </w:pPr>
    </w:p>
    <w:p>
      <w:pPr>
        <w:ind w:left="920" w:hanging="156"/>
        <w:spacing w:after="0"/>
        <w:tabs>
          <w:tab w:leader="none" w:pos="920" w:val="left"/>
        </w:tabs>
        <w:numPr>
          <w:ilvl w:val="0"/>
          <w:numId w:val="12"/>
        </w:numPr>
        <w:rPr>
          <w:rFonts w:ascii="Arial" w:cs="Arial" w:eastAsia="Arial" w:hAnsi="Arial"/>
          <w:sz w:val="16"/>
          <w:szCs w:val="16"/>
          <w:color w:val="4800E6"/>
        </w:rPr>
      </w:pPr>
      <w:r>
        <w:rPr>
          <w:rFonts w:ascii="Arial" w:cs="Arial" w:eastAsia="Arial" w:hAnsi="Arial"/>
          <w:sz w:val="16"/>
          <w:szCs w:val="16"/>
          <w:color w:val="auto"/>
        </w:rPr>
        <w:t>the class and number of shares beneficially owned by the nominating shareholder(s);</w:t>
      </w:r>
    </w:p>
    <w:p>
      <w:pPr>
        <w:spacing w:after="0" w:line="32" w:lineRule="exact"/>
        <w:rPr>
          <w:rFonts w:ascii="Arial" w:cs="Arial" w:eastAsia="Arial" w:hAnsi="Arial"/>
          <w:sz w:val="16"/>
          <w:szCs w:val="16"/>
          <w:color w:val="4800E6"/>
        </w:rPr>
      </w:pPr>
    </w:p>
    <w:p>
      <w:pPr>
        <w:ind w:left="920" w:right="1340" w:hanging="156"/>
        <w:spacing w:after="0" w:line="260" w:lineRule="auto"/>
        <w:tabs>
          <w:tab w:leader="none" w:pos="920" w:val="left"/>
        </w:tabs>
        <w:numPr>
          <w:ilvl w:val="0"/>
          <w:numId w:val="12"/>
        </w:numPr>
        <w:rPr>
          <w:rFonts w:ascii="Arial" w:cs="Arial" w:eastAsia="Arial" w:hAnsi="Arial"/>
          <w:sz w:val="16"/>
          <w:szCs w:val="16"/>
          <w:color w:val="4800E6"/>
        </w:rPr>
      </w:pPr>
      <w:r>
        <w:rPr>
          <w:rFonts w:ascii="Arial" w:cs="Arial" w:eastAsia="Arial" w:hAnsi="Arial"/>
          <w:sz w:val="16"/>
          <w:szCs w:val="16"/>
          <w:color w:val="auto"/>
        </w:rPr>
        <w:t>a description of all agreements, arrangements and understandings between such shareholder(s), each proposed director nominee and any other person or persons (including their names) in connection with the nomination;</w:t>
      </w:r>
    </w:p>
    <w:p>
      <w:pPr>
        <w:spacing w:after="0" w:line="19" w:lineRule="exact"/>
        <w:rPr>
          <w:rFonts w:ascii="Arial" w:cs="Arial" w:eastAsia="Arial" w:hAnsi="Arial"/>
          <w:sz w:val="16"/>
          <w:szCs w:val="16"/>
          <w:color w:val="4800E6"/>
        </w:rPr>
      </w:pPr>
    </w:p>
    <w:p>
      <w:pPr>
        <w:ind w:left="920" w:right="900" w:hanging="156"/>
        <w:spacing w:after="0" w:line="291" w:lineRule="auto"/>
        <w:tabs>
          <w:tab w:leader="none" w:pos="920" w:val="left"/>
        </w:tabs>
        <w:numPr>
          <w:ilvl w:val="0"/>
          <w:numId w:val="12"/>
        </w:numPr>
        <w:rPr>
          <w:rFonts w:ascii="Arial" w:cs="Arial" w:eastAsia="Arial" w:hAnsi="Arial"/>
          <w:sz w:val="15"/>
          <w:szCs w:val="15"/>
          <w:color w:val="4800E6"/>
        </w:rPr>
      </w:pPr>
      <w:r>
        <w:rPr>
          <w:rFonts w:ascii="Arial" w:cs="Arial" w:eastAsia="Arial" w:hAnsi="Arial"/>
          <w:sz w:val="15"/>
          <w:szCs w:val="15"/>
          <w:color w:val="auto"/>
        </w:rPr>
        <w:t>any other information relating to such shareholder(s) that would be required to be disclosed in a proxy statement or other filings required to be made in connection with solicitations of proxies pursuant to Regulation 14A under the Exchange Act; and</w:t>
      </w:r>
    </w:p>
    <w:p>
      <w:pPr>
        <w:ind w:left="920" w:right="1300" w:hanging="156"/>
        <w:spacing w:after="0" w:line="260" w:lineRule="auto"/>
        <w:tabs>
          <w:tab w:leader="none" w:pos="920" w:val="left"/>
        </w:tabs>
        <w:numPr>
          <w:ilvl w:val="0"/>
          <w:numId w:val="12"/>
        </w:numPr>
        <w:rPr>
          <w:rFonts w:ascii="Arial" w:cs="Arial" w:eastAsia="Arial" w:hAnsi="Arial"/>
          <w:sz w:val="16"/>
          <w:szCs w:val="16"/>
          <w:color w:val="4800E6"/>
        </w:rPr>
      </w:pPr>
      <w:r>
        <w:rPr>
          <w:rFonts w:ascii="Arial" w:cs="Arial" w:eastAsia="Arial" w:hAnsi="Arial"/>
          <w:sz w:val="16"/>
          <w:szCs w:val="16"/>
          <w:color w:val="auto"/>
        </w:rPr>
        <w:t>to the extent known by the shareholder(s) giving notice, the name and address of any other shareholder(s) supporting the election of the nominee.</w:t>
      </w:r>
    </w:p>
    <w:p>
      <w:pPr>
        <w:spacing w:after="0" w:line="60" w:lineRule="exact"/>
        <w:rPr>
          <w:sz w:val="20"/>
          <w:szCs w:val="20"/>
          <w:color w:val="auto"/>
        </w:rPr>
      </w:pPr>
    </w:p>
    <w:p>
      <w:pPr>
        <w:ind w:left="760"/>
        <w:spacing w:after="0"/>
        <w:rPr>
          <w:sz w:val="20"/>
          <w:szCs w:val="20"/>
          <w:color w:val="auto"/>
        </w:rPr>
      </w:pPr>
      <w:r>
        <w:rPr>
          <w:rFonts w:ascii="Arial" w:cs="Arial" w:eastAsia="Arial" w:hAnsi="Arial"/>
          <w:sz w:val="16"/>
          <w:szCs w:val="16"/>
          <w:color w:val="auto"/>
        </w:rPr>
        <w:t>Additionally, under the Companies Act, certain shareholders may require us (i) to include a resolution in our notice of AGM or</w:t>
      </w:r>
    </w:p>
    <w:p>
      <w:pPr>
        <w:spacing w:after="0" w:line="5" w:lineRule="exact"/>
        <w:rPr>
          <w:sz w:val="20"/>
          <w:szCs w:val="20"/>
          <w:color w:val="auto"/>
        </w:rPr>
      </w:pPr>
    </w:p>
    <w:p>
      <w:pPr>
        <w:ind w:left="760" w:right="800" w:firstLine="4"/>
        <w:spacing w:after="0" w:line="251" w:lineRule="auto"/>
        <w:tabs>
          <w:tab w:leader="none" w:pos="977" w:val="left"/>
        </w:tabs>
        <w:numPr>
          <w:ilvl w:val="0"/>
          <w:numId w:val="13"/>
        </w:numPr>
        <w:rPr>
          <w:rFonts w:ascii="Arial" w:cs="Arial" w:eastAsia="Arial" w:hAnsi="Arial"/>
          <w:sz w:val="16"/>
          <w:szCs w:val="16"/>
          <w:color w:val="auto"/>
        </w:rPr>
      </w:pPr>
      <w:r>
        <w:rPr>
          <w:rFonts w:ascii="Arial" w:cs="Arial" w:eastAsia="Arial" w:hAnsi="Arial"/>
          <w:sz w:val="16"/>
          <w:szCs w:val="16"/>
          <w:color w:val="auto"/>
        </w:rPr>
        <w:t>require us to include any matter (other than a proposed resolution) in the business to be dealt with at the AGM. Provided that the relevant criteria are met, notice of the resolution or matter must be received by the Company at the Office of the Company Secretary at 20 Eastbourne Terrace, London W2 6LG, United Kingdom at least six weeks prior to the date of the AGM or, if later, at the time notice of the AGM is delivered to shareholders.</w:t>
      </w:r>
    </w:p>
    <w:p>
      <w:pPr>
        <w:spacing w:after="0" w:line="81" w:lineRule="exact"/>
        <w:rPr>
          <w:sz w:val="20"/>
          <w:szCs w:val="20"/>
          <w:color w:val="auto"/>
        </w:rPr>
      </w:pPr>
    </w:p>
    <w:p>
      <w:pPr>
        <w:ind w:left="760" w:right="860"/>
        <w:spacing w:after="0" w:line="253" w:lineRule="auto"/>
        <w:rPr>
          <w:sz w:val="20"/>
          <w:szCs w:val="20"/>
          <w:color w:val="auto"/>
        </w:rPr>
      </w:pPr>
      <w:r>
        <w:rPr>
          <w:rFonts w:ascii="Arial" w:cs="Arial" w:eastAsia="Arial" w:hAnsi="Arial"/>
          <w:sz w:val="16"/>
          <w:szCs w:val="16"/>
          <w:color w:val="auto"/>
        </w:rPr>
        <w:t>From time to time, the Nominating and Corporate Governance Committee may request additional information from the nominee or the nominating shareholder(s). Potential nominees suggested by shareholders are evaluated by the Nominating and Corporate Governance Committee in the same manner as other potential candidates.</w:t>
      </w:r>
    </w:p>
    <w:p>
      <w:pPr>
        <w:spacing w:after="0" w:line="243" w:lineRule="exact"/>
        <w:rPr>
          <w:sz w:val="20"/>
          <w:szCs w:val="20"/>
          <w:color w:val="auto"/>
        </w:rPr>
      </w:pPr>
    </w:p>
    <w:p>
      <w:pPr>
        <w:ind w:left="760"/>
        <w:spacing w:after="0"/>
        <w:rPr>
          <w:sz w:val="20"/>
          <w:szCs w:val="20"/>
          <w:color w:val="auto"/>
        </w:rPr>
      </w:pPr>
      <w:r>
        <w:rPr>
          <w:rFonts w:ascii="Arial" w:cs="Arial" w:eastAsia="Arial" w:hAnsi="Arial"/>
          <w:sz w:val="23"/>
          <w:szCs w:val="23"/>
          <w:b w:val="1"/>
          <w:bCs w:val="1"/>
          <w:color w:val="auto"/>
        </w:rPr>
        <w:t>Board Diversity and Director Tenure</w:t>
      </w:r>
    </w:p>
    <w:p>
      <w:pPr>
        <w:spacing w:after="0" w:line="139" w:lineRule="exact"/>
        <w:rPr>
          <w:sz w:val="20"/>
          <w:szCs w:val="20"/>
          <w:color w:val="auto"/>
        </w:rPr>
      </w:pPr>
    </w:p>
    <w:p>
      <w:pPr>
        <w:ind w:left="760" w:right="1100"/>
        <w:spacing w:after="0" w:line="260" w:lineRule="auto"/>
        <w:rPr>
          <w:sz w:val="20"/>
          <w:szCs w:val="20"/>
          <w:color w:val="auto"/>
        </w:rPr>
      </w:pPr>
      <w:r>
        <w:rPr>
          <w:rFonts w:ascii="Arial" w:cs="Arial" w:eastAsia="Arial" w:hAnsi="Arial"/>
          <w:sz w:val="16"/>
          <w:szCs w:val="16"/>
          <w:color w:val="auto"/>
        </w:rPr>
        <w:t>As enshrined in the charter of the Nominating and Corporate Governance Committee, the Board and Company are focused on ensuring a diverse Board. As of December 31, 2019, the ten person Board consisted of the following:</w:t>
      </w:r>
    </w:p>
    <w:p>
      <w:pPr>
        <w:spacing w:after="0" w:line="76" w:lineRule="exact"/>
        <w:rPr>
          <w:sz w:val="20"/>
          <w:szCs w:val="20"/>
          <w:color w:val="auto"/>
        </w:rPr>
      </w:pPr>
    </w:p>
    <w:p>
      <w:pPr>
        <w:ind w:left="1920"/>
        <w:spacing w:after="0"/>
        <w:tabs>
          <w:tab w:leader="none" w:pos="3880" w:val="left"/>
          <w:tab w:leader="none" w:pos="7000" w:val="left"/>
        </w:tabs>
        <w:rPr>
          <w:sz w:val="20"/>
          <w:szCs w:val="20"/>
          <w:color w:val="auto"/>
        </w:rPr>
      </w:pPr>
      <w:r>
        <w:rPr>
          <w:rFonts w:ascii="Arial" w:cs="Arial" w:eastAsia="Arial" w:hAnsi="Arial"/>
          <w:sz w:val="18"/>
          <w:szCs w:val="18"/>
          <w:b w:val="1"/>
          <w:bCs w:val="1"/>
          <w:color w:val="auto"/>
        </w:rPr>
        <w:t>Gender</w:t>
      </w:r>
      <w:r>
        <w:rPr>
          <w:sz w:val="20"/>
          <w:szCs w:val="20"/>
          <w:color w:val="auto"/>
        </w:rPr>
        <w:tab/>
      </w:r>
      <w:r>
        <w:rPr>
          <w:rFonts w:ascii="Arial" w:cs="Arial" w:eastAsia="Arial" w:hAnsi="Arial"/>
          <w:sz w:val="18"/>
          <w:szCs w:val="18"/>
          <w:b w:val="1"/>
          <w:bCs w:val="1"/>
          <w:color w:val="auto"/>
        </w:rPr>
        <w:t>Nationality</w:t>
      </w:r>
      <w:r>
        <w:rPr>
          <w:sz w:val="20"/>
          <w:szCs w:val="20"/>
          <w:color w:val="auto"/>
        </w:rPr>
        <w:tab/>
      </w:r>
      <w:r>
        <w:rPr>
          <w:rFonts w:ascii="Arial" w:cs="Arial" w:eastAsia="Arial" w:hAnsi="Arial"/>
          <w:sz w:val="17"/>
          <w:szCs w:val="17"/>
          <w:b w:val="1"/>
          <w:bCs w:val="1"/>
          <w:color w:val="auto"/>
        </w:rPr>
        <w:t>Age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485140</wp:posOffset>
            </wp:positionH>
            <wp:positionV relativeFrom="paragraph">
              <wp:posOffset>37465</wp:posOffset>
            </wp:positionV>
            <wp:extent cx="6146800" cy="98615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6146800" cy="9861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5" w:lineRule="exact"/>
        <w:rPr>
          <w:sz w:val="20"/>
          <w:szCs w:val="20"/>
          <w:color w:val="auto"/>
        </w:rPr>
      </w:pPr>
    </w:p>
    <w:p>
      <w:pPr>
        <w:ind w:left="760" w:right="1340"/>
        <w:spacing w:after="0" w:line="260" w:lineRule="auto"/>
        <w:rPr>
          <w:sz w:val="20"/>
          <w:szCs w:val="20"/>
          <w:color w:val="auto"/>
        </w:rPr>
      </w:pPr>
      <w:r>
        <w:rPr>
          <w:rFonts w:ascii="Arial" w:cs="Arial" w:eastAsia="Arial" w:hAnsi="Arial"/>
          <w:sz w:val="16"/>
          <w:szCs w:val="16"/>
          <w:color w:val="auto"/>
        </w:rPr>
        <w:t>We believe that a variety of tenures provides an effective balance of deep knowledge of our business and industry and new perspectives. The tenure of the Board is as follows:</w:t>
      </w:r>
    </w:p>
    <w:p>
      <w:pPr>
        <w:spacing w:after="0" w:line="49"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Tenure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2087880</wp:posOffset>
            </wp:positionH>
            <wp:positionV relativeFrom="paragraph">
              <wp:posOffset>97155</wp:posOffset>
            </wp:positionV>
            <wp:extent cx="2623185" cy="160337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2623185" cy="16033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tbl>
      <w:tblPr>
        <w:tblLayout w:type="fixed"/>
        <w:tblInd w:w="0" w:type="dxa"/>
        <w:tblCellMar>
          <w:top w:w="0" w:type="dxa"/>
          <w:left w:w="0" w:type="dxa"/>
          <w:bottom w:w="0" w:type="dxa"/>
          <w:right w:w="0" w:type="dxa"/>
        </w:tblCellMar>
      </w:tblPr>
      <w:tr>
        <w:trPr>
          <w:trHeight w:val="130"/>
        </w:trPr>
        <w:tc>
          <w:tcPr>
            <w:tcW w:w="820" w:type="dxa"/>
            <w:vAlign w:val="bottom"/>
            <w:vMerge w:val="restart"/>
          </w:tcPr>
          <w:p>
            <w:pPr>
              <w:spacing w:after="0"/>
              <w:rPr>
                <w:sz w:val="11"/>
                <w:szCs w:val="11"/>
                <w:color w:val="auto"/>
              </w:rPr>
            </w:pPr>
          </w:p>
        </w:tc>
        <w:tc>
          <w:tcPr>
            <w:tcW w:w="3080" w:type="dxa"/>
            <w:vAlign w:val="bottom"/>
            <w:tcBorders>
              <w:bottom w:val="single" w:sz="8" w:color="auto"/>
            </w:tcBorders>
          </w:tcPr>
          <w:p>
            <w:pPr>
              <w:spacing w:after="0"/>
              <w:rPr>
                <w:sz w:val="11"/>
                <w:szCs w:val="11"/>
                <w:color w:val="auto"/>
              </w:rPr>
            </w:pPr>
          </w:p>
        </w:tc>
        <w:tc>
          <w:tcPr>
            <w:tcW w:w="2800" w:type="dxa"/>
            <w:vAlign w:val="bottom"/>
            <w:vMerge w:val="restart"/>
          </w:tcPr>
          <w:p>
            <w:pPr>
              <w:ind w:left="440"/>
              <w:spacing w:after="0"/>
              <w:rPr>
                <w:sz w:val="20"/>
                <w:szCs w:val="20"/>
                <w:color w:val="auto"/>
              </w:rPr>
            </w:pPr>
            <w:r>
              <w:rPr>
                <w:rFonts w:ascii="Arial" w:cs="Arial" w:eastAsia="Arial" w:hAnsi="Arial"/>
                <w:sz w:val="13"/>
                <w:szCs w:val="13"/>
                <w:b w:val="1"/>
                <w:bCs w:val="1"/>
                <w:color w:val="4800E6"/>
              </w:rPr>
              <w:t xml:space="preserve">LIVANOVA </w:t>
            </w:r>
            <w:r>
              <w:rPr>
                <w:rFonts w:ascii="Arial" w:cs="Arial" w:eastAsia="Arial" w:hAnsi="Arial"/>
                <w:sz w:val="13"/>
                <w:szCs w:val="13"/>
                <w:color w:val="000000"/>
              </w:rPr>
              <w:t>|</w:t>
            </w:r>
            <w:r>
              <w:rPr>
                <w:rFonts w:ascii="Arial" w:cs="Arial" w:eastAsia="Arial" w:hAnsi="Arial"/>
                <w:sz w:val="13"/>
                <w:szCs w:val="13"/>
                <w:b w:val="1"/>
                <w:bCs w:val="1"/>
                <w:color w:val="4800E6"/>
              </w:rPr>
              <w:t xml:space="preserve"> </w:t>
            </w:r>
            <w:r>
              <w:rPr>
                <w:rFonts w:ascii="Arial" w:cs="Arial" w:eastAsia="Arial" w:hAnsi="Arial"/>
                <w:sz w:val="13"/>
                <w:szCs w:val="13"/>
                <w:color w:val="4800E6"/>
              </w:rPr>
              <w:t>2020</w:t>
            </w:r>
            <w:r>
              <w:rPr>
                <w:rFonts w:ascii="Arial" w:cs="Arial" w:eastAsia="Arial" w:hAnsi="Arial"/>
                <w:sz w:val="13"/>
                <w:szCs w:val="13"/>
                <w:b w:val="1"/>
                <w:bCs w:val="1"/>
                <w:color w:val="4800E6"/>
              </w:rPr>
              <w:t xml:space="preserve"> </w:t>
            </w:r>
            <w:r>
              <w:rPr>
                <w:rFonts w:ascii="Arial" w:cs="Arial" w:eastAsia="Arial" w:hAnsi="Arial"/>
                <w:sz w:val="13"/>
                <w:szCs w:val="13"/>
                <w:color w:val="000000"/>
              </w:rPr>
              <w:t>Proxy Statement</w:t>
            </w:r>
          </w:p>
        </w:tc>
        <w:tc>
          <w:tcPr>
            <w:tcW w:w="3080" w:type="dxa"/>
            <w:vAlign w:val="bottom"/>
            <w:tcBorders>
              <w:bottom w:val="single" w:sz="8" w:color="auto"/>
            </w:tcBorders>
          </w:tcPr>
          <w:p>
            <w:pPr>
              <w:spacing w:after="0"/>
              <w:rPr>
                <w:sz w:val="11"/>
                <w:szCs w:val="11"/>
                <w:color w:val="auto"/>
              </w:rPr>
            </w:pPr>
          </w:p>
        </w:tc>
        <w:tc>
          <w:tcPr>
            <w:tcW w:w="940" w:type="dxa"/>
            <w:vAlign w:val="bottom"/>
            <w:vMerge w:val="restart"/>
          </w:tcPr>
          <w:p>
            <w:pPr>
              <w:jc w:val="right"/>
              <w:ind w:right="468"/>
              <w:spacing w:after="0"/>
              <w:rPr>
                <w:sz w:val="20"/>
                <w:szCs w:val="20"/>
                <w:color w:val="auto"/>
              </w:rPr>
            </w:pPr>
            <w:r>
              <w:rPr>
                <w:rFonts w:ascii="Arial" w:cs="Arial" w:eastAsia="Arial" w:hAnsi="Arial"/>
                <w:sz w:val="14"/>
                <w:szCs w:val="14"/>
                <w:b w:val="1"/>
                <w:bCs w:val="1"/>
                <w:color w:val="auto"/>
              </w:rPr>
              <w:t>10</w:t>
            </w:r>
          </w:p>
        </w:tc>
        <w:tc>
          <w:tcPr>
            <w:tcW w:w="0" w:type="dxa"/>
            <w:vAlign w:val="bottom"/>
          </w:tcPr>
          <w:p>
            <w:pPr>
              <w:spacing w:after="0"/>
              <w:rPr>
                <w:sz w:val="1"/>
                <w:szCs w:val="1"/>
                <w:color w:val="auto"/>
              </w:rPr>
            </w:pPr>
          </w:p>
        </w:tc>
      </w:tr>
      <w:tr>
        <w:trPr>
          <w:trHeight w:val="49"/>
        </w:trPr>
        <w:tc>
          <w:tcPr>
            <w:tcW w:w="820" w:type="dxa"/>
            <w:vAlign w:val="bottom"/>
            <w:vMerge w:val="continue"/>
          </w:tcPr>
          <w:p>
            <w:pPr>
              <w:spacing w:after="0"/>
              <w:rPr>
                <w:sz w:val="4"/>
                <w:szCs w:val="4"/>
                <w:color w:val="auto"/>
              </w:rPr>
            </w:pPr>
          </w:p>
        </w:tc>
        <w:tc>
          <w:tcPr>
            <w:tcW w:w="3080" w:type="dxa"/>
            <w:vAlign w:val="bottom"/>
          </w:tcPr>
          <w:p>
            <w:pPr>
              <w:spacing w:after="0"/>
              <w:rPr>
                <w:sz w:val="4"/>
                <w:szCs w:val="4"/>
                <w:color w:val="auto"/>
              </w:rPr>
            </w:pPr>
          </w:p>
        </w:tc>
        <w:tc>
          <w:tcPr>
            <w:tcW w:w="2800" w:type="dxa"/>
            <w:vAlign w:val="bottom"/>
            <w:vMerge w:val="continue"/>
          </w:tcPr>
          <w:p>
            <w:pPr>
              <w:spacing w:after="0"/>
              <w:rPr>
                <w:sz w:val="4"/>
                <w:szCs w:val="4"/>
                <w:color w:val="auto"/>
              </w:rPr>
            </w:pPr>
          </w:p>
        </w:tc>
        <w:tc>
          <w:tcPr>
            <w:tcW w:w="3080" w:type="dxa"/>
            <w:vAlign w:val="bottom"/>
          </w:tcPr>
          <w:p>
            <w:pPr>
              <w:spacing w:after="0"/>
              <w:rPr>
                <w:sz w:val="4"/>
                <w:szCs w:val="4"/>
                <w:color w:val="auto"/>
              </w:rPr>
            </w:pPr>
          </w:p>
        </w:tc>
        <w:tc>
          <w:tcPr>
            <w:tcW w:w="94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40"/>
        </w:trPr>
        <w:tc>
          <w:tcPr>
            <w:tcW w:w="820" w:type="dxa"/>
            <w:vAlign w:val="bottom"/>
            <w:tcBorders>
              <w:bottom w:val="single" w:sz="8" w:color="9A9A9A"/>
            </w:tcBorders>
          </w:tcPr>
          <w:p>
            <w:pPr>
              <w:spacing w:after="0"/>
              <w:rPr>
                <w:sz w:val="12"/>
                <w:szCs w:val="12"/>
                <w:color w:val="auto"/>
              </w:rPr>
            </w:pPr>
          </w:p>
        </w:tc>
        <w:tc>
          <w:tcPr>
            <w:tcW w:w="3080" w:type="dxa"/>
            <w:vAlign w:val="bottom"/>
            <w:tcBorders>
              <w:bottom w:val="single" w:sz="8" w:color="9A9A9A"/>
            </w:tcBorders>
          </w:tcPr>
          <w:p>
            <w:pPr>
              <w:spacing w:after="0"/>
              <w:rPr>
                <w:sz w:val="12"/>
                <w:szCs w:val="12"/>
                <w:color w:val="auto"/>
              </w:rPr>
            </w:pPr>
          </w:p>
        </w:tc>
        <w:tc>
          <w:tcPr>
            <w:tcW w:w="2800" w:type="dxa"/>
            <w:vAlign w:val="bottom"/>
            <w:tcBorders>
              <w:bottom w:val="single" w:sz="8" w:color="9A9A9A"/>
            </w:tcBorders>
          </w:tcPr>
          <w:p>
            <w:pPr>
              <w:spacing w:after="0"/>
              <w:rPr>
                <w:sz w:val="12"/>
                <w:szCs w:val="12"/>
                <w:color w:val="auto"/>
              </w:rPr>
            </w:pPr>
          </w:p>
        </w:tc>
        <w:tc>
          <w:tcPr>
            <w:tcW w:w="3080" w:type="dxa"/>
            <w:vAlign w:val="bottom"/>
            <w:tcBorders>
              <w:bottom w:val="single" w:sz="8" w:color="9A9A9A"/>
            </w:tcBorders>
          </w:tcPr>
          <w:p>
            <w:pPr>
              <w:spacing w:after="0"/>
              <w:rPr>
                <w:sz w:val="12"/>
                <w:szCs w:val="12"/>
                <w:color w:val="auto"/>
              </w:rPr>
            </w:pPr>
          </w:p>
        </w:tc>
        <w:tc>
          <w:tcPr>
            <w:tcW w:w="940" w:type="dxa"/>
            <w:vAlign w:val="bottom"/>
            <w:tcBorders>
              <w:bottom w:val="single" w:sz="8" w:color="9A9A9A"/>
            </w:tcBorders>
          </w:tcPr>
          <w:p>
            <w:pPr>
              <w:spacing w:after="0"/>
              <w:rPr>
                <w:sz w:val="12"/>
                <w:szCs w:val="12"/>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6802755</wp:posOffset>
            </wp:positionH>
            <wp:positionV relativeFrom="paragraph">
              <wp:posOffset>-8255</wp:posOffset>
            </wp:positionV>
            <wp:extent cx="8255" cy="889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wp:posOffset>
            </wp:positionV>
            <wp:extent cx="8890" cy="171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sectPr>
          <w:pgSz w:w="11900" w:h="16838" w:orient="portrait"/>
          <w:cols w:equalWidth="0" w:num="1">
            <w:col w:w="10720"/>
          </w:cols>
          <w:pgMar w:left="320" w:top="132" w:right="859" w:bottom="1440" w:gutter="0" w:footer="0" w:header="0"/>
        </w:sectPr>
      </w:pPr>
    </w:p>
    <w:bookmarkStart w:id="14" w:name="page15"/>
    <w:bookmarkEnd w:id="14"/>
    <w:p>
      <w:pPr>
        <w:spacing w:after="0"/>
        <w:rPr>
          <w:rFonts w:ascii="Arial" w:cs="Arial" w:eastAsia="Arial" w:hAnsi="Arial"/>
          <w:sz w:val="14"/>
          <w:szCs w:val="14"/>
          <w:color w:val="003366"/>
        </w:rPr>
      </w:pPr>
      <w:hyperlink w:anchor="page4">
        <w:r>
          <w:rPr>
            <w:rFonts w:ascii="Arial" w:cs="Arial" w:eastAsia="Arial" w:hAnsi="Arial"/>
            <w:sz w:val="14"/>
            <w:szCs w:val="14"/>
            <w:color w:val="003366"/>
          </w:rPr>
          <w:t>TABLE OF CONTENTS</w:t>
        </w:r>
      </w:hyperlink>
    </w:p>
    <w:p>
      <w:pPr>
        <w:spacing w:after="0" w:line="338" w:lineRule="exact"/>
        <w:rPr>
          <w:sz w:val="20"/>
          <w:szCs w:val="20"/>
          <w:color w:val="auto"/>
        </w:rPr>
      </w:pPr>
    </w:p>
    <w:p>
      <w:pPr>
        <w:ind w:left="760"/>
        <w:spacing w:after="0"/>
        <w:rPr>
          <w:sz w:val="20"/>
          <w:szCs w:val="20"/>
          <w:color w:val="auto"/>
        </w:rPr>
      </w:pPr>
      <w:r>
        <w:rPr>
          <w:rFonts w:ascii="Arial" w:cs="Arial" w:eastAsia="Arial" w:hAnsi="Arial"/>
          <w:sz w:val="13"/>
          <w:szCs w:val="13"/>
          <w:b w:val="1"/>
          <w:bCs w:val="1"/>
          <w:color w:val="auto"/>
        </w:rPr>
        <w:t xml:space="preserve">Corporate </w:t>
      </w:r>
      <w:r>
        <w:rPr>
          <w:rFonts w:ascii="Arial" w:cs="Arial" w:eastAsia="Arial" w:hAnsi="Arial"/>
          <w:sz w:val="13"/>
          <w:szCs w:val="13"/>
          <w:b w:val="1"/>
          <w:bCs w:val="1"/>
          <w:color w:val="666666"/>
        </w:rPr>
        <w:t>Governance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485140</wp:posOffset>
            </wp:positionH>
            <wp:positionV relativeFrom="paragraph">
              <wp:posOffset>30480</wp:posOffset>
            </wp:positionV>
            <wp:extent cx="5829300" cy="825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5829300" cy="8255"/>
                    </a:xfrm>
                    <a:prstGeom prst="rect">
                      <a:avLst/>
                    </a:prstGeom>
                    <a:noFill/>
                  </pic:spPr>
                </pic:pic>
              </a:graphicData>
            </a:graphic>
          </wp:anchor>
        </w:drawing>
      </w:r>
    </w:p>
    <w:p>
      <w:pPr>
        <w:spacing w:after="0" w:line="60" w:lineRule="exact"/>
        <w:rPr>
          <w:sz w:val="20"/>
          <w:szCs w:val="20"/>
          <w:color w:val="auto"/>
        </w:rPr>
      </w:pPr>
    </w:p>
    <w:p>
      <w:pPr>
        <w:ind w:left="760"/>
        <w:spacing w:after="0"/>
        <w:rPr>
          <w:sz w:val="20"/>
          <w:szCs w:val="20"/>
          <w:color w:val="auto"/>
        </w:rPr>
      </w:pPr>
      <w:r>
        <w:rPr>
          <w:rFonts w:ascii="Arial" w:cs="Arial" w:eastAsia="Arial" w:hAnsi="Arial"/>
          <w:sz w:val="13"/>
          <w:szCs w:val="13"/>
          <w:b w:val="1"/>
          <w:bCs w:val="1"/>
          <w:color w:val="4800E6"/>
        </w:rPr>
        <w:t>The Board of Directors</w:t>
      </w: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ind w:left="760"/>
        <w:spacing w:after="0"/>
        <w:rPr>
          <w:sz w:val="20"/>
          <w:szCs w:val="20"/>
          <w:color w:val="auto"/>
        </w:rPr>
      </w:pPr>
      <w:r>
        <w:rPr>
          <w:rFonts w:ascii="Arial" w:cs="Arial" w:eastAsia="Arial" w:hAnsi="Arial"/>
          <w:sz w:val="23"/>
          <w:szCs w:val="23"/>
          <w:b w:val="1"/>
          <w:bCs w:val="1"/>
          <w:color w:val="auto"/>
        </w:rPr>
        <w:t>Background Information Regarding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485140</wp:posOffset>
            </wp:positionH>
            <wp:positionV relativeFrom="paragraph">
              <wp:posOffset>198755</wp:posOffset>
            </wp:positionV>
            <wp:extent cx="5829300" cy="108013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5829300" cy="1080135"/>
                    </a:xfrm>
                    <a:prstGeom prst="rect">
                      <a:avLst/>
                    </a:prstGeom>
                    <a:noFill/>
                  </pic:spPr>
                </pic:pic>
              </a:graphicData>
            </a:graphic>
          </wp:anchor>
        </w:drawing>
      </w:r>
    </w:p>
    <w:p>
      <w:pPr>
        <w:spacing w:after="0" w:line="321" w:lineRule="exact"/>
        <w:rPr>
          <w:sz w:val="20"/>
          <w:szCs w:val="20"/>
          <w:color w:val="auto"/>
        </w:rPr>
      </w:pPr>
    </w:p>
    <w:p>
      <w:pPr>
        <w:ind w:left="880"/>
        <w:spacing w:after="0"/>
        <w:rPr>
          <w:sz w:val="20"/>
          <w:szCs w:val="20"/>
          <w:color w:val="auto"/>
        </w:rPr>
      </w:pPr>
      <w:r>
        <w:rPr>
          <w:rFonts w:ascii="Arial" w:cs="Arial" w:eastAsia="Arial" w:hAnsi="Arial"/>
          <w:sz w:val="17"/>
          <w:szCs w:val="17"/>
          <w:b w:val="1"/>
          <w:bCs w:val="1"/>
          <w:color w:val="FEFEFE"/>
        </w:rPr>
        <w:t>FRANCESCO BIANCHI</w:t>
      </w:r>
    </w:p>
    <w:p>
      <w:pPr>
        <w:spacing w:after="0" w:line="11" w:lineRule="exact"/>
        <w:rPr>
          <w:sz w:val="20"/>
          <w:szCs w:val="20"/>
          <w:color w:val="auto"/>
        </w:rPr>
      </w:pPr>
    </w:p>
    <w:p>
      <w:pPr>
        <w:jc w:val="both"/>
        <w:ind w:left="2100" w:right="199"/>
        <w:spacing w:after="0" w:line="244" w:lineRule="auto"/>
        <w:rPr>
          <w:sz w:val="20"/>
          <w:szCs w:val="20"/>
          <w:color w:val="auto"/>
        </w:rPr>
      </w:pPr>
      <w:r>
        <w:rPr>
          <w:rFonts w:ascii="Arial" w:cs="Arial" w:eastAsia="Arial" w:hAnsi="Arial"/>
          <w:sz w:val="14"/>
          <w:szCs w:val="14"/>
          <w:b w:val="1"/>
          <w:bCs w:val="1"/>
          <w:color w:val="auto"/>
        </w:rPr>
        <w:t xml:space="preserve">Francesco Bianchi </w:t>
      </w:r>
      <w:r>
        <w:rPr>
          <w:rFonts w:ascii="Arial" w:cs="Arial" w:eastAsia="Arial" w:hAnsi="Arial"/>
          <w:sz w:val="14"/>
          <w:szCs w:val="14"/>
          <w:color w:val="auto"/>
        </w:rPr>
        <w:t>has served as the Chairman of Seven Capital Partners S.r.l., a financial consulting firm, since June 2018,</w:t>
      </w:r>
      <w:r>
        <w:rPr>
          <w:rFonts w:ascii="Arial" w:cs="Arial" w:eastAsia="Arial" w:hAnsi="Arial"/>
          <w:sz w:val="14"/>
          <w:szCs w:val="14"/>
          <w:b w:val="1"/>
          <w:bCs w:val="1"/>
          <w:color w:val="auto"/>
        </w:rPr>
        <w:t xml:space="preserve"> </w:t>
      </w:r>
      <w:r>
        <w:rPr>
          <w:rFonts w:ascii="Arial" w:cs="Arial" w:eastAsia="Arial" w:hAnsi="Arial"/>
          <w:sz w:val="14"/>
          <w:szCs w:val="14"/>
          <w:color w:val="auto"/>
        </w:rPr>
        <w:t>previously served as Seven Capital Partners Chief Executive Officer and has been with the firm since 2013. Mr. Bianchi has 30 years of mergers and acquisitions and strategic advisory experience working for well-recognized international financial institutions including JPMorgan Chase (Paris), Morgan Grenfell (London), Citi (Milan) and Bankers Trust (Milan), where he served in various roles including general manager and head of the mergers and acquisitions and corporate finance division. He also headed the strategic planning division of Banca-Intesa S.p.A. in Italy and abroad. Mr. Bianchi earned a degree in economic sciences with honors from the University of Florence and is a chartered accountant.</w:t>
      </w:r>
    </w:p>
    <w:p>
      <w:pPr>
        <w:sectPr>
          <w:pgSz w:w="11900" w:h="16838" w:orient="portrait"/>
          <w:cols w:equalWidth="0" w:num="1">
            <w:col w:w="10139"/>
          </w:cols>
          <w:pgMar w:left="320" w:top="132" w:right="1440" w:bottom="1440" w:gutter="0" w:footer="0" w:header="0"/>
        </w:sectPr>
      </w:pPr>
    </w:p>
    <w:p>
      <w:pPr>
        <w:spacing w:after="0" w:line="65" w:lineRule="exact"/>
        <w:rPr>
          <w:sz w:val="20"/>
          <w:szCs w:val="20"/>
          <w:color w:val="auto"/>
        </w:rPr>
      </w:pPr>
    </w:p>
    <w:p>
      <w:pPr>
        <w:ind w:left="2100"/>
        <w:spacing w:after="0"/>
        <w:rPr>
          <w:sz w:val="20"/>
          <w:szCs w:val="20"/>
          <w:color w:val="auto"/>
        </w:rPr>
      </w:pPr>
      <w:r>
        <w:rPr>
          <w:rFonts w:ascii="Arial" w:cs="Arial" w:eastAsia="Arial" w:hAnsi="Arial"/>
          <w:sz w:val="14"/>
          <w:szCs w:val="14"/>
          <w:b w:val="1"/>
          <w:bCs w:val="1"/>
          <w:color w:val="4800E6"/>
        </w:rPr>
        <w:t>Committees:</w:t>
      </w:r>
    </w:p>
    <w:p>
      <w:pPr>
        <w:spacing w:after="0" w:line="33" w:lineRule="exact"/>
        <w:rPr>
          <w:sz w:val="20"/>
          <w:szCs w:val="20"/>
          <w:color w:val="auto"/>
        </w:rPr>
      </w:pPr>
    </w:p>
    <w:p>
      <w:pPr>
        <w:ind w:left="2240" w:hanging="140"/>
        <w:spacing w:after="0"/>
        <w:tabs>
          <w:tab w:leader="none" w:pos="2240" w:val="left"/>
        </w:tabs>
        <w:numPr>
          <w:ilvl w:val="0"/>
          <w:numId w:val="14"/>
        </w:numPr>
        <w:rPr>
          <w:rFonts w:ascii="Arial" w:cs="Arial" w:eastAsia="Arial" w:hAnsi="Arial"/>
          <w:sz w:val="14"/>
          <w:szCs w:val="14"/>
          <w:color w:val="4800E6"/>
        </w:rPr>
      </w:pPr>
      <w:r>
        <w:rPr>
          <w:rFonts w:ascii="Arial" w:cs="Arial" w:eastAsia="Arial" w:hAnsi="Arial"/>
          <w:sz w:val="14"/>
          <w:szCs w:val="14"/>
          <w:color w:val="auto"/>
        </w:rPr>
        <w:t>Audit and Compliance; Compensation</w:t>
      </w:r>
    </w:p>
    <w:p>
      <w:pPr>
        <w:spacing w:after="0" w:line="4" w:lineRule="exact"/>
        <w:rPr>
          <w:sz w:val="20"/>
          <w:szCs w:val="20"/>
          <w:color w:val="auto"/>
        </w:rPr>
      </w:pPr>
    </w:p>
    <w:p>
      <w:pPr>
        <w:ind w:left="840"/>
        <w:spacing w:after="0"/>
        <w:rPr>
          <w:sz w:val="20"/>
          <w:szCs w:val="20"/>
          <w:color w:val="auto"/>
        </w:rPr>
      </w:pPr>
      <w:r>
        <w:rPr>
          <w:rFonts w:ascii="Arial" w:cs="Arial" w:eastAsia="Arial" w:hAnsi="Arial"/>
          <w:sz w:val="13"/>
          <w:szCs w:val="13"/>
          <w:b w:val="1"/>
          <w:bCs w:val="1"/>
          <w:color w:val="FF4C4C"/>
        </w:rPr>
        <w:t>INDEPENDENT</w:t>
      </w:r>
    </w:p>
    <w:p>
      <w:pPr>
        <w:ind w:left="840"/>
        <w:spacing w:after="0"/>
        <w:tabs>
          <w:tab w:leader="none" w:pos="2080" w:val="left"/>
        </w:tabs>
        <w:rPr>
          <w:sz w:val="20"/>
          <w:szCs w:val="20"/>
          <w:color w:val="auto"/>
        </w:rPr>
      </w:pPr>
      <w:r>
        <w:rPr>
          <w:rFonts w:ascii="Arial" w:cs="Arial" w:eastAsia="Arial" w:hAnsi="Arial"/>
          <w:sz w:val="26"/>
          <w:szCs w:val="26"/>
          <w:color w:val="000000"/>
          <w:vertAlign w:val="subscript"/>
        </w:rPr>
        <w:t>Age 63</w:t>
      </w:r>
      <w:r>
        <w:rPr>
          <w:sz w:val="20"/>
          <w:szCs w:val="20"/>
          <w:color w:val="auto"/>
        </w:rPr>
        <w:tab/>
      </w:r>
      <w:r>
        <w:rPr>
          <w:rFonts w:ascii="Arial" w:cs="Arial" w:eastAsia="Arial" w:hAnsi="Arial"/>
          <w:sz w:val="14"/>
          <w:szCs w:val="14"/>
          <w:b w:val="1"/>
          <w:bCs w:val="1"/>
          <w:color w:val="4800E6"/>
        </w:rPr>
        <w:t>Other Public Company Directorships:</w:t>
      </w:r>
    </w:p>
    <w:p>
      <w:pPr>
        <w:ind w:left="2240" w:hanging="140"/>
        <w:spacing w:after="0" w:line="214" w:lineRule="auto"/>
        <w:tabs>
          <w:tab w:leader="none" w:pos="2240" w:val="left"/>
        </w:tabs>
        <w:numPr>
          <w:ilvl w:val="0"/>
          <w:numId w:val="15"/>
        </w:numPr>
        <w:rPr>
          <w:rFonts w:ascii="Arial" w:cs="Arial" w:eastAsia="Arial" w:hAnsi="Arial"/>
          <w:sz w:val="14"/>
          <w:szCs w:val="14"/>
          <w:color w:val="4800E6"/>
        </w:rPr>
      </w:pPr>
      <w:r>
        <w:rPr>
          <w:rFonts w:ascii="Arial" w:cs="Arial" w:eastAsia="Arial" w:hAnsi="Arial"/>
          <w:sz w:val="14"/>
          <w:szCs w:val="14"/>
          <w:color w:val="auto"/>
        </w:rPr>
        <w:t>None</w:t>
      </w:r>
    </w:p>
    <w:p>
      <w:pPr>
        <w:ind w:left="840"/>
        <w:spacing w:after="0"/>
        <w:rPr>
          <w:sz w:val="20"/>
          <w:szCs w:val="20"/>
          <w:color w:val="auto"/>
        </w:rPr>
      </w:pPr>
      <w:r>
        <w:rPr>
          <w:rFonts w:ascii="Arial" w:cs="Arial" w:eastAsia="Arial" w:hAnsi="Arial"/>
          <w:sz w:val="13"/>
          <w:szCs w:val="13"/>
          <w:color w:val="auto"/>
        </w:rPr>
        <w:t>Director</w:t>
      </w:r>
    </w:p>
    <w:p>
      <w:pPr>
        <w:ind w:left="840"/>
        <w:spacing w:after="0"/>
        <w:rPr>
          <w:sz w:val="20"/>
          <w:szCs w:val="20"/>
          <w:color w:val="auto"/>
        </w:rPr>
      </w:pPr>
      <w:r>
        <w:rPr>
          <w:rFonts w:ascii="Arial" w:cs="Arial" w:eastAsia="Arial" w:hAnsi="Arial"/>
          <w:sz w:val="13"/>
          <w:szCs w:val="13"/>
          <w:color w:val="auto"/>
        </w:rPr>
        <w:t xml:space="preserve">since </w:t>
      </w:r>
      <w:r>
        <w:rPr>
          <w:rFonts w:ascii="Arial" w:cs="Arial" w:eastAsia="Arial" w:hAnsi="Arial"/>
          <w:sz w:val="13"/>
          <w:szCs w:val="13"/>
          <w:b w:val="1"/>
          <w:bCs w:val="1"/>
          <w:color w:val="4800E6"/>
        </w:rPr>
        <w:t>2015</w:t>
      </w:r>
    </w:p>
    <w:p>
      <w:pPr>
        <w:spacing w:after="0" w:line="79" w:lineRule="exact"/>
        <w:rPr>
          <w:sz w:val="20"/>
          <w:szCs w:val="20"/>
          <w:color w:val="auto"/>
        </w:rPr>
      </w:pPr>
    </w:p>
    <w:p>
      <w:pPr>
        <w:ind w:left="840"/>
        <w:spacing w:after="0"/>
        <w:rPr>
          <w:sz w:val="20"/>
          <w:szCs w:val="20"/>
          <w:color w:val="auto"/>
        </w:rPr>
      </w:pPr>
      <w:r>
        <w:rPr>
          <w:rFonts w:ascii="Arial" w:cs="Arial" w:eastAsia="Arial" w:hAnsi="Arial"/>
          <w:sz w:val="13"/>
          <w:szCs w:val="13"/>
          <w:color w:val="auto"/>
        </w:rPr>
        <w:t>Chairman</w:t>
      </w:r>
    </w:p>
    <w:p>
      <w:pPr>
        <w:ind w:left="840"/>
        <w:spacing w:after="0"/>
        <w:rPr>
          <w:sz w:val="20"/>
          <w:szCs w:val="20"/>
          <w:color w:val="auto"/>
        </w:rPr>
      </w:pPr>
      <w:r>
        <w:rPr>
          <w:rFonts w:ascii="Arial" w:cs="Arial" w:eastAsia="Arial" w:hAnsi="Arial"/>
          <w:sz w:val="13"/>
          <w:szCs w:val="13"/>
          <w:color w:val="auto"/>
        </w:rPr>
        <w:t>Seven Capital</w:t>
      </w:r>
    </w:p>
    <w:p>
      <w:pPr>
        <w:ind w:left="840"/>
        <w:spacing w:after="0"/>
        <w:rPr>
          <w:sz w:val="20"/>
          <w:szCs w:val="20"/>
          <w:color w:val="auto"/>
        </w:rPr>
      </w:pPr>
      <w:r>
        <w:rPr>
          <w:rFonts w:ascii="Arial" w:cs="Arial" w:eastAsia="Arial" w:hAnsi="Arial"/>
          <w:sz w:val="13"/>
          <w:szCs w:val="13"/>
          <w:color w:val="auto"/>
        </w:rPr>
        <w:t>Partners S.r.l.</w:t>
      </w:r>
    </w:p>
    <w:p>
      <w:pPr>
        <w:spacing w:after="0" w:line="20" w:lineRule="exact"/>
        <w:rPr>
          <w:sz w:val="20"/>
          <w:szCs w:val="20"/>
          <w:color w:val="auto"/>
        </w:rPr>
      </w:pPr>
      <w:r>
        <w:rPr>
          <w:sz w:val="20"/>
          <w:szCs w:val="20"/>
          <w:color w:val="auto"/>
        </w:rPr>
        <w:br w:type="column"/>
      </w:r>
    </w:p>
    <w:p>
      <w:pPr>
        <w:spacing w:after="0" w:line="45" w:lineRule="exact"/>
        <w:rPr>
          <w:sz w:val="20"/>
          <w:szCs w:val="20"/>
          <w:color w:val="auto"/>
        </w:rPr>
      </w:pPr>
    </w:p>
    <w:p>
      <w:pPr>
        <w:ind w:right="399"/>
        <w:spacing w:after="0" w:line="264" w:lineRule="auto"/>
        <w:rPr>
          <w:sz w:val="20"/>
          <w:szCs w:val="20"/>
          <w:color w:val="auto"/>
        </w:rPr>
      </w:pPr>
      <w:r>
        <w:rPr>
          <w:rFonts w:ascii="Arial" w:cs="Arial" w:eastAsia="Arial" w:hAnsi="Arial"/>
          <w:sz w:val="14"/>
          <w:szCs w:val="14"/>
          <w:b w:val="1"/>
          <w:bCs w:val="1"/>
          <w:color w:val="4800E6"/>
        </w:rPr>
        <w:t>Former Public Company Directorships During the Past Five Years:</w:t>
      </w:r>
    </w:p>
    <w:p>
      <w:pPr>
        <w:spacing w:after="0" w:line="1" w:lineRule="exact"/>
        <w:rPr>
          <w:sz w:val="20"/>
          <w:szCs w:val="20"/>
          <w:color w:val="auto"/>
        </w:rPr>
      </w:pPr>
    </w:p>
    <w:p>
      <w:pPr>
        <w:ind w:left="140" w:hanging="137"/>
        <w:spacing w:after="0"/>
        <w:tabs>
          <w:tab w:leader="none" w:pos="140" w:val="left"/>
        </w:tabs>
        <w:numPr>
          <w:ilvl w:val="0"/>
          <w:numId w:val="16"/>
        </w:numPr>
        <w:rPr>
          <w:rFonts w:ascii="Arial" w:cs="Arial" w:eastAsia="Arial" w:hAnsi="Arial"/>
          <w:sz w:val="14"/>
          <w:szCs w:val="14"/>
          <w:color w:val="4800E6"/>
        </w:rPr>
      </w:pPr>
      <w:r>
        <w:rPr>
          <w:rFonts w:ascii="Arial" w:cs="Arial" w:eastAsia="Arial" w:hAnsi="Arial"/>
          <w:sz w:val="14"/>
          <w:szCs w:val="14"/>
          <w:color w:val="auto"/>
        </w:rPr>
        <w:t>Sorin S.p.A.;</w:t>
      </w:r>
    </w:p>
    <w:p>
      <w:pPr>
        <w:spacing w:after="0" w:line="14" w:lineRule="exact"/>
        <w:rPr>
          <w:rFonts w:ascii="Arial" w:cs="Arial" w:eastAsia="Arial" w:hAnsi="Arial"/>
          <w:sz w:val="14"/>
          <w:szCs w:val="14"/>
          <w:color w:val="4800E6"/>
        </w:rPr>
      </w:pPr>
    </w:p>
    <w:p>
      <w:pPr>
        <w:ind w:left="140" w:hanging="137"/>
        <w:spacing w:after="0"/>
        <w:tabs>
          <w:tab w:leader="none" w:pos="140" w:val="left"/>
        </w:tabs>
        <w:numPr>
          <w:ilvl w:val="0"/>
          <w:numId w:val="16"/>
        </w:numPr>
        <w:rPr>
          <w:rFonts w:ascii="Arial" w:cs="Arial" w:eastAsia="Arial" w:hAnsi="Arial"/>
          <w:sz w:val="14"/>
          <w:szCs w:val="14"/>
          <w:color w:val="4800E6"/>
        </w:rPr>
      </w:pPr>
      <w:r>
        <w:rPr>
          <w:rFonts w:ascii="Arial" w:cs="Arial" w:eastAsia="Arial" w:hAnsi="Arial"/>
          <w:sz w:val="14"/>
          <w:szCs w:val="14"/>
          <w:color w:val="auto"/>
        </w:rPr>
        <w:t>Intesa Sanpaulo S.p.A.</w:t>
      </w:r>
    </w:p>
    <w:p>
      <w:pPr>
        <w:spacing w:after="0" w:line="213" w:lineRule="exact"/>
        <w:rPr>
          <w:sz w:val="20"/>
          <w:szCs w:val="20"/>
          <w:color w:val="auto"/>
        </w:rPr>
      </w:pPr>
    </w:p>
    <w:p>
      <w:pPr>
        <w:spacing w:after="0"/>
        <w:rPr>
          <w:sz w:val="20"/>
          <w:szCs w:val="20"/>
          <w:color w:val="auto"/>
        </w:rPr>
      </w:pPr>
      <w:r>
        <w:rPr>
          <w:rFonts w:ascii="Arial" w:cs="Arial" w:eastAsia="Arial" w:hAnsi="Arial"/>
          <w:sz w:val="14"/>
          <w:szCs w:val="14"/>
          <w:b w:val="1"/>
          <w:bCs w:val="1"/>
          <w:color w:val="4800E6"/>
        </w:rPr>
        <w:t>Director Skills and Qualifications:</w:t>
      </w:r>
    </w:p>
    <w:p>
      <w:pPr>
        <w:spacing w:after="0" w:line="46" w:lineRule="exact"/>
        <w:rPr>
          <w:sz w:val="20"/>
          <w:szCs w:val="20"/>
          <w:color w:val="auto"/>
        </w:rPr>
      </w:pPr>
    </w:p>
    <w:p>
      <w:pPr>
        <w:jc w:val="both"/>
        <w:ind w:left="140" w:right="319" w:hanging="137"/>
        <w:spacing w:after="0" w:line="249" w:lineRule="auto"/>
        <w:tabs>
          <w:tab w:leader="none" w:pos="140" w:val="left"/>
        </w:tabs>
        <w:numPr>
          <w:ilvl w:val="0"/>
          <w:numId w:val="17"/>
        </w:numPr>
        <w:rPr>
          <w:rFonts w:ascii="Arial" w:cs="Arial" w:eastAsia="Arial" w:hAnsi="Arial"/>
          <w:sz w:val="14"/>
          <w:szCs w:val="14"/>
          <w:color w:val="4800E6"/>
        </w:rPr>
      </w:pPr>
      <w:r>
        <w:rPr>
          <w:rFonts w:ascii="Arial" w:cs="Arial" w:eastAsia="Arial" w:hAnsi="Arial"/>
          <w:sz w:val="14"/>
          <w:szCs w:val="14"/>
          <w:color w:val="auto"/>
        </w:rPr>
        <w:t>Mr. Bianchi is an audit committee financial expert and has an extensive professional background working in strategy and mergers and acquisitions.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-3375025</wp:posOffset>
            </wp:positionH>
            <wp:positionV relativeFrom="paragraph">
              <wp:posOffset>90170</wp:posOffset>
            </wp:positionV>
            <wp:extent cx="5829300" cy="825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5829300" cy="8255"/>
                    </a:xfrm>
                    <a:prstGeom prst="rect">
                      <a:avLst/>
                    </a:prstGeom>
                    <a:noFill/>
                  </pic:spPr>
                </pic:pic>
              </a:graphicData>
            </a:graphic>
          </wp:anchor>
        </w:drawing>
        <w:drawing>
          <wp:anchor simplePos="0" relativeHeight="251657728" behindDoc="1" locked="0" layoutInCell="0" allowOverlap="1">
            <wp:simplePos x="0" y="0"/>
            <wp:positionH relativeFrom="column">
              <wp:posOffset>-3375025</wp:posOffset>
            </wp:positionH>
            <wp:positionV relativeFrom="paragraph">
              <wp:posOffset>236220</wp:posOffset>
            </wp:positionV>
            <wp:extent cx="5829300" cy="108013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5829300" cy="1080135"/>
                    </a:xfrm>
                    <a:prstGeom prst="rect">
                      <a:avLst/>
                    </a:prstGeom>
                    <a:noFill/>
                  </pic:spPr>
                </pic:pic>
              </a:graphicData>
            </a:graphic>
          </wp:anchor>
        </w:drawing>
      </w:r>
    </w:p>
    <w:p>
      <w:pPr>
        <w:spacing w:after="0" w:line="328" w:lineRule="exact"/>
        <w:rPr>
          <w:sz w:val="20"/>
          <w:szCs w:val="20"/>
          <w:color w:val="auto"/>
        </w:rPr>
      </w:pPr>
    </w:p>
    <w:p>
      <w:pPr>
        <w:sectPr>
          <w:pgSz w:w="11900" w:h="16838" w:orient="portrait"/>
          <w:cols w:equalWidth="0" w:num="2">
            <w:col w:w="5360" w:space="720"/>
            <w:col w:w="4059"/>
          </w:cols>
          <w:pgMar w:left="320" w:top="132" w:right="1440" w:bottom="1440" w:gutter="0" w:footer="0" w:header="0"/>
          <w:type w:val="continuous"/>
        </w:sectPr>
      </w:pPr>
    </w:p>
    <w:p>
      <w:pPr>
        <w:spacing w:after="0" w:line="71" w:lineRule="exact"/>
        <w:rPr>
          <w:sz w:val="20"/>
          <w:szCs w:val="20"/>
          <w:color w:val="auto"/>
        </w:rPr>
      </w:pPr>
    </w:p>
    <w:p>
      <w:pPr>
        <w:ind w:left="880"/>
        <w:spacing w:after="0"/>
        <w:rPr>
          <w:sz w:val="20"/>
          <w:szCs w:val="20"/>
          <w:color w:val="auto"/>
        </w:rPr>
      </w:pPr>
      <w:r>
        <w:rPr>
          <w:rFonts w:ascii="Arial" w:cs="Arial" w:eastAsia="Arial" w:hAnsi="Arial"/>
          <w:sz w:val="17"/>
          <w:szCs w:val="17"/>
          <w:b w:val="1"/>
          <w:bCs w:val="1"/>
          <w:color w:val="FEFEFE"/>
        </w:rPr>
        <w:t>STACY ENXING SENG</w:t>
      </w:r>
    </w:p>
    <w:p>
      <w:pPr>
        <w:spacing w:after="0" w:line="11" w:lineRule="exact"/>
        <w:rPr>
          <w:sz w:val="20"/>
          <w:szCs w:val="20"/>
          <w:color w:val="auto"/>
        </w:rPr>
      </w:pPr>
    </w:p>
    <w:p>
      <w:pPr>
        <w:jc w:val="both"/>
        <w:ind w:left="2100" w:right="219"/>
        <w:spacing w:after="0" w:line="243" w:lineRule="auto"/>
        <w:rPr>
          <w:sz w:val="20"/>
          <w:szCs w:val="20"/>
          <w:color w:val="auto"/>
        </w:rPr>
      </w:pPr>
      <w:r>
        <w:rPr>
          <w:rFonts w:ascii="Arial" w:cs="Arial" w:eastAsia="Arial" w:hAnsi="Arial"/>
          <w:sz w:val="14"/>
          <w:szCs w:val="14"/>
          <w:b w:val="1"/>
          <w:bCs w:val="1"/>
          <w:color w:val="auto"/>
        </w:rPr>
        <w:t xml:space="preserve">Stacy Enxing Seng </w:t>
      </w:r>
      <w:r>
        <w:rPr>
          <w:rFonts w:ascii="Arial" w:cs="Arial" w:eastAsia="Arial" w:hAnsi="Arial"/>
          <w:sz w:val="14"/>
          <w:szCs w:val="14"/>
          <w:color w:val="auto"/>
        </w:rPr>
        <w:t>has served as a Venture Partner with Lightstone Ventures, a venture capital group focused on medical</w:t>
      </w:r>
      <w:r>
        <w:rPr>
          <w:rFonts w:ascii="Arial" w:cs="Arial" w:eastAsia="Arial" w:hAnsi="Arial"/>
          <w:sz w:val="14"/>
          <w:szCs w:val="14"/>
          <w:b w:val="1"/>
          <w:bCs w:val="1"/>
          <w:color w:val="auto"/>
        </w:rPr>
        <w:t xml:space="preserve"> </w:t>
      </w:r>
      <w:r>
        <w:rPr>
          <w:rFonts w:ascii="Arial" w:cs="Arial" w:eastAsia="Arial" w:hAnsi="Arial"/>
          <w:sz w:val="14"/>
          <w:szCs w:val="14"/>
          <w:color w:val="auto"/>
        </w:rPr>
        <w:t>technology and biotechnology-related investments, since 2016. Prior to joining Lightstone, Ms. Enxing Seng was with Covidien, a global health care products company, as its President, Vascular Therapies (2011 to 2014) and President of Peripheral Vascular (2010 to 2011). Ms. Enxing Seng joined Covidien in 2010 through the $2.6B acquisition of ev3 Incorporated, where she was a founding member and executive officer responsible for leading its Peripheral Vascular division (2001 to 2010). Prior to ev3, Ms. Enxing Seng held positions of increasing responsibility with Boston Scientific, SCIMED, Baxter and American Hospital Supply. She holds a B.A. in Public Policy from Michigan State University and an M.B.A. from Harvard University.</w:t>
      </w:r>
    </w:p>
    <w:p>
      <w:pPr>
        <w:sectPr>
          <w:pgSz w:w="11900" w:h="16838" w:orient="portrait"/>
          <w:cols w:equalWidth="0" w:num="1">
            <w:col w:w="10139"/>
          </w:cols>
          <w:pgMar w:left="320" w:top="132" w:right="1440" w:bottom="1440" w:gutter="0" w:footer="0" w:header="0"/>
          <w:type w:val="continuous"/>
        </w:sectPr>
      </w:pPr>
    </w:p>
    <w:p>
      <w:pPr>
        <w:spacing w:after="0" w:line="41" w:lineRule="exact"/>
        <w:rPr>
          <w:sz w:val="20"/>
          <w:szCs w:val="20"/>
          <w:color w:val="auto"/>
        </w:rPr>
      </w:pPr>
    </w:p>
    <w:tbl>
      <w:tblPr>
        <w:tblLayout w:type="fixed"/>
        <w:tblInd w:w="840" w:type="dxa"/>
        <w:tblCellMar>
          <w:top w:w="0" w:type="dxa"/>
          <w:left w:w="0" w:type="dxa"/>
          <w:bottom w:w="0" w:type="dxa"/>
          <w:right w:w="0" w:type="dxa"/>
        </w:tblCellMar>
      </w:tblPr>
      <w:tr>
        <w:trPr>
          <w:trHeight w:val="190"/>
        </w:trPr>
        <w:tc>
          <w:tcPr>
            <w:tcW w:w="1080" w:type="dxa"/>
            <w:vAlign w:val="bottom"/>
          </w:tcPr>
          <w:p>
            <w:pPr>
              <w:spacing w:after="0"/>
              <w:rPr>
                <w:sz w:val="16"/>
                <w:szCs w:val="16"/>
                <w:color w:val="auto"/>
              </w:rPr>
            </w:pPr>
          </w:p>
        </w:tc>
        <w:tc>
          <w:tcPr>
            <w:tcW w:w="3080" w:type="dxa"/>
            <w:vAlign w:val="bottom"/>
          </w:tcPr>
          <w:p>
            <w:pPr>
              <w:ind w:left="180"/>
              <w:spacing w:after="0"/>
              <w:rPr>
                <w:sz w:val="20"/>
                <w:szCs w:val="20"/>
                <w:color w:val="auto"/>
              </w:rPr>
            </w:pPr>
            <w:r>
              <w:rPr>
                <w:rFonts w:ascii="Arial" w:cs="Arial" w:eastAsia="Arial" w:hAnsi="Arial"/>
                <w:sz w:val="14"/>
                <w:szCs w:val="14"/>
                <w:b w:val="1"/>
                <w:bCs w:val="1"/>
                <w:color w:val="4800E6"/>
              </w:rPr>
              <w:t>Committees:</w:t>
            </w:r>
          </w:p>
        </w:tc>
        <w:tc>
          <w:tcPr>
            <w:tcW w:w="0" w:type="dxa"/>
            <w:vAlign w:val="bottom"/>
          </w:tcPr>
          <w:p>
            <w:pPr>
              <w:spacing w:after="0"/>
              <w:rPr>
                <w:sz w:val="1"/>
                <w:szCs w:val="1"/>
                <w:color w:val="auto"/>
              </w:rPr>
            </w:pPr>
          </w:p>
        </w:tc>
      </w:tr>
      <w:tr>
        <w:trPr>
          <w:trHeight w:val="185"/>
        </w:trPr>
        <w:tc>
          <w:tcPr>
            <w:tcW w:w="1080" w:type="dxa"/>
            <w:vAlign w:val="bottom"/>
          </w:tcPr>
          <w:p>
            <w:pPr>
              <w:spacing w:after="0"/>
              <w:rPr>
                <w:sz w:val="20"/>
                <w:szCs w:val="20"/>
                <w:color w:val="auto"/>
              </w:rPr>
            </w:pPr>
            <w:r>
              <w:rPr>
                <w:rFonts w:ascii="Arial" w:cs="Arial" w:eastAsia="Arial" w:hAnsi="Arial"/>
                <w:sz w:val="13"/>
                <w:szCs w:val="13"/>
                <w:b w:val="1"/>
                <w:bCs w:val="1"/>
                <w:color w:val="FF4C4C"/>
              </w:rPr>
              <w:t>INDEPENDENT</w:t>
            </w:r>
          </w:p>
        </w:tc>
        <w:tc>
          <w:tcPr>
            <w:tcW w:w="3080" w:type="dxa"/>
            <w:vAlign w:val="bottom"/>
          </w:tcPr>
          <w:p>
            <w:pPr>
              <w:ind w:left="180"/>
              <w:spacing w:after="0"/>
              <w:rPr>
                <w:sz w:val="20"/>
                <w:szCs w:val="20"/>
                <w:color w:val="auto"/>
              </w:rPr>
            </w:pPr>
            <w:r>
              <w:rPr>
                <w:rFonts w:ascii="Arial" w:cs="Arial" w:eastAsia="Arial" w:hAnsi="Arial"/>
                <w:sz w:val="14"/>
                <w:szCs w:val="14"/>
                <w:color w:val="4800E6"/>
              </w:rPr>
              <w:t xml:space="preserve">• </w:t>
            </w:r>
            <w:r>
              <w:rPr>
                <w:rFonts w:ascii="Arial" w:cs="Arial" w:eastAsia="Arial" w:hAnsi="Arial"/>
                <w:sz w:val="14"/>
                <w:szCs w:val="14"/>
                <w:color w:val="000000"/>
              </w:rPr>
              <w:t>Compensation</w:t>
            </w:r>
          </w:p>
        </w:tc>
        <w:tc>
          <w:tcPr>
            <w:tcW w:w="0" w:type="dxa"/>
            <w:vAlign w:val="bottom"/>
          </w:tcPr>
          <w:p>
            <w:pPr>
              <w:spacing w:after="0"/>
              <w:rPr>
                <w:sz w:val="1"/>
                <w:szCs w:val="1"/>
                <w:color w:val="auto"/>
              </w:rPr>
            </w:pPr>
          </w:p>
        </w:tc>
      </w:tr>
      <w:tr>
        <w:trPr>
          <w:trHeight w:val="299"/>
        </w:trPr>
        <w:tc>
          <w:tcPr>
            <w:tcW w:w="1080" w:type="dxa"/>
            <w:vAlign w:val="bottom"/>
          </w:tcPr>
          <w:p>
            <w:pPr>
              <w:spacing w:after="0"/>
              <w:rPr>
                <w:sz w:val="20"/>
                <w:szCs w:val="20"/>
                <w:color w:val="auto"/>
              </w:rPr>
            </w:pPr>
            <w:r>
              <w:rPr>
                <w:rFonts w:ascii="Arial" w:cs="Arial" w:eastAsia="Arial" w:hAnsi="Arial"/>
                <w:sz w:val="13"/>
                <w:szCs w:val="13"/>
                <w:color w:val="auto"/>
              </w:rPr>
              <w:t>Age 55</w:t>
            </w:r>
          </w:p>
        </w:tc>
        <w:tc>
          <w:tcPr>
            <w:tcW w:w="3080" w:type="dxa"/>
            <w:vAlign w:val="bottom"/>
            <w:vMerge w:val="restart"/>
          </w:tcPr>
          <w:p>
            <w:pPr>
              <w:ind w:left="180"/>
              <w:spacing w:after="0"/>
              <w:rPr>
                <w:sz w:val="20"/>
                <w:szCs w:val="20"/>
                <w:color w:val="auto"/>
              </w:rPr>
            </w:pPr>
            <w:r>
              <w:rPr>
                <w:rFonts w:ascii="Arial" w:cs="Arial" w:eastAsia="Arial" w:hAnsi="Arial"/>
                <w:sz w:val="14"/>
                <w:szCs w:val="14"/>
                <w:b w:val="1"/>
                <w:bCs w:val="1"/>
                <w:color w:val="4800E6"/>
              </w:rPr>
              <w:t>Other Public Company Directorships:</w:t>
            </w:r>
          </w:p>
        </w:tc>
        <w:tc>
          <w:tcPr>
            <w:tcW w:w="0" w:type="dxa"/>
            <w:vAlign w:val="bottom"/>
          </w:tcPr>
          <w:p>
            <w:pPr>
              <w:spacing w:after="0"/>
              <w:rPr>
                <w:sz w:val="1"/>
                <w:szCs w:val="1"/>
                <w:color w:val="auto"/>
              </w:rPr>
            </w:pPr>
          </w:p>
        </w:tc>
      </w:tr>
      <w:tr>
        <w:trPr>
          <w:trHeight w:val="96"/>
        </w:trPr>
        <w:tc>
          <w:tcPr>
            <w:tcW w:w="1080" w:type="dxa"/>
            <w:vAlign w:val="bottom"/>
          </w:tcPr>
          <w:p>
            <w:pPr>
              <w:spacing w:after="0"/>
              <w:rPr>
                <w:sz w:val="8"/>
                <w:szCs w:val="8"/>
                <w:color w:val="auto"/>
              </w:rPr>
            </w:pPr>
          </w:p>
        </w:tc>
        <w:tc>
          <w:tcPr>
            <w:tcW w:w="308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44"/>
        </w:trPr>
        <w:tc>
          <w:tcPr>
            <w:tcW w:w="1080" w:type="dxa"/>
            <w:vAlign w:val="bottom"/>
          </w:tcPr>
          <w:p>
            <w:pPr>
              <w:spacing w:after="0" w:line="144" w:lineRule="exact"/>
              <w:rPr>
                <w:sz w:val="20"/>
                <w:szCs w:val="20"/>
                <w:color w:val="auto"/>
              </w:rPr>
            </w:pPr>
            <w:r>
              <w:rPr>
                <w:rFonts w:ascii="Arial" w:cs="Arial" w:eastAsia="Arial" w:hAnsi="Arial"/>
                <w:sz w:val="13"/>
                <w:szCs w:val="13"/>
                <w:color w:val="auto"/>
              </w:rPr>
              <w:t>Director</w:t>
            </w:r>
          </w:p>
        </w:tc>
        <w:tc>
          <w:tcPr>
            <w:tcW w:w="3080" w:type="dxa"/>
            <w:vAlign w:val="bottom"/>
          </w:tcPr>
          <w:p>
            <w:pPr>
              <w:ind w:left="180"/>
              <w:spacing w:after="0" w:line="144" w:lineRule="exact"/>
              <w:rPr>
                <w:sz w:val="20"/>
                <w:szCs w:val="20"/>
                <w:color w:val="auto"/>
              </w:rPr>
            </w:pPr>
            <w:r>
              <w:rPr>
                <w:rFonts w:ascii="Arial" w:cs="Arial" w:eastAsia="Arial" w:hAnsi="Arial"/>
                <w:sz w:val="14"/>
                <w:szCs w:val="14"/>
                <w:color w:val="4800E6"/>
              </w:rPr>
              <w:t xml:space="preserve">• </w:t>
            </w:r>
            <w:r>
              <w:rPr>
                <w:rFonts w:ascii="Arial" w:cs="Arial" w:eastAsia="Arial" w:hAnsi="Arial"/>
                <w:sz w:val="14"/>
                <w:szCs w:val="14"/>
                <w:color w:val="000000"/>
              </w:rPr>
              <w:t>Sonova Holding AG; Hill-Rom Holdings, Inc.</w:t>
            </w:r>
          </w:p>
        </w:tc>
        <w:tc>
          <w:tcPr>
            <w:tcW w:w="0" w:type="dxa"/>
            <w:vAlign w:val="bottom"/>
          </w:tcPr>
          <w:p>
            <w:pPr>
              <w:spacing w:after="0"/>
              <w:rPr>
                <w:sz w:val="1"/>
                <w:szCs w:val="1"/>
                <w:color w:val="auto"/>
              </w:rPr>
            </w:pPr>
          </w:p>
        </w:tc>
      </w:tr>
      <w:tr>
        <w:trPr>
          <w:trHeight w:val="178"/>
        </w:trPr>
        <w:tc>
          <w:tcPr>
            <w:tcW w:w="1080" w:type="dxa"/>
            <w:vAlign w:val="bottom"/>
          </w:tcPr>
          <w:p>
            <w:pPr>
              <w:spacing w:after="0"/>
              <w:rPr>
                <w:sz w:val="20"/>
                <w:szCs w:val="20"/>
                <w:color w:val="auto"/>
              </w:rPr>
            </w:pPr>
            <w:r>
              <w:rPr>
                <w:rFonts w:ascii="Arial" w:cs="Arial" w:eastAsia="Arial" w:hAnsi="Arial"/>
                <w:sz w:val="13"/>
                <w:szCs w:val="13"/>
                <w:color w:val="auto"/>
              </w:rPr>
              <w:t xml:space="preserve">since </w:t>
            </w:r>
            <w:r>
              <w:rPr>
                <w:rFonts w:ascii="Arial" w:cs="Arial" w:eastAsia="Arial" w:hAnsi="Arial"/>
                <w:sz w:val="13"/>
                <w:szCs w:val="13"/>
                <w:b w:val="1"/>
                <w:bCs w:val="1"/>
                <w:color w:val="4800E6"/>
              </w:rPr>
              <w:t>2019</w:t>
            </w:r>
          </w:p>
        </w:tc>
        <w:tc>
          <w:tcPr>
            <w:tcW w:w="30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1080" w:type="dxa"/>
            <w:vAlign w:val="bottom"/>
          </w:tcPr>
          <w:p>
            <w:pPr>
              <w:spacing w:after="0"/>
              <w:rPr>
                <w:sz w:val="20"/>
                <w:szCs w:val="20"/>
                <w:color w:val="auto"/>
              </w:rPr>
            </w:pPr>
            <w:r>
              <w:rPr>
                <w:rFonts w:ascii="Arial" w:cs="Arial" w:eastAsia="Arial" w:hAnsi="Arial"/>
                <w:sz w:val="13"/>
                <w:szCs w:val="13"/>
                <w:color w:val="auto"/>
              </w:rPr>
              <w:t>Venture Partner</w:t>
            </w:r>
          </w:p>
        </w:tc>
        <w:tc>
          <w:tcPr>
            <w:tcW w:w="30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35"/>
        </w:trPr>
        <w:tc>
          <w:tcPr>
            <w:tcW w:w="1080" w:type="dxa"/>
            <w:vAlign w:val="bottom"/>
          </w:tcPr>
          <w:p>
            <w:pPr>
              <w:spacing w:after="0" w:line="135" w:lineRule="exact"/>
              <w:rPr>
                <w:sz w:val="20"/>
                <w:szCs w:val="20"/>
                <w:color w:val="auto"/>
              </w:rPr>
            </w:pPr>
            <w:r>
              <w:rPr>
                <w:rFonts w:ascii="Arial" w:cs="Arial" w:eastAsia="Arial" w:hAnsi="Arial"/>
                <w:sz w:val="13"/>
                <w:szCs w:val="13"/>
                <w:color w:val="auto"/>
              </w:rPr>
              <w:t>Lightstone</w:t>
            </w:r>
          </w:p>
        </w:tc>
        <w:tc>
          <w:tcPr>
            <w:tcW w:w="30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2"/>
        </w:trPr>
        <w:tc>
          <w:tcPr>
            <w:tcW w:w="1080" w:type="dxa"/>
            <w:vAlign w:val="bottom"/>
          </w:tcPr>
          <w:p>
            <w:pPr>
              <w:spacing w:after="0"/>
              <w:rPr>
                <w:sz w:val="20"/>
                <w:szCs w:val="20"/>
                <w:color w:val="auto"/>
              </w:rPr>
            </w:pPr>
            <w:r>
              <w:rPr>
                <w:rFonts w:ascii="Arial" w:cs="Arial" w:eastAsia="Arial" w:hAnsi="Arial"/>
                <w:sz w:val="13"/>
                <w:szCs w:val="13"/>
                <w:color w:val="auto"/>
              </w:rPr>
              <w:t>Ventures</w:t>
            </w:r>
          </w:p>
        </w:tc>
        <w:tc>
          <w:tcPr>
            <w:tcW w:w="3080" w:type="dxa"/>
            <w:vAlign w:val="bottom"/>
          </w:tcPr>
          <w:p>
            <w:pPr>
              <w:spacing w:after="0"/>
              <w:rPr>
                <w:sz w:val="14"/>
                <w:szCs w:val="1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485140</wp:posOffset>
            </wp:positionH>
            <wp:positionV relativeFrom="paragraph">
              <wp:posOffset>240030</wp:posOffset>
            </wp:positionV>
            <wp:extent cx="5829300" cy="889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5829300" cy="88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1" w:lineRule="exact"/>
        <w:rPr>
          <w:sz w:val="20"/>
          <w:szCs w:val="20"/>
          <w:color w:val="auto"/>
        </w:rPr>
      </w:pPr>
    </w:p>
    <w:p>
      <w:pPr>
        <w:spacing w:after="0"/>
        <w:rPr>
          <w:sz w:val="20"/>
          <w:szCs w:val="20"/>
          <w:color w:val="auto"/>
        </w:rPr>
      </w:pPr>
      <w:r>
        <w:rPr>
          <w:rFonts w:ascii="Arial" w:cs="Arial" w:eastAsia="Arial" w:hAnsi="Arial"/>
          <w:sz w:val="14"/>
          <w:szCs w:val="14"/>
          <w:b w:val="1"/>
          <w:bCs w:val="1"/>
          <w:color w:val="4800E6"/>
        </w:rPr>
        <w:t>Director Skills and Qualifications:</w:t>
      </w:r>
    </w:p>
    <w:p>
      <w:pPr>
        <w:spacing w:after="0" w:line="46" w:lineRule="exact"/>
        <w:rPr>
          <w:sz w:val="20"/>
          <w:szCs w:val="20"/>
          <w:color w:val="auto"/>
        </w:rPr>
      </w:pPr>
    </w:p>
    <w:p>
      <w:pPr>
        <w:ind w:left="140" w:right="259" w:hanging="137"/>
        <w:spacing w:after="0" w:line="243" w:lineRule="auto"/>
        <w:tabs>
          <w:tab w:leader="none" w:pos="140" w:val="left"/>
        </w:tabs>
        <w:numPr>
          <w:ilvl w:val="0"/>
          <w:numId w:val="18"/>
        </w:numPr>
        <w:rPr>
          <w:rFonts w:ascii="Arial" w:cs="Arial" w:eastAsia="Arial" w:hAnsi="Arial"/>
          <w:sz w:val="14"/>
          <w:szCs w:val="14"/>
          <w:color w:val="4800E6"/>
        </w:rPr>
      </w:pPr>
      <w:r>
        <w:rPr>
          <w:rFonts w:ascii="Arial" w:cs="Arial" w:eastAsia="Arial" w:hAnsi="Arial"/>
          <w:sz w:val="14"/>
          <w:szCs w:val="14"/>
          <w:color w:val="auto"/>
        </w:rPr>
        <w:t>Ms. Enxing Seng has broad experience as a former senior executive responsible for a world-wide business unit of a major medical device company. In addition, she has significant experience as a co-founder of a successful medical device start-up. Her operational experience at both large and small medical device companies, combined with her first-hand experience gained from building ev3 from the ground up, provide the Board with valuable insights into strategy, marketing, sales, innovation, mergers and acquisitions and a variety of other medical device-related areas.</w:t>
      </w:r>
    </w:p>
    <w:p>
      <w:pPr>
        <w:spacing w:after="0" w:line="200" w:lineRule="exact"/>
        <w:rPr>
          <w:sz w:val="20"/>
          <w:szCs w:val="20"/>
          <w:color w:val="auto"/>
        </w:rPr>
      </w:pPr>
    </w:p>
    <w:p>
      <w:pPr>
        <w:sectPr>
          <w:pgSz w:w="11900" w:h="16838" w:orient="portrait"/>
          <w:cols w:equalWidth="0" w:num="2">
            <w:col w:w="5360" w:space="720"/>
            <w:col w:w="4059"/>
          </w:cols>
          <w:pgMar w:left="320" w:top="132" w:right="1440"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4" w:lineRule="exact"/>
        <w:rPr>
          <w:sz w:val="20"/>
          <w:szCs w:val="20"/>
          <w:color w:val="auto"/>
        </w:rPr>
      </w:pPr>
    </w:p>
    <w:p>
      <w:pPr>
        <w:ind w:left="480"/>
        <w:spacing w:after="0"/>
        <w:tabs>
          <w:tab w:leader="none" w:pos="4400" w:val="left"/>
          <w:tab w:leader="none" w:pos="8760" w:val="left"/>
        </w:tabs>
        <w:rPr>
          <w:sz w:val="20"/>
          <w:szCs w:val="20"/>
          <w:color w:val="auto"/>
        </w:rPr>
      </w:pPr>
      <w:r>
        <w:rPr>
          <w:rFonts w:ascii="Arial" w:cs="Arial" w:eastAsia="Arial" w:hAnsi="Arial"/>
          <w:sz w:val="29"/>
          <w:szCs w:val="29"/>
          <w:b w:val="1"/>
          <w:bCs w:val="1"/>
          <w:color w:val="auto"/>
          <w:vertAlign w:val="subscript"/>
        </w:rPr>
        <w:t>11</w:t>
      </w:r>
      <w:r>
        <w:rPr>
          <w:sz w:val="20"/>
          <w:szCs w:val="20"/>
          <w:color w:val="auto"/>
        </w:rPr>
        <w:tab/>
      </w:r>
      <w:r>
        <w:rPr>
          <w:rFonts w:ascii="Arial" w:cs="Arial" w:eastAsia="Arial" w:hAnsi="Arial"/>
          <w:sz w:val="13"/>
          <w:szCs w:val="13"/>
          <w:b w:val="1"/>
          <w:bCs w:val="1"/>
          <w:color w:val="4800E6"/>
        </w:rPr>
        <w:t xml:space="preserve">LIVANOVA </w:t>
      </w:r>
      <w:r>
        <w:rPr>
          <w:rFonts w:ascii="Arial" w:cs="Arial" w:eastAsia="Arial" w:hAnsi="Arial"/>
          <w:sz w:val="13"/>
          <w:szCs w:val="13"/>
          <w:color w:val="000000"/>
        </w:rPr>
        <w:t>|</w:t>
      </w:r>
      <w:r>
        <w:rPr>
          <w:rFonts w:ascii="Arial" w:cs="Arial" w:eastAsia="Arial" w:hAnsi="Arial"/>
          <w:sz w:val="13"/>
          <w:szCs w:val="13"/>
          <w:b w:val="1"/>
          <w:bCs w:val="1"/>
          <w:color w:val="4800E6"/>
        </w:rPr>
        <w:t xml:space="preserve"> </w:t>
      </w:r>
      <w:r>
        <w:rPr>
          <w:rFonts w:ascii="Arial" w:cs="Arial" w:eastAsia="Arial" w:hAnsi="Arial"/>
          <w:sz w:val="13"/>
          <w:szCs w:val="13"/>
          <w:color w:val="4800E6"/>
        </w:rPr>
        <w:t>2020</w:t>
      </w:r>
      <w:r>
        <w:rPr>
          <w:rFonts w:ascii="Arial" w:cs="Arial" w:eastAsia="Arial" w:hAnsi="Arial"/>
          <w:sz w:val="13"/>
          <w:szCs w:val="13"/>
          <w:b w:val="1"/>
          <w:bCs w:val="1"/>
          <w:color w:val="4800E6"/>
        </w:rPr>
        <w:t xml:space="preserve"> </w:t>
      </w:r>
      <w:r>
        <w:rPr>
          <w:rFonts w:ascii="Arial" w:cs="Arial" w:eastAsia="Arial" w:hAnsi="Arial"/>
          <w:sz w:val="13"/>
          <w:szCs w:val="13"/>
          <w:color w:val="000000"/>
        </w:rPr>
        <w:t>Proxy Statement</w:t>
      </w:r>
      <w:r>
        <w:rPr>
          <w:sz w:val="20"/>
          <w:szCs w:val="20"/>
          <w:color w:val="auto"/>
        </w:rPr>
        <w:tab/>
      </w:r>
      <w:r>
        <w:rPr>
          <w:rFonts w:ascii="Arial" w:cs="Arial" w:eastAsia="Arial" w:hAnsi="Arial"/>
          <w:sz w:val="12"/>
          <w:szCs w:val="12"/>
          <w:b w:val="1"/>
          <w:bCs w:val="1"/>
          <w:color w:val="4800E6"/>
        </w:rPr>
        <w:t>www.livanova.com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561975</wp:posOffset>
            </wp:positionH>
            <wp:positionV relativeFrom="paragraph">
              <wp:posOffset>94615</wp:posOffset>
            </wp:positionV>
            <wp:extent cx="1954530" cy="889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1954530" cy="8890"/>
                    </a:xfrm>
                    <a:prstGeom prst="rect">
                      <a:avLst/>
                    </a:prstGeom>
                    <a:noFill/>
                  </pic:spPr>
                </pic:pic>
              </a:graphicData>
            </a:graphic>
          </wp:anchor>
        </w:drawing>
        <w:drawing>
          <wp:anchor simplePos="0" relativeHeight="251657728" behindDoc="1" locked="0" layoutInCell="0" allowOverlap="1">
            <wp:simplePos x="0" y="0"/>
            <wp:positionH relativeFrom="column">
              <wp:posOffset>4316730</wp:posOffset>
            </wp:positionH>
            <wp:positionV relativeFrom="paragraph">
              <wp:posOffset>94615</wp:posOffset>
            </wp:positionV>
            <wp:extent cx="1028700" cy="889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102870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231775</wp:posOffset>
            </wp:positionV>
            <wp:extent cx="6806565" cy="171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10139"/>
          </w:cols>
          <w:pgMar w:left="320" w:top="132" w:right="1440" w:bottom="1440" w:gutter="0" w:footer="0" w:header="0"/>
          <w:type w:val="continuous"/>
        </w:sectPr>
      </w:pPr>
    </w:p>
    <w:bookmarkStart w:id="15" w:name="page16"/>
    <w:bookmarkEnd w:id="15"/>
    <w:p>
      <w:pPr>
        <w:spacing w:after="0"/>
        <w:rPr>
          <w:rFonts w:ascii="Arial" w:cs="Arial" w:eastAsia="Arial" w:hAnsi="Arial"/>
          <w:sz w:val="14"/>
          <w:szCs w:val="14"/>
          <w:color w:val="003366"/>
        </w:rPr>
      </w:pPr>
      <w:hyperlink w:anchor="page4">
        <w:r>
          <w:rPr>
            <w:rFonts w:ascii="Arial" w:cs="Arial" w:eastAsia="Arial" w:hAnsi="Arial"/>
            <w:sz w:val="14"/>
            <w:szCs w:val="14"/>
            <w:color w:val="003366"/>
          </w:rPr>
          <w:t>TABLE OF CONTENTS</w:t>
        </w:r>
      </w:hyperlink>
    </w:p>
    <w:p>
      <w:pPr>
        <w:spacing w:after="0" w:line="338" w:lineRule="exact"/>
        <w:rPr>
          <w:sz w:val="20"/>
          <w:szCs w:val="20"/>
          <w:color w:val="auto"/>
        </w:rPr>
      </w:pPr>
    </w:p>
    <w:p>
      <w:pPr>
        <w:jc w:val="right"/>
        <w:ind w:right="240"/>
        <w:spacing w:after="0"/>
        <w:rPr>
          <w:sz w:val="20"/>
          <w:szCs w:val="20"/>
          <w:color w:val="auto"/>
        </w:rPr>
      </w:pPr>
      <w:r>
        <w:rPr>
          <w:rFonts w:ascii="Arial" w:cs="Arial" w:eastAsia="Arial" w:hAnsi="Arial"/>
          <w:sz w:val="13"/>
          <w:szCs w:val="13"/>
          <w:b w:val="1"/>
          <w:bCs w:val="1"/>
          <w:color w:val="auto"/>
        </w:rPr>
        <w:t xml:space="preserve">Corporate </w:t>
      </w:r>
      <w:r>
        <w:rPr>
          <w:rFonts w:ascii="Arial" w:cs="Arial" w:eastAsia="Arial" w:hAnsi="Arial"/>
          <w:sz w:val="13"/>
          <w:szCs w:val="13"/>
          <w:b w:val="1"/>
          <w:bCs w:val="1"/>
          <w:color w:val="666666"/>
        </w:rPr>
        <w:t>Governance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485140</wp:posOffset>
            </wp:positionH>
            <wp:positionV relativeFrom="paragraph">
              <wp:posOffset>30480</wp:posOffset>
            </wp:positionV>
            <wp:extent cx="5829300" cy="825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5829300" cy="8255"/>
                    </a:xfrm>
                    <a:prstGeom prst="rect">
                      <a:avLst/>
                    </a:prstGeom>
                    <a:noFill/>
                  </pic:spPr>
                </pic:pic>
              </a:graphicData>
            </a:graphic>
          </wp:anchor>
        </w:drawing>
      </w:r>
    </w:p>
    <w:p>
      <w:pPr>
        <w:spacing w:after="0" w:line="60" w:lineRule="exact"/>
        <w:rPr>
          <w:sz w:val="20"/>
          <w:szCs w:val="20"/>
          <w:color w:val="auto"/>
        </w:rPr>
      </w:pPr>
    </w:p>
    <w:p>
      <w:pPr>
        <w:jc w:val="right"/>
        <w:ind w:right="240"/>
        <w:spacing w:after="0"/>
        <w:rPr>
          <w:sz w:val="20"/>
          <w:szCs w:val="20"/>
          <w:color w:val="auto"/>
        </w:rPr>
      </w:pPr>
      <w:r>
        <w:rPr>
          <w:rFonts w:ascii="Arial" w:cs="Arial" w:eastAsia="Arial" w:hAnsi="Arial"/>
          <w:sz w:val="13"/>
          <w:szCs w:val="13"/>
          <w:b w:val="1"/>
          <w:bCs w:val="1"/>
          <w:color w:val="4800E6"/>
        </w:rPr>
        <w:t>The Board of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485140</wp:posOffset>
            </wp:positionH>
            <wp:positionV relativeFrom="paragraph">
              <wp:posOffset>398780</wp:posOffset>
            </wp:positionV>
            <wp:extent cx="5829300" cy="108013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5829300" cy="10801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ind w:left="880"/>
        <w:spacing w:after="0"/>
        <w:rPr>
          <w:sz w:val="20"/>
          <w:szCs w:val="20"/>
          <w:color w:val="auto"/>
        </w:rPr>
      </w:pPr>
      <w:r>
        <w:rPr>
          <w:rFonts w:ascii="Arial" w:cs="Arial" w:eastAsia="Arial" w:hAnsi="Arial"/>
          <w:sz w:val="17"/>
          <w:szCs w:val="17"/>
          <w:b w:val="1"/>
          <w:bCs w:val="1"/>
          <w:color w:val="FEFEFE"/>
        </w:rPr>
        <w:t>WILLIAM KOZY</w:t>
      </w:r>
    </w:p>
    <w:p>
      <w:pPr>
        <w:spacing w:after="0" w:line="11" w:lineRule="exact"/>
        <w:rPr>
          <w:sz w:val="20"/>
          <w:szCs w:val="20"/>
          <w:color w:val="auto"/>
        </w:rPr>
      </w:pPr>
    </w:p>
    <w:p>
      <w:pPr>
        <w:jc w:val="both"/>
        <w:ind w:left="2100" w:right="260"/>
        <w:spacing w:after="0" w:line="245" w:lineRule="auto"/>
        <w:rPr>
          <w:sz w:val="20"/>
          <w:szCs w:val="20"/>
          <w:color w:val="auto"/>
        </w:rPr>
      </w:pPr>
      <w:r>
        <w:rPr>
          <w:rFonts w:ascii="Arial" w:cs="Arial" w:eastAsia="Arial" w:hAnsi="Arial"/>
          <w:sz w:val="14"/>
          <w:szCs w:val="14"/>
          <w:b w:val="1"/>
          <w:bCs w:val="1"/>
          <w:color w:val="auto"/>
        </w:rPr>
        <w:t xml:space="preserve">William Kozy </w:t>
      </w:r>
      <w:r>
        <w:rPr>
          <w:rFonts w:ascii="Arial" w:cs="Arial" w:eastAsia="Arial" w:hAnsi="Arial"/>
          <w:sz w:val="14"/>
          <w:szCs w:val="14"/>
          <w:color w:val="auto"/>
        </w:rPr>
        <w:t>retired from Becton, Dickinson and Company, a global medical technology company, in 2016 where he was</w:t>
      </w:r>
      <w:r>
        <w:rPr>
          <w:rFonts w:ascii="Arial" w:cs="Arial" w:eastAsia="Arial" w:hAnsi="Arial"/>
          <w:sz w:val="14"/>
          <w:szCs w:val="14"/>
          <w:b w:val="1"/>
          <w:bCs w:val="1"/>
          <w:color w:val="auto"/>
        </w:rPr>
        <w:t xml:space="preserve"> </w:t>
      </w:r>
      <w:r>
        <w:rPr>
          <w:rFonts w:ascii="Arial" w:cs="Arial" w:eastAsia="Arial" w:hAnsi="Arial"/>
          <w:sz w:val="14"/>
          <w:szCs w:val="14"/>
          <w:color w:val="auto"/>
        </w:rPr>
        <w:t xml:space="preserve">Executive Vice President and Chief Operating Officer from 2011 to 2016. At Becton Dickinson, he also served as a member of the corporate Leadership Team and in various executive roles since 1988, including head of BD Medical (2009 to 2011), President of the BD Biosciences segment (2006 to 2009), President of BD Diagnostics (2002 to 2006) and Senior Vice President of Company Operations (1998 to 2002). Mr. Kozy graduated </w:t>
      </w:r>
      <w:r>
        <w:rPr>
          <w:rFonts w:ascii="Arial" w:cs="Arial" w:eastAsia="Arial" w:hAnsi="Arial"/>
          <w:sz w:val="14"/>
          <w:szCs w:val="14"/>
          <w:i w:val="1"/>
          <w:iCs w:val="1"/>
          <w:color w:val="auto"/>
        </w:rPr>
        <w:t>cum laude</w:t>
      </w:r>
      <w:r>
        <w:rPr>
          <w:rFonts w:ascii="Arial" w:cs="Arial" w:eastAsia="Arial" w:hAnsi="Arial"/>
          <w:sz w:val="14"/>
          <w:szCs w:val="14"/>
          <w:color w:val="auto"/>
        </w:rPr>
        <w:t xml:space="preserve"> from Kenyon College.</w:t>
      </w:r>
    </w:p>
    <w:p>
      <w:pPr>
        <w:sectPr>
          <w:pgSz w:w="11900" w:h="16838" w:orient="portrait"/>
          <w:cols w:equalWidth="0" w:num="1">
            <w:col w:w="10180"/>
          </w:cols>
          <w:pgMar w:left="320" w:top="132" w:right="1399" w:bottom="1440" w:gutter="0" w:footer="0" w:header="0"/>
        </w:sectPr>
      </w:pPr>
    </w:p>
    <w:p>
      <w:pPr>
        <w:spacing w:after="0" w:line="38" w:lineRule="exact"/>
        <w:rPr>
          <w:sz w:val="20"/>
          <w:szCs w:val="20"/>
          <w:color w:val="auto"/>
        </w:rPr>
      </w:pPr>
    </w:p>
    <w:p>
      <w:pPr>
        <w:ind w:left="2100"/>
        <w:spacing w:after="0"/>
        <w:rPr>
          <w:sz w:val="20"/>
          <w:szCs w:val="20"/>
          <w:color w:val="auto"/>
        </w:rPr>
      </w:pPr>
      <w:r>
        <w:rPr>
          <w:rFonts w:ascii="Arial" w:cs="Arial" w:eastAsia="Arial" w:hAnsi="Arial"/>
          <w:sz w:val="14"/>
          <w:szCs w:val="14"/>
          <w:b w:val="1"/>
          <w:bCs w:val="1"/>
          <w:color w:val="4800E6"/>
        </w:rPr>
        <w:t>Committees:</w:t>
      </w:r>
    </w:p>
    <w:p>
      <w:pPr>
        <w:spacing w:after="0" w:line="33" w:lineRule="exact"/>
        <w:rPr>
          <w:sz w:val="20"/>
          <w:szCs w:val="20"/>
          <w:color w:val="auto"/>
        </w:rPr>
      </w:pPr>
    </w:p>
    <w:p>
      <w:pPr>
        <w:ind w:left="2240" w:hanging="140"/>
        <w:spacing w:after="0"/>
        <w:tabs>
          <w:tab w:leader="none" w:pos="2240" w:val="left"/>
        </w:tabs>
        <w:numPr>
          <w:ilvl w:val="0"/>
          <w:numId w:val="19"/>
        </w:numPr>
        <w:rPr>
          <w:rFonts w:ascii="Arial" w:cs="Arial" w:eastAsia="Arial" w:hAnsi="Arial"/>
          <w:sz w:val="14"/>
          <w:szCs w:val="14"/>
          <w:color w:val="4800E6"/>
        </w:rPr>
      </w:pPr>
      <w:r>
        <w:rPr>
          <w:rFonts w:ascii="Arial" w:cs="Arial" w:eastAsia="Arial" w:hAnsi="Arial"/>
          <w:sz w:val="14"/>
          <w:szCs w:val="14"/>
          <w:color w:val="auto"/>
        </w:rPr>
        <w:t>Nominating and Corporate Governance</w:t>
      </w:r>
    </w:p>
    <w:p>
      <w:pPr>
        <w:spacing w:after="0" w:line="352" w:lineRule="exact"/>
        <w:rPr>
          <w:sz w:val="20"/>
          <w:szCs w:val="20"/>
          <w:color w:val="auto"/>
        </w:rPr>
      </w:pPr>
    </w:p>
    <w:p>
      <w:pPr>
        <w:ind w:left="840"/>
        <w:spacing w:after="0"/>
        <w:rPr>
          <w:sz w:val="20"/>
          <w:szCs w:val="20"/>
          <w:color w:val="auto"/>
        </w:rPr>
      </w:pPr>
      <w:r>
        <w:rPr>
          <w:rFonts w:ascii="Arial" w:cs="Arial" w:eastAsia="Arial" w:hAnsi="Arial"/>
          <w:sz w:val="13"/>
          <w:szCs w:val="13"/>
          <w:b w:val="1"/>
          <w:bCs w:val="1"/>
          <w:color w:val="FF4C4C"/>
        </w:rPr>
        <w:t>INDEPENDENT</w:t>
      </w:r>
    </w:p>
    <w:p>
      <w:pPr>
        <w:spacing w:after="0" w:line="155" w:lineRule="exact"/>
        <w:rPr>
          <w:sz w:val="20"/>
          <w:szCs w:val="20"/>
          <w:color w:val="auto"/>
        </w:rPr>
      </w:pPr>
    </w:p>
    <w:p>
      <w:pPr>
        <w:ind w:left="840"/>
        <w:spacing w:after="0"/>
        <w:rPr>
          <w:sz w:val="20"/>
          <w:szCs w:val="20"/>
          <w:color w:val="auto"/>
        </w:rPr>
      </w:pPr>
      <w:r>
        <w:rPr>
          <w:rFonts w:ascii="Arial" w:cs="Arial" w:eastAsia="Arial" w:hAnsi="Arial"/>
          <w:sz w:val="13"/>
          <w:szCs w:val="13"/>
          <w:color w:val="auto"/>
        </w:rPr>
        <w:t>Age 68</w:t>
      </w:r>
    </w:p>
    <w:p>
      <w:pPr>
        <w:spacing w:after="0" w:line="120" w:lineRule="exact"/>
        <w:rPr>
          <w:sz w:val="20"/>
          <w:szCs w:val="20"/>
          <w:color w:val="auto"/>
        </w:rPr>
      </w:pPr>
    </w:p>
    <w:p>
      <w:pPr>
        <w:ind w:left="840"/>
        <w:spacing w:after="0"/>
        <w:rPr>
          <w:sz w:val="20"/>
          <w:szCs w:val="20"/>
          <w:color w:val="auto"/>
        </w:rPr>
      </w:pPr>
      <w:r>
        <w:rPr>
          <w:rFonts w:ascii="Arial" w:cs="Arial" w:eastAsia="Arial" w:hAnsi="Arial"/>
          <w:sz w:val="13"/>
          <w:szCs w:val="13"/>
          <w:color w:val="auto"/>
        </w:rPr>
        <w:t>Director</w:t>
      </w:r>
    </w:p>
    <w:p>
      <w:pPr>
        <w:ind w:left="840"/>
        <w:spacing w:after="0"/>
        <w:rPr>
          <w:sz w:val="20"/>
          <w:szCs w:val="20"/>
          <w:color w:val="auto"/>
        </w:rPr>
      </w:pPr>
      <w:r>
        <w:rPr>
          <w:rFonts w:ascii="Arial" w:cs="Arial" w:eastAsia="Arial" w:hAnsi="Arial"/>
          <w:sz w:val="13"/>
          <w:szCs w:val="13"/>
          <w:color w:val="auto"/>
        </w:rPr>
        <w:t xml:space="preserve">since </w:t>
      </w:r>
      <w:r>
        <w:rPr>
          <w:rFonts w:ascii="Arial" w:cs="Arial" w:eastAsia="Arial" w:hAnsi="Arial"/>
          <w:sz w:val="13"/>
          <w:szCs w:val="13"/>
          <w:b w:val="1"/>
          <w:bCs w:val="1"/>
          <w:color w:val="4800E6"/>
        </w:rPr>
        <w:t>2018</w:t>
      </w:r>
    </w:p>
    <w:p>
      <w:pPr>
        <w:spacing w:after="0" w:line="79" w:lineRule="exact"/>
        <w:rPr>
          <w:sz w:val="20"/>
          <w:szCs w:val="20"/>
          <w:color w:val="auto"/>
        </w:rPr>
      </w:pPr>
    </w:p>
    <w:p>
      <w:pPr>
        <w:ind w:left="840"/>
        <w:spacing w:after="0"/>
        <w:rPr>
          <w:sz w:val="20"/>
          <w:szCs w:val="20"/>
          <w:color w:val="auto"/>
        </w:rPr>
      </w:pPr>
      <w:r>
        <w:rPr>
          <w:rFonts w:ascii="Arial" w:cs="Arial" w:eastAsia="Arial" w:hAnsi="Arial"/>
          <w:sz w:val="13"/>
          <w:szCs w:val="13"/>
          <w:color w:val="auto"/>
        </w:rPr>
        <w:t>Retired, EVP and</w:t>
      </w:r>
    </w:p>
    <w:p>
      <w:pPr>
        <w:ind w:left="840"/>
        <w:spacing w:after="0" w:line="216" w:lineRule="auto"/>
        <w:rPr>
          <w:sz w:val="20"/>
          <w:szCs w:val="20"/>
          <w:color w:val="auto"/>
        </w:rPr>
      </w:pPr>
      <w:r>
        <w:rPr>
          <w:rFonts w:ascii="Arial" w:cs="Arial" w:eastAsia="Arial" w:hAnsi="Arial"/>
          <w:sz w:val="13"/>
          <w:szCs w:val="13"/>
          <w:color w:val="auto"/>
        </w:rPr>
        <w:t>COO Becton,</w:t>
      </w:r>
    </w:p>
    <w:p>
      <w:pPr>
        <w:ind w:left="840"/>
        <w:spacing w:after="0" w:line="217" w:lineRule="auto"/>
        <w:rPr>
          <w:sz w:val="20"/>
          <w:szCs w:val="20"/>
          <w:color w:val="auto"/>
        </w:rPr>
      </w:pPr>
      <w:r>
        <w:rPr>
          <w:rFonts w:ascii="Arial" w:cs="Arial" w:eastAsia="Arial" w:hAnsi="Arial"/>
          <w:sz w:val="13"/>
          <w:szCs w:val="13"/>
          <w:color w:val="auto"/>
        </w:rPr>
        <w:t>Dickinson and</w:t>
      </w:r>
    </w:p>
    <w:p>
      <w:pPr>
        <w:ind w:left="840"/>
        <w:spacing w:after="0"/>
        <w:rPr>
          <w:sz w:val="20"/>
          <w:szCs w:val="20"/>
          <w:color w:val="auto"/>
        </w:rPr>
      </w:pPr>
      <w:r>
        <w:rPr>
          <w:rFonts w:ascii="Arial" w:cs="Arial" w:eastAsia="Arial" w:hAnsi="Arial"/>
          <w:sz w:val="13"/>
          <w:szCs w:val="13"/>
          <w:color w:val="auto"/>
        </w:rPr>
        <w:t>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485140</wp:posOffset>
            </wp:positionH>
            <wp:positionV relativeFrom="paragraph">
              <wp:posOffset>514350</wp:posOffset>
            </wp:positionV>
            <wp:extent cx="5829300" cy="889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5829300" cy="8890"/>
                    </a:xfrm>
                    <a:prstGeom prst="rect">
                      <a:avLst/>
                    </a:prstGeom>
                    <a:noFill/>
                  </pic:spPr>
                </pic:pic>
              </a:graphicData>
            </a:graphic>
          </wp:anchor>
        </w:drawing>
        <w:drawing>
          <wp:anchor simplePos="0" relativeHeight="251657728" behindDoc="1" locked="0" layoutInCell="0" allowOverlap="1">
            <wp:simplePos x="0" y="0"/>
            <wp:positionH relativeFrom="column">
              <wp:posOffset>485140</wp:posOffset>
            </wp:positionH>
            <wp:positionV relativeFrom="paragraph">
              <wp:posOffset>659765</wp:posOffset>
            </wp:positionV>
            <wp:extent cx="5829300" cy="108013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5829300" cy="108013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8" w:lineRule="exact"/>
        <w:rPr>
          <w:sz w:val="20"/>
          <w:szCs w:val="20"/>
          <w:color w:val="auto"/>
        </w:rPr>
      </w:pPr>
    </w:p>
    <w:p>
      <w:pPr>
        <w:spacing w:after="0"/>
        <w:rPr>
          <w:sz w:val="20"/>
          <w:szCs w:val="20"/>
          <w:color w:val="auto"/>
        </w:rPr>
      </w:pPr>
      <w:r>
        <w:rPr>
          <w:rFonts w:ascii="Arial" w:cs="Arial" w:eastAsia="Arial" w:hAnsi="Arial"/>
          <w:sz w:val="14"/>
          <w:szCs w:val="14"/>
          <w:b w:val="1"/>
          <w:bCs w:val="1"/>
          <w:color w:val="4800E6"/>
        </w:rPr>
        <w:t>Other Public Company Directorships:</w:t>
      </w:r>
    </w:p>
    <w:p>
      <w:pPr>
        <w:spacing w:after="0" w:line="33" w:lineRule="exact"/>
        <w:rPr>
          <w:sz w:val="20"/>
          <w:szCs w:val="20"/>
          <w:color w:val="auto"/>
        </w:rPr>
      </w:pPr>
    </w:p>
    <w:p>
      <w:pPr>
        <w:ind w:left="140" w:hanging="137"/>
        <w:spacing w:after="0"/>
        <w:tabs>
          <w:tab w:leader="none" w:pos="140" w:val="left"/>
        </w:tabs>
        <w:numPr>
          <w:ilvl w:val="0"/>
          <w:numId w:val="20"/>
        </w:numPr>
        <w:rPr>
          <w:rFonts w:ascii="Arial" w:cs="Arial" w:eastAsia="Arial" w:hAnsi="Arial"/>
          <w:sz w:val="14"/>
          <w:szCs w:val="14"/>
          <w:color w:val="4800E6"/>
        </w:rPr>
      </w:pPr>
      <w:r>
        <w:rPr>
          <w:rFonts w:ascii="Arial" w:cs="Arial" w:eastAsia="Arial" w:hAnsi="Arial"/>
          <w:sz w:val="14"/>
          <w:szCs w:val="14"/>
          <w:color w:val="auto"/>
        </w:rPr>
        <w:t>Cooper Companies, Inc.</w:t>
      </w:r>
    </w:p>
    <w:p>
      <w:pPr>
        <w:spacing w:after="0" w:line="226" w:lineRule="exact"/>
        <w:rPr>
          <w:sz w:val="20"/>
          <w:szCs w:val="20"/>
          <w:color w:val="auto"/>
        </w:rPr>
      </w:pPr>
    </w:p>
    <w:p>
      <w:pPr>
        <w:spacing w:after="0"/>
        <w:rPr>
          <w:sz w:val="20"/>
          <w:szCs w:val="20"/>
          <w:color w:val="auto"/>
        </w:rPr>
      </w:pPr>
      <w:r>
        <w:rPr>
          <w:rFonts w:ascii="Arial" w:cs="Arial" w:eastAsia="Arial" w:hAnsi="Arial"/>
          <w:sz w:val="14"/>
          <w:szCs w:val="14"/>
          <w:b w:val="1"/>
          <w:bCs w:val="1"/>
          <w:color w:val="4800E6"/>
        </w:rPr>
        <w:t>Director Skills and Qualifications:</w:t>
      </w:r>
    </w:p>
    <w:p>
      <w:pPr>
        <w:spacing w:after="0" w:line="46" w:lineRule="exact"/>
        <w:rPr>
          <w:sz w:val="20"/>
          <w:szCs w:val="20"/>
          <w:color w:val="auto"/>
        </w:rPr>
      </w:pPr>
    </w:p>
    <w:p>
      <w:pPr>
        <w:ind w:left="140" w:right="320" w:hanging="137"/>
        <w:spacing w:after="0" w:line="242" w:lineRule="auto"/>
        <w:tabs>
          <w:tab w:leader="none" w:pos="140" w:val="left"/>
        </w:tabs>
        <w:numPr>
          <w:ilvl w:val="0"/>
          <w:numId w:val="21"/>
        </w:numPr>
        <w:rPr>
          <w:rFonts w:ascii="Arial" w:cs="Arial" w:eastAsia="Arial" w:hAnsi="Arial"/>
          <w:sz w:val="14"/>
          <w:szCs w:val="14"/>
          <w:color w:val="4800E6"/>
        </w:rPr>
      </w:pPr>
      <w:r>
        <w:rPr>
          <w:rFonts w:ascii="Arial" w:cs="Arial" w:eastAsia="Arial" w:hAnsi="Arial"/>
          <w:sz w:val="14"/>
          <w:szCs w:val="14"/>
          <w:color w:val="auto"/>
        </w:rPr>
        <w:t>Mr. Kozy has a career spanning more than 40 years with global medical device companies. Prior to serving as COO for Becton Dickinson, Mr. Kozy’s key business worldwide leadership roles included responsibility for the Biosciences, Diagnostic and Medical segments of Becton Dickinson. During his time at Becton Dickinson, he was responsible for all world-wide businesses of the company with leadership emphasis on profitable revenue growth and talent development. He also brings a depth of corporate leadership experience in the areas of innovation systems, operations, manufacturing and ERP implementation as well as his broad and relevant experience in global strategy, mergers and acquisitions, technology and product development.</w:t>
      </w:r>
    </w:p>
    <w:p>
      <w:pPr>
        <w:spacing w:after="0" w:line="200" w:lineRule="exact"/>
        <w:rPr>
          <w:sz w:val="20"/>
          <w:szCs w:val="20"/>
          <w:color w:val="auto"/>
        </w:rPr>
      </w:pPr>
    </w:p>
    <w:p>
      <w:pPr>
        <w:sectPr>
          <w:pgSz w:w="11900" w:h="16838" w:orient="portrait"/>
          <w:cols w:equalWidth="0" w:num="2">
            <w:col w:w="5360" w:space="720"/>
            <w:col w:w="4100"/>
          </w:cols>
          <w:pgMar w:left="320" w:top="132" w:right="1399" w:bottom="1440" w:gutter="0" w:footer="0" w:header="0"/>
          <w:type w:val="continuous"/>
        </w:sectPr>
      </w:pPr>
    </w:p>
    <w:p>
      <w:pPr>
        <w:spacing w:after="0" w:line="34" w:lineRule="exact"/>
        <w:rPr>
          <w:sz w:val="20"/>
          <w:szCs w:val="20"/>
          <w:color w:val="auto"/>
        </w:rPr>
      </w:pPr>
    </w:p>
    <w:p>
      <w:pPr>
        <w:ind w:left="880"/>
        <w:spacing w:after="0"/>
        <w:rPr>
          <w:sz w:val="20"/>
          <w:szCs w:val="20"/>
          <w:color w:val="auto"/>
        </w:rPr>
      </w:pPr>
      <w:r>
        <w:rPr>
          <w:rFonts w:ascii="Arial" w:cs="Arial" w:eastAsia="Arial" w:hAnsi="Arial"/>
          <w:sz w:val="17"/>
          <w:szCs w:val="17"/>
          <w:b w:val="1"/>
          <w:bCs w:val="1"/>
          <w:color w:val="FEFEFE"/>
        </w:rPr>
        <w:t>DAMIEN MCDONALD</w:t>
      </w:r>
    </w:p>
    <w:p>
      <w:pPr>
        <w:spacing w:after="0" w:line="11" w:lineRule="exact"/>
        <w:rPr>
          <w:sz w:val="20"/>
          <w:szCs w:val="20"/>
          <w:color w:val="auto"/>
        </w:rPr>
      </w:pPr>
    </w:p>
    <w:tbl>
      <w:tblPr>
        <w:tblLayout w:type="fixed"/>
        <w:tblInd w:w="840" w:type="dxa"/>
        <w:tblCellMar>
          <w:top w:w="0" w:type="dxa"/>
          <w:left w:w="0" w:type="dxa"/>
          <w:bottom w:w="0" w:type="dxa"/>
          <w:right w:w="0" w:type="dxa"/>
        </w:tblCellMar>
      </w:tblPr>
      <w:tr>
        <w:trPr>
          <w:trHeight w:val="162"/>
        </w:trPr>
        <w:tc>
          <w:tcPr>
            <w:tcW w:w="1200" w:type="dxa"/>
            <w:vAlign w:val="bottom"/>
          </w:tcPr>
          <w:p>
            <w:pPr>
              <w:spacing w:after="0"/>
              <w:rPr>
                <w:sz w:val="14"/>
                <w:szCs w:val="14"/>
                <w:color w:val="auto"/>
              </w:rPr>
            </w:pPr>
          </w:p>
        </w:tc>
        <w:tc>
          <w:tcPr>
            <w:tcW w:w="7900" w:type="dxa"/>
            <w:vAlign w:val="bottom"/>
            <w:gridSpan w:val="2"/>
          </w:tcPr>
          <w:p>
            <w:pPr>
              <w:ind w:left="60"/>
              <w:spacing w:after="0"/>
              <w:rPr>
                <w:sz w:val="20"/>
                <w:szCs w:val="20"/>
                <w:color w:val="auto"/>
              </w:rPr>
            </w:pPr>
            <w:r>
              <w:rPr>
                <w:rFonts w:ascii="Arial" w:cs="Arial" w:eastAsia="Arial" w:hAnsi="Arial"/>
                <w:sz w:val="14"/>
                <w:szCs w:val="14"/>
                <w:b w:val="1"/>
                <w:bCs w:val="1"/>
                <w:color w:val="auto"/>
              </w:rPr>
              <w:t xml:space="preserve">Damien McDonald </w:t>
            </w:r>
            <w:r>
              <w:rPr>
                <w:rFonts w:ascii="Arial" w:cs="Arial" w:eastAsia="Arial" w:hAnsi="Arial"/>
                <w:sz w:val="14"/>
                <w:szCs w:val="14"/>
                <w:color w:val="auto"/>
              </w:rPr>
              <w:t>has served as the CEO and an executive director of the Company since January 2017 and served as the</w:t>
            </w:r>
          </w:p>
        </w:tc>
        <w:tc>
          <w:tcPr>
            <w:tcW w:w="0" w:type="dxa"/>
            <w:vAlign w:val="bottom"/>
          </w:tcPr>
          <w:p>
            <w:pPr>
              <w:spacing w:after="0"/>
              <w:rPr>
                <w:sz w:val="1"/>
                <w:szCs w:val="1"/>
                <w:color w:val="auto"/>
              </w:rPr>
            </w:pPr>
          </w:p>
        </w:tc>
      </w:tr>
      <w:tr>
        <w:trPr>
          <w:trHeight w:val="162"/>
        </w:trPr>
        <w:tc>
          <w:tcPr>
            <w:tcW w:w="1200" w:type="dxa"/>
            <w:vAlign w:val="bottom"/>
          </w:tcPr>
          <w:p>
            <w:pPr>
              <w:spacing w:after="0"/>
              <w:rPr>
                <w:sz w:val="14"/>
                <w:szCs w:val="14"/>
                <w:color w:val="auto"/>
              </w:rPr>
            </w:pPr>
          </w:p>
        </w:tc>
        <w:tc>
          <w:tcPr>
            <w:tcW w:w="7900" w:type="dxa"/>
            <w:vAlign w:val="bottom"/>
            <w:gridSpan w:val="2"/>
          </w:tcPr>
          <w:p>
            <w:pPr>
              <w:ind w:left="60"/>
              <w:spacing w:after="0"/>
              <w:rPr>
                <w:sz w:val="20"/>
                <w:szCs w:val="20"/>
                <w:color w:val="auto"/>
              </w:rPr>
            </w:pPr>
            <w:r>
              <w:rPr>
                <w:rFonts w:ascii="Arial" w:cs="Arial" w:eastAsia="Arial" w:hAnsi="Arial"/>
                <w:sz w:val="14"/>
                <w:szCs w:val="14"/>
                <w:color w:val="auto"/>
              </w:rPr>
              <w:t>Company’s Chief Operating Officer from October through December 2016. Prior to joining the Company, Mr. McDonald was</w:t>
            </w:r>
          </w:p>
        </w:tc>
        <w:tc>
          <w:tcPr>
            <w:tcW w:w="0" w:type="dxa"/>
            <w:vAlign w:val="bottom"/>
          </w:tcPr>
          <w:p>
            <w:pPr>
              <w:spacing w:after="0"/>
              <w:rPr>
                <w:sz w:val="1"/>
                <w:szCs w:val="1"/>
                <w:color w:val="auto"/>
              </w:rPr>
            </w:pPr>
          </w:p>
        </w:tc>
      </w:tr>
      <w:tr>
        <w:trPr>
          <w:trHeight w:val="162"/>
        </w:trPr>
        <w:tc>
          <w:tcPr>
            <w:tcW w:w="1200" w:type="dxa"/>
            <w:vAlign w:val="bottom"/>
          </w:tcPr>
          <w:p>
            <w:pPr>
              <w:spacing w:after="0"/>
              <w:rPr>
                <w:sz w:val="14"/>
                <w:szCs w:val="14"/>
                <w:color w:val="auto"/>
              </w:rPr>
            </w:pPr>
          </w:p>
        </w:tc>
        <w:tc>
          <w:tcPr>
            <w:tcW w:w="7900" w:type="dxa"/>
            <w:vAlign w:val="bottom"/>
            <w:gridSpan w:val="2"/>
          </w:tcPr>
          <w:p>
            <w:pPr>
              <w:ind w:left="60"/>
              <w:spacing w:after="0"/>
              <w:rPr>
                <w:sz w:val="20"/>
                <w:szCs w:val="20"/>
                <w:color w:val="auto"/>
              </w:rPr>
            </w:pPr>
            <w:r>
              <w:rPr>
                <w:rFonts w:ascii="Arial" w:cs="Arial" w:eastAsia="Arial" w:hAnsi="Arial"/>
                <w:sz w:val="14"/>
                <w:szCs w:val="14"/>
                <w:color w:val="auto"/>
              </w:rPr>
              <w:t>with Danaher Corporation, a global manufacturer of medical, industrial and commercial products, where he was Group</w:t>
            </w:r>
          </w:p>
        </w:tc>
        <w:tc>
          <w:tcPr>
            <w:tcW w:w="0" w:type="dxa"/>
            <w:vAlign w:val="bottom"/>
          </w:tcPr>
          <w:p>
            <w:pPr>
              <w:spacing w:after="0"/>
              <w:rPr>
                <w:sz w:val="1"/>
                <w:szCs w:val="1"/>
                <w:color w:val="auto"/>
              </w:rPr>
            </w:pPr>
          </w:p>
        </w:tc>
      </w:tr>
      <w:tr>
        <w:trPr>
          <w:trHeight w:val="162"/>
        </w:trPr>
        <w:tc>
          <w:tcPr>
            <w:tcW w:w="1200" w:type="dxa"/>
            <w:vAlign w:val="bottom"/>
          </w:tcPr>
          <w:p>
            <w:pPr>
              <w:spacing w:after="0"/>
              <w:rPr>
                <w:sz w:val="14"/>
                <w:szCs w:val="14"/>
                <w:color w:val="auto"/>
              </w:rPr>
            </w:pPr>
          </w:p>
        </w:tc>
        <w:tc>
          <w:tcPr>
            <w:tcW w:w="7900" w:type="dxa"/>
            <w:vAlign w:val="bottom"/>
            <w:gridSpan w:val="2"/>
          </w:tcPr>
          <w:p>
            <w:pPr>
              <w:ind w:left="60"/>
              <w:spacing w:after="0"/>
              <w:rPr>
                <w:sz w:val="20"/>
                <w:szCs w:val="20"/>
                <w:color w:val="auto"/>
              </w:rPr>
            </w:pPr>
            <w:r>
              <w:rPr>
                <w:rFonts w:ascii="Arial" w:cs="Arial" w:eastAsia="Arial" w:hAnsi="Arial"/>
                <w:sz w:val="14"/>
                <w:szCs w:val="14"/>
                <w:color w:val="auto"/>
              </w:rPr>
              <w:t>President, Professional Consumables (2013 to 2016). From 2011 to 2013, Mr. McDonald served as Group President of Kerr</w:t>
            </w:r>
          </w:p>
        </w:tc>
        <w:tc>
          <w:tcPr>
            <w:tcW w:w="0" w:type="dxa"/>
            <w:vAlign w:val="bottom"/>
          </w:tcPr>
          <w:p>
            <w:pPr>
              <w:spacing w:after="0"/>
              <w:rPr>
                <w:sz w:val="1"/>
                <w:szCs w:val="1"/>
                <w:color w:val="auto"/>
              </w:rPr>
            </w:pPr>
          </w:p>
        </w:tc>
      </w:tr>
      <w:tr>
        <w:trPr>
          <w:trHeight w:val="162"/>
        </w:trPr>
        <w:tc>
          <w:tcPr>
            <w:tcW w:w="1200" w:type="dxa"/>
            <w:vAlign w:val="bottom"/>
          </w:tcPr>
          <w:p>
            <w:pPr>
              <w:spacing w:after="0"/>
              <w:rPr>
                <w:sz w:val="14"/>
                <w:szCs w:val="14"/>
                <w:color w:val="auto"/>
              </w:rPr>
            </w:pPr>
          </w:p>
        </w:tc>
        <w:tc>
          <w:tcPr>
            <w:tcW w:w="7900" w:type="dxa"/>
            <w:vAlign w:val="bottom"/>
            <w:gridSpan w:val="2"/>
          </w:tcPr>
          <w:p>
            <w:pPr>
              <w:ind w:left="60"/>
              <w:spacing w:after="0"/>
              <w:rPr>
                <w:sz w:val="20"/>
                <w:szCs w:val="20"/>
                <w:color w:val="auto"/>
              </w:rPr>
            </w:pPr>
            <w:r>
              <w:rPr>
                <w:rFonts w:ascii="Arial" w:cs="Arial" w:eastAsia="Arial" w:hAnsi="Arial"/>
                <w:sz w:val="14"/>
                <w:szCs w:val="14"/>
                <w:color w:val="auto"/>
              </w:rPr>
              <w:t>Corporation, a subsidiary of Danaher, where he was responsible for a dental consumable business with operations in the US,</w:t>
            </w:r>
          </w:p>
        </w:tc>
        <w:tc>
          <w:tcPr>
            <w:tcW w:w="0" w:type="dxa"/>
            <w:vAlign w:val="bottom"/>
          </w:tcPr>
          <w:p>
            <w:pPr>
              <w:spacing w:after="0"/>
              <w:rPr>
                <w:sz w:val="1"/>
                <w:szCs w:val="1"/>
                <w:color w:val="auto"/>
              </w:rPr>
            </w:pPr>
          </w:p>
        </w:tc>
      </w:tr>
      <w:tr>
        <w:trPr>
          <w:trHeight w:val="162"/>
        </w:trPr>
        <w:tc>
          <w:tcPr>
            <w:tcW w:w="1200" w:type="dxa"/>
            <w:vAlign w:val="bottom"/>
          </w:tcPr>
          <w:p>
            <w:pPr>
              <w:spacing w:after="0"/>
              <w:rPr>
                <w:sz w:val="14"/>
                <w:szCs w:val="14"/>
                <w:color w:val="auto"/>
              </w:rPr>
            </w:pPr>
          </w:p>
        </w:tc>
        <w:tc>
          <w:tcPr>
            <w:tcW w:w="7900" w:type="dxa"/>
            <w:vAlign w:val="bottom"/>
            <w:gridSpan w:val="2"/>
          </w:tcPr>
          <w:p>
            <w:pPr>
              <w:ind w:left="60"/>
              <w:spacing w:after="0"/>
              <w:rPr>
                <w:sz w:val="20"/>
                <w:szCs w:val="20"/>
                <w:color w:val="auto"/>
              </w:rPr>
            </w:pPr>
            <w:r>
              <w:rPr>
                <w:rFonts w:ascii="Arial" w:cs="Arial" w:eastAsia="Arial" w:hAnsi="Arial"/>
                <w:sz w:val="14"/>
                <w:szCs w:val="14"/>
                <w:color w:val="auto"/>
              </w:rPr>
              <w:t>Mexico, Switzerland, Italy and the Czech Republic. In 2010, Mr. McDonald undertook special projects for Danaher. From 2007</w:t>
            </w:r>
          </w:p>
        </w:tc>
        <w:tc>
          <w:tcPr>
            <w:tcW w:w="0" w:type="dxa"/>
            <w:vAlign w:val="bottom"/>
          </w:tcPr>
          <w:p>
            <w:pPr>
              <w:spacing w:after="0"/>
              <w:rPr>
                <w:sz w:val="1"/>
                <w:szCs w:val="1"/>
                <w:color w:val="auto"/>
              </w:rPr>
            </w:pPr>
          </w:p>
        </w:tc>
      </w:tr>
      <w:tr>
        <w:trPr>
          <w:trHeight w:val="162"/>
        </w:trPr>
        <w:tc>
          <w:tcPr>
            <w:tcW w:w="1200" w:type="dxa"/>
            <w:vAlign w:val="bottom"/>
          </w:tcPr>
          <w:p>
            <w:pPr>
              <w:spacing w:after="0"/>
              <w:rPr>
                <w:sz w:val="14"/>
                <w:szCs w:val="14"/>
                <w:color w:val="auto"/>
              </w:rPr>
            </w:pPr>
          </w:p>
        </w:tc>
        <w:tc>
          <w:tcPr>
            <w:tcW w:w="7900" w:type="dxa"/>
            <w:vAlign w:val="bottom"/>
            <w:gridSpan w:val="2"/>
          </w:tcPr>
          <w:p>
            <w:pPr>
              <w:ind w:left="60"/>
              <w:spacing w:after="0"/>
              <w:rPr>
                <w:sz w:val="20"/>
                <w:szCs w:val="20"/>
                <w:color w:val="auto"/>
              </w:rPr>
            </w:pPr>
            <w:r>
              <w:rPr>
                <w:rFonts w:ascii="Arial" w:cs="Arial" w:eastAsia="Arial" w:hAnsi="Arial"/>
                <w:sz w:val="14"/>
                <w:szCs w:val="14"/>
                <w:color w:val="auto"/>
              </w:rPr>
              <w:t>to 2010, Mr. McDonald was president, Zimmer Spine at Zimmer Holdings, where he was responsible for divisions in the US</w:t>
            </w:r>
          </w:p>
        </w:tc>
        <w:tc>
          <w:tcPr>
            <w:tcW w:w="0" w:type="dxa"/>
            <w:vAlign w:val="bottom"/>
          </w:tcPr>
          <w:p>
            <w:pPr>
              <w:spacing w:after="0"/>
              <w:rPr>
                <w:sz w:val="1"/>
                <w:szCs w:val="1"/>
                <w:color w:val="auto"/>
              </w:rPr>
            </w:pPr>
          </w:p>
        </w:tc>
      </w:tr>
      <w:tr>
        <w:trPr>
          <w:trHeight w:val="162"/>
        </w:trPr>
        <w:tc>
          <w:tcPr>
            <w:tcW w:w="1200" w:type="dxa"/>
            <w:vAlign w:val="bottom"/>
          </w:tcPr>
          <w:p>
            <w:pPr>
              <w:spacing w:after="0"/>
              <w:rPr>
                <w:sz w:val="14"/>
                <w:szCs w:val="14"/>
                <w:color w:val="auto"/>
              </w:rPr>
            </w:pPr>
          </w:p>
        </w:tc>
        <w:tc>
          <w:tcPr>
            <w:tcW w:w="7900" w:type="dxa"/>
            <w:vAlign w:val="bottom"/>
            <w:gridSpan w:val="2"/>
          </w:tcPr>
          <w:p>
            <w:pPr>
              <w:ind w:left="60"/>
              <w:spacing w:after="0"/>
              <w:rPr>
                <w:sz w:val="20"/>
                <w:szCs w:val="20"/>
                <w:color w:val="auto"/>
              </w:rPr>
            </w:pPr>
            <w:r>
              <w:rPr>
                <w:rFonts w:ascii="Arial" w:cs="Arial" w:eastAsia="Arial" w:hAnsi="Arial"/>
                <w:sz w:val="14"/>
                <w:szCs w:val="14"/>
                <w:color w:val="auto"/>
              </w:rPr>
              <w:t>and France. From 1999 to 2007, Mr. McDonald had various roles with Johnson and Johnson. Mr. McDonald holds bachelor’s</w:t>
            </w:r>
          </w:p>
        </w:tc>
        <w:tc>
          <w:tcPr>
            <w:tcW w:w="0" w:type="dxa"/>
            <w:vAlign w:val="bottom"/>
          </w:tcPr>
          <w:p>
            <w:pPr>
              <w:spacing w:after="0"/>
              <w:rPr>
                <w:sz w:val="1"/>
                <w:szCs w:val="1"/>
                <w:color w:val="auto"/>
              </w:rPr>
            </w:pPr>
          </w:p>
        </w:tc>
      </w:tr>
      <w:tr>
        <w:trPr>
          <w:trHeight w:val="162"/>
        </w:trPr>
        <w:tc>
          <w:tcPr>
            <w:tcW w:w="1200" w:type="dxa"/>
            <w:vAlign w:val="bottom"/>
          </w:tcPr>
          <w:p>
            <w:pPr>
              <w:spacing w:after="0"/>
              <w:rPr>
                <w:sz w:val="14"/>
                <w:szCs w:val="14"/>
                <w:color w:val="auto"/>
              </w:rPr>
            </w:pPr>
          </w:p>
        </w:tc>
        <w:tc>
          <w:tcPr>
            <w:tcW w:w="7900" w:type="dxa"/>
            <w:vAlign w:val="bottom"/>
            <w:gridSpan w:val="2"/>
          </w:tcPr>
          <w:p>
            <w:pPr>
              <w:ind w:left="60"/>
              <w:spacing w:after="0"/>
              <w:rPr>
                <w:sz w:val="20"/>
                <w:szCs w:val="20"/>
                <w:color w:val="auto"/>
              </w:rPr>
            </w:pPr>
            <w:r>
              <w:rPr>
                <w:rFonts w:ascii="Arial" w:cs="Arial" w:eastAsia="Arial" w:hAnsi="Arial"/>
                <w:sz w:val="14"/>
                <w:szCs w:val="14"/>
                <w:color w:val="auto"/>
              </w:rPr>
              <w:t>degrees in pharmacy and economics from the University of Queensland in Australia, a master’s degree in international</w:t>
            </w:r>
          </w:p>
        </w:tc>
        <w:tc>
          <w:tcPr>
            <w:tcW w:w="0" w:type="dxa"/>
            <w:vAlign w:val="bottom"/>
          </w:tcPr>
          <w:p>
            <w:pPr>
              <w:spacing w:after="0"/>
              <w:rPr>
                <w:sz w:val="1"/>
                <w:szCs w:val="1"/>
                <w:color w:val="auto"/>
              </w:rPr>
            </w:pPr>
          </w:p>
        </w:tc>
      </w:tr>
      <w:tr>
        <w:trPr>
          <w:trHeight w:val="178"/>
        </w:trPr>
        <w:tc>
          <w:tcPr>
            <w:tcW w:w="1200" w:type="dxa"/>
            <w:vAlign w:val="bottom"/>
            <w:vMerge w:val="restart"/>
          </w:tcPr>
          <w:p>
            <w:pPr>
              <w:spacing w:after="0"/>
              <w:rPr>
                <w:sz w:val="20"/>
                <w:szCs w:val="20"/>
                <w:color w:val="auto"/>
              </w:rPr>
            </w:pPr>
            <w:r>
              <w:rPr>
                <w:rFonts w:ascii="Arial" w:cs="Arial" w:eastAsia="Arial" w:hAnsi="Arial"/>
                <w:sz w:val="13"/>
                <w:szCs w:val="13"/>
                <w:color w:val="auto"/>
              </w:rPr>
              <w:t>Age 55</w:t>
            </w:r>
          </w:p>
        </w:tc>
        <w:tc>
          <w:tcPr>
            <w:tcW w:w="7900" w:type="dxa"/>
            <w:vAlign w:val="bottom"/>
            <w:tcBorders>
              <w:bottom w:val="single" w:sz="8" w:color="auto"/>
            </w:tcBorders>
            <w:gridSpan w:val="2"/>
          </w:tcPr>
          <w:p>
            <w:pPr>
              <w:ind w:left="60"/>
              <w:spacing w:after="0"/>
              <w:rPr>
                <w:sz w:val="20"/>
                <w:szCs w:val="20"/>
                <w:color w:val="auto"/>
              </w:rPr>
            </w:pPr>
            <w:r>
              <w:rPr>
                <w:rFonts w:ascii="Arial" w:cs="Arial" w:eastAsia="Arial" w:hAnsi="Arial"/>
                <w:sz w:val="14"/>
                <w:szCs w:val="14"/>
                <w:color w:val="auto"/>
              </w:rPr>
              <w:t>economics from the University of Wales, and an M.B.A. from the Institute for Management Development in Lausanne.</w:t>
            </w:r>
          </w:p>
        </w:tc>
        <w:tc>
          <w:tcPr>
            <w:tcW w:w="0" w:type="dxa"/>
            <w:vAlign w:val="bottom"/>
          </w:tcPr>
          <w:p>
            <w:pPr>
              <w:spacing w:after="0"/>
              <w:rPr>
                <w:sz w:val="1"/>
                <w:szCs w:val="1"/>
                <w:color w:val="auto"/>
              </w:rPr>
            </w:pPr>
          </w:p>
        </w:tc>
      </w:tr>
      <w:tr>
        <w:trPr>
          <w:trHeight w:val="94"/>
        </w:trPr>
        <w:tc>
          <w:tcPr>
            <w:tcW w:w="1200" w:type="dxa"/>
            <w:vAlign w:val="bottom"/>
            <w:vMerge w:val="continue"/>
          </w:tcPr>
          <w:p>
            <w:pPr>
              <w:spacing w:after="0"/>
              <w:rPr>
                <w:sz w:val="8"/>
                <w:szCs w:val="8"/>
                <w:color w:val="auto"/>
              </w:rPr>
            </w:pPr>
          </w:p>
        </w:tc>
        <w:tc>
          <w:tcPr>
            <w:tcW w:w="2480" w:type="dxa"/>
            <w:vAlign w:val="bottom"/>
            <w:vMerge w:val="restart"/>
          </w:tcPr>
          <w:p>
            <w:pPr>
              <w:ind w:left="60"/>
              <w:spacing w:after="0"/>
              <w:rPr>
                <w:sz w:val="20"/>
                <w:szCs w:val="20"/>
                <w:color w:val="auto"/>
              </w:rPr>
            </w:pPr>
            <w:r>
              <w:rPr>
                <w:rFonts w:ascii="Arial" w:cs="Arial" w:eastAsia="Arial" w:hAnsi="Arial"/>
                <w:sz w:val="14"/>
                <w:szCs w:val="14"/>
                <w:b w:val="1"/>
                <w:bCs w:val="1"/>
                <w:color w:val="4800E6"/>
              </w:rPr>
              <w:t>Committees:</w:t>
            </w:r>
          </w:p>
        </w:tc>
        <w:tc>
          <w:tcPr>
            <w:tcW w:w="5420" w:type="dxa"/>
            <w:vAlign w:val="bottom"/>
            <w:vMerge w:val="restart"/>
          </w:tcPr>
          <w:p>
            <w:pPr>
              <w:ind w:left="1560"/>
              <w:spacing w:after="0"/>
              <w:rPr>
                <w:sz w:val="20"/>
                <w:szCs w:val="20"/>
                <w:color w:val="auto"/>
              </w:rPr>
            </w:pPr>
            <w:r>
              <w:rPr>
                <w:rFonts w:ascii="Arial" w:cs="Arial" w:eastAsia="Arial" w:hAnsi="Arial"/>
                <w:sz w:val="14"/>
                <w:szCs w:val="14"/>
                <w:b w:val="1"/>
                <w:bCs w:val="1"/>
                <w:color w:val="4800E6"/>
              </w:rPr>
              <w:t>Other Public Company Directorships:</w:t>
            </w:r>
          </w:p>
        </w:tc>
        <w:tc>
          <w:tcPr>
            <w:tcW w:w="0" w:type="dxa"/>
            <w:vAlign w:val="bottom"/>
          </w:tcPr>
          <w:p>
            <w:pPr>
              <w:spacing w:after="0"/>
              <w:rPr>
                <w:sz w:val="1"/>
                <w:szCs w:val="1"/>
                <w:color w:val="auto"/>
              </w:rPr>
            </w:pPr>
          </w:p>
        </w:tc>
      </w:tr>
      <w:tr>
        <w:trPr>
          <w:trHeight w:val="110"/>
        </w:trPr>
        <w:tc>
          <w:tcPr>
            <w:tcW w:w="1200" w:type="dxa"/>
            <w:vAlign w:val="bottom"/>
            <w:vMerge w:val="restart"/>
          </w:tcPr>
          <w:p>
            <w:pPr>
              <w:spacing w:after="0"/>
              <w:rPr>
                <w:sz w:val="20"/>
                <w:szCs w:val="20"/>
                <w:color w:val="auto"/>
              </w:rPr>
            </w:pPr>
            <w:r>
              <w:rPr>
                <w:rFonts w:ascii="Arial" w:cs="Arial" w:eastAsia="Arial" w:hAnsi="Arial"/>
                <w:sz w:val="13"/>
                <w:szCs w:val="13"/>
                <w:color w:val="auto"/>
              </w:rPr>
              <w:t>Director</w:t>
            </w:r>
          </w:p>
        </w:tc>
        <w:tc>
          <w:tcPr>
            <w:tcW w:w="2480" w:type="dxa"/>
            <w:vAlign w:val="bottom"/>
            <w:vMerge w:val="continue"/>
          </w:tcPr>
          <w:p>
            <w:pPr>
              <w:spacing w:after="0"/>
              <w:rPr>
                <w:sz w:val="9"/>
                <w:szCs w:val="9"/>
                <w:color w:val="auto"/>
              </w:rPr>
            </w:pPr>
          </w:p>
        </w:tc>
        <w:tc>
          <w:tcPr>
            <w:tcW w:w="542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33"/>
        </w:trPr>
        <w:tc>
          <w:tcPr>
            <w:tcW w:w="1200" w:type="dxa"/>
            <w:vAlign w:val="bottom"/>
            <w:vMerge w:val="continue"/>
          </w:tcPr>
          <w:p>
            <w:pPr>
              <w:spacing w:after="0"/>
              <w:rPr>
                <w:sz w:val="11"/>
                <w:szCs w:val="11"/>
                <w:color w:val="auto"/>
              </w:rPr>
            </w:pPr>
          </w:p>
        </w:tc>
        <w:tc>
          <w:tcPr>
            <w:tcW w:w="2480" w:type="dxa"/>
            <w:vAlign w:val="bottom"/>
          </w:tcPr>
          <w:p>
            <w:pPr>
              <w:ind w:left="60"/>
              <w:spacing w:after="0" w:line="134" w:lineRule="exact"/>
              <w:rPr>
                <w:sz w:val="20"/>
                <w:szCs w:val="20"/>
                <w:color w:val="auto"/>
              </w:rPr>
            </w:pPr>
            <w:r>
              <w:rPr>
                <w:rFonts w:ascii="Arial" w:cs="Arial" w:eastAsia="Arial" w:hAnsi="Arial"/>
                <w:sz w:val="14"/>
                <w:szCs w:val="14"/>
                <w:color w:val="4800E6"/>
              </w:rPr>
              <w:t xml:space="preserve">• </w:t>
            </w:r>
            <w:r>
              <w:rPr>
                <w:rFonts w:ascii="Arial" w:cs="Arial" w:eastAsia="Arial" w:hAnsi="Arial"/>
                <w:sz w:val="14"/>
                <w:szCs w:val="14"/>
                <w:color w:val="000000"/>
              </w:rPr>
              <w:t>None</w:t>
            </w:r>
          </w:p>
        </w:tc>
        <w:tc>
          <w:tcPr>
            <w:tcW w:w="5420" w:type="dxa"/>
            <w:vAlign w:val="bottom"/>
          </w:tcPr>
          <w:p>
            <w:pPr>
              <w:ind w:left="1560"/>
              <w:spacing w:after="0" w:line="134" w:lineRule="exact"/>
              <w:rPr>
                <w:sz w:val="20"/>
                <w:szCs w:val="20"/>
                <w:color w:val="auto"/>
              </w:rPr>
            </w:pPr>
            <w:r>
              <w:rPr>
                <w:rFonts w:ascii="Arial" w:cs="Arial" w:eastAsia="Arial" w:hAnsi="Arial"/>
                <w:sz w:val="14"/>
                <w:szCs w:val="14"/>
                <w:color w:val="4800E6"/>
              </w:rPr>
              <w:t xml:space="preserve">• </w:t>
            </w:r>
            <w:r>
              <w:rPr>
                <w:rFonts w:ascii="Arial" w:cs="Arial" w:eastAsia="Arial" w:hAnsi="Arial"/>
                <w:sz w:val="14"/>
                <w:szCs w:val="14"/>
                <w:color w:val="000000"/>
              </w:rPr>
              <w:t>Avita Medical Limited</w:t>
            </w:r>
          </w:p>
        </w:tc>
        <w:tc>
          <w:tcPr>
            <w:tcW w:w="0" w:type="dxa"/>
            <w:vAlign w:val="bottom"/>
          </w:tcPr>
          <w:p>
            <w:pPr>
              <w:spacing w:after="0"/>
              <w:rPr>
                <w:sz w:val="1"/>
                <w:szCs w:val="1"/>
                <w:color w:val="auto"/>
              </w:rPr>
            </w:pPr>
          </w:p>
        </w:tc>
      </w:tr>
      <w:tr>
        <w:trPr>
          <w:trHeight w:val="178"/>
        </w:trPr>
        <w:tc>
          <w:tcPr>
            <w:tcW w:w="1200" w:type="dxa"/>
            <w:vAlign w:val="bottom"/>
          </w:tcPr>
          <w:p>
            <w:pPr>
              <w:spacing w:after="0"/>
              <w:rPr>
                <w:sz w:val="20"/>
                <w:szCs w:val="20"/>
                <w:color w:val="auto"/>
              </w:rPr>
            </w:pPr>
            <w:r>
              <w:rPr>
                <w:rFonts w:ascii="Arial" w:cs="Arial" w:eastAsia="Arial" w:hAnsi="Arial"/>
                <w:sz w:val="13"/>
                <w:szCs w:val="13"/>
                <w:color w:val="auto"/>
              </w:rPr>
              <w:t xml:space="preserve">since </w:t>
            </w:r>
            <w:r>
              <w:rPr>
                <w:rFonts w:ascii="Arial" w:cs="Arial" w:eastAsia="Arial" w:hAnsi="Arial"/>
                <w:sz w:val="13"/>
                <w:szCs w:val="13"/>
                <w:b w:val="1"/>
                <w:bCs w:val="1"/>
                <w:color w:val="4800E6"/>
              </w:rPr>
              <w:t>2017</w:t>
            </w:r>
          </w:p>
        </w:tc>
        <w:tc>
          <w:tcPr>
            <w:tcW w:w="2480" w:type="dxa"/>
            <w:vAlign w:val="bottom"/>
          </w:tcPr>
          <w:p>
            <w:pPr>
              <w:spacing w:after="0"/>
              <w:rPr>
                <w:sz w:val="15"/>
                <w:szCs w:val="15"/>
                <w:color w:val="auto"/>
              </w:rPr>
            </w:pPr>
          </w:p>
        </w:tc>
        <w:tc>
          <w:tcPr>
            <w:tcW w:w="54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3"/>
        </w:trPr>
        <w:tc>
          <w:tcPr>
            <w:tcW w:w="1200" w:type="dxa"/>
            <w:vAlign w:val="bottom"/>
          </w:tcPr>
          <w:p>
            <w:pPr>
              <w:spacing w:after="0"/>
              <w:rPr>
                <w:sz w:val="20"/>
                <w:szCs w:val="20"/>
                <w:color w:val="auto"/>
              </w:rPr>
            </w:pPr>
            <w:r>
              <w:rPr>
                <w:rFonts w:ascii="Arial" w:cs="Arial" w:eastAsia="Arial" w:hAnsi="Arial"/>
                <w:sz w:val="13"/>
                <w:szCs w:val="13"/>
                <w:color w:val="auto"/>
              </w:rPr>
              <w:t>CEO</w:t>
            </w:r>
          </w:p>
        </w:tc>
        <w:tc>
          <w:tcPr>
            <w:tcW w:w="2480" w:type="dxa"/>
            <w:vAlign w:val="bottom"/>
          </w:tcPr>
          <w:p>
            <w:pPr>
              <w:spacing w:after="0"/>
              <w:rPr>
                <w:sz w:val="18"/>
                <w:szCs w:val="18"/>
                <w:color w:val="auto"/>
              </w:rPr>
            </w:pPr>
          </w:p>
        </w:tc>
        <w:tc>
          <w:tcPr>
            <w:tcW w:w="5420" w:type="dxa"/>
            <w:vAlign w:val="bottom"/>
          </w:tcPr>
          <w:p>
            <w:pPr>
              <w:ind w:left="1560"/>
              <w:spacing w:after="0"/>
              <w:rPr>
                <w:sz w:val="20"/>
                <w:szCs w:val="20"/>
                <w:color w:val="auto"/>
              </w:rPr>
            </w:pPr>
            <w:r>
              <w:rPr>
                <w:rFonts w:ascii="Arial" w:cs="Arial" w:eastAsia="Arial" w:hAnsi="Arial"/>
                <w:sz w:val="14"/>
                <w:szCs w:val="14"/>
                <w:b w:val="1"/>
                <w:bCs w:val="1"/>
                <w:color w:val="4800E6"/>
              </w:rPr>
              <w:t>Director Skills and Qualifications:</w:t>
            </w:r>
          </w:p>
        </w:tc>
        <w:tc>
          <w:tcPr>
            <w:tcW w:w="0" w:type="dxa"/>
            <w:vAlign w:val="bottom"/>
          </w:tcPr>
          <w:p>
            <w:pPr>
              <w:spacing w:after="0"/>
              <w:rPr>
                <w:sz w:val="1"/>
                <w:szCs w:val="1"/>
                <w:color w:val="auto"/>
              </w:rPr>
            </w:pPr>
          </w:p>
        </w:tc>
      </w:tr>
    </w:tbl>
    <w:p>
      <w:pPr>
        <w:spacing w:after="0" w:line="1" w:lineRule="exact"/>
        <w:rPr>
          <w:sz w:val="20"/>
          <w:szCs w:val="20"/>
          <w:color w:val="auto"/>
        </w:rPr>
      </w:pPr>
    </w:p>
    <w:tbl>
      <w:tblPr>
        <w:tblLayout w:type="fixed"/>
        <w:tblInd w:w="760" w:type="dxa"/>
        <w:tblCellMar>
          <w:top w:w="0" w:type="dxa"/>
          <w:left w:w="0" w:type="dxa"/>
          <w:bottom w:w="0" w:type="dxa"/>
          <w:right w:w="0" w:type="dxa"/>
        </w:tblCellMar>
      </w:tblPr>
      <w:tr>
        <w:trPr>
          <w:trHeight w:val="162"/>
        </w:trPr>
        <w:tc>
          <w:tcPr>
            <w:tcW w:w="2980" w:type="dxa"/>
            <w:vAlign w:val="bottom"/>
          </w:tcPr>
          <w:p>
            <w:pPr>
              <w:ind w:left="80"/>
              <w:spacing w:after="0"/>
              <w:rPr>
                <w:sz w:val="20"/>
                <w:szCs w:val="20"/>
                <w:color w:val="auto"/>
              </w:rPr>
            </w:pPr>
            <w:r>
              <w:rPr>
                <w:rFonts w:ascii="Arial" w:cs="Arial" w:eastAsia="Arial" w:hAnsi="Arial"/>
                <w:sz w:val="13"/>
                <w:szCs w:val="13"/>
                <w:color w:val="auto"/>
              </w:rPr>
              <w:t>LivaNova</w:t>
            </w:r>
          </w:p>
        </w:tc>
        <w:tc>
          <w:tcPr>
            <w:tcW w:w="6200" w:type="dxa"/>
            <w:vAlign w:val="bottom"/>
            <w:vMerge w:val="restart"/>
          </w:tcPr>
          <w:p>
            <w:pPr>
              <w:ind w:left="2340"/>
              <w:spacing w:after="0"/>
              <w:rPr>
                <w:sz w:val="20"/>
                <w:szCs w:val="20"/>
                <w:color w:val="auto"/>
              </w:rPr>
            </w:pPr>
            <w:r>
              <w:rPr>
                <w:rFonts w:ascii="Arial" w:cs="Arial" w:eastAsia="Arial" w:hAnsi="Arial"/>
                <w:sz w:val="14"/>
                <w:szCs w:val="14"/>
                <w:color w:val="4800E6"/>
              </w:rPr>
              <w:t xml:space="preserve">• </w:t>
            </w:r>
            <w:r>
              <w:rPr>
                <w:rFonts w:ascii="Arial" w:cs="Arial" w:eastAsia="Arial" w:hAnsi="Arial"/>
                <w:sz w:val="14"/>
                <w:szCs w:val="14"/>
                <w:color w:val="000000"/>
              </w:rPr>
              <w:t>Mr. McDonald has extensive management experience in</w:t>
            </w:r>
          </w:p>
        </w:tc>
        <w:tc>
          <w:tcPr>
            <w:tcW w:w="0" w:type="dxa"/>
            <w:vAlign w:val="bottom"/>
          </w:tcPr>
          <w:p>
            <w:pPr>
              <w:spacing w:after="0"/>
              <w:rPr>
                <w:sz w:val="1"/>
                <w:szCs w:val="1"/>
                <w:color w:val="auto"/>
              </w:rPr>
            </w:pPr>
          </w:p>
        </w:tc>
      </w:tr>
      <w:tr>
        <w:trPr>
          <w:trHeight w:val="73"/>
        </w:trPr>
        <w:tc>
          <w:tcPr>
            <w:tcW w:w="2980" w:type="dxa"/>
            <w:vAlign w:val="bottom"/>
          </w:tcPr>
          <w:p>
            <w:pPr>
              <w:spacing w:after="0"/>
              <w:rPr>
                <w:sz w:val="6"/>
                <w:szCs w:val="6"/>
                <w:color w:val="auto"/>
              </w:rPr>
            </w:pPr>
          </w:p>
        </w:tc>
        <w:tc>
          <w:tcPr>
            <w:tcW w:w="620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62"/>
        </w:trPr>
        <w:tc>
          <w:tcPr>
            <w:tcW w:w="2980" w:type="dxa"/>
            <w:vAlign w:val="bottom"/>
          </w:tcPr>
          <w:p>
            <w:pPr>
              <w:spacing w:after="0"/>
              <w:rPr>
                <w:sz w:val="14"/>
                <w:szCs w:val="14"/>
                <w:color w:val="auto"/>
              </w:rPr>
            </w:pPr>
          </w:p>
        </w:tc>
        <w:tc>
          <w:tcPr>
            <w:tcW w:w="6200" w:type="dxa"/>
            <w:vAlign w:val="bottom"/>
          </w:tcPr>
          <w:p>
            <w:pPr>
              <w:ind w:left="2480"/>
              <w:spacing w:after="0"/>
              <w:rPr>
                <w:sz w:val="20"/>
                <w:szCs w:val="20"/>
                <w:color w:val="auto"/>
              </w:rPr>
            </w:pPr>
            <w:r>
              <w:rPr>
                <w:rFonts w:ascii="Arial" w:cs="Arial" w:eastAsia="Arial" w:hAnsi="Arial"/>
                <w:sz w:val="14"/>
                <w:szCs w:val="14"/>
                <w:color w:val="auto"/>
              </w:rPr>
              <w:t>the medical device and life sciences industries and serves</w:t>
            </w:r>
          </w:p>
        </w:tc>
        <w:tc>
          <w:tcPr>
            <w:tcW w:w="0" w:type="dxa"/>
            <w:vAlign w:val="bottom"/>
          </w:tcPr>
          <w:p>
            <w:pPr>
              <w:spacing w:after="0"/>
              <w:rPr>
                <w:sz w:val="1"/>
                <w:szCs w:val="1"/>
                <w:color w:val="auto"/>
              </w:rPr>
            </w:pPr>
          </w:p>
        </w:tc>
      </w:tr>
      <w:tr>
        <w:trPr>
          <w:trHeight w:val="144"/>
        </w:trPr>
        <w:tc>
          <w:tcPr>
            <w:tcW w:w="2980" w:type="dxa"/>
            <w:vAlign w:val="bottom"/>
            <w:tcBorders>
              <w:bottom w:val="single" w:sz="8" w:color="4800E6"/>
            </w:tcBorders>
          </w:tcPr>
          <w:p>
            <w:pPr>
              <w:spacing w:after="0"/>
              <w:rPr>
                <w:sz w:val="12"/>
                <w:szCs w:val="12"/>
                <w:color w:val="auto"/>
              </w:rPr>
            </w:pPr>
          </w:p>
        </w:tc>
        <w:tc>
          <w:tcPr>
            <w:tcW w:w="6200" w:type="dxa"/>
            <w:vAlign w:val="bottom"/>
            <w:tcBorders>
              <w:bottom w:val="single" w:sz="8" w:color="4800E6"/>
            </w:tcBorders>
          </w:tcPr>
          <w:p>
            <w:pPr>
              <w:ind w:left="2480"/>
              <w:spacing w:after="0" w:line="144" w:lineRule="exact"/>
              <w:rPr>
                <w:sz w:val="20"/>
                <w:szCs w:val="20"/>
                <w:color w:val="auto"/>
              </w:rPr>
            </w:pPr>
            <w:r>
              <w:rPr>
                <w:rFonts w:ascii="Arial" w:cs="Arial" w:eastAsia="Arial" w:hAnsi="Arial"/>
                <w:sz w:val="14"/>
                <w:szCs w:val="14"/>
                <w:color w:val="auto"/>
              </w:rPr>
              <w:t>as the CEO of the Company.</w:t>
            </w: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1">
            <w:col w:w="10180"/>
          </w:cols>
          <w:pgMar w:left="320" w:top="132" w:right="139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ind w:left="4340"/>
        <w:spacing w:after="0"/>
        <w:tabs>
          <w:tab w:leader="none" w:pos="10000" w:val="left"/>
        </w:tabs>
        <w:rPr>
          <w:sz w:val="20"/>
          <w:szCs w:val="20"/>
          <w:color w:val="auto"/>
        </w:rPr>
      </w:pPr>
      <w:r>
        <w:rPr>
          <w:rFonts w:ascii="Arial" w:cs="Arial" w:eastAsia="Arial" w:hAnsi="Arial"/>
          <w:sz w:val="13"/>
          <w:szCs w:val="13"/>
          <w:b w:val="1"/>
          <w:bCs w:val="1"/>
          <w:color w:val="4800E6"/>
        </w:rPr>
        <w:t xml:space="preserve">LIVANOVA </w:t>
      </w:r>
      <w:r>
        <w:rPr>
          <w:rFonts w:ascii="Arial" w:cs="Arial" w:eastAsia="Arial" w:hAnsi="Arial"/>
          <w:sz w:val="13"/>
          <w:szCs w:val="13"/>
          <w:color w:val="000000"/>
        </w:rPr>
        <w:t>|</w:t>
      </w:r>
      <w:r>
        <w:rPr>
          <w:rFonts w:ascii="Arial" w:cs="Arial" w:eastAsia="Arial" w:hAnsi="Arial"/>
          <w:sz w:val="13"/>
          <w:szCs w:val="13"/>
          <w:b w:val="1"/>
          <w:bCs w:val="1"/>
          <w:color w:val="4800E6"/>
        </w:rPr>
        <w:t xml:space="preserve"> </w:t>
      </w:r>
      <w:r>
        <w:rPr>
          <w:rFonts w:ascii="Arial" w:cs="Arial" w:eastAsia="Arial" w:hAnsi="Arial"/>
          <w:sz w:val="13"/>
          <w:szCs w:val="13"/>
          <w:color w:val="4800E6"/>
        </w:rPr>
        <w:t>2020</w:t>
      </w:r>
      <w:r>
        <w:rPr>
          <w:rFonts w:ascii="Arial" w:cs="Arial" w:eastAsia="Arial" w:hAnsi="Arial"/>
          <w:sz w:val="13"/>
          <w:szCs w:val="13"/>
          <w:b w:val="1"/>
          <w:bCs w:val="1"/>
          <w:color w:val="4800E6"/>
        </w:rPr>
        <w:t xml:space="preserve"> </w:t>
      </w:r>
      <w:r>
        <w:rPr>
          <w:rFonts w:ascii="Arial" w:cs="Arial" w:eastAsia="Arial" w:hAnsi="Arial"/>
          <w:sz w:val="13"/>
          <w:szCs w:val="13"/>
          <w:color w:val="000000"/>
        </w:rPr>
        <w:t>Proxy Statement</w:t>
      </w:r>
      <w:r>
        <w:rPr>
          <w:sz w:val="20"/>
          <w:szCs w:val="20"/>
          <w:color w:val="auto"/>
        </w:rPr>
        <w:tab/>
      </w:r>
      <w:r>
        <w:rPr>
          <w:rFonts w:ascii="Arial" w:cs="Arial" w:eastAsia="Arial" w:hAnsi="Arial"/>
          <w:sz w:val="21"/>
          <w:szCs w:val="21"/>
          <w:b w:val="1"/>
          <w:bCs w:val="1"/>
          <w:color w:val="auto"/>
          <w:vertAlign w:val="subscript"/>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519430</wp:posOffset>
            </wp:positionH>
            <wp:positionV relativeFrom="paragraph">
              <wp:posOffset>47625</wp:posOffset>
            </wp:positionV>
            <wp:extent cx="1954530" cy="889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1954530" cy="8890"/>
                    </a:xfrm>
                    <a:prstGeom prst="rect">
                      <a:avLst/>
                    </a:prstGeom>
                    <a:noFill/>
                  </pic:spPr>
                </pic:pic>
              </a:graphicData>
            </a:graphic>
          </wp:anchor>
        </w:drawing>
        <w:drawing>
          <wp:anchor simplePos="0" relativeHeight="251657728" behindDoc="1" locked="0" layoutInCell="0" allowOverlap="1">
            <wp:simplePos x="0" y="0"/>
            <wp:positionH relativeFrom="column">
              <wp:posOffset>4257040</wp:posOffset>
            </wp:positionH>
            <wp:positionV relativeFrom="paragraph">
              <wp:posOffset>47625</wp:posOffset>
            </wp:positionV>
            <wp:extent cx="1954530" cy="889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195453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184785</wp:posOffset>
            </wp:positionV>
            <wp:extent cx="6806565" cy="171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10180"/>
          </w:cols>
          <w:pgMar w:left="320" w:top="132" w:right="1399" w:bottom="1440" w:gutter="0" w:footer="0" w:header="0"/>
          <w:type w:val="continuous"/>
        </w:sectPr>
      </w:pPr>
    </w:p>
    <w:bookmarkStart w:id="16" w:name="page17"/>
    <w:bookmarkEnd w:id="16"/>
    <w:p>
      <w:pPr>
        <w:spacing w:after="0"/>
        <w:rPr>
          <w:rFonts w:ascii="Arial" w:cs="Arial" w:eastAsia="Arial" w:hAnsi="Arial"/>
          <w:sz w:val="14"/>
          <w:szCs w:val="14"/>
          <w:color w:val="003366"/>
        </w:rPr>
      </w:pPr>
      <w:hyperlink w:anchor="page4">
        <w:r>
          <w:rPr>
            <w:rFonts w:ascii="Arial" w:cs="Arial" w:eastAsia="Arial" w:hAnsi="Arial"/>
            <w:sz w:val="14"/>
            <w:szCs w:val="14"/>
            <w:color w:val="003366"/>
          </w:rPr>
          <w:t>TABLE OF CONTENTS</w:t>
        </w:r>
      </w:hyperlink>
    </w:p>
    <w:p>
      <w:pPr>
        <w:spacing w:after="0" w:line="338" w:lineRule="exact"/>
        <w:rPr>
          <w:sz w:val="20"/>
          <w:szCs w:val="20"/>
          <w:color w:val="auto"/>
        </w:rPr>
      </w:pPr>
    </w:p>
    <w:p>
      <w:pPr>
        <w:ind w:left="760"/>
        <w:spacing w:after="0"/>
        <w:rPr>
          <w:sz w:val="20"/>
          <w:szCs w:val="20"/>
          <w:color w:val="auto"/>
        </w:rPr>
      </w:pPr>
      <w:r>
        <w:rPr>
          <w:rFonts w:ascii="Arial" w:cs="Arial" w:eastAsia="Arial" w:hAnsi="Arial"/>
          <w:sz w:val="13"/>
          <w:szCs w:val="13"/>
          <w:b w:val="1"/>
          <w:bCs w:val="1"/>
          <w:color w:val="auto"/>
        </w:rPr>
        <w:t xml:space="preserve">Corporate </w:t>
      </w:r>
      <w:r>
        <w:rPr>
          <w:rFonts w:ascii="Arial" w:cs="Arial" w:eastAsia="Arial" w:hAnsi="Arial"/>
          <w:sz w:val="13"/>
          <w:szCs w:val="13"/>
          <w:b w:val="1"/>
          <w:bCs w:val="1"/>
          <w:color w:val="666666"/>
        </w:rPr>
        <w:t>Governance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485140</wp:posOffset>
            </wp:positionH>
            <wp:positionV relativeFrom="paragraph">
              <wp:posOffset>30480</wp:posOffset>
            </wp:positionV>
            <wp:extent cx="5829300" cy="825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5829300" cy="8255"/>
                    </a:xfrm>
                    <a:prstGeom prst="rect">
                      <a:avLst/>
                    </a:prstGeom>
                    <a:noFill/>
                  </pic:spPr>
                </pic:pic>
              </a:graphicData>
            </a:graphic>
          </wp:anchor>
        </w:drawing>
      </w:r>
    </w:p>
    <w:p>
      <w:pPr>
        <w:spacing w:after="0" w:line="60" w:lineRule="exact"/>
        <w:rPr>
          <w:sz w:val="20"/>
          <w:szCs w:val="20"/>
          <w:color w:val="auto"/>
        </w:rPr>
      </w:pPr>
    </w:p>
    <w:p>
      <w:pPr>
        <w:ind w:left="760"/>
        <w:spacing w:after="0"/>
        <w:rPr>
          <w:sz w:val="20"/>
          <w:szCs w:val="20"/>
          <w:color w:val="auto"/>
        </w:rPr>
      </w:pPr>
      <w:r>
        <w:rPr>
          <w:rFonts w:ascii="Arial" w:cs="Arial" w:eastAsia="Arial" w:hAnsi="Arial"/>
          <w:sz w:val="13"/>
          <w:szCs w:val="13"/>
          <w:b w:val="1"/>
          <w:bCs w:val="1"/>
          <w:color w:val="4800E6"/>
        </w:rPr>
        <w:t>The Board of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485140</wp:posOffset>
            </wp:positionH>
            <wp:positionV relativeFrom="paragraph">
              <wp:posOffset>398780</wp:posOffset>
            </wp:positionV>
            <wp:extent cx="5829300" cy="14541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5829300" cy="1454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ind w:left="880"/>
        <w:spacing w:after="0"/>
        <w:rPr>
          <w:sz w:val="20"/>
          <w:szCs w:val="20"/>
          <w:color w:val="auto"/>
        </w:rPr>
      </w:pPr>
      <w:r>
        <w:rPr>
          <w:rFonts w:ascii="Arial" w:cs="Arial" w:eastAsia="Arial" w:hAnsi="Arial"/>
          <w:sz w:val="17"/>
          <w:szCs w:val="17"/>
          <w:b w:val="1"/>
          <w:bCs w:val="1"/>
          <w:color w:val="FEFEFE"/>
        </w:rPr>
        <w:t>DANIEL MOORE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493395</wp:posOffset>
            </wp:positionH>
            <wp:positionV relativeFrom="paragraph">
              <wp:posOffset>3810</wp:posOffset>
            </wp:positionV>
            <wp:extent cx="720090" cy="93408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20090" cy="934085"/>
                    </a:xfrm>
                    <a:prstGeom prst="rect">
                      <a:avLst/>
                    </a:prstGeom>
                    <a:noFill/>
                  </pic:spPr>
                </pic:pic>
              </a:graphicData>
            </a:graphic>
          </wp:anchor>
        </w:drawing>
      </w:r>
    </w:p>
    <w:p>
      <w:pPr>
        <w:jc w:val="both"/>
        <w:ind w:left="2100" w:right="219"/>
        <w:spacing w:after="0" w:line="244" w:lineRule="auto"/>
        <w:rPr>
          <w:sz w:val="20"/>
          <w:szCs w:val="20"/>
          <w:color w:val="auto"/>
        </w:rPr>
      </w:pPr>
      <w:r>
        <w:rPr>
          <w:rFonts w:ascii="Arial" w:cs="Arial" w:eastAsia="Arial" w:hAnsi="Arial"/>
          <w:sz w:val="14"/>
          <w:szCs w:val="14"/>
          <w:b w:val="1"/>
          <w:bCs w:val="1"/>
          <w:color w:val="auto"/>
        </w:rPr>
        <w:t xml:space="preserve">Daniel Moore </w:t>
      </w:r>
      <w:r>
        <w:rPr>
          <w:rFonts w:ascii="Arial" w:cs="Arial" w:eastAsia="Arial" w:hAnsi="Arial"/>
          <w:sz w:val="14"/>
          <w:szCs w:val="14"/>
          <w:color w:val="auto"/>
        </w:rPr>
        <w:t>is Chairman of the Board of the Company and, over the past five years, has served primarily as a private</w:t>
      </w:r>
      <w:r>
        <w:rPr>
          <w:rFonts w:ascii="Arial" w:cs="Arial" w:eastAsia="Arial" w:hAnsi="Arial"/>
          <w:sz w:val="14"/>
          <w:szCs w:val="14"/>
          <w:b w:val="1"/>
          <w:bCs w:val="1"/>
          <w:color w:val="auto"/>
        </w:rPr>
        <w:t xml:space="preserve"> </w:t>
      </w:r>
      <w:r>
        <w:rPr>
          <w:rFonts w:ascii="Arial" w:cs="Arial" w:eastAsia="Arial" w:hAnsi="Arial"/>
          <w:sz w:val="14"/>
          <w:szCs w:val="14"/>
          <w:color w:val="auto"/>
        </w:rPr>
        <w:t>investor. Mr. Moore served as President and CEO and a member of the board of Cyberonics, Inc., a medical device company with core expertise in neuromodulation, from 2007 to 2015 when Cyberonics merged with Sorin S.p.a. to form the Company. Mr. Moore joined Cyberonics after 18 years with Boston Scientific where he was President of InterContinental as well as having roles in general management, sales and marketing earlier in his career. Mr. Moore has a B.A. from Harvard College and an Executive M.B.A. from Boston University.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1290955</wp:posOffset>
            </wp:positionH>
            <wp:positionV relativeFrom="paragraph">
              <wp:posOffset>7620</wp:posOffset>
            </wp:positionV>
            <wp:extent cx="5023485" cy="825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5023485" cy="8255"/>
                    </a:xfrm>
                    <a:prstGeom prst="rect">
                      <a:avLst/>
                    </a:prstGeom>
                    <a:noFill/>
                  </pic:spPr>
                </pic:pic>
              </a:graphicData>
            </a:graphic>
          </wp:anchor>
        </w:drawing>
      </w:r>
    </w:p>
    <w:p>
      <w:pPr>
        <w:sectPr>
          <w:pgSz w:w="11900" w:h="16838" w:orient="portrait"/>
          <w:cols w:equalWidth="0" w:num="1">
            <w:col w:w="10139"/>
          </w:cols>
          <w:pgMar w:left="320" w:top="132" w:right="1440" w:bottom="1440" w:gutter="0" w:footer="0" w:header="0"/>
        </w:sectPr>
      </w:pPr>
    </w:p>
    <w:p>
      <w:pPr>
        <w:spacing w:after="0" w:line="39" w:lineRule="exact"/>
        <w:rPr>
          <w:sz w:val="20"/>
          <w:szCs w:val="20"/>
          <w:color w:val="auto"/>
        </w:rPr>
      </w:pPr>
    </w:p>
    <w:tbl>
      <w:tblPr>
        <w:tblLayout w:type="fixed"/>
        <w:tblInd w:w="840" w:type="dxa"/>
        <w:tblCellMar>
          <w:top w:w="0" w:type="dxa"/>
          <w:left w:w="0" w:type="dxa"/>
          <w:bottom w:w="0" w:type="dxa"/>
          <w:right w:w="0" w:type="dxa"/>
        </w:tblCellMar>
      </w:tblPr>
      <w:tr>
        <w:trPr>
          <w:trHeight w:val="190"/>
        </w:trPr>
        <w:tc>
          <w:tcPr>
            <w:tcW w:w="1140" w:type="dxa"/>
            <w:vAlign w:val="bottom"/>
          </w:tcPr>
          <w:p>
            <w:pPr>
              <w:spacing w:after="0"/>
              <w:rPr>
                <w:sz w:val="16"/>
                <w:szCs w:val="16"/>
                <w:color w:val="auto"/>
              </w:rPr>
            </w:pPr>
          </w:p>
        </w:tc>
        <w:tc>
          <w:tcPr>
            <w:tcW w:w="2640" w:type="dxa"/>
            <w:vAlign w:val="bottom"/>
          </w:tcPr>
          <w:p>
            <w:pPr>
              <w:ind w:left="120"/>
              <w:spacing w:after="0"/>
              <w:rPr>
                <w:sz w:val="20"/>
                <w:szCs w:val="20"/>
                <w:color w:val="auto"/>
              </w:rPr>
            </w:pPr>
            <w:r>
              <w:rPr>
                <w:rFonts w:ascii="Arial" w:cs="Arial" w:eastAsia="Arial" w:hAnsi="Arial"/>
                <w:sz w:val="14"/>
                <w:szCs w:val="14"/>
                <w:b w:val="1"/>
                <w:bCs w:val="1"/>
                <w:color w:val="4800E6"/>
              </w:rPr>
              <w:t>Committees:</w:t>
            </w:r>
          </w:p>
        </w:tc>
        <w:tc>
          <w:tcPr>
            <w:tcW w:w="0" w:type="dxa"/>
            <w:vAlign w:val="bottom"/>
          </w:tcPr>
          <w:p>
            <w:pPr>
              <w:spacing w:after="0"/>
              <w:rPr>
                <w:sz w:val="1"/>
                <w:szCs w:val="1"/>
                <w:color w:val="auto"/>
              </w:rPr>
            </w:pPr>
          </w:p>
        </w:tc>
      </w:tr>
      <w:tr>
        <w:trPr>
          <w:trHeight w:val="176"/>
        </w:trPr>
        <w:tc>
          <w:tcPr>
            <w:tcW w:w="1140" w:type="dxa"/>
            <w:vAlign w:val="bottom"/>
          </w:tcPr>
          <w:p>
            <w:pPr>
              <w:spacing w:after="0"/>
              <w:rPr>
                <w:sz w:val="15"/>
                <w:szCs w:val="15"/>
                <w:color w:val="auto"/>
              </w:rPr>
            </w:pPr>
          </w:p>
        </w:tc>
        <w:tc>
          <w:tcPr>
            <w:tcW w:w="2640" w:type="dxa"/>
            <w:vAlign w:val="bottom"/>
          </w:tcPr>
          <w:p>
            <w:pPr>
              <w:ind w:left="120"/>
              <w:spacing w:after="0"/>
              <w:rPr>
                <w:sz w:val="20"/>
                <w:szCs w:val="20"/>
                <w:color w:val="auto"/>
              </w:rPr>
            </w:pPr>
            <w:r>
              <w:rPr>
                <w:rFonts w:ascii="Arial" w:cs="Arial" w:eastAsia="Arial" w:hAnsi="Arial"/>
                <w:sz w:val="14"/>
                <w:szCs w:val="14"/>
                <w:color w:val="4800E6"/>
              </w:rPr>
              <w:t xml:space="preserve">• </w:t>
            </w:r>
            <w:r>
              <w:rPr>
                <w:rFonts w:ascii="Arial" w:cs="Arial" w:eastAsia="Arial" w:hAnsi="Arial"/>
                <w:sz w:val="14"/>
                <w:szCs w:val="14"/>
                <w:color w:val="000000"/>
              </w:rPr>
              <w:t>None as Chairman of the Board</w:t>
            </w:r>
          </w:p>
        </w:tc>
        <w:tc>
          <w:tcPr>
            <w:tcW w:w="0" w:type="dxa"/>
            <w:vAlign w:val="bottom"/>
          </w:tcPr>
          <w:p>
            <w:pPr>
              <w:spacing w:after="0"/>
              <w:rPr>
                <w:sz w:val="1"/>
                <w:szCs w:val="1"/>
                <w:color w:val="auto"/>
              </w:rPr>
            </w:pPr>
          </w:p>
        </w:tc>
      </w:tr>
      <w:tr>
        <w:trPr>
          <w:trHeight w:val="405"/>
        </w:trPr>
        <w:tc>
          <w:tcPr>
            <w:tcW w:w="1140" w:type="dxa"/>
            <w:vAlign w:val="bottom"/>
          </w:tcPr>
          <w:p>
            <w:pPr>
              <w:spacing w:after="0"/>
              <w:rPr>
                <w:sz w:val="20"/>
                <w:szCs w:val="20"/>
                <w:color w:val="auto"/>
              </w:rPr>
            </w:pPr>
            <w:r>
              <w:rPr>
                <w:rFonts w:ascii="Arial" w:cs="Arial" w:eastAsia="Arial" w:hAnsi="Arial"/>
                <w:sz w:val="13"/>
                <w:szCs w:val="13"/>
                <w:b w:val="1"/>
                <w:bCs w:val="1"/>
                <w:color w:val="FF4C4C"/>
              </w:rPr>
              <w:t>INDEPENDENT</w:t>
            </w:r>
          </w:p>
        </w:tc>
        <w:tc>
          <w:tcPr>
            <w:tcW w:w="2640" w:type="dxa"/>
            <w:vAlign w:val="bottom"/>
          </w:tcPr>
          <w:p>
            <w:pPr>
              <w:ind w:left="120"/>
              <w:spacing w:after="0"/>
              <w:rPr>
                <w:sz w:val="20"/>
                <w:szCs w:val="20"/>
                <w:color w:val="auto"/>
              </w:rPr>
            </w:pPr>
            <w:r>
              <w:rPr>
                <w:rFonts w:ascii="Arial" w:cs="Arial" w:eastAsia="Arial" w:hAnsi="Arial"/>
                <w:sz w:val="14"/>
                <w:szCs w:val="14"/>
                <w:b w:val="1"/>
                <w:bCs w:val="1"/>
                <w:color w:val="4800E6"/>
              </w:rPr>
              <w:t>Other Public Company Directorships:</w:t>
            </w:r>
          </w:p>
        </w:tc>
        <w:tc>
          <w:tcPr>
            <w:tcW w:w="0" w:type="dxa"/>
            <w:vAlign w:val="bottom"/>
          </w:tcPr>
          <w:p>
            <w:pPr>
              <w:spacing w:after="0"/>
              <w:rPr>
                <w:sz w:val="1"/>
                <w:szCs w:val="1"/>
                <w:color w:val="auto"/>
              </w:rPr>
            </w:pPr>
          </w:p>
        </w:tc>
      </w:tr>
      <w:tr>
        <w:trPr>
          <w:trHeight w:val="175"/>
        </w:trPr>
        <w:tc>
          <w:tcPr>
            <w:tcW w:w="1140" w:type="dxa"/>
            <w:vAlign w:val="bottom"/>
            <w:vMerge w:val="restart"/>
          </w:tcPr>
          <w:p>
            <w:pPr>
              <w:spacing w:after="0"/>
              <w:rPr>
                <w:sz w:val="20"/>
                <w:szCs w:val="20"/>
                <w:color w:val="auto"/>
              </w:rPr>
            </w:pPr>
            <w:r>
              <w:rPr>
                <w:rFonts w:ascii="Arial" w:cs="Arial" w:eastAsia="Arial" w:hAnsi="Arial"/>
                <w:sz w:val="13"/>
                <w:szCs w:val="13"/>
                <w:color w:val="auto"/>
              </w:rPr>
              <w:t>Age 59</w:t>
            </w:r>
          </w:p>
        </w:tc>
        <w:tc>
          <w:tcPr>
            <w:tcW w:w="2640" w:type="dxa"/>
            <w:vAlign w:val="bottom"/>
          </w:tcPr>
          <w:p>
            <w:pPr>
              <w:ind w:left="120"/>
              <w:spacing w:after="0"/>
              <w:rPr>
                <w:sz w:val="20"/>
                <w:szCs w:val="20"/>
                <w:color w:val="auto"/>
              </w:rPr>
            </w:pPr>
            <w:r>
              <w:rPr>
                <w:rFonts w:ascii="Arial" w:cs="Arial" w:eastAsia="Arial" w:hAnsi="Arial"/>
                <w:sz w:val="14"/>
                <w:szCs w:val="14"/>
                <w:color w:val="4800E6"/>
              </w:rPr>
              <w:t xml:space="preserve">• </w:t>
            </w:r>
            <w:r>
              <w:rPr>
                <w:rFonts w:ascii="Arial" w:cs="Arial" w:eastAsia="Arial" w:hAnsi="Arial"/>
                <w:sz w:val="14"/>
                <w:szCs w:val="14"/>
                <w:color w:val="000000"/>
              </w:rPr>
              <w:t>GI Dynamics, Inc.; ViewRay, Inc.</w:t>
            </w:r>
          </w:p>
        </w:tc>
        <w:tc>
          <w:tcPr>
            <w:tcW w:w="0" w:type="dxa"/>
            <w:vAlign w:val="bottom"/>
          </w:tcPr>
          <w:p>
            <w:pPr>
              <w:spacing w:after="0"/>
              <w:rPr>
                <w:sz w:val="1"/>
                <w:szCs w:val="1"/>
                <w:color w:val="auto"/>
              </w:rPr>
            </w:pPr>
          </w:p>
        </w:tc>
      </w:tr>
      <w:tr>
        <w:trPr>
          <w:trHeight w:val="66"/>
        </w:trPr>
        <w:tc>
          <w:tcPr>
            <w:tcW w:w="1140" w:type="dxa"/>
            <w:vAlign w:val="bottom"/>
            <w:vMerge w:val="continue"/>
          </w:tcPr>
          <w:p>
            <w:pPr>
              <w:spacing w:after="0"/>
              <w:rPr>
                <w:sz w:val="5"/>
                <w:szCs w:val="5"/>
                <w:color w:val="auto"/>
              </w:rPr>
            </w:pPr>
          </w:p>
        </w:tc>
        <w:tc>
          <w:tcPr>
            <w:tcW w:w="26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40"/>
        </w:trPr>
        <w:tc>
          <w:tcPr>
            <w:tcW w:w="1140" w:type="dxa"/>
            <w:vAlign w:val="bottom"/>
          </w:tcPr>
          <w:p>
            <w:pPr>
              <w:spacing w:after="0"/>
              <w:rPr>
                <w:sz w:val="20"/>
                <w:szCs w:val="20"/>
                <w:color w:val="auto"/>
              </w:rPr>
            </w:pPr>
            <w:r>
              <w:rPr>
                <w:rFonts w:ascii="Arial" w:cs="Arial" w:eastAsia="Arial" w:hAnsi="Arial"/>
                <w:sz w:val="13"/>
                <w:szCs w:val="13"/>
                <w:color w:val="auto"/>
              </w:rPr>
              <w:t>Director</w:t>
            </w:r>
          </w:p>
        </w:tc>
        <w:tc>
          <w:tcPr>
            <w:tcW w:w="26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78"/>
        </w:trPr>
        <w:tc>
          <w:tcPr>
            <w:tcW w:w="1140" w:type="dxa"/>
            <w:vAlign w:val="bottom"/>
          </w:tcPr>
          <w:p>
            <w:pPr>
              <w:spacing w:after="0"/>
              <w:rPr>
                <w:sz w:val="20"/>
                <w:szCs w:val="20"/>
                <w:color w:val="auto"/>
              </w:rPr>
            </w:pPr>
            <w:r>
              <w:rPr>
                <w:rFonts w:ascii="Arial" w:cs="Arial" w:eastAsia="Arial" w:hAnsi="Arial"/>
                <w:sz w:val="13"/>
                <w:szCs w:val="13"/>
                <w:color w:val="auto"/>
              </w:rPr>
              <w:t xml:space="preserve">since </w:t>
            </w:r>
            <w:r>
              <w:rPr>
                <w:rFonts w:ascii="Arial" w:cs="Arial" w:eastAsia="Arial" w:hAnsi="Arial"/>
                <w:sz w:val="13"/>
                <w:szCs w:val="13"/>
                <w:b w:val="1"/>
                <w:bCs w:val="1"/>
                <w:color w:val="4800E6"/>
              </w:rPr>
              <w:t>2015</w:t>
            </w:r>
          </w:p>
        </w:tc>
        <w:tc>
          <w:tcPr>
            <w:tcW w:w="26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1140" w:type="dxa"/>
            <w:vAlign w:val="bottom"/>
          </w:tcPr>
          <w:p>
            <w:pPr>
              <w:spacing w:after="0"/>
              <w:rPr>
                <w:sz w:val="20"/>
                <w:szCs w:val="20"/>
                <w:color w:val="auto"/>
              </w:rPr>
            </w:pPr>
            <w:r>
              <w:rPr>
                <w:rFonts w:ascii="Arial" w:cs="Arial" w:eastAsia="Arial" w:hAnsi="Arial"/>
                <w:sz w:val="13"/>
                <w:szCs w:val="13"/>
                <w:color w:val="auto"/>
              </w:rPr>
              <w:t>Chairman of the</w:t>
            </w:r>
          </w:p>
        </w:tc>
        <w:tc>
          <w:tcPr>
            <w:tcW w:w="26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35"/>
        </w:trPr>
        <w:tc>
          <w:tcPr>
            <w:tcW w:w="1140" w:type="dxa"/>
            <w:vAlign w:val="bottom"/>
          </w:tcPr>
          <w:p>
            <w:pPr>
              <w:spacing w:after="0" w:line="135" w:lineRule="exact"/>
              <w:rPr>
                <w:sz w:val="20"/>
                <w:szCs w:val="20"/>
                <w:color w:val="auto"/>
              </w:rPr>
            </w:pPr>
            <w:r>
              <w:rPr>
                <w:rFonts w:ascii="Arial" w:cs="Arial" w:eastAsia="Arial" w:hAnsi="Arial"/>
                <w:sz w:val="13"/>
                <w:szCs w:val="13"/>
                <w:color w:val="auto"/>
              </w:rPr>
              <w:t>Board and private</w:t>
            </w:r>
          </w:p>
        </w:tc>
        <w:tc>
          <w:tcPr>
            <w:tcW w:w="26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2"/>
        </w:trPr>
        <w:tc>
          <w:tcPr>
            <w:tcW w:w="1140" w:type="dxa"/>
            <w:vAlign w:val="bottom"/>
          </w:tcPr>
          <w:p>
            <w:pPr>
              <w:spacing w:after="0"/>
              <w:rPr>
                <w:sz w:val="20"/>
                <w:szCs w:val="20"/>
                <w:color w:val="auto"/>
              </w:rPr>
            </w:pPr>
            <w:r>
              <w:rPr>
                <w:rFonts w:ascii="Arial" w:cs="Arial" w:eastAsia="Arial" w:hAnsi="Arial"/>
                <w:sz w:val="13"/>
                <w:szCs w:val="13"/>
                <w:color w:val="auto"/>
              </w:rPr>
              <w:t>investor</w:t>
            </w:r>
          </w:p>
        </w:tc>
        <w:tc>
          <w:tcPr>
            <w:tcW w:w="2640" w:type="dxa"/>
            <w:vAlign w:val="bottom"/>
          </w:tcPr>
          <w:p>
            <w:pPr>
              <w:spacing w:after="0"/>
              <w:rPr>
                <w:sz w:val="14"/>
                <w:szCs w:val="1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br w:type="column"/>
      </w:r>
    </w:p>
    <w:p>
      <w:pPr>
        <w:spacing w:after="0" w:line="19" w:lineRule="exact"/>
        <w:rPr>
          <w:sz w:val="20"/>
          <w:szCs w:val="20"/>
          <w:color w:val="auto"/>
        </w:rPr>
      </w:pPr>
    </w:p>
    <w:p>
      <w:pPr>
        <w:ind w:right="399"/>
        <w:spacing w:after="0" w:line="264" w:lineRule="auto"/>
        <w:rPr>
          <w:sz w:val="20"/>
          <w:szCs w:val="20"/>
          <w:color w:val="auto"/>
        </w:rPr>
      </w:pPr>
      <w:r>
        <w:rPr>
          <w:rFonts w:ascii="Arial" w:cs="Arial" w:eastAsia="Arial" w:hAnsi="Arial"/>
          <w:sz w:val="14"/>
          <w:szCs w:val="14"/>
          <w:b w:val="1"/>
          <w:bCs w:val="1"/>
          <w:color w:val="4800E6"/>
        </w:rPr>
        <w:t>Former Public Company Directorships During the Past Five Years:</w:t>
      </w:r>
    </w:p>
    <w:p>
      <w:pPr>
        <w:spacing w:after="0" w:line="1" w:lineRule="exact"/>
        <w:rPr>
          <w:sz w:val="20"/>
          <w:szCs w:val="20"/>
          <w:color w:val="auto"/>
        </w:rPr>
      </w:pPr>
    </w:p>
    <w:p>
      <w:pPr>
        <w:ind w:left="140" w:hanging="137"/>
        <w:spacing w:after="0"/>
        <w:tabs>
          <w:tab w:leader="none" w:pos="140" w:val="left"/>
        </w:tabs>
        <w:numPr>
          <w:ilvl w:val="0"/>
          <w:numId w:val="22"/>
        </w:numPr>
        <w:rPr>
          <w:rFonts w:ascii="Arial" w:cs="Arial" w:eastAsia="Arial" w:hAnsi="Arial"/>
          <w:sz w:val="14"/>
          <w:szCs w:val="14"/>
          <w:color w:val="4800E6"/>
        </w:rPr>
      </w:pPr>
      <w:r>
        <w:rPr>
          <w:rFonts w:ascii="Arial" w:cs="Arial" w:eastAsia="Arial" w:hAnsi="Arial"/>
          <w:sz w:val="14"/>
          <w:szCs w:val="14"/>
          <w:color w:val="auto"/>
        </w:rPr>
        <w:t>Cyberonics, Inc.</w:t>
      </w:r>
    </w:p>
    <w:p>
      <w:pPr>
        <w:spacing w:after="0" w:line="226" w:lineRule="exact"/>
        <w:rPr>
          <w:sz w:val="20"/>
          <w:szCs w:val="20"/>
          <w:color w:val="auto"/>
        </w:rPr>
      </w:pPr>
    </w:p>
    <w:p>
      <w:pPr>
        <w:spacing w:after="0"/>
        <w:rPr>
          <w:sz w:val="20"/>
          <w:szCs w:val="20"/>
          <w:color w:val="auto"/>
        </w:rPr>
      </w:pPr>
      <w:r>
        <w:rPr>
          <w:rFonts w:ascii="Arial" w:cs="Arial" w:eastAsia="Arial" w:hAnsi="Arial"/>
          <w:sz w:val="14"/>
          <w:szCs w:val="14"/>
          <w:b w:val="1"/>
          <w:bCs w:val="1"/>
          <w:color w:val="4800E6"/>
        </w:rPr>
        <w:t>Director Skills and Qualifications:</w:t>
      </w:r>
    </w:p>
    <w:p>
      <w:pPr>
        <w:spacing w:after="0" w:line="46" w:lineRule="exact"/>
        <w:rPr>
          <w:sz w:val="20"/>
          <w:szCs w:val="20"/>
          <w:color w:val="auto"/>
        </w:rPr>
      </w:pPr>
    </w:p>
    <w:p>
      <w:pPr>
        <w:ind w:left="140" w:right="259" w:hanging="137"/>
        <w:spacing w:after="0" w:line="243" w:lineRule="auto"/>
        <w:tabs>
          <w:tab w:leader="none" w:pos="140" w:val="left"/>
        </w:tabs>
        <w:numPr>
          <w:ilvl w:val="0"/>
          <w:numId w:val="23"/>
        </w:numPr>
        <w:rPr>
          <w:rFonts w:ascii="Arial" w:cs="Arial" w:eastAsia="Arial" w:hAnsi="Arial"/>
          <w:sz w:val="14"/>
          <w:szCs w:val="14"/>
          <w:color w:val="4800E6"/>
        </w:rPr>
      </w:pPr>
      <w:r>
        <w:rPr>
          <w:rFonts w:ascii="Arial" w:cs="Arial" w:eastAsia="Arial" w:hAnsi="Arial"/>
          <w:sz w:val="14"/>
          <w:szCs w:val="14"/>
          <w:color w:val="auto"/>
        </w:rPr>
        <w:t>Mr. Moore has extensive experience working with cutting edge medical device companies, including leadership of Cyberonics. He has significant experience in domestic and international general management and sales and marketing. Mr. Moore serves or has served on the boards of several medical device companies, the Epilepsy Foundation of America and other non-profits focused on epilepsy, the Medical Device Manufacturers Association and the Advisory Board of Purdue University’s Weldon School of Biomedical Engineering. His board service includes many board chairman roles.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-3375025</wp:posOffset>
            </wp:positionH>
            <wp:positionV relativeFrom="paragraph">
              <wp:posOffset>-17780</wp:posOffset>
            </wp:positionV>
            <wp:extent cx="5829300" cy="825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5829300" cy="8255"/>
                    </a:xfrm>
                    <a:prstGeom prst="rect">
                      <a:avLst/>
                    </a:prstGeom>
                    <a:noFill/>
                  </pic:spPr>
                </pic:pic>
              </a:graphicData>
            </a:graphic>
          </wp:anchor>
        </w:drawing>
        <w:drawing>
          <wp:anchor simplePos="0" relativeHeight="251657728" behindDoc="1" locked="0" layoutInCell="0" allowOverlap="1">
            <wp:simplePos x="0" y="0"/>
            <wp:positionH relativeFrom="column">
              <wp:posOffset>-3375025</wp:posOffset>
            </wp:positionH>
            <wp:positionV relativeFrom="paragraph">
              <wp:posOffset>127000</wp:posOffset>
            </wp:positionV>
            <wp:extent cx="5829300" cy="14605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5829300" cy="14605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5360" w:space="720"/>
            <w:col w:w="4059"/>
          </w:cols>
          <w:pgMar w:left="320" w:top="132" w:right="1440" w:bottom="1440" w:gutter="0" w:footer="0" w:header="0"/>
          <w:type w:val="continuous"/>
        </w:sectPr>
      </w:pPr>
    </w:p>
    <w:p>
      <w:pPr>
        <w:spacing w:after="0" w:line="28" w:lineRule="exact"/>
        <w:rPr>
          <w:sz w:val="20"/>
          <w:szCs w:val="20"/>
          <w:color w:val="auto"/>
        </w:rPr>
      </w:pPr>
    </w:p>
    <w:p>
      <w:pPr>
        <w:ind w:left="880"/>
        <w:spacing w:after="0"/>
        <w:rPr>
          <w:sz w:val="20"/>
          <w:szCs w:val="20"/>
          <w:color w:val="auto"/>
        </w:rPr>
      </w:pPr>
      <w:r>
        <w:rPr>
          <w:rFonts w:ascii="Arial" w:cs="Arial" w:eastAsia="Arial" w:hAnsi="Arial"/>
          <w:sz w:val="17"/>
          <w:szCs w:val="17"/>
          <w:b w:val="1"/>
          <w:bCs w:val="1"/>
          <w:color w:val="FEFEFE"/>
        </w:rPr>
        <w:t>HUGH MORRISON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493395</wp:posOffset>
            </wp:positionH>
            <wp:positionV relativeFrom="paragraph">
              <wp:posOffset>3810</wp:posOffset>
            </wp:positionV>
            <wp:extent cx="720090" cy="93408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20090" cy="934085"/>
                    </a:xfrm>
                    <a:prstGeom prst="rect">
                      <a:avLst/>
                    </a:prstGeom>
                    <a:noFill/>
                  </pic:spPr>
                </pic:pic>
              </a:graphicData>
            </a:graphic>
          </wp:anchor>
        </w:drawing>
      </w:r>
    </w:p>
    <w:p>
      <w:pPr>
        <w:jc w:val="both"/>
        <w:ind w:left="2100" w:right="219"/>
        <w:spacing w:after="0" w:line="247" w:lineRule="auto"/>
        <w:rPr>
          <w:sz w:val="20"/>
          <w:szCs w:val="20"/>
          <w:color w:val="auto"/>
        </w:rPr>
      </w:pPr>
      <w:r>
        <w:rPr>
          <w:rFonts w:ascii="Arial" w:cs="Arial" w:eastAsia="Arial" w:hAnsi="Arial"/>
          <w:sz w:val="14"/>
          <w:szCs w:val="14"/>
          <w:b w:val="1"/>
          <w:bCs w:val="1"/>
          <w:color w:val="auto"/>
        </w:rPr>
        <w:t xml:space="preserve">Hugh Morrison </w:t>
      </w:r>
      <w:r>
        <w:rPr>
          <w:rFonts w:ascii="Arial" w:cs="Arial" w:eastAsia="Arial" w:hAnsi="Arial"/>
          <w:sz w:val="14"/>
          <w:szCs w:val="14"/>
          <w:color w:val="auto"/>
        </w:rPr>
        <w:t>has worked as an independent consultant and private investor since 2012. From 2008 to 2012, Mr. Morrison</w:t>
      </w:r>
      <w:r>
        <w:rPr>
          <w:rFonts w:ascii="Arial" w:cs="Arial" w:eastAsia="Arial" w:hAnsi="Arial"/>
          <w:sz w:val="14"/>
          <w:szCs w:val="14"/>
          <w:b w:val="1"/>
          <w:bCs w:val="1"/>
          <w:color w:val="auto"/>
        </w:rPr>
        <w:t xml:space="preserve"> </w:t>
      </w:r>
      <w:r>
        <w:rPr>
          <w:rFonts w:ascii="Arial" w:cs="Arial" w:eastAsia="Arial" w:hAnsi="Arial"/>
          <w:sz w:val="14"/>
          <w:szCs w:val="14"/>
          <w:color w:val="auto"/>
        </w:rPr>
        <w:t>was a Managing Director at Callahan Advisors, LLC, an investment management company. From 1996 to 2006, he served as President and Chief Executive Officer of Pilgrim Cleaners, Inc., a retail dry cleaning company operating over 100 stores. Mr. Morrison has a BBA in Accounting from Texas A&amp;M University-Kingsville and is a licensed CPA.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1290955</wp:posOffset>
            </wp:positionH>
            <wp:positionV relativeFrom="paragraph">
              <wp:posOffset>30480</wp:posOffset>
            </wp:positionV>
            <wp:extent cx="5023485" cy="825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5023485" cy="8255"/>
                    </a:xfrm>
                    <a:prstGeom prst="rect">
                      <a:avLst/>
                    </a:prstGeom>
                    <a:noFill/>
                  </pic:spPr>
                </pic:pic>
              </a:graphicData>
            </a:graphic>
          </wp:anchor>
        </w:drawing>
      </w:r>
    </w:p>
    <w:p>
      <w:pPr>
        <w:sectPr>
          <w:pgSz w:w="11900" w:h="16838" w:orient="portrait"/>
          <w:cols w:equalWidth="0" w:num="1">
            <w:col w:w="10139"/>
          </w:cols>
          <w:pgMar w:left="320" w:top="132" w:right="1440" w:bottom="1440" w:gutter="0" w:footer="0" w:header="0"/>
          <w:type w:val="continuous"/>
        </w:sectPr>
      </w:pPr>
    </w:p>
    <w:p>
      <w:pPr>
        <w:spacing w:after="0" w:line="75" w:lineRule="exact"/>
        <w:rPr>
          <w:sz w:val="20"/>
          <w:szCs w:val="20"/>
          <w:color w:val="auto"/>
        </w:rPr>
      </w:pPr>
    </w:p>
    <w:p>
      <w:pPr>
        <w:ind w:left="2100"/>
        <w:spacing w:after="0"/>
        <w:rPr>
          <w:sz w:val="20"/>
          <w:szCs w:val="20"/>
          <w:color w:val="auto"/>
        </w:rPr>
      </w:pPr>
      <w:r>
        <w:rPr>
          <w:rFonts w:ascii="Arial" w:cs="Arial" w:eastAsia="Arial" w:hAnsi="Arial"/>
          <w:sz w:val="14"/>
          <w:szCs w:val="14"/>
          <w:b w:val="1"/>
          <w:bCs w:val="1"/>
          <w:color w:val="4800E6"/>
        </w:rPr>
        <w:t>Committees:</w:t>
      </w:r>
    </w:p>
    <w:p>
      <w:pPr>
        <w:spacing w:after="0" w:line="46" w:lineRule="exact"/>
        <w:rPr>
          <w:sz w:val="20"/>
          <w:szCs w:val="20"/>
          <w:color w:val="auto"/>
        </w:rPr>
      </w:pPr>
    </w:p>
    <w:p>
      <w:pPr>
        <w:ind w:left="2240" w:hanging="140"/>
        <w:spacing w:after="0" w:line="258" w:lineRule="auto"/>
        <w:tabs>
          <w:tab w:leader="none" w:pos="2240" w:val="left"/>
        </w:tabs>
        <w:numPr>
          <w:ilvl w:val="0"/>
          <w:numId w:val="24"/>
        </w:numPr>
        <w:rPr>
          <w:rFonts w:ascii="Arial" w:cs="Arial" w:eastAsia="Arial" w:hAnsi="Arial"/>
          <w:sz w:val="14"/>
          <w:szCs w:val="14"/>
          <w:color w:val="4800E6"/>
        </w:rPr>
      </w:pPr>
      <w:r>
        <w:rPr>
          <w:rFonts w:ascii="Arial" w:cs="Arial" w:eastAsia="Arial" w:hAnsi="Arial"/>
          <w:sz w:val="14"/>
          <w:szCs w:val="14"/>
          <w:color w:val="auto"/>
        </w:rPr>
        <w:t>Audit and Compliance (Chair); Nominating and Corporate Governance</w:t>
      </w:r>
    </w:p>
    <w:p>
      <w:pPr>
        <w:spacing w:after="0" w:line="7" w:lineRule="exact"/>
        <w:rPr>
          <w:sz w:val="20"/>
          <w:szCs w:val="20"/>
          <w:color w:val="auto"/>
        </w:rPr>
      </w:pPr>
    </w:p>
    <w:p>
      <w:pPr>
        <w:ind w:left="840"/>
        <w:spacing w:after="0"/>
        <w:tabs>
          <w:tab w:leader="none" w:pos="2080" w:val="left"/>
        </w:tabs>
        <w:rPr>
          <w:sz w:val="20"/>
          <w:szCs w:val="20"/>
          <w:color w:val="auto"/>
        </w:rPr>
      </w:pPr>
      <w:r>
        <w:rPr>
          <w:rFonts w:ascii="Arial" w:cs="Arial" w:eastAsia="Arial" w:hAnsi="Arial"/>
          <w:sz w:val="25"/>
          <w:szCs w:val="25"/>
          <w:b w:val="1"/>
          <w:bCs w:val="1"/>
          <w:color w:val="FF4C4C"/>
          <w:vertAlign w:val="subscript"/>
        </w:rPr>
        <w:t>INDEPENDENT</w:t>
      </w:r>
      <w:r>
        <w:rPr>
          <w:sz w:val="20"/>
          <w:szCs w:val="20"/>
          <w:color w:val="auto"/>
        </w:rPr>
        <w:tab/>
      </w:r>
      <w:r>
        <w:rPr>
          <w:rFonts w:ascii="Arial" w:cs="Arial" w:eastAsia="Arial" w:hAnsi="Arial"/>
          <w:sz w:val="14"/>
          <w:szCs w:val="14"/>
          <w:b w:val="1"/>
          <w:bCs w:val="1"/>
          <w:color w:val="4800E6"/>
        </w:rPr>
        <w:t>Other Public Company Directorships:</w:t>
      </w:r>
    </w:p>
    <w:p>
      <w:pPr>
        <w:spacing w:after="0" w:line="115" w:lineRule="exact"/>
        <w:rPr>
          <w:sz w:val="20"/>
          <w:szCs w:val="20"/>
          <w:color w:val="auto"/>
        </w:rPr>
      </w:pPr>
    </w:p>
    <w:p>
      <w:pPr>
        <w:ind w:left="2240" w:hanging="140"/>
        <w:spacing w:after="0"/>
        <w:tabs>
          <w:tab w:leader="none" w:pos="2240" w:val="left"/>
        </w:tabs>
        <w:numPr>
          <w:ilvl w:val="0"/>
          <w:numId w:val="25"/>
        </w:numPr>
        <w:rPr>
          <w:rFonts w:ascii="Arial" w:cs="Arial" w:eastAsia="Arial" w:hAnsi="Arial"/>
          <w:sz w:val="14"/>
          <w:szCs w:val="14"/>
          <w:color w:val="4800E6"/>
        </w:rPr>
      </w:pPr>
      <w:r>
        <w:rPr>
          <w:rFonts w:ascii="Arial" w:cs="Arial" w:eastAsia="Arial" w:hAnsi="Arial"/>
          <w:sz w:val="14"/>
          <w:szCs w:val="14"/>
          <w:color w:val="auto"/>
        </w:rPr>
        <w:t>None</w:t>
      </w:r>
    </w:p>
    <w:p>
      <w:pPr>
        <w:spacing w:after="0" w:line="9" w:lineRule="exact"/>
        <w:rPr>
          <w:sz w:val="20"/>
          <w:szCs w:val="20"/>
          <w:color w:val="auto"/>
        </w:rPr>
      </w:pPr>
    </w:p>
    <w:p>
      <w:pPr>
        <w:ind w:left="840"/>
        <w:spacing w:after="0"/>
        <w:rPr>
          <w:sz w:val="20"/>
          <w:szCs w:val="20"/>
          <w:color w:val="auto"/>
        </w:rPr>
      </w:pPr>
      <w:r>
        <w:rPr>
          <w:rFonts w:ascii="Arial" w:cs="Arial" w:eastAsia="Arial" w:hAnsi="Arial"/>
          <w:sz w:val="13"/>
          <w:szCs w:val="13"/>
          <w:color w:val="auto"/>
        </w:rPr>
        <w:t>Age 73</w:t>
      </w:r>
    </w:p>
    <w:p>
      <w:pPr>
        <w:spacing w:after="0" w:line="120" w:lineRule="exact"/>
        <w:rPr>
          <w:sz w:val="20"/>
          <w:szCs w:val="20"/>
          <w:color w:val="auto"/>
        </w:rPr>
      </w:pPr>
    </w:p>
    <w:p>
      <w:pPr>
        <w:ind w:left="840"/>
        <w:spacing w:after="0"/>
        <w:rPr>
          <w:sz w:val="20"/>
          <w:szCs w:val="20"/>
          <w:color w:val="auto"/>
        </w:rPr>
      </w:pPr>
      <w:r>
        <w:rPr>
          <w:rFonts w:ascii="Arial" w:cs="Arial" w:eastAsia="Arial" w:hAnsi="Arial"/>
          <w:sz w:val="13"/>
          <w:szCs w:val="13"/>
          <w:color w:val="auto"/>
        </w:rPr>
        <w:t>Director</w:t>
      </w:r>
    </w:p>
    <w:p>
      <w:pPr>
        <w:ind w:left="840"/>
        <w:spacing w:after="0"/>
        <w:rPr>
          <w:sz w:val="20"/>
          <w:szCs w:val="20"/>
          <w:color w:val="auto"/>
        </w:rPr>
      </w:pPr>
      <w:r>
        <w:rPr>
          <w:rFonts w:ascii="Arial" w:cs="Arial" w:eastAsia="Arial" w:hAnsi="Arial"/>
          <w:sz w:val="13"/>
          <w:szCs w:val="13"/>
          <w:color w:val="auto"/>
        </w:rPr>
        <w:t xml:space="preserve">since </w:t>
      </w:r>
      <w:r>
        <w:rPr>
          <w:rFonts w:ascii="Arial" w:cs="Arial" w:eastAsia="Arial" w:hAnsi="Arial"/>
          <w:sz w:val="13"/>
          <w:szCs w:val="13"/>
          <w:b w:val="1"/>
          <w:bCs w:val="1"/>
          <w:color w:val="4800E6"/>
        </w:rPr>
        <w:t>2015</w:t>
      </w:r>
    </w:p>
    <w:p>
      <w:pPr>
        <w:spacing w:after="0" w:line="79" w:lineRule="exact"/>
        <w:rPr>
          <w:sz w:val="20"/>
          <w:szCs w:val="20"/>
          <w:color w:val="auto"/>
        </w:rPr>
      </w:pPr>
    </w:p>
    <w:p>
      <w:pPr>
        <w:ind w:left="840"/>
        <w:spacing w:after="0"/>
        <w:rPr>
          <w:sz w:val="20"/>
          <w:szCs w:val="20"/>
          <w:color w:val="auto"/>
        </w:rPr>
      </w:pPr>
      <w:r>
        <w:rPr>
          <w:rFonts w:ascii="Arial" w:cs="Arial" w:eastAsia="Arial" w:hAnsi="Arial"/>
          <w:sz w:val="13"/>
          <w:szCs w:val="13"/>
          <w:color w:val="auto"/>
        </w:rPr>
        <w:t>Independent</w:t>
      </w:r>
    </w:p>
    <w:p>
      <w:pPr>
        <w:ind w:left="840"/>
        <w:spacing w:after="0"/>
        <w:rPr>
          <w:sz w:val="20"/>
          <w:szCs w:val="20"/>
          <w:color w:val="auto"/>
        </w:rPr>
      </w:pPr>
      <w:r>
        <w:rPr>
          <w:rFonts w:ascii="Arial" w:cs="Arial" w:eastAsia="Arial" w:hAnsi="Arial"/>
          <w:sz w:val="13"/>
          <w:szCs w:val="13"/>
          <w:color w:val="auto"/>
        </w:rPr>
        <w:t>consultant and</w:t>
      </w:r>
    </w:p>
    <w:p>
      <w:pPr>
        <w:ind w:left="840"/>
        <w:spacing w:after="0"/>
        <w:rPr>
          <w:sz w:val="20"/>
          <w:szCs w:val="20"/>
          <w:color w:val="auto"/>
        </w:rPr>
      </w:pPr>
      <w:r>
        <w:rPr>
          <w:rFonts w:ascii="Arial" w:cs="Arial" w:eastAsia="Arial" w:hAnsi="Arial"/>
          <w:sz w:val="13"/>
          <w:szCs w:val="13"/>
          <w:color w:val="auto"/>
        </w:rPr>
        <w:t>private investor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485140</wp:posOffset>
            </wp:positionH>
            <wp:positionV relativeFrom="paragraph">
              <wp:posOffset>8255</wp:posOffset>
            </wp:positionV>
            <wp:extent cx="5829300" cy="889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5829300" cy="88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55" w:lineRule="exact"/>
        <w:rPr>
          <w:sz w:val="20"/>
          <w:szCs w:val="20"/>
          <w:color w:val="auto"/>
        </w:rPr>
      </w:pPr>
    </w:p>
    <w:p>
      <w:pPr>
        <w:ind w:right="399"/>
        <w:spacing w:after="0" w:line="264" w:lineRule="auto"/>
        <w:rPr>
          <w:sz w:val="20"/>
          <w:szCs w:val="20"/>
          <w:color w:val="auto"/>
        </w:rPr>
      </w:pPr>
      <w:r>
        <w:rPr>
          <w:rFonts w:ascii="Arial" w:cs="Arial" w:eastAsia="Arial" w:hAnsi="Arial"/>
          <w:sz w:val="14"/>
          <w:szCs w:val="14"/>
          <w:b w:val="1"/>
          <w:bCs w:val="1"/>
          <w:color w:val="4800E6"/>
        </w:rPr>
        <w:t>Former Public Company Directorships During the Past Five Years:</w:t>
      </w:r>
    </w:p>
    <w:p>
      <w:pPr>
        <w:spacing w:after="0" w:line="1" w:lineRule="exact"/>
        <w:rPr>
          <w:sz w:val="20"/>
          <w:szCs w:val="20"/>
          <w:color w:val="auto"/>
        </w:rPr>
      </w:pPr>
    </w:p>
    <w:p>
      <w:pPr>
        <w:ind w:left="140" w:hanging="137"/>
        <w:spacing w:after="0"/>
        <w:tabs>
          <w:tab w:leader="none" w:pos="140" w:val="left"/>
        </w:tabs>
        <w:numPr>
          <w:ilvl w:val="0"/>
          <w:numId w:val="26"/>
        </w:numPr>
        <w:rPr>
          <w:rFonts w:ascii="Arial" w:cs="Arial" w:eastAsia="Arial" w:hAnsi="Arial"/>
          <w:sz w:val="14"/>
          <w:szCs w:val="14"/>
          <w:color w:val="4800E6"/>
        </w:rPr>
      </w:pPr>
      <w:r>
        <w:rPr>
          <w:rFonts w:ascii="Arial" w:cs="Arial" w:eastAsia="Arial" w:hAnsi="Arial"/>
          <w:sz w:val="14"/>
          <w:szCs w:val="14"/>
          <w:color w:val="auto"/>
        </w:rPr>
        <w:t>Cyberonics, Inc.</w:t>
      </w:r>
    </w:p>
    <w:p>
      <w:pPr>
        <w:spacing w:after="0" w:line="226" w:lineRule="exact"/>
        <w:rPr>
          <w:sz w:val="20"/>
          <w:szCs w:val="20"/>
          <w:color w:val="auto"/>
        </w:rPr>
      </w:pPr>
    </w:p>
    <w:p>
      <w:pPr>
        <w:spacing w:after="0"/>
        <w:rPr>
          <w:sz w:val="20"/>
          <w:szCs w:val="20"/>
          <w:color w:val="auto"/>
        </w:rPr>
      </w:pPr>
      <w:r>
        <w:rPr>
          <w:rFonts w:ascii="Arial" w:cs="Arial" w:eastAsia="Arial" w:hAnsi="Arial"/>
          <w:sz w:val="14"/>
          <w:szCs w:val="14"/>
          <w:b w:val="1"/>
          <w:bCs w:val="1"/>
          <w:color w:val="4800E6"/>
        </w:rPr>
        <w:t>Director Skills and Qualifications:</w:t>
      </w:r>
    </w:p>
    <w:p>
      <w:pPr>
        <w:spacing w:after="0" w:line="46" w:lineRule="exact"/>
        <w:rPr>
          <w:sz w:val="20"/>
          <w:szCs w:val="20"/>
          <w:color w:val="auto"/>
        </w:rPr>
      </w:pPr>
    </w:p>
    <w:p>
      <w:pPr>
        <w:ind w:left="140" w:right="259" w:hanging="137"/>
        <w:spacing w:after="0" w:line="244" w:lineRule="auto"/>
        <w:tabs>
          <w:tab w:leader="none" w:pos="140" w:val="left"/>
        </w:tabs>
        <w:numPr>
          <w:ilvl w:val="0"/>
          <w:numId w:val="27"/>
        </w:numPr>
        <w:rPr>
          <w:rFonts w:ascii="Arial" w:cs="Arial" w:eastAsia="Arial" w:hAnsi="Arial"/>
          <w:sz w:val="14"/>
          <w:szCs w:val="14"/>
          <w:color w:val="4800E6"/>
        </w:rPr>
      </w:pPr>
      <w:r>
        <w:rPr>
          <w:rFonts w:ascii="Arial" w:cs="Arial" w:eastAsia="Arial" w:hAnsi="Arial"/>
          <w:sz w:val="14"/>
          <w:szCs w:val="14"/>
          <w:color w:val="auto"/>
        </w:rPr>
        <w:t>Mr. Morrison has extensive board leadership experience in the healthcare sector having served as chairman of the board of Advanced Neuromodulation Systems, Inc. where he gained specific knowledge of neurostimulation device technology and products, and on the boards of Owen Healthcare, Inc. and Dow Hickam Pharmaceuticals, Inc. Mr. Morrison is also an audit committee financial expert.</w:t>
      </w:r>
    </w:p>
    <w:p>
      <w:pPr>
        <w:spacing w:after="0" w:line="332" w:lineRule="exact"/>
        <w:rPr>
          <w:sz w:val="20"/>
          <w:szCs w:val="20"/>
          <w:color w:val="auto"/>
        </w:rPr>
      </w:pPr>
    </w:p>
    <w:p>
      <w:pPr>
        <w:sectPr>
          <w:pgSz w:w="11900" w:h="16838" w:orient="portrait"/>
          <w:cols w:equalWidth="0" w:num="2">
            <w:col w:w="5820" w:space="260"/>
            <w:col w:w="4059"/>
          </w:cols>
          <w:pgMar w:left="320" w:top="132" w:right="1440"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8" w:lineRule="exact"/>
        <w:rPr>
          <w:sz w:val="20"/>
          <w:szCs w:val="20"/>
          <w:color w:val="auto"/>
        </w:rPr>
      </w:pPr>
    </w:p>
    <w:p>
      <w:pPr>
        <w:ind w:left="480"/>
        <w:spacing w:after="0"/>
        <w:tabs>
          <w:tab w:leader="none" w:pos="4400" w:val="left"/>
          <w:tab w:leader="none" w:pos="8760" w:val="left"/>
        </w:tabs>
        <w:rPr>
          <w:sz w:val="20"/>
          <w:szCs w:val="20"/>
          <w:color w:val="auto"/>
        </w:rPr>
      </w:pPr>
      <w:r>
        <w:rPr>
          <w:rFonts w:ascii="Arial" w:cs="Arial" w:eastAsia="Arial" w:hAnsi="Arial"/>
          <w:sz w:val="29"/>
          <w:szCs w:val="29"/>
          <w:b w:val="1"/>
          <w:bCs w:val="1"/>
          <w:color w:val="auto"/>
          <w:vertAlign w:val="subscript"/>
        </w:rPr>
        <w:t>13</w:t>
      </w:r>
      <w:r>
        <w:rPr>
          <w:sz w:val="20"/>
          <w:szCs w:val="20"/>
          <w:color w:val="auto"/>
        </w:rPr>
        <w:tab/>
      </w:r>
      <w:r>
        <w:rPr>
          <w:rFonts w:ascii="Arial" w:cs="Arial" w:eastAsia="Arial" w:hAnsi="Arial"/>
          <w:sz w:val="13"/>
          <w:szCs w:val="13"/>
          <w:b w:val="1"/>
          <w:bCs w:val="1"/>
          <w:color w:val="4800E6"/>
        </w:rPr>
        <w:t xml:space="preserve">LIVANOVA </w:t>
      </w:r>
      <w:r>
        <w:rPr>
          <w:rFonts w:ascii="Arial" w:cs="Arial" w:eastAsia="Arial" w:hAnsi="Arial"/>
          <w:sz w:val="13"/>
          <w:szCs w:val="13"/>
          <w:color w:val="000000"/>
        </w:rPr>
        <w:t>|</w:t>
      </w:r>
      <w:r>
        <w:rPr>
          <w:rFonts w:ascii="Arial" w:cs="Arial" w:eastAsia="Arial" w:hAnsi="Arial"/>
          <w:sz w:val="13"/>
          <w:szCs w:val="13"/>
          <w:b w:val="1"/>
          <w:bCs w:val="1"/>
          <w:color w:val="4800E6"/>
        </w:rPr>
        <w:t xml:space="preserve"> </w:t>
      </w:r>
      <w:r>
        <w:rPr>
          <w:rFonts w:ascii="Arial" w:cs="Arial" w:eastAsia="Arial" w:hAnsi="Arial"/>
          <w:sz w:val="13"/>
          <w:szCs w:val="13"/>
          <w:color w:val="4800E6"/>
        </w:rPr>
        <w:t>2020</w:t>
      </w:r>
      <w:r>
        <w:rPr>
          <w:rFonts w:ascii="Arial" w:cs="Arial" w:eastAsia="Arial" w:hAnsi="Arial"/>
          <w:sz w:val="13"/>
          <w:szCs w:val="13"/>
          <w:b w:val="1"/>
          <w:bCs w:val="1"/>
          <w:color w:val="4800E6"/>
        </w:rPr>
        <w:t xml:space="preserve"> </w:t>
      </w:r>
      <w:r>
        <w:rPr>
          <w:rFonts w:ascii="Arial" w:cs="Arial" w:eastAsia="Arial" w:hAnsi="Arial"/>
          <w:sz w:val="13"/>
          <w:szCs w:val="13"/>
          <w:color w:val="000000"/>
        </w:rPr>
        <w:t>Proxy Statement</w:t>
      </w:r>
      <w:r>
        <w:rPr>
          <w:sz w:val="20"/>
          <w:szCs w:val="20"/>
          <w:color w:val="auto"/>
        </w:rPr>
        <w:tab/>
      </w:r>
      <w:r>
        <w:rPr>
          <w:rFonts w:ascii="Arial" w:cs="Arial" w:eastAsia="Arial" w:hAnsi="Arial"/>
          <w:sz w:val="12"/>
          <w:szCs w:val="12"/>
          <w:b w:val="1"/>
          <w:bCs w:val="1"/>
          <w:color w:val="4800E6"/>
        </w:rPr>
        <w:t>www.livanova.com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561975</wp:posOffset>
            </wp:positionH>
            <wp:positionV relativeFrom="paragraph">
              <wp:posOffset>94615</wp:posOffset>
            </wp:positionV>
            <wp:extent cx="1954530" cy="889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1954530" cy="8890"/>
                    </a:xfrm>
                    <a:prstGeom prst="rect">
                      <a:avLst/>
                    </a:prstGeom>
                    <a:noFill/>
                  </pic:spPr>
                </pic:pic>
              </a:graphicData>
            </a:graphic>
          </wp:anchor>
        </w:drawing>
        <w:drawing>
          <wp:anchor simplePos="0" relativeHeight="251657728" behindDoc="1" locked="0" layoutInCell="0" allowOverlap="1">
            <wp:simplePos x="0" y="0"/>
            <wp:positionH relativeFrom="column">
              <wp:posOffset>4316730</wp:posOffset>
            </wp:positionH>
            <wp:positionV relativeFrom="paragraph">
              <wp:posOffset>94615</wp:posOffset>
            </wp:positionV>
            <wp:extent cx="1028700" cy="889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102870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231775</wp:posOffset>
            </wp:positionV>
            <wp:extent cx="6806565" cy="171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10139"/>
          </w:cols>
          <w:pgMar w:left="320" w:top="132" w:right="1440" w:bottom="1440" w:gutter="0" w:footer="0" w:header="0"/>
          <w:type w:val="continuous"/>
        </w:sectPr>
      </w:pPr>
    </w:p>
    <w:bookmarkStart w:id="17" w:name="page18"/>
    <w:bookmarkEnd w:id="17"/>
    <w:p>
      <w:pPr>
        <w:spacing w:after="0"/>
        <w:rPr>
          <w:rFonts w:ascii="Arial" w:cs="Arial" w:eastAsia="Arial" w:hAnsi="Arial"/>
          <w:sz w:val="14"/>
          <w:szCs w:val="14"/>
          <w:color w:val="003366"/>
        </w:rPr>
      </w:pPr>
      <w:hyperlink w:anchor="page4">
        <w:r>
          <w:rPr>
            <w:rFonts w:ascii="Arial" w:cs="Arial" w:eastAsia="Arial" w:hAnsi="Arial"/>
            <w:sz w:val="14"/>
            <w:szCs w:val="14"/>
            <w:color w:val="003366"/>
          </w:rPr>
          <w:t>TABLE OF CONTENTS</w:t>
        </w:r>
      </w:hyperlink>
    </w:p>
    <w:p>
      <w:pPr>
        <w:spacing w:after="0" w:line="338" w:lineRule="exact"/>
        <w:rPr>
          <w:sz w:val="20"/>
          <w:szCs w:val="20"/>
          <w:color w:val="auto"/>
        </w:rPr>
      </w:pPr>
    </w:p>
    <w:p>
      <w:pPr>
        <w:jc w:val="right"/>
        <w:ind w:right="240"/>
        <w:spacing w:after="0"/>
        <w:rPr>
          <w:sz w:val="20"/>
          <w:szCs w:val="20"/>
          <w:color w:val="auto"/>
        </w:rPr>
      </w:pPr>
      <w:r>
        <w:rPr>
          <w:rFonts w:ascii="Arial" w:cs="Arial" w:eastAsia="Arial" w:hAnsi="Arial"/>
          <w:sz w:val="13"/>
          <w:szCs w:val="13"/>
          <w:b w:val="1"/>
          <w:bCs w:val="1"/>
          <w:color w:val="auto"/>
        </w:rPr>
        <w:t xml:space="preserve">Corporate </w:t>
      </w:r>
      <w:r>
        <w:rPr>
          <w:rFonts w:ascii="Arial" w:cs="Arial" w:eastAsia="Arial" w:hAnsi="Arial"/>
          <w:sz w:val="13"/>
          <w:szCs w:val="13"/>
          <w:b w:val="1"/>
          <w:bCs w:val="1"/>
          <w:color w:val="666666"/>
        </w:rPr>
        <w:t>Governance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485140</wp:posOffset>
            </wp:positionH>
            <wp:positionV relativeFrom="paragraph">
              <wp:posOffset>30480</wp:posOffset>
            </wp:positionV>
            <wp:extent cx="5829300" cy="825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5829300" cy="8255"/>
                    </a:xfrm>
                    <a:prstGeom prst="rect">
                      <a:avLst/>
                    </a:prstGeom>
                    <a:noFill/>
                  </pic:spPr>
                </pic:pic>
              </a:graphicData>
            </a:graphic>
          </wp:anchor>
        </w:drawing>
      </w:r>
    </w:p>
    <w:p>
      <w:pPr>
        <w:spacing w:after="0" w:line="60" w:lineRule="exact"/>
        <w:rPr>
          <w:sz w:val="20"/>
          <w:szCs w:val="20"/>
          <w:color w:val="auto"/>
        </w:rPr>
      </w:pPr>
    </w:p>
    <w:p>
      <w:pPr>
        <w:jc w:val="right"/>
        <w:ind w:right="240"/>
        <w:spacing w:after="0"/>
        <w:rPr>
          <w:sz w:val="20"/>
          <w:szCs w:val="20"/>
          <w:color w:val="auto"/>
        </w:rPr>
      </w:pPr>
      <w:r>
        <w:rPr>
          <w:rFonts w:ascii="Arial" w:cs="Arial" w:eastAsia="Arial" w:hAnsi="Arial"/>
          <w:sz w:val="13"/>
          <w:szCs w:val="13"/>
          <w:b w:val="1"/>
          <w:bCs w:val="1"/>
          <w:color w:val="4800E6"/>
        </w:rPr>
        <w:t>The Board of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485140</wp:posOffset>
            </wp:positionH>
            <wp:positionV relativeFrom="paragraph">
              <wp:posOffset>398780</wp:posOffset>
            </wp:positionV>
            <wp:extent cx="5829300" cy="14541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5829300" cy="1454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ind w:left="880"/>
        <w:spacing w:after="0"/>
        <w:rPr>
          <w:sz w:val="20"/>
          <w:szCs w:val="20"/>
          <w:color w:val="auto"/>
        </w:rPr>
      </w:pPr>
      <w:r>
        <w:rPr>
          <w:rFonts w:ascii="Arial" w:cs="Arial" w:eastAsia="Arial" w:hAnsi="Arial"/>
          <w:sz w:val="17"/>
          <w:szCs w:val="17"/>
          <w:b w:val="1"/>
          <w:bCs w:val="1"/>
          <w:color w:val="FEFEFE"/>
        </w:rPr>
        <w:t>ALFRED NOVAK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493395</wp:posOffset>
            </wp:positionH>
            <wp:positionV relativeFrom="paragraph">
              <wp:posOffset>3810</wp:posOffset>
            </wp:positionV>
            <wp:extent cx="720090" cy="93408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20090" cy="934085"/>
                    </a:xfrm>
                    <a:prstGeom prst="rect">
                      <a:avLst/>
                    </a:prstGeom>
                    <a:noFill/>
                  </pic:spPr>
                </pic:pic>
              </a:graphicData>
            </a:graphic>
          </wp:anchor>
        </w:drawing>
      </w:r>
    </w:p>
    <w:p>
      <w:pPr>
        <w:jc w:val="both"/>
        <w:ind w:left="2100" w:right="240"/>
        <w:spacing w:after="0" w:line="243" w:lineRule="auto"/>
        <w:rPr>
          <w:sz w:val="20"/>
          <w:szCs w:val="20"/>
          <w:color w:val="auto"/>
        </w:rPr>
      </w:pPr>
      <w:r>
        <w:rPr>
          <w:rFonts w:ascii="Arial" w:cs="Arial" w:eastAsia="Arial" w:hAnsi="Arial"/>
          <w:sz w:val="14"/>
          <w:szCs w:val="14"/>
          <w:b w:val="1"/>
          <w:bCs w:val="1"/>
          <w:color w:val="auto"/>
        </w:rPr>
        <w:t xml:space="preserve">Alfred Novak </w:t>
      </w:r>
      <w:r>
        <w:rPr>
          <w:rFonts w:ascii="Arial" w:cs="Arial" w:eastAsia="Arial" w:hAnsi="Arial"/>
          <w:sz w:val="14"/>
          <w:szCs w:val="14"/>
          <w:color w:val="auto"/>
        </w:rPr>
        <w:t>has worked as a private investor since 2015. Prior to that, Mr. Novak served as President and CEO of</w:t>
      </w:r>
      <w:r>
        <w:rPr>
          <w:rFonts w:ascii="Arial" w:cs="Arial" w:eastAsia="Arial" w:hAnsi="Arial"/>
          <w:sz w:val="14"/>
          <w:szCs w:val="14"/>
          <w:b w:val="1"/>
          <w:bCs w:val="1"/>
          <w:color w:val="auto"/>
        </w:rPr>
        <w:t xml:space="preserve"> </w:t>
      </w:r>
      <w:r>
        <w:rPr>
          <w:rFonts w:ascii="Arial" w:cs="Arial" w:eastAsia="Arial" w:hAnsi="Arial"/>
          <w:sz w:val="14"/>
          <w:szCs w:val="14"/>
          <w:color w:val="auto"/>
        </w:rPr>
        <w:t>Syntheon Cardiology LLC, an early-stage company developing a percutaneous prosthetic aortic heart valve (2014 to 2015); Chairman and CEO of OrbusNeich Medical Technology Company, Ltd., an interventional cardiology company (2010 to 2013); President and CEO of Novoste Corporation, an interventional cardiology company (2002 to 2006); founder of Syntheon, LLC, a company focused on minimally invasive medical devices for the gastroenterology and vascular markets (1998 to 2003); and President, CEO and a director of Biosense, Inc., an electrophysiology company (1996 to 1998). Prior to that time, Mr. Novak was Vice President and Chief Financial Officer of Cordis Corporation. Mr. Novak received a BS from the United States Merchant Marine Academy and an M.B.A. in Healthcare from The Wharton School of the University of Pennsylvania.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1290955</wp:posOffset>
            </wp:positionH>
            <wp:positionV relativeFrom="paragraph">
              <wp:posOffset>8890</wp:posOffset>
            </wp:positionV>
            <wp:extent cx="5023485" cy="825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5023485" cy="8255"/>
                    </a:xfrm>
                    <a:prstGeom prst="rect">
                      <a:avLst/>
                    </a:prstGeom>
                    <a:noFill/>
                  </pic:spPr>
                </pic:pic>
              </a:graphicData>
            </a:graphic>
          </wp:anchor>
        </w:drawing>
      </w:r>
    </w:p>
    <w:p>
      <w:pPr>
        <w:sectPr>
          <w:pgSz w:w="11900" w:h="16838" w:orient="portrait"/>
          <w:cols w:equalWidth="0" w:num="1">
            <w:col w:w="10180"/>
          </w:cols>
          <w:pgMar w:left="320" w:top="132" w:right="1399" w:bottom="1440" w:gutter="0" w:footer="0" w:header="0"/>
        </w:sectPr>
      </w:pPr>
    </w:p>
    <w:p>
      <w:pPr>
        <w:spacing w:after="0" w:line="41" w:lineRule="exact"/>
        <w:rPr>
          <w:sz w:val="20"/>
          <w:szCs w:val="20"/>
          <w:color w:val="auto"/>
        </w:rPr>
      </w:pPr>
    </w:p>
    <w:tbl>
      <w:tblPr>
        <w:tblLayout w:type="fixed"/>
        <w:tblInd w:w="840" w:type="dxa"/>
        <w:tblCellMar>
          <w:top w:w="0" w:type="dxa"/>
          <w:left w:w="0" w:type="dxa"/>
          <w:bottom w:w="0" w:type="dxa"/>
          <w:right w:w="0" w:type="dxa"/>
        </w:tblCellMar>
      </w:tblPr>
      <w:tr>
        <w:trPr>
          <w:trHeight w:val="190"/>
        </w:trPr>
        <w:tc>
          <w:tcPr>
            <w:tcW w:w="1080" w:type="dxa"/>
            <w:vAlign w:val="bottom"/>
          </w:tcPr>
          <w:p>
            <w:pPr>
              <w:spacing w:after="0"/>
              <w:rPr>
                <w:sz w:val="16"/>
                <w:szCs w:val="16"/>
                <w:color w:val="auto"/>
              </w:rPr>
            </w:pPr>
          </w:p>
        </w:tc>
        <w:tc>
          <w:tcPr>
            <w:tcW w:w="2700" w:type="dxa"/>
            <w:vAlign w:val="bottom"/>
          </w:tcPr>
          <w:p>
            <w:pPr>
              <w:ind w:left="180"/>
              <w:spacing w:after="0"/>
              <w:rPr>
                <w:sz w:val="20"/>
                <w:szCs w:val="20"/>
                <w:color w:val="auto"/>
              </w:rPr>
            </w:pPr>
            <w:r>
              <w:rPr>
                <w:rFonts w:ascii="Arial" w:cs="Arial" w:eastAsia="Arial" w:hAnsi="Arial"/>
                <w:sz w:val="14"/>
                <w:szCs w:val="14"/>
                <w:b w:val="1"/>
                <w:bCs w:val="1"/>
                <w:color w:val="4800E6"/>
              </w:rPr>
              <w:t>Committees:</w:t>
            </w:r>
          </w:p>
        </w:tc>
        <w:tc>
          <w:tcPr>
            <w:tcW w:w="0" w:type="dxa"/>
            <w:vAlign w:val="bottom"/>
          </w:tcPr>
          <w:p>
            <w:pPr>
              <w:spacing w:after="0"/>
              <w:rPr>
                <w:sz w:val="1"/>
                <w:szCs w:val="1"/>
                <w:color w:val="auto"/>
              </w:rPr>
            </w:pPr>
          </w:p>
        </w:tc>
      </w:tr>
      <w:tr>
        <w:trPr>
          <w:trHeight w:val="199"/>
        </w:trPr>
        <w:tc>
          <w:tcPr>
            <w:tcW w:w="1080" w:type="dxa"/>
            <w:vAlign w:val="bottom"/>
          </w:tcPr>
          <w:p>
            <w:pPr>
              <w:spacing w:after="0"/>
              <w:rPr>
                <w:sz w:val="20"/>
                <w:szCs w:val="20"/>
                <w:color w:val="auto"/>
              </w:rPr>
            </w:pPr>
            <w:r>
              <w:rPr>
                <w:rFonts w:ascii="Arial" w:cs="Arial" w:eastAsia="Arial" w:hAnsi="Arial"/>
                <w:sz w:val="13"/>
                <w:szCs w:val="13"/>
                <w:b w:val="1"/>
                <w:bCs w:val="1"/>
                <w:color w:val="FF4C4C"/>
              </w:rPr>
              <w:t>INDEPENDENT</w:t>
            </w:r>
          </w:p>
        </w:tc>
        <w:tc>
          <w:tcPr>
            <w:tcW w:w="2700" w:type="dxa"/>
            <w:vAlign w:val="bottom"/>
          </w:tcPr>
          <w:p>
            <w:pPr>
              <w:ind w:left="180"/>
              <w:spacing w:after="0"/>
              <w:rPr>
                <w:sz w:val="20"/>
                <w:szCs w:val="20"/>
                <w:color w:val="auto"/>
              </w:rPr>
            </w:pPr>
            <w:r>
              <w:rPr>
                <w:rFonts w:ascii="Arial" w:cs="Arial" w:eastAsia="Arial" w:hAnsi="Arial"/>
                <w:sz w:val="14"/>
                <w:szCs w:val="14"/>
                <w:color w:val="4800E6"/>
              </w:rPr>
              <w:t xml:space="preserve">• </w:t>
            </w:r>
            <w:r>
              <w:rPr>
                <w:rFonts w:ascii="Arial" w:cs="Arial" w:eastAsia="Arial" w:hAnsi="Arial"/>
                <w:sz w:val="14"/>
                <w:szCs w:val="14"/>
                <w:color w:val="000000"/>
              </w:rPr>
              <w:t>Audit and Compliance; Compensation</w:t>
            </w:r>
          </w:p>
        </w:tc>
        <w:tc>
          <w:tcPr>
            <w:tcW w:w="0" w:type="dxa"/>
            <w:vAlign w:val="bottom"/>
          </w:tcPr>
          <w:p>
            <w:pPr>
              <w:spacing w:after="0"/>
              <w:rPr>
                <w:sz w:val="1"/>
                <w:szCs w:val="1"/>
                <w:color w:val="auto"/>
              </w:rPr>
            </w:pPr>
          </w:p>
        </w:tc>
      </w:tr>
      <w:tr>
        <w:trPr>
          <w:trHeight w:val="299"/>
        </w:trPr>
        <w:tc>
          <w:tcPr>
            <w:tcW w:w="1080" w:type="dxa"/>
            <w:vAlign w:val="bottom"/>
          </w:tcPr>
          <w:p>
            <w:pPr>
              <w:spacing w:after="0"/>
              <w:rPr>
                <w:sz w:val="20"/>
                <w:szCs w:val="20"/>
                <w:color w:val="auto"/>
              </w:rPr>
            </w:pPr>
            <w:r>
              <w:rPr>
                <w:rFonts w:ascii="Arial" w:cs="Arial" w:eastAsia="Arial" w:hAnsi="Arial"/>
                <w:sz w:val="13"/>
                <w:szCs w:val="13"/>
                <w:color w:val="auto"/>
              </w:rPr>
              <w:t>Age 72</w:t>
            </w:r>
          </w:p>
        </w:tc>
        <w:tc>
          <w:tcPr>
            <w:tcW w:w="2700" w:type="dxa"/>
            <w:vAlign w:val="bottom"/>
            <w:vMerge w:val="restart"/>
          </w:tcPr>
          <w:p>
            <w:pPr>
              <w:ind w:left="180"/>
              <w:spacing w:after="0"/>
              <w:rPr>
                <w:sz w:val="20"/>
                <w:szCs w:val="20"/>
                <w:color w:val="auto"/>
              </w:rPr>
            </w:pPr>
            <w:r>
              <w:rPr>
                <w:rFonts w:ascii="Arial" w:cs="Arial" w:eastAsia="Arial" w:hAnsi="Arial"/>
                <w:sz w:val="14"/>
                <w:szCs w:val="14"/>
                <w:b w:val="1"/>
                <w:bCs w:val="1"/>
                <w:color w:val="4800E6"/>
              </w:rPr>
              <w:t>Other Public Company Directorships:</w:t>
            </w:r>
          </w:p>
        </w:tc>
        <w:tc>
          <w:tcPr>
            <w:tcW w:w="0" w:type="dxa"/>
            <w:vAlign w:val="bottom"/>
          </w:tcPr>
          <w:p>
            <w:pPr>
              <w:spacing w:after="0"/>
              <w:rPr>
                <w:sz w:val="1"/>
                <w:szCs w:val="1"/>
                <w:color w:val="auto"/>
              </w:rPr>
            </w:pPr>
          </w:p>
        </w:tc>
      </w:tr>
      <w:tr>
        <w:trPr>
          <w:trHeight w:val="83"/>
        </w:trPr>
        <w:tc>
          <w:tcPr>
            <w:tcW w:w="1080" w:type="dxa"/>
            <w:vAlign w:val="bottom"/>
          </w:tcPr>
          <w:p>
            <w:pPr>
              <w:spacing w:after="0"/>
              <w:rPr>
                <w:sz w:val="7"/>
                <w:szCs w:val="7"/>
                <w:color w:val="auto"/>
              </w:rPr>
            </w:pPr>
          </w:p>
        </w:tc>
        <w:tc>
          <w:tcPr>
            <w:tcW w:w="270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57"/>
        </w:trPr>
        <w:tc>
          <w:tcPr>
            <w:tcW w:w="1080" w:type="dxa"/>
            <w:vAlign w:val="bottom"/>
          </w:tcPr>
          <w:p>
            <w:pPr>
              <w:spacing w:after="0"/>
              <w:rPr>
                <w:sz w:val="20"/>
                <w:szCs w:val="20"/>
                <w:color w:val="auto"/>
              </w:rPr>
            </w:pPr>
            <w:r>
              <w:rPr>
                <w:rFonts w:ascii="Arial" w:cs="Arial" w:eastAsia="Arial" w:hAnsi="Arial"/>
                <w:sz w:val="13"/>
                <w:szCs w:val="13"/>
                <w:color w:val="auto"/>
              </w:rPr>
              <w:t>Director</w:t>
            </w:r>
          </w:p>
        </w:tc>
        <w:tc>
          <w:tcPr>
            <w:tcW w:w="2700" w:type="dxa"/>
            <w:vAlign w:val="bottom"/>
          </w:tcPr>
          <w:p>
            <w:pPr>
              <w:ind w:left="180"/>
              <w:spacing w:after="0" w:line="157" w:lineRule="exact"/>
              <w:rPr>
                <w:sz w:val="20"/>
                <w:szCs w:val="20"/>
                <w:color w:val="auto"/>
              </w:rPr>
            </w:pPr>
            <w:r>
              <w:rPr>
                <w:rFonts w:ascii="Arial" w:cs="Arial" w:eastAsia="Arial" w:hAnsi="Arial"/>
                <w:sz w:val="14"/>
                <w:szCs w:val="14"/>
                <w:color w:val="4800E6"/>
              </w:rPr>
              <w:t xml:space="preserve">• </w:t>
            </w:r>
            <w:r>
              <w:rPr>
                <w:rFonts w:ascii="Arial" w:cs="Arial" w:eastAsia="Arial" w:hAnsi="Arial"/>
                <w:sz w:val="14"/>
                <w:szCs w:val="14"/>
                <w:color w:val="000000"/>
              </w:rPr>
              <w:t>None</w:t>
            </w:r>
          </w:p>
        </w:tc>
        <w:tc>
          <w:tcPr>
            <w:tcW w:w="0" w:type="dxa"/>
            <w:vAlign w:val="bottom"/>
          </w:tcPr>
          <w:p>
            <w:pPr>
              <w:spacing w:after="0"/>
              <w:rPr>
                <w:sz w:val="1"/>
                <w:szCs w:val="1"/>
                <w:color w:val="auto"/>
              </w:rPr>
            </w:pPr>
          </w:p>
        </w:tc>
      </w:tr>
      <w:tr>
        <w:trPr>
          <w:trHeight w:val="178"/>
        </w:trPr>
        <w:tc>
          <w:tcPr>
            <w:tcW w:w="1080" w:type="dxa"/>
            <w:vAlign w:val="bottom"/>
          </w:tcPr>
          <w:p>
            <w:pPr>
              <w:spacing w:after="0"/>
              <w:rPr>
                <w:sz w:val="20"/>
                <w:szCs w:val="20"/>
                <w:color w:val="auto"/>
              </w:rPr>
            </w:pPr>
            <w:r>
              <w:rPr>
                <w:rFonts w:ascii="Arial" w:cs="Arial" w:eastAsia="Arial" w:hAnsi="Arial"/>
                <w:sz w:val="13"/>
                <w:szCs w:val="13"/>
                <w:color w:val="auto"/>
              </w:rPr>
              <w:t xml:space="preserve">since </w:t>
            </w:r>
            <w:r>
              <w:rPr>
                <w:rFonts w:ascii="Arial" w:cs="Arial" w:eastAsia="Arial" w:hAnsi="Arial"/>
                <w:sz w:val="13"/>
                <w:szCs w:val="13"/>
                <w:b w:val="1"/>
                <w:bCs w:val="1"/>
                <w:color w:val="4800E6"/>
              </w:rPr>
              <w:t>2015</w:t>
            </w:r>
          </w:p>
        </w:tc>
        <w:tc>
          <w:tcPr>
            <w:tcW w:w="27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70"/>
        </w:trPr>
        <w:tc>
          <w:tcPr>
            <w:tcW w:w="1080" w:type="dxa"/>
            <w:vAlign w:val="bottom"/>
          </w:tcPr>
          <w:p>
            <w:pPr>
              <w:spacing w:after="0"/>
              <w:rPr>
                <w:sz w:val="20"/>
                <w:szCs w:val="20"/>
                <w:color w:val="auto"/>
              </w:rPr>
            </w:pPr>
            <w:r>
              <w:rPr>
                <w:rFonts w:ascii="Arial" w:cs="Arial" w:eastAsia="Arial" w:hAnsi="Arial"/>
                <w:sz w:val="13"/>
                <w:szCs w:val="13"/>
                <w:color w:val="auto"/>
              </w:rPr>
              <w:t>Private investor</w:t>
            </w:r>
          </w:p>
        </w:tc>
        <w:tc>
          <w:tcPr>
            <w:tcW w:w="2700" w:type="dxa"/>
            <w:vAlign w:val="bottom"/>
          </w:tcPr>
          <w:p>
            <w:pPr>
              <w:spacing w:after="0"/>
              <w:rPr>
                <w:sz w:val="23"/>
                <w:szCs w:val="2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br w:type="column"/>
      </w:r>
    </w:p>
    <w:p>
      <w:pPr>
        <w:spacing w:after="0" w:line="21" w:lineRule="exact"/>
        <w:rPr>
          <w:sz w:val="20"/>
          <w:szCs w:val="20"/>
          <w:color w:val="auto"/>
        </w:rPr>
      </w:pPr>
    </w:p>
    <w:p>
      <w:pPr>
        <w:ind w:right="440"/>
        <w:spacing w:after="0" w:line="264" w:lineRule="auto"/>
        <w:rPr>
          <w:sz w:val="20"/>
          <w:szCs w:val="20"/>
          <w:color w:val="auto"/>
        </w:rPr>
      </w:pPr>
      <w:r>
        <w:rPr>
          <w:rFonts w:ascii="Arial" w:cs="Arial" w:eastAsia="Arial" w:hAnsi="Arial"/>
          <w:sz w:val="14"/>
          <w:szCs w:val="14"/>
          <w:b w:val="1"/>
          <w:bCs w:val="1"/>
          <w:color w:val="4800E6"/>
        </w:rPr>
        <w:t>Former Public Company Directorships During the Past Five Years:</w:t>
      </w:r>
    </w:p>
    <w:p>
      <w:pPr>
        <w:spacing w:after="0" w:line="1" w:lineRule="exact"/>
        <w:rPr>
          <w:sz w:val="20"/>
          <w:szCs w:val="20"/>
          <w:color w:val="auto"/>
        </w:rPr>
      </w:pPr>
    </w:p>
    <w:p>
      <w:pPr>
        <w:ind w:left="140" w:hanging="137"/>
        <w:spacing w:after="0"/>
        <w:tabs>
          <w:tab w:leader="none" w:pos="140" w:val="left"/>
        </w:tabs>
        <w:numPr>
          <w:ilvl w:val="0"/>
          <w:numId w:val="28"/>
        </w:numPr>
        <w:rPr>
          <w:rFonts w:ascii="Arial" w:cs="Arial" w:eastAsia="Arial" w:hAnsi="Arial"/>
          <w:sz w:val="14"/>
          <w:szCs w:val="14"/>
          <w:color w:val="4800E6"/>
        </w:rPr>
      </w:pPr>
      <w:r>
        <w:rPr>
          <w:rFonts w:ascii="Arial" w:cs="Arial" w:eastAsia="Arial" w:hAnsi="Arial"/>
          <w:sz w:val="14"/>
          <w:szCs w:val="14"/>
          <w:color w:val="auto"/>
        </w:rPr>
        <w:t>Cyberonics, Inc., Dova Pharmaceuticals, Inc.</w:t>
      </w:r>
    </w:p>
    <w:p>
      <w:pPr>
        <w:spacing w:after="0" w:line="226" w:lineRule="exact"/>
        <w:rPr>
          <w:sz w:val="20"/>
          <w:szCs w:val="20"/>
          <w:color w:val="auto"/>
        </w:rPr>
      </w:pPr>
    </w:p>
    <w:p>
      <w:pPr>
        <w:spacing w:after="0"/>
        <w:rPr>
          <w:sz w:val="20"/>
          <w:szCs w:val="20"/>
          <w:color w:val="auto"/>
        </w:rPr>
      </w:pPr>
      <w:r>
        <w:rPr>
          <w:rFonts w:ascii="Arial" w:cs="Arial" w:eastAsia="Arial" w:hAnsi="Arial"/>
          <w:sz w:val="14"/>
          <w:szCs w:val="14"/>
          <w:b w:val="1"/>
          <w:bCs w:val="1"/>
          <w:color w:val="4800E6"/>
        </w:rPr>
        <w:t>Director Skills and Qualifications:</w:t>
      </w:r>
    </w:p>
    <w:p>
      <w:pPr>
        <w:spacing w:after="0" w:line="46" w:lineRule="exact"/>
        <w:rPr>
          <w:sz w:val="20"/>
          <w:szCs w:val="20"/>
          <w:color w:val="auto"/>
        </w:rPr>
      </w:pPr>
    </w:p>
    <w:p>
      <w:pPr>
        <w:ind w:left="140" w:right="360" w:hanging="137"/>
        <w:spacing w:after="0" w:line="243" w:lineRule="auto"/>
        <w:tabs>
          <w:tab w:leader="none" w:pos="140" w:val="left"/>
        </w:tabs>
        <w:numPr>
          <w:ilvl w:val="0"/>
          <w:numId w:val="29"/>
        </w:numPr>
        <w:rPr>
          <w:rFonts w:ascii="Arial" w:cs="Arial" w:eastAsia="Arial" w:hAnsi="Arial"/>
          <w:sz w:val="14"/>
          <w:szCs w:val="14"/>
          <w:color w:val="4800E6"/>
        </w:rPr>
      </w:pPr>
      <w:r>
        <w:rPr>
          <w:rFonts w:ascii="Arial" w:cs="Arial" w:eastAsia="Arial" w:hAnsi="Arial"/>
          <w:sz w:val="14"/>
          <w:szCs w:val="14"/>
          <w:color w:val="auto"/>
        </w:rPr>
        <w:t>Mr. Novak has broad operating executive experience as CEO and CFO as well as leading marketing and sales at medical device companies. In addition, he has board of director experience at medical device and pharmaceutical companies, including service on audit and compensation committees. Further, he has expertise concerning new product development, regulatory approval and commercialization of medical devices. Mr. Novak is also an audit committee financial expert.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-3375025</wp:posOffset>
            </wp:positionH>
            <wp:positionV relativeFrom="paragraph">
              <wp:posOffset>-16510</wp:posOffset>
            </wp:positionV>
            <wp:extent cx="5829300" cy="825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5829300" cy="8255"/>
                    </a:xfrm>
                    <a:prstGeom prst="rect">
                      <a:avLst/>
                    </a:prstGeom>
                    <a:noFill/>
                  </pic:spPr>
                </pic:pic>
              </a:graphicData>
            </a:graphic>
          </wp:anchor>
        </w:drawing>
        <w:drawing>
          <wp:anchor simplePos="0" relativeHeight="251657728" behindDoc="1" locked="0" layoutInCell="0" allowOverlap="1">
            <wp:simplePos x="0" y="0"/>
            <wp:positionH relativeFrom="column">
              <wp:posOffset>-3375025</wp:posOffset>
            </wp:positionH>
            <wp:positionV relativeFrom="paragraph">
              <wp:posOffset>128270</wp:posOffset>
            </wp:positionV>
            <wp:extent cx="5829300" cy="14605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5829300" cy="14605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5360" w:space="720"/>
            <w:col w:w="4100"/>
          </w:cols>
          <w:pgMar w:left="320" w:top="132" w:right="1399" w:bottom="1440" w:gutter="0" w:footer="0" w:header="0"/>
          <w:type w:val="continuous"/>
        </w:sectPr>
      </w:pPr>
    </w:p>
    <w:p>
      <w:pPr>
        <w:spacing w:after="0" w:line="30" w:lineRule="exact"/>
        <w:rPr>
          <w:sz w:val="20"/>
          <w:szCs w:val="20"/>
          <w:color w:val="auto"/>
        </w:rPr>
      </w:pPr>
    </w:p>
    <w:p>
      <w:pPr>
        <w:ind w:left="880"/>
        <w:spacing w:after="0"/>
        <w:rPr>
          <w:sz w:val="20"/>
          <w:szCs w:val="20"/>
          <w:color w:val="auto"/>
        </w:rPr>
      </w:pPr>
      <w:r>
        <w:rPr>
          <w:rFonts w:ascii="Arial" w:cs="Arial" w:eastAsia="Arial" w:hAnsi="Arial"/>
          <w:sz w:val="17"/>
          <w:szCs w:val="17"/>
          <w:b w:val="1"/>
          <w:bCs w:val="1"/>
          <w:color w:val="FEFEFE"/>
        </w:rPr>
        <w:t>SHARON O’KANE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493395</wp:posOffset>
            </wp:positionH>
            <wp:positionV relativeFrom="paragraph">
              <wp:posOffset>3810</wp:posOffset>
            </wp:positionV>
            <wp:extent cx="720090" cy="93408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20090" cy="934085"/>
                    </a:xfrm>
                    <a:prstGeom prst="rect">
                      <a:avLst/>
                    </a:prstGeom>
                    <a:noFill/>
                  </pic:spPr>
                </pic:pic>
              </a:graphicData>
            </a:graphic>
          </wp:anchor>
        </w:drawing>
      </w:r>
    </w:p>
    <w:p>
      <w:pPr>
        <w:jc w:val="both"/>
        <w:ind w:left="2100" w:right="240"/>
        <w:spacing w:after="0" w:line="243" w:lineRule="auto"/>
        <w:rPr>
          <w:sz w:val="20"/>
          <w:szCs w:val="20"/>
          <w:color w:val="auto"/>
        </w:rPr>
      </w:pPr>
      <w:r>
        <w:rPr>
          <w:rFonts w:ascii="Arial" w:cs="Arial" w:eastAsia="Arial" w:hAnsi="Arial"/>
          <w:sz w:val="14"/>
          <w:szCs w:val="14"/>
          <w:b w:val="1"/>
          <w:bCs w:val="1"/>
          <w:color w:val="auto"/>
        </w:rPr>
        <w:t>Sharon O’Kane</w:t>
      </w:r>
      <w:r>
        <w:rPr>
          <w:rFonts w:ascii="Arial" w:cs="Arial" w:eastAsia="Arial" w:hAnsi="Arial"/>
          <w:sz w:val="14"/>
          <w:szCs w:val="14"/>
          <w:color w:val="auto"/>
        </w:rPr>
        <w:t>, Ph.D., has served as an Entrepreneur in Residence at University College Dublin since 2015. She was also</w:t>
      </w:r>
      <w:r>
        <w:rPr>
          <w:rFonts w:ascii="Arial" w:cs="Arial" w:eastAsia="Arial" w:hAnsi="Arial"/>
          <w:sz w:val="14"/>
          <w:szCs w:val="14"/>
          <w:b w:val="1"/>
          <w:bCs w:val="1"/>
          <w:color w:val="auto"/>
        </w:rPr>
        <w:t xml:space="preserve"> </w:t>
      </w:r>
      <w:r>
        <w:rPr>
          <w:rFonts w:ascii="Arial" w:cs="Arial" w:eastAsia="Arial" w:hAnsi="Arial"/>
          <w:sz w:val="14"/>
          <w:szCs w:val="14"/>
          <w:color w:val="auto"/>
        </w:rPr>
        <w:t>an expert advisor to the Stevenage Bioscience Catalyst Facility at GlaxoSmithKline, a global healthcare company (2012 to 2019) and a Commercial Mentor to Queen’s University, Belfast (2016 to 2019). Previously, Dr. O’Kane served as Entrepreneur in Residence at the University of Manchester Intellectual Property Company UMIP (2009 to 2014). Dr O’Kane co-founded and, from 1998 to 2010, was the Chief Scientific Officer, and a Director of Renovo Group Plc, a UK biotech company. Dr. O’Kane earned a B.Sc (Honours) First Class in Biomedical Sciences from the University of Ulster from which she also earned a Ph.D. in Biomedical Sciences. She also earned a Diploma in Company Direction from the Institute of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1290955</wp:posOffset>
            </wp:positionH>
            <wp:positionV relativeFrom="paragraph">
              <wp:posOffset>112395</wp:posOffset>
            </wp:positionV>
            <wp:extent cx="5023485" cy="825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5023485" cy="8255"/>
                    </a:xfrm>
                    <a:prstGeom prst="rect">
                      <a:avLst/>
                    </a:prstGeom>
                    <a:noFill/>
                  </pic:spPr>
                </pic:pic>
              </a:graphicData>
            </a:graphic>
          </wp:anchor>
        </w:drawing>
      </w:r>
    </w:p>
    <w:p>
      <w:pPr>
        <w:sectPr>
          <w:pgSz w:w="11900" w:h="16838" w:orient="portrait"/>
          <w:cols w:equalWidth="0" w:num="1">
            <w:col w:w="10180"/>
          </w:cols>
          <w:pgMar w:left="320" w:top="132" w:right="1399" w:bottom="1440" w:gutter="0" w:footer="0" w:header="0"/>
          <w:type w:val="continuous"/>
        </w:sectPr>
      </w:pPr>
    </w:p>
    <w:p>
      <w:pPr>
        <w:spacing w:after="0" w:line="204" w:lineRule="exact"/>
        <w:rPr>
          <w:sz w:val="20"/>
          <w:szCs w:val="20"/>
          <w:color w:val="auto"/>
        </w:rPr>
      </w:pPr>
    </w:p>
    <w:tbl>
      <w:tblPr>
        <w:tblLayout w:type="fixed"/>
        <w:tblInd w:w="840" w:type="dxa"/>
        <w:tblCellMar>
          <w:top w:w="0" w:type="dxa"/>
          <w:left w:w="0" w:type="dxa"/>
          <w:bottom w:w="0" w:type="dxa"/>
          <w:right w:w="0" w:type="dxa"/>
        </w:tblCellMar>
      </w:tblPr>
      <w:tr>
        <w:trPr>
          <w:trHeight w:val="190"/>
        </w:trPr>
        <w:tc>
          <w:tcPr>
            <w:tcW w:w="1160" w:type="dxa"/>
            <w:vAlign w:val="bottom"/>
          </w:tcPr>
          <w:p>
            <w:pPr>
              <w:spacing w:after="0"/>
              <w:rPr>
                <w:sz w:val="16"/>
                <w:szCs w:val="16"/>
                <w:color w:val="auto"/>
              </w:rPr>
            </w:pPr>
          </w:p>
        </w:tc>
        <w:tc>
          <w:tcPr>
            <w:tcW w:w="3180" w:type="dxa"/>
            <w:vAlign w:val="bottom"/>
          </w:tcPr>
          <w:p>
            <w:pPr>
              <w:ind w:left="100"/>
              <w:spacing w:after="0"/>
              <w:rPr>
                <w:sz w:val="20"/>
                <w:szCs w:val="20"/>
                <w:color w:val="auto"/>
              </w:rPr>
            </w:pPr>
            <w:r>
              <w:rPr>
                <w:rFonts w:ascii="Arial" w:cs="Arial" w:eastAsia="Arial" w:hAnsi="Arial"/>
                <w:sz w:val="14"/>
                <w:szCs w:val="14"/>
                <w:b w:val="1"/>
                <w:bCs w:val="1"/>
                <w:color w:val="4800E6"/>
              </w:rPr>
              <w:t>Committees:</w:t>
            </w:r>
          </w:p>
        </w:tc>
        <w:tc>
          <w:tcPr>
            <w:tcW w:w="0" w:type="dxa"/>
            <w:vAlign w:val="bottom"/>
          </w:tcPr>
          <w:p>
            <w:pPr>
              <w:spacing w:after="0"/>
              <w:rPr>
                <w:sz w:val="1"/>
                <w:szCs w:val="1"/>
                <w:color w:val="auto"/>
              </w:rPr>
            </w:pPr>
          </w:p>
        </w:tc>
      </w:tr>
      <w:tr>
        <w:trPr>
          <w:trHeight w:val="198"/>
        </w:trPr>
        <w:tc>
          <w:tcPr>
            <w:tcW w:w="1160" w:type="dxa"/>
            <w:vAlign w:val="bottom"/>
          </w:tcPr>
          <w:p>
            <w:pPr>
              <w:spacing w:after="0"/>
              <w:rPr>
                <w:sz w:val="20"/>
                <w:szCs w:val="20"/>
                <w:color w:val="auto"/>
              </w:rPr>
            </w:pPr>
            <w:r>
              <w:rPr>
                <w:rFonts w:ascii="Arial" w:cs="Arial" w:eastAsia="Arial" w:hAnsi="Arial"/>
                <w:sz w:val="13"/>
                <w:szCs w:val="13"/>
                <w:b w:val="1"/>
                <w:bCs w:val="1"/>
                <w:color w:val="FF4C4C"/>
              </w:rPr>
              <w:t>INDEPENDENT</w:t>
            </w:r>
          </w:p>
        </w:tc>
        <w:tc>
          <w:tcPr>
            <w:tcW w:w="3180" w:type="dxa"/>
            <w:vAlign w:val="bottom"/>
          </w:tcPr>
          <w:p>
            <w:pPr>
              <w:ind w:left="100"/>
              <w:spacing w:after="0"/>
              <w:rPr>
                <w:sz w:val="20"/>
                <w:szCs w:val="20"/>
                <w:color w:val="auto"/>
              </w:rPr>
            </w:pPr>
            <w:r>
              <w:rPr>
                <w:rFonts w:ascii="Arial" w:cs="Arial" w:eastAsia="Arial" w:hAnsi="Arial"/>
                <w:sz w:val="14"/>
                <w:szCs w:val="14"/>
                <w:color w:val="4800E6"/>
              </w:rPr>
              <w:t xml:space="preserve">• </w:t>
            </w:r>
            <w:r>
              <w:rPr>
                <w:rFonts w:ascii="Arial" w:cs="Arial" w:eastAsia="Arial" w:hAnsi="Arial"/>
                <w:sz w:val="14"/>
                <w:szCs w:val="14"/>
                <w:color w:val="000000"/>
              </w:rPr>
              <w:t>Nominating and Corporate Governance (Chair)</w:t>
            </w:r>
          </w:p>
        </w:tc>
        <w:tc>
          <w:tcPr>
            <w:tcW w:w="0" w:type="dxa"/>
            <w:vAlign w:val="bottom"/>
          </w:tcPr>
          <w:p>
            <w:pPr>
              <w:spacing w:after="0"/>
              <w:rPr>
                <w:sz w:val="1"/>
                <w:szCs w:val="1"/>
                <w:color w:val="auto"/>
              </w:rPr>
            </w:pPr>
          </w:p>
        </w:tc>
      </w:tr>
      <w:tr>
        <w:trPr>
          <w:trHeight w:val="299"/>
        </w:trPr>
        <w:tc>
          <w:tcPr>
            <w:tcW w:w="1160" w:type="dxa"/>
            <w:vAlign w:val="bottom"/>
          </w:tcPr>
          <w:p>
            <w:pPr>
              <w:spacing w:after="0"/>
              <w:rPr>
                <w:sz w:val="20"/>
                <w:szCs w:val="20"/>
                <w:color w:val="auto"/>
              </w:rPr>
            </w:pPr>
            <w:r>
              <w:rPr>
                <w:rFonts w:ascii="Arial" w:cs="Arial" w:eastAsia="Arial" w:hAnsi="Arial"/>
                <w:sz w:val="13"/>
                <w:szCs w:val="13"/>
                <w:color w:val="auto"/>
              </w:rPr>
              <w:t>Age 52</w:t>
            </w:r>
          </w:p>
        </w:tc>
        <w:tc>
          <w:tcPr>
            <w:tcW w:w="3180" w:type="dxa"/>
            <w:vAlign w:val="bottom"/>
            <w:vMerge w:val="restart"/>
          </w:tcPr>
          <w:p>
            <w:pPr>
              <w:ind w:left="100"/>
              <w:spacing w:after="0"/>
              <w:rPr>
                <w:sz w:val="20"/>
                <w:szCs w:val="20"/>
                <w:color w:val="auto"/>
              </w:rPr>
            </w:pPr>
            <w:r>
              <w:rPr>
                <w:rFonts w:ascii="Arial" w:cs="Arial" w:eastAsia="Arial" w:hAnsi="Arial"/>
                <w:sz w:val="14"/>
                <w:szCs w:val="14"/>
                <w:b w:val="1"/>
                <w:bCs w:val="1"/>
                <w:color w:val="4800E6"/>
              </w:rPr>
              <w:t>Other Public Company Directorships:</w:t>
            </w:r>
          </w:p>
        </w:tc>
        <w:tc>
          <w:tcPr>
            <w:tcW w:w="0" w:type="dxa"/>
            <w:vAlign w:val="bottom"/>
          </w:tcPr>
          <w:p>
            <w:pPr>
              <w:spacing w:after="0"/>
              <w:rPr>
                <w:sz w:val="1"/>
                <w:szCs w:val="1"/>
                <w:color w:val="auto"/>
              </w:rPr>
            </w:pPr>
          </w:p>
        </w:tc>
      </w:tr>
      <w:tr>
        <w:trPr>
          <w:trHeight w:val="83"/>
        </w:trPr>
        <w:tc>
          <w:tcPr>
            <w:tcW w:w="1160" w:type="dxa"/>
            <w:vAlign w:val="bottom"/>
          </w:tcPr>
          <w:p>
            <w:pPr>
              <w:spacing w:after="0"/>
              <w:rPr>
                <w:sz w:val="7"/>
                <w:szCs w:val="7"/>
                <w:color w:val="auto"/>
              </w:rPr>
            </w:pPr>
          </w:p>
        </w:tc>
        <w:tc>
          <w:tcPr>
            <w:tcW w:w="31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57"/>
        </w:trPr>
        <w:tc>
          <w:tcPr>
            <w:tcW w:w="1160" w:type="dxa"/>
            <w:vAlign w:val="bottom"/>
          </w:tcPr>
          <w:p>
            <w:pPr>
              <w:spacing w:after="0"/>
              <w:rPr>
                <w:sz w:val="20"/>
                <w:szCs w:val="20"/>
                <w:color w:val="auto"/>
              </w:rPr>
            </w:pPr>
            <w:r>
              <w:rPr>
                <w:rFonts w:ascii="Arial" w:cs="Arial" w:eastAsia="Arial" w:hAnsi="Arial"/>
                <w:sz w:val="13"/>
                <w:szCs w:val="13"/>
                <w:color w:val="auto"/>
              </w:rPr>
              <w:t>Director</w:t>
            </w:r>
          </w:p>
        </w:tc>
        <w:tc>
          <w:tcPr>
            <w:tcW w:w="3180" w:type="dxa"/>
            <w:vAlign w:val="bottom"/>
          </w:tcPr>
          <w:p>
            <w:pPr>
              <w:ind w:left="100"/>
              <w:spacing w:after="0" w:line="157" w:lineRule="exact"/>
              <w:rPr>
                <w:sz w:val="20"/>
                <w:szCs w:val="20"/>
                <w:color w:val="auto"/>
              </w:rPr>
            </w:pPr>
            <w:r>
              <w:rPr>
                <w:rFonts w:ascii="Arial" w:cs="Arial" w:eastAsia="Arial" w:hAnsi="Arial"/>
                <w:sz w:val="14"/>
                <w:szCs w:val="14"/>
                <w:color w:val="4800E6"/>
              </w:rPr>
              <w:t xml:space="preserve">• </w:t>
            </w:r>
            <w:r>
              <w:rPr>
                <w:rFonts w:ascii="Arial" w:cs="Arial" w:eastAsia="Arial" w:hAnsi="Arial"/>
                <w:sz w:val="14"/>
                <w:szCs w:val="14"/>
                <w:color w:val="000000"/>
              </w:rPr>
              <w:t>None</w:t>
            </w:r>
          </w:p>
        </w:tc>
        <w:tc>
          <w:tcPr>
            <w:tcW w:w="0" w:type="dxa"/>
            <w:vAlign w:val="bottom"/>
          </w:tcPr>
          <w:p>
            <w:pPr>
              <w:spacing w:after="0"/>
              <w:rPr>
                <w:sz w:val="1"/>
                <w:szCs w:val="1"/>
                <w:color w:val="auto"/>
              </w:rPr>
            </w:pPr>
          </w:p>
        </w:tc>
      </w:tr>
      <w:tr>
        <w:trPr>
          <w:trHeight w:val="178"/>
        </w:trPr>
        <w:tc>
          <w:tcPr>
            <w:tcW w:w="1160" w:type="dxa"/>
            <w:vAlign w:val="bottom"/>
          </w:tcPr>
          <w:p>
            <w:pPr>
              <w:spacing w:after="0"/>
              <w:rPr>
                <w:sz w:val="20"/>
                <w:szCs w:val="20"/>
                <w:color w:val="auto"/>
              </w:rPr>
            </w:pPr>
            <w:r>
              <w:rPr>
                <w:rFonts w:ascii="Arial" w:cs="Arial" w:eastAsia="Arial" w:hAnsi="Arial"/>
                <w:sz w:val="13"/>
                <w:szCs w:val="13"/>
                <w:color w:val="auto"/>
              </w:rPr>
              <w:t xml:space="preserve">since </w:t>
            </w:r>
            <w:r>
              <w:rPr>
                <w:rFonts w:ascii="Arial" w:cs="Arial" w:eastAsia="Arial" w:hAnsi="Arial"/>
                <w:sz w:val="13"/>
                <w:szCs w:val="13"/>
                <w:b w:val="1"/>
                <w:bCs w:val="1"/>
                <w:color w:val="4800E6"/>
              </w:rPr>
              <w:t>2015</w:t>
            </w:r>
          </w:p>
        </w:tc>
        <w:tc>
          <w:tcPr>
            <w:tcW w:w="31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20"/>
                <w:szCs w:val="20"/>
                <w:color w:val="auto"/>
              </w:rPr>
            </w:pPr>
            <w:r>
              <w:rPr>
                <w:rFonts w:ascii="Arial" w:cs="Arial" w:eastAsia="Arial" w:hAnsi="Arial"/>
                <w:sz w:val="13"/>
                <w:szCs w:val="13"/>
                <w:color w:val="auto"/>
              </w:rPr>
              <w:t>Entrepreneur in</w:t>
            </w:r>
          </w:p>
        </w:tc>
        <w:tc>
          <w:tcPr>
            <w:tcW w:w="3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35"/>
        </w:trPr>
        <w:tc>
          <w:tcPr>
            <w:tcW w:w="1160" w:type="dxa"/>
            <w:vAlign w:val="bottom"/>
          </w:tcPr>
          <w:p>
            <w:pPr>
              <w:spacing w:after="0" w:line="135" w:lineRule="exact"/>
              <w:rPr>
                <w:sz w:val="20"/>
                <w:szCs w:val="20"/>
                <w:color w:val="auto"/>
              </w:rPr>
            </w:pPr>
            <w:r>
              <w:rPr>
                <w:rFonts w:ascii="Arial" w:cs="Arial" w:eastAsia="Arial" w:hAnsi="Arial"/>
                <w:sz w:val="13"/>
                <w:szCs w:val="13"/>
                <w:color w:val="auto"/>
              </w:rPr>
              <w:t>Residence</w:t>
            </w:r>
          </w:p>
        </w:tc>
        <w:tc>
          <w:tcPr>
            <w:tcW w:w="31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1160" w:type="dxa"/>
            <w:vAlign w:val="bottom"/>
          </w:tcPr>
          <w:p>
            <w:pPr>
              <w:spacing w:after="0" w:line="135" w:lineRule="exact"/>
              <w:rPr>
                <w:sz w:val="20"/>
                <w:szCs w:val="20"/>
                <w:color w:val="auto"/>
              </w:rPr>
            </w:pPr>
            <w:r>
              <w:rPr>
                <w:rFonts w:ascii="Arial" w:cs="Arial" w:eastAsia="Arial" w:hAnsi="Arial"/>
                <w:sz w:val="13"/>
                <w:szCs w:val="13"/>
                <w:color w:val="auto"/>
              </w:rPr>
              <w:t>University College</w:t>
            </w:r>
          </w:p>
        </w:tc>
        <w:tc>
          <w:tcPr>
            <w:tcW w:w="31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2"/>
        </w:trPr>
        <w:tc>
          <w:tcPr>
            <w:tcW w:w="1160" w:type="dxa"/>
            <w:vAlign w:val="bottom"/>
          </w:tcPr>
          <w:p>
            <w:pPr>
              <w:spacing w:after="0"/>
              <w:rPr>
                <w:sz w:val="20"/>
                <w:szCs w:val="20"/>
                <w:color w:val="auto"/>
              </w:rPr>
            </w:pPr>
            <w:r>
              <w:rPr>
                <w:rFonts w:ascii="Arial" w:cs="Arial" w:eastAsia="Arial" w:hAnsi="Arial"/>
                <w:sz w:val="13"/>
                <w:szCs w:val="13"/>
                <w:color w:val="auto"/>
              </w:rPr>
              <w:t>Dublin</w:t>
            </w:r>
          </w:p>
        </w:tc>
        <w:tc>
          <w:tcPr>
            <w:tcW w:w="3180" w:type="dxa"/>
            <w:vAlign w:val="bottom"/>
          </w:tcPr>
          <w:p>
            <w:pPr>
              <w:spacing w:after="0"/>
              <w:rPr>
                <w:sz w:val="14"/>
                <w:szCs w:val="1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485140</wp:posOffset>
            </wp:positionH>
            <wp:positionV relativeFrom="paragraph">
              <wp:posOffset>351790</wp:posOffset>
            </wp:positionV>
            <wp:extent cx="5829300" cy="889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5829300" cy="88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84" w:lineRule="exact"/>
        <w:rPr>
          <w:sz w:val="20"/>
          <w:szCs w:val="20"/>
          <w:color w:val="auto"/>
        </w:rPr>
      </w:pPr>
    </w:p>
    <w:p>
      <w:pPr>
        <w:spacing w:after="0"/>
        <w:rPr>
          <w:sz w:val="20"/>
          <w:szCs w:val="20"/>
          <w:color w:val="auto"/>
        </w:rPr>
      </w:pPr>
      <w:r>
        <w:rPr>
          <w:rFonts w:ascii="Arial" w:cs="Arial" w:eastAsia="Arial" w:hAnsi="Arial"/>
          <w:sz w:val="14"/>
          <w:szCs w:val="14"/>
          <w:b w:val="1"/>
          <w:bCs w:val="1"/>
          <w:color w:val="4800E6"/>
        </w:rPr>
        <w:t>Director Skills and Qualifications:</w:t>
      </w:r>
    </w:p>
    <w:p>
      <w:pPr>
        <w:spacing w:after="0" w:line="46" w:lineRule="exact"/>
        <w:rPr>
          <w:sz w:val="20"/>
          <w:szCs w:val="20"/>
          <w:color w:val="auto"/>
        </w:rPr>
      </w:pPr>
    </w:p>
    <w:p>
      <w:pPr>
        <w:ind w:left="140" w:right="300" w:hanging="137"/>
        <w:spacing w:after="0" w:line="242" w:lineRule="auto"/>
        <w:tabs>
          <w:tab w:leader="none" w:pos="140" w:val="left"/>
        </w:tabs>
        <w:numPr>
          <w:ilvl w:val="0"/>
          <w:numId w:val="30"/>
        </w:numPr>
        <w:rPr>
          <w:rFonts w:ascii="Arial" w:cs="Arial" w:eastAsia="Arial" w:hAnsi="Arial"/>
          <w:sz w:val="14"/>
          <w:szCs w:val="14"/>
          <w:color w:val="4800E6"/>
        </w:rPr>
      </w:pPr>
      <w:r>
        <w:rPr>
          <w:rFonts w:ascii="Arial" w:cs="Arial" w:eastAsia="Arial" w:hAnsi="Arial"/>
          <w:sz w:val="14"/>
          <w:szCs w:val="14"/>
          <w:color w:val="auto"/>
        </w:rPr>
        <w:t>Dr. O’Kane has extensive experience in healthcare, both in the academic realm and in research and development (R&amp;D) capacities. She has served on the board of directors of several biotech and healthcare companies and organizations and has held numerous positions advising healthcare and biotech companies, governmental bodies and universities. Dr. O’Kane was also a co-founder, Chief Science Officer and executive director of Renovo Group Plc and was responsible for growing the university spin-out to a public company, and a non-executive director of Iomet Pharma Ltd. Dr. O’Kane has had corporate director governance training at the Institute of Directors and Harvard Business School.</w:t>
      </w:r>
    </w:p>
    <w:p>
      <w:pPr>
        <w:spacing w:after="0" w:line="200" w:lineRule="exact"/>
        <w:rPr>
          <w:sz w:val="20"/>
          <w:szCs w:val="20"/>
          <w:color w:val="auto"/>
        </w:rPr>
      </w:pPr>
    </w:p>
    <w:p>
      <w:pPr>
        <w:sectPr>
          <w:pgSz w:w="11900" w:h="16838" w:orient="portrait"/>
          <w:cols w:equalWidth="0" w:num="2">
            <w:col w:w="5360" w:space="720"/>
            <w:col w:w="4100"/>
          </w:cols>
          <w:pgMar w:left="320" w:top="132" w:right="139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6" w:lineRule="exact"/>
        <w:rPr>
          <w:sz w:val="20"/>
          <w:szCs w:val="20"/>
          <w:color w:val="auto"/>
        </w:rPr>
      </w:pPr>
    </w:p>
    <w:p>
      <w:pPr>
        <w:ind w:left="4340"/>
        <w:spacing w:after="0"/>
        <w:tabs>
          <w:tab w:leader="none" w:pos="10000" w:val="left"/>
        </w:tabs>
        <w:rPr>
          <w:sz w:val="20"/>
          <w:szCs w:val="20"/>
          <w:color w:val="auto"/>
        </w:rPr>
      </w:pPr>
      <w:r>
        <w:rPr>
          <w:rFonts w:ascii="Arial" w:cs="Arial" w:eastAsia="Arial" w:hAnsi="Arial"/>
          <w:sz w:val="13"/>
          <w:szCs w:val="13"/>
          <w:b w:val="1"/>
          <w:bCs w:val="1"/>
          <w:color w:val="4800E6"/>
        </w:rPr>
        <w:t xml:space="preserve">LIVANOVA </w:t>
      </w:r>
      <w:r>
        <w:rPr>
          <w:rFonts w:ascii="Arial" w:cs="Arial" w:eastAsia="Arial" w:hAnsi="Arial"/>
          <w:sz w:val="13"/>
          <w:szCs w:val="13"/>
          <w:color w:val="000000"/>
        </w:rPr>
        <w:t>|</w:t>
      </w:r>
      <w:r>
        <w:rPr>
          <w:rFonts w:ascii="Arial" w:cs="Arial" w:eastAsia="Arial" w:hAnsi="Arial"/>
          <w:sz w:val="13"/>
          <w:szCs w:val="13"/>
          <w:b w:val="1"/>
          <w:bCs w:val="1"/>
          <w:color w:val="4800E6"/>
        </w:rPr>
        <w:t xml:space="preserve"> </w:t>
      </w:r>
      <w:r>
        <w:rPr>
          <w:rFonts w:ascii="Arial" w:cs="Arial" w:eastAsia="Arial" w:hAnsi="Arial"/>
          <w:sz w:val="13"/>
          <w:szCs w:val="13"/>
          <w:color w:val="4800E6"/>
        </w:rPr>
        <w:t>2020</w:t>
      </w:r>
      <w:r>
        <w:rPr>
          <w:rFonts w:ascii="Arial" w:cs="Arial" w:eastAsia="Arial" w:hAnsi="Arial"/>
          <w:sz w:val="13"/>
          <w:szCs w:val="13"/>
          <w:b w:val="1"/>
          <w:bCs w:val="1"/>
          <w:color w:val="4800E6"/>
        </w:rPr>
        <w:t xml:space="preserve"> </w:t>
      </w:r>
      <w:r>
        <w:rPr>
          <w:rFonts w:ascii="Arial" w:cs="Arial" w:eastAsia="Arial" w:hAnsi="Arial"/>
          <w:sz w:val="13"/>
          <w:szCs w:val="13"/>
          <w:color w:val="000000"/>
        </w:rPr>
        <w:t>Proxy Statement</w:t>
      </w:r>
      <w:r>
        <w:rPr>
          <w:sz w:val="20"/>
          <w:szCs w:val="20"/>
          <w:color w:val="auto"/>
        </w:rPr>
        <w:tab/>
      </w:r>
      <w:r>
        <w:rPr>
          <w:rFonts w:ascii="Arial" w:cs="Arial" w:eastAsia="Arial" w:hAnsi="Arial"/>
          <w:sz w:val="21"/>
          <w:szCs w:val="21"/>
          <w:b w:val="1"/>
          <w:bCs w:val="1"/>
          <w:color w:val="auto"/>
          <w:vertAlign w:val="subscript"/>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519430</wp:posOffset>
            </wp:positionH>
            <wp:positionV relativeFrom="paragraph">
              <wp:posOffset>47625</wp:posOffset>
            </wp:positionV>
            <wp:extent cx="1954530" cy="825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1954530" cy="8255"/>
                    </a:xfrm>
                    <a:prstGeom prst="rect">
                      <a:avLst/>
                    </a:prstGeom>
                    <a:noFill/>
                  </pic:spPr>
                </pic:pic>
              </a:graphicData>
            </a:graphic>
          </wp:anchor>
        </w:drawing>
        <w:drawing>
          <wp:anchor simplePos="0" relativeHeight="251657728" behindDoc="1" locked="0" layoutInCell="0" allowOverlap="1">
            <wp:simplePos x="0" y="0"/>
            <wp:positionH relativeFrom="column">
              <wp:posOffset>4257040</wp:posOffset>
            </wp:positionH>
            <wp:positionV relativeFrom="paragraph">
              <wp:posOffset>47625</wp:posOffset>
            </wp:positionV>
            <wp:extent cx="1954530" cy="825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195453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184785</wp:posOffset>
            </wp:positionV>
            <wp:extent cx="6806565" cy="1714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10180"/>
          </w:cols>
          <w:pgMar w:left="320" w:top="132" w:right="1399" w:bottom="1440" w:gutter="0" w:footer="0" w:header="0"/>
          <w:type w:val="continuous"/>
        </w:sectPr>
      </w:pPr>
    </w:p>
    <w:bookmarkStart w:id="18" w:name="page19"/>
    <w:bookmarkEnd w:id="18"/>
    <w:p>
      <w:pPr>
        <w:spacing w:after="0"/>
        <w:rPr>
          <w:rFonts w:ascii="Arial" w:cs="Arial" w:eastAsia="Arial" w:hAnsi="Arial"/>
          <w:sz w:val="14"/>
          <w:szCs w:val="14"/>
          <w:color w:val="003366"/>
        </w:rPr>
      </w:pPr>
      <w:hyperlink w:anchor="page4">
        <w:r>
          <w:rPr>
            <w:rFonts w:ascii="Arial" w:cs="Arial" w:eastAsia="Arial" w:hAnsi="Arial"/>
            <w:sz w:val="14"/>
            <w:szCs w:val="14"/>
            <w:color w:val="003366"/>
          </w:rPr>
          <w:t>TABLE OF CONTENTS</w:t>
        </w:r>
      </w:hyperlink>
    </w:p>
    <w:p>
      <w:pPr>
        <w:spacing w:after="0" w:line="338" w:lineRule="exact"/>
        <w:rPr>
          <w:sz w:val="20"/>
          <w:szCs w:val="20"/>
          <w:color w:val="auto"/>
        </w:rPr>
      </w:pPr>
    </w:p>
    <w:p>
      <w:pPr>
        <w:ind w:left="760"/>
        <w:spacing w:after="0"/>
        <w:rPr>
          <w:sz w:val="20"/>
          <w:szCs w:val="20"/>
          <w:color w:val="auto"/>
        </w:rPr>
      </w:pPr>
      <w:r>
        <w:rPr>
          <w:rFonts w:ascii="Arial" w:cs="Arial" w:eastAsia="Arial" w:hAnsi="Arial"/>
          <w:sz w:val="13"/>
          <w:szCs w:val="13"/>
          <w:b w:val="1"/>
          <w:bCs w:val="1"/>
          <w:color w:val="auto"/>
        </w:rPr>
        <w:t xml:space="preserve">Corporate </w:t>
      </w:r>
      <w:r>
        <w:rPr>
          <w:rFonts w:ascii="Arial" w:cs="Arial" w:eastAsia="Arial" w:hAnsi="Arial"/>
          <w:sz w:val="13"/>
          <w:szCs w:val="13"/>
          <w:b w:val="1"/>
          <w:bCs w:val="1"/>
          <w:color w:val="666666"/>
        </w:rPr>
        <w:t>Governance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485140</wp:posOffset>
            </wp:positionH>
            <wp:positionV relativeFrom="paragraph">
              <wp:posOffset>30480</wp:posOffset>
            </wp:positionV>
            <wp:extent cx="5829300" cy="825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5829300" cy="8255"/>
                    </a:xfrm>
                    <a:prstGeom prst="rect">
                      <a:avLst/>
                    </a:prstGeom>
                    <a:noFill/>
                  </pic:spPr>
                </pic:pic>
              </a:graphicData>
            </a:graphic>
          </wp:anchor>
        </w:drawing>
      </w:r>
    </w:p>
    <w:p>
      <w:pPr>
        <w:spacing w:after="0" w:line="60" w:lineRule="exact"/>
        <w:rPr>
          <w:sz w:val="20"/>
          <w:szCs w:val="20"/>
          <w:color w:val="auto"/>
        </w:rPr>
      </w:pPr>
    </w:p>
    <w:p>
      <w:pPr>
        <w:ind w:left="760"/>
        <w:spacing w:after="0"/>
        <w:rPr>
          <w:sz w:val="20"/>
          <w:szCs w:val="20"/>
          <w:color w:val="auto"/>
        </w:rPr>
      </w:pPr>
      <w:r>
        <w:rPr>
          <w:rFonts w:ascii="Arial" w:cs="Arial" w:eastAsia="Arial" w:hAnsi="Arial"/>
          <w:sz w:val="13"/>
          <w:szCs w:val="13"/>
          <w:b w:val="1"/>
          <w:bCs w:val="1"/>
          <w:color w:val="4800E6"/>
        </w:rPr>
        <w:t>The Board of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485140</wp:posOffset>
            </wp:positionH>
            <wp:positionV relativeFrom="paragraph">
              <wp:posOffset>398780</wp:posOffset>
            </wp:positionV>
            <wp:extent cx="5829300" cy="14541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5829300" cy="1454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ind w:left="880"/>
        <w:spacing w:after="0"/>
        <w:rPr>
          <w:sz w:val="20"/>
          <w:szCs w:val="20"/>
          <w:color w:val="auto"/>
        </w:rPr>
      </w:pPr>
      <w:r>
        <w:rPr>
          <w:rFonts w:ascii="Arial" w:cs="Arial" w:eastAsia="Arial" w:hAnsi="Arial"/>
          <w:sz w:val="17"/>
          <w:szCs w:val="17"/>
          <w:b w:val="1"/>
          <w:bCs w:val="1"/>
          <w:color w:val="FEFEFE"/>
        </w:rPr>
        <w:t>ARTHUR ROSENTHAL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493395</wp:posOffset>
            </wp:positionH>
            <wp:positionV relativeFrom="paragraph">
              <wp:posOffset>3810</wp:posOffset>
            </wp:positionV>
            <wp:extent cx="720090" cy="93408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20090" cy="934085"/>
                    </a:xfrm>
                    <a:prstGeom prst="rect">
                      <a:avLst/>
                    </a:prstGeom>
                    <a:noFill/>
                  </pic:spPr>
                </pic:pic>
              </a:graphicData>
            </a:graphic>
          </wp:anchor>
        </w:drawing>
      </w:r>
    </w:p>
    <w:tbl>
      <w:tblPr>
        <w:tblLayout w:type="fixed"/>
        <w:tblInd w:w="840" w:type="dxa"/>
        <w:tblCellMar>
          <w:top w:w="0" w:type="dxa"/>
          <w:left w:w="0" w:type="dxa"/>
          <w:bottom w:w="0" w:type="dxa"/>
          <w:right w:w="0" w:type="dxa"/>
        </w:tblCellMar>
      </w:tblPr>
      <w:tr>
        <w:trPr>
          <w:trHeight w:val="162"/>
        </w:trPr>
        <w:tc>
          <w:tcPr>
            <w:tcW w:w="1200" w:type="dxa"/>
            <w:vAlign w:val="bottom"/>
          </w:tcPr>
          <w:p>
            <w:pPr>
              <w:spacing w:after="0"/>
              <w:rPr>
                <w:sz w:val="14"/>
                <w:szCs w:val="14"/>
                <w:color w:val="auto"/>
              </w:rPr>
            </w:pPr>
          </w:p>
        </w:tc>
        <w:tc>
          <w:tcPr>
            <w:tcW w:w="7900" w:type="dxa"/>
            <w:vAlign w:val="bottom"/>
            <w:gridSpan w:val="2"/>
          </w:tcPr>
          <w:p>
            <w:pPr>
              <w:ind w:left="60"/>
              <w:spacing w:after="0"/>
              <w:rPr>
                <w:sz w:val="20"/>
                <w:szCs w:val="20"/>
                <w:color w:val="auto"/>
              </w:rPr>
            </w:pPr>
            <w:r>
              <w:rPr>
                <w:rFonts w:ascii="Arial" w:cs="Arial" w:eastAsia="Arial" w:hAnsi="Arial"/>
                <w:sz w:val="14"/>
                <w:szCs w:val="14"/>
                <w:b w:val="1"/>
                <w:bCs w:val="1"/>
                <w:color w:val="auto"/>
              </w:rPr>
              <w:t>Arthur Rosenthal</w:t>
            </w:r>
            <w:r>
              <w:rPr>
                <w:rFonts w:ascii="Arial" w:cs="Arial" w:eastAsia="Arial" w:hAnsi="Arial"/>
                <w:sz w:val="14"/>
                <w:szCs w:val="14"/>
                <w:color w:val="auto"/>
              </w:rPr>
              <w:t>, PhD retired from EyeCue, Inc., a development-stage medical device company working on a guided biopsy</w:t>
            </w:r>
          </w:p>
        </w:tc>
        <w:tc>
          <w:tcPr>
            <w:tcW w:w="0" w:type="dxa"/>
            <w:vAlign w:val="bottom"/>
          </w:tcPr>
          <w:p>
            <w:pPr>
              <w:spacing w:after="0"/>
              <w:rPr>
                <w:sz w:val="1"/>
                <w:szCs w:val="1"/>
                <w:color w:val="auto"/>
              </w:rPr>
            </w:pPr>
          </w:p>
        </w:tc>
      </w:tr>
      <w:tr>
        <w:trPr>
          <w:trHeight w:val="162"/>
        </w:trPr>
        <w:tc>
          <w:tcPr>
            <w:tcW w:w="1200" w:type="dxa"/>
            <w:vAlign w:val="bottom"/>
          </w:tcPr>
          <w:p>
            <w:pPr>
              <w:spacing w:after="0"/>
              <w:rPr>
                <w:sz w:val="14"/>
                <w:szCs w:val="14"/>
                <w:color w:val="auto"/>
              </w:rPr>
            </w:pPr>
          </w:p>
        </w:tc>
        <w:tc>
          <w:tcPr>
            <w:tcW w:w="7900" w:type="dxa"/>
            <w:vAlign w:val="bottom"/>
            <w:gridSpan w:val="2"/>
          </w:tcPr>
          <w:p>
            <w:pPr>
              <w:ind w:left="60"/>
              <w:spacing w:after="0"/>
              <w:rPr>
                <w:sz w:val="20"/>
                <w:szCs w:val="20"/>
                <w:color w:val="auto"/>
              </w:rPr>
            </w:pPr>
            <w:r>
              <w:rPr>
                <w:rFonts w:ascii="Arial" w:cs="Arial" w:eastAsia="Arial" w:hAnsi="Arial"/>
                <w:sz w:val="14"/>
                <w:szCs w:val="14"/>
                <w:color w:val="auto"/>
              </w:rPr>
              <w:t>for lower and upper gastrointestinal cancer screening, after serving as co-founder and CEO from 2011 to 2015. Dr. Rosenthal</w:t>
            </w:r>
          </w:p>
        </w:tc>
        <w:tc>
          <w:tcPr>
            <w:tcW w:w="0" w:type="dxa"/>
            <w:vAlign w:val="bottom"/>
          </w:tcPr>
          <w:p>
            <w:pPr>
              <w:spacing w:after="0"/>
              <w:rPr>
                <w:sz w:val="1"/>
                <w:szCs w:val="1"/>
                <w:color w:val="auto"/>
              </w:rPr>
            </w:pPr>
          </w:p>
        </w:tc>
      </w:tr>
      <w:tr>
        <w:trPr>
          <w:trHeight w:val="162"/>
        </w:trPr>
        <w:tc>
          <w:tcPr>
            <w:tcW w:w="1200" w:type="dxa"/>
            <w:vAlign w:val="bottom"/>
          </w:tcPr>
          <w:p>
            <w:pPr>
              <w:spacing w:after="0"/>
              <w:rPr>
                <w:sz w:val="14"/>
                <w:szCs w:val="14"/>
                <w:color w:val="auto"/>
              </w:rPr>
            </w:pPr>
          </w:p>
        </w:tc>
        <w:tc>
          <w:tcPr>
            <w:tcW w:w="7900" w:type="dxa"/>
            <w:vAlign w:val="bottom"/>
            <w:gridSpan w:val="2"/>
          </w:tcPr>
          <w:p>
            <w:pPr>
              <w:ind w:left="60"/>
              <w:spacing w:after="0"/>
              <w:rPr>
                <w:sz w:val="20"/>
                <w:szCs w:val="20"/>
                <w:color w:val="auto"/>
              </w:rPr>
            </w:pPr>
            <w:r>
              <w:rPr>
                <w:rFonts w:ascii="Arial" w:cs="Arial" w:eastAsia="Arial" w:hAnsi="Arial"/>
                <w:sz w:val="14"/>
                <w:szCs w:val="14"/>
                <w:color w:val="auto"/>
              </w:rPr>
              <w:t>also served as Professor of Practice in the Biomedical Engineering Department at Boston University from 2010 to 2015. Prior</w:t>
            </w:r>
          </w:p>
        </w:tc>
        <w:tc>
          <w:tcPr>
            <w:tcW w:w="0" w:type="dxa"/>
            <w:vAlign w:val="bottom"/>
          </w:tcPr>
          <w:p>
            <w:pPr>
              <w:spacing w:after="0"/>
              <w:rPr>
                <w:sz w:val="1"/>
                <w:szCs w:val="1"/>
                <w:color w:val="auto"/>
              </w:rPr>
            </w:pPr>
          </w:p>
        </w:tc>
      </w:tr>
      <w:tr>
        <w:trPr>
          <w:trHeight w:val="162"/>
        </w:trPr>
        <w:tc>
          <w:tcPr>
            <w:tcW w:w="1200" w:type="dxa"/>
            <w:vAlign w:val="bottom"/>
          </w:tcPr>
          <w:p>
            <w:pPr>
              <w:spacing w:after="0"/>
              <w:rPr>
                <w:sz w:val="14"/>
                <w:szCs w:val="14"/>
                <w:color w:val="auto"/>
              </w:rPr>
            </w:pPr>
          </w:p>
        </w:tc>
        <w:tc>
          <w:tcPr>
            <w:tcW w:w="7900" w:type="dxa"/>
            <w:vAlign w:val="bottom"/>
            <w:gridSpan w:val="2"/>
          </w:tcPr>
          <w:p>
            <w:pPr>
              <w:ind w:left="60"/>
              <w:spacing w:after="0"/>
              <w:rPr>
                <w:sz w:val="20"/>
                <w:szCs w:val="20"/>
                <w:color w:val="auto"/>
              </w:rPr>
            </w:pPr>
            <w:r>
              <w:rPr>
                <w:rFonts w:ascii="Arial" w:cs="Arial" w:eastAsia="Arial" w:hAnsi="Arial"/>
                <w:sz w:val="14"/>
                <w:szCs w:val="14"/>
                <w:color w:val="auto"/>
              </w:rPr>
              <w:t>to co-founding EyeCue in 2011, Dr. Rosenthal served as President and CEO of Cappella, Inc., a development-stage company</w:t>
            </w:r>
          </w:p>
        </w:tc>
        <w:tc>
          <w:tcPr>
            <w:tcW w:w="0" w:type="dxa"/>
            <w:vAlign w:val="bottom"/>
          </w:tcPr>
          <w:p>
            <w:pPr>
              <w:spacing w:after="0"/>
              <w:rPr>
                <w:sz w:val="1"/>
                <w:szCs w:val="1"/>
                <w:color w:val="auto"/>
              </w:rPr>
            </w:pPr>
          </w:p>
        </w:tc>
      </w:tr>
      <w:tr>
        <w:trPr>
          <w:trHeight w:val="162"/>
        </w:trPr>
        <w:tc>
          <w:tcPr>
            <w:tcW w:w="1200" w:type="dxa"/>
            <w:vAlign w:val="bottom"/>
          </w:tcPr>
          <w:p>
            <w:pPr>
              <w:spacing w:after="0"/>
              <w:rPr>
                <w:sz w:val="14"/>
                <w:szCs w:val="14"/>
                <w:color w:val="auto"/>
              </w:rPr>
            </w:pPr>
          </w:p>
        </w:tc>
        <w:tc>
          <w:tcPr>
            <w:tcW w:w="7900" w:type="dxa"/>
            <w:vAlign w:val="bottom"/>
            <w:gridSpan w:val="2"/>
          </w:tcPr>
          <w:p>
            <w:pPr>
              <w:ind w:left="60"/>
              <w:spacing w:after="0"/>
              <w:rPr>
                <w:sz w:val="20"/>
                <w:szCs w:val="20"/>
                <w:color w:val="auto"/>
              </w:rPr>
            </w:pPr>
            <w:r>
              <w:rPr>
                <w:rFonts w:ascii="Arial" w:cs="Arial" w:eastAsia="Arial" w:hAnsi="Arial"/>
                <w:sz w:val="14"/>
                <w:szCs w:val="14"/>
                <w:color w:val="auto"/>
              </w:rPr>
              <w:t>focused on novel device solutions for coronary artery disease (2009 to 2011); CEO of Labcoat, Ltd., a development-stage</w:t>
            </w:r>
          </w:p>
        </w:tc>
        <w:tc>
          <w:tcPr>
            <w:tcW w:w="0" w:type="dxa"/>
            <w:vAlign w:val="bottom"/>
          </w:tcPr>
          <w:p>
            <w:pPr>
              <w:spacing w:after="0"/>
              <w:rPr>
                <w:sz w:val="1"/>
                <w:szCs w:val="1"/>
                <w:color w:val="auto"/>
              </w:rPr>
            </w:pPr>
          </w:p>
        </w:tc>
      </w:tr>
      <w:tr>
        <w:trPr>
          <w:trHeight w:val="162"/>
        </w:trPr>
        <w:tc>
          <w:tcPr>
            <w:tcW w:w="1200" w:type="dxa"/>
            <w:vAlign w:val="bottom"/>
          </w:tcPr>
          <w:p>
            <w:pPr>
              <w:spacing w:after="0"/>
              <w:rPr>
                <w:sz w:val="14"/>
                <w:szCs w:val="14"/>
                <w:color w:val="auto"/>
              </w:rPr>
            </w:pPr>
          </w:p>
        </w:tc>
        <w:tc>
          <w:tcPr>
            <w:tcW w:w="7900" w:type="dxa"/>
            <w:vAlign w:val="bottom"/>
            <w:gridSpan w:val="2"/>
          </w:tcPr>
          <w:p>
            <w:pPr>
              <w:ind w:left="60"/>
              <w:spacing w:after="0"/>
              <w:rPr>
                <w:sz w:val="20"/>
                <w:szCs w:val="20"/>
                <w:color w:val="auto"/>
              </w:rPr>
            </w:pPr>
            <w:r>
              <w:rPr>
                <w:rFonts w:ascii="Arial" w:cs="Arial" w:eastAsia="Arial" w:hAnsi="Arial"/>
                <w:sz w:val="14"/>
                <w:szCs w:val="14"/>
                <w:color w:val="auto"/>
              </w:rPr>
              <w:t>drug-eluting stent technology company, from 2005 until its acquisition by Boston Scientific Corporation in 2008; Senior Vice</w:t>
            </w:r>
          </w:p>
        </w:tc>
        <w:tc>
          <w:tcPr>
            <w:tcW w:w="0" w:type="dxa"/>
            <w:vAlign w:val="bottom"/>
          </w:tcPr>
          <w:p>
            <w:pPr>
              <w:spacing w:after="0"/>
              <w:rPr>
                <w:sz w:val="1"/>
                <w:szCs w:val="1"/>
                <w:color w:val="auto"/>
              </w:rPr>
            </w:pPr>
          </w:p>
        </w:tc>
      </w:tr>
      <w:tr>
        <w:trPr>
          <w:trHeight w:val="162"/>
        </w:trPr>
        <w:tc>
          <w:tcPr>
            <w:tcW w:w="1200" w:type="dxa"/>
            <w:vAlign w:val="bottom"/>
          </w:tcPr>
          <w:p>
            <w:pPr>
              <w:spacing w:after="0"/>
              <w:rPr>
                <w:sz w:val="14"/>
                <w:szCs w:val="14"/>
                <w:color w:val="auto"/>
              </w:rPr>
            </w:pPr>
          </w:p>
        </w:tc>
        <w:tc>
          <w:tcPr>
            <w:tcW w:w="7900" w:type="dxa"/>
            <w:vAlign w:val="bottom"/>
            <w:gridSpan w:val="2"/>
          </w:tcPr>
          <w:p>
            <w:pPr>
              <w:ind w:left="60"/>
              <w:spacing w:after="0"/>
              <w:rPr>
                <w:sz w:val="20"/>
                <w:szCs w:val="20"/>
                <w:color w:val="auto"/>
              </w:rPr>
            </w:pPr>
            <w:r>
              <w:rPr>
                <w:rFonts w:ascii="Arial" w:cs="Arial" w:eastAsia="Arial" w:hAnsi="Arial"/>
                <w:sz w:val="14"/>
                <w:szCs w:val="14"/>
                <w:color w:val="auto"/>
              </w:rPr>
              <w:t>President, Chief Science Officer and Executive Committee Member of Boston Scientific, a medical device manufacturer (2000</w:t>
            </w:r>
          </w:p>
        </w:tc>
        <w:tc>
          <w:tcPr>
            <w:tcW w:w="0" w:type="dxa"/>
            <w:vAlign w:val="bottom"/>
          </w:tcPr>
          <w:p>
            <w:pPr>
              <w:spacing w:after="0"/>
              <w:rPr>
                <w:sz w:val="1"/>
                <w:szCs w:val="1"/>
                <w:color w:val="auto"/>
              </w:rPr>
            </w:pPr>
          </w:p>
        </w:tc>
      </w:tr>
      <w:tr>
        <w:trPr>
          <w:trHeight w:val="162"/>
        </w:trPr>
        <w:tc>
          <w:tcPr>
            <w:tcW w:w="1200" w:type="dxa"/>
            <w:vAlign w:val="bottom"/>
          </w:tcPr>
          <w:p>
            <w:pPr>
              <w:spacing w:after="0"/>
              <w:rPr>
                <w:sz w:val="14"/>
                <w:szCs w:val="14"/>
                <w:color w:val="auto"/>
              </w:rPr>
            </w:pPr>
          </w:p>
        </w:tc>
        <w:tc>
          <w:tcPr>
            <w:tcW w:w="7900" w:type="dxa"/>
            <w:vAlign w:val="bottom"/>
            <w:gridSpan w:val="2"/>
          </w:tcPr>
          <w:p>
            <w:pPr>
              <w:ind w:left="60"/>
              <w:spacing w:after="0"/>
              <w:rPr>
                <w:sz w:val="20"/>
                <w:szCs w:val="20"/>
                <w:color w:val="auto"/>
              </w:rPr>
            </w:pPr>
            <w:r>
              <w:rPr>
                <w:rFonts w:ascii="Arial" w:cs="Arial" w:eastAsia="Arial" w:hAnsi="Arial"/>
                <w:sz w:val="14"/>
                <w:szCs w:val="14"/>
                <w:color w:val="auto"/>
              </w:rPr>
              <w:t>to 2005); and Senior Vice President, Corporate Officer and Chief Development Officer at Boston Scientific (1994 to 2000).</w:t>
            </w:r>
          </w:p>
        </w:tc>
        <w:tc>
          <w:tcPr>
            <w:tcW w:w="0" w:type="dxa"/>
            <w:vAlign w:val="bottom"/>
          </w:tcPr>
          <w:p>
            <w:pPr>
              <w:spacing w:after="0"/>
              <w:rPr>
                <w:sz w:val="1"/>
                <w:szCs w:val="1"/>
                <w:color w:val="auto"/>
              </w:rPr>
            </w:pPr>
          </w:p>
        </w:tc>
      </w:tr>
      <w:tr>
        <w:trPr>
          <w:trHeight w:val="162"/>
        </w:trPr>
        <w:tc>
          <w:tcPr>
            <w:tcW w:w="1200" w:type="dxa"/>
            <w:vAlign w:val="bottom"/>
          </w:tcPr>
          <w:p>
            <w:pPr>
              <w:spacing w:after="0"/>
              <w:rPr>
                <w:sz w:val="14"/>
                <w:szCs w:val="14"/>
                <w:color w:val="auto"/>
              </w:rPr>
            </w:pPr>
          </w:p>
        </w:tc>
        <w:tc>
          <w:tcPr>
            <w:tcW w:w="7900" w:type="dxa"/>
            <w:vAlign w:val="bottom"/>
            <w:gridSpan w:val="2"/>
          </w:tcPr>
          <w:p>
            <w:pPr>
              <w:ind w:left="60"/>
              <w:spacing w:after="0"/>
              <w:rPr>
                <w:sz w:val="20"/>
                <w:szCs w:val="20"/>
                <w:color w:val="auto"/>
              </w:rPr>
            </w:pPr>
            <w:r>
              <w:rPr>
                <w:rFonts w:ascii="Arial" w:cs="Arial" w:eastAsia="Arial" w:hAnsi="Arial"/>
                <w:sz w:val="14"/>
                <w:szCs w:val="14"/>
                <w:color w:val="auto"/>
              </w:rPr>
              <w:t>Dr. Rosenthal earned his Bachelor Degree in Bacteriology from the University of Connecticut and a Ph.D in Biochemistry from</w:t>
            </w:r>
          </w:p>
        </w:tc>
        <w:tc>
          <w:tcPr>
            <w:tcW w:w="0" w:type="dxa"/>
            <w:vAlign w:val="bottom"/>
          </w:tcPr>
          <w:p>
            <w:pPr>
              <w:spacing w:after="0"/>
              <w:rPr>
                <w:sz w:val="1"/>
                <w:szCs w:val="1"/>
                <w:color w:val="auto"/>
              </w:rPr>
            </w:pPr>
          </w:p>
        </w:tc>
      </w:tr>
      <w:tr>
        <w:trPr>
          <w:trHeight w:val="178"/>
        </w:trPr>
        <w:tc>
          <w:tcPr>
            <w:tcW w:w="1200" w:type="dxa"/>
            <w:vAlign w:val="bottom"/>
            <w:vMerge w:val="restart"/>
          </w:tcPr>
          <w:p>
            <w:pPr>
              <w:spacing w:after="0"/>
              <w:rPr>
                <w:sz w:val="20"/>
                <w:szCs w:val="20"/>
                <w:color w:val="auto"/>
              </w:rPr>
            </w:pPr>
            <w:r>
              <w:rPr>
                <w:rFonts w:ascii="Arial" w:cs="Arial" w:eastAsia="Arial" w:hAnsi="Arial"/>
                <w:sz w:val="13"/>
                <w:szCs w:val="13"/>
                <w:b w:val="1"/>
                <w:bCs w:val="1"/>
                <w:color w:val="FF4C4C"/>
              </w:rPr>
              <w:t>INDEPENDENT</w:t>
            </w:r>
          </w:p>
        </w:tc>
        <w:tc>
          <w:tcPr>
            <w:tcW w:w="3320" w:type="dxa"/>
            <w:vAlign w:val="bottom"/>
            <w:tcBorders>
              <w:bottom w:val="single" w:sz="8" w:color="auto"/>
            </w:tcBorders>
          </w:tcPr>
          <w:p>
            <w:pPr>
              <w:ind w:left="60"/>
              <w:spacing w:after="0"/>
              <w:rPr>
                <w:sz w:val="20"/>
                <w:szCs w:val="20"/>
                <w:color w:val="auto"/>
              </w:rPr>
            </w:pPr>
            <w:r>
              <w:rPr>
                <w:rFonts w:ascii="Arial" w:cs="Arial" w:eastAsia="Arial" w:hAnsi="Arial"/>
                <w:sz w:val="14"/>
                <w:szCs w:val="14"/>
                <w:color w:val="auto"/>
              </w:rPr>
              <w:t>the University of Massachusetts.</w:t>
            </w:r>
          </w:p>
        </w:tc>
        <w:tc>
          <w:tcPr>
            <w:tcW w:w="458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78"/>
        </w:trPr>
        <w:tc>
          <w:tcPr>
            <w:tcW w:w="1200" w:type="dxa"/>
            <w:vAlign w:val="bottom"/>
            <w:vMerge w:val="continue"/>
          </w:tcPr>
          <w:p>
            <w:pPr>
              <w:spacing w:after="0"/>
              <w:rPr>
                <w:sz w:val="6"/>
                <w:szCs w:val="6"/>
                <w:color w:val="auto"/>
              </w:rPr>
            </w:pPr>
          </w:p>
        </w:tc>
        <w:tc>
          <w:tcPr>
            <w:tcW w:w="3320" w:type="dxa"/>
            <w:vAlign w:val="bottom"/>
            <w:vMerge w:val="restart"/>
          </w:tcPr>
          <w:p>
            <w:pPr>
              <w:ind w:left="60"/>
              <w:spacing w:after="0"/>
              <w:rPr>
                <w:sz w:val="20"/>
                <w:szCs w:val="20"/>
                <w:color w:val="auto"/>
              </w:rPr>
            </w:pPr>
            <w:r>
              <w:rPr>
                <w:rFonts w:ascii="Arial" w:cs="Arial" w:eastAsia="Arial" w:hAnsi="Arial"/>
                <w:sz w:val="14"/>
                <w:szCs w:val="14"/>
                <w:b w:val="1"/>
                <w:bCs w:val="1"/>
                <w:color w:val="4800E6"/>
              </w:rPr>
              <w:t>Committees:</w:t>
            </w:r>
          </w:p>
        </w:tc>
        <w:tc>
          <w:tcPr>
            <w:tcW w:w="4580" w:type="dxa"/>
            <w:vAlign w:val="bottom"/>
            <w:vMerge w:val="restart"/>
          </w:tcPr>
          <w:p>
            <w:pPr>
              <w:ind w:left="720"/>
              <w:spacing w:after="0"/>
              <w:rPr>
                <w:sz w:val="20"/>
                <w:szCs w:val="20"/>
                <w:color w:val="auto"/>
              </w:rPr>
            </w:pPr>
            <w:r>
              <w:rPr>
                <w:rFonts w:ascii="Arial" w:cs="Arial" w:eastAsia="Arial" w:hAnsi="Arial"/>
                <w:sz w:val="14"/>
                <w:szCs w:val="14"/>
                <w:b w:val="1"/>
                <w:bCs w:val="1"/>
                <w:color w:val="4800E6"/>
              </w:rPr>
              <w:t>Former Public Company Directorships During the Past</w:t>
            </w:r>
          </w:p>
        </w:tc>
        <w:tc>
          <w:tcPr>
            <w:tcW w:w="0" w:type="dxa"/>
            <w:vAlign w:val="bottom"/>
          </w:tcPr>
          <w:p>
            <w:pPr>
              <w:spacing w:after="0"/>
              <w:rPr>
                <w:sz w:val="1"/>
                <w:szCs w:val="1"/>
                <w:color w:val="auto"/>
              </w:rPr>
            </w:pPr>
          </w:p>
        </w:tc>
      </w:tr>
      <w:tr>
        <w:trPr>
          <w:trHeight w:val="97"/>
        </w:trPr>
        <w:tc>
          <w:tcPr>
            <w:tcW w:w="1200" w:type="dxa"/>
            <w:vAlign w:val="bottom"/>
          </w:tcPr>
          <w:p>
            <w:pPr>
              <w:spacing w:after="0"/>
              <w:rPr>
                <w:sz w:val="8"/>
                <w:szCs w:val="8"/>
                <w:color w:val="auto"/>
              </w:rPr>
            </w:pPr>
          </w:p>
        </w:tc>
        <w:tc>
          <w:tcPr>
            <w:tcW w:w="3320" w:type="dxa"/>
            <w:vAlign w:val="bottom"/>
            <w:vMerge w:val="continue"/>
          </w:tcPr>
          <w:p>
            <w:pPr>
              <w:spacing w:after="0"/>
              <w:rPr>
                <w:sz w:val="8"/>
                <w:szCs w:val="8"/>
                <w:color w:val="auto"/>
              </w:rPr>
            </w:pPr>
          </w:p>
        </w:tc>
        <w:tc>
          <w:tcPr>
            <w:tcW w:w="458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93"/>
        </w:trPr>
        <w:tc>
          <w:tcPr>
            <w:tcW w:w="1200" w:type="dxa"/>
            <w:vAlign w:val="bottom"/>
          </w:tcPr>
          <w:p>
            <w:pPr>
              <w:spacing w:after="0"/>
              <w:rPr>
                <w:sz w:val="20"/>
                <w:szCs w:val="20"/>
                <w:color w:val="auto"/>
              </w:rPr>
            </w:pPr>
            <w:r>
              <w:rPr>
                <w:rFonts w:ascii="Arial" w:cs="Arial" w:eastAsia="Arial" w:hAnsi="Arial"/>
                <w:sz w:val="13"/>
                <w:szCs w:val="13"/>
                <w:color w:val="auto"/>
              </w:rPr>
              <w:t>Age 73</w:t>
            </w:r>
          </w:p>
        </w:tc>
        <w:tc>
          <w:tcPr>
            <w:tcW w:w="3320" w:type="dxa"/>
            <w:vAlign w:val="bottom"/>
          </w:tcPr>
          <w:p>
            <w:pPr>
              <w:ind w:left="60"/>
              <w:spacing w:after="0"/>
              <w:rPr>
                <w:sz w:val="20"/>
                <w:szCs w:val="20"/>
                <w:color w:val="auto"/>
              </w:rPr>
            </w:pPr>
            <w:r>
              <w:rPr>
                <w:rFonts w:ascii="Arial" w:cs="Arial" w:eastAsia="Arial" w:hAnsi="Arial"/>
                <w:sz w:val="14"/>
                <w:szCs w:val="14"/>
                <w:color w:val="4800E6"/>
              </w:rPr>
              <w:t xml:space="preserve">• </w:t>
            </w:r>
            <w:r>
              <w:rPr>
                <w:rFonts w:ascii="Arial" w:cs="Arial" w:eastAsia="Arial" w:hAnsi="Arial"/>
                <w:sz w:val="14"/>
                <w:szCs w:val="14"/>
                <w:color w:val="000000"/>
              </w:rPr>
              <w:t>Compensation (Chair)</w:t>
            </w:r>
          </w:p>
        </w:tc>
        <w:tc>
          <w:tcPr>
            <w:tcW w:w="4580" w:type="dxa"/>
            <w:vAlign w:val="bottom"/>
          </w:tcPr>
          <w:p>
            <w:pPr>
              <w:ind w:left="720"/>
              <w:spacing w:after="0"/>
              <w:rPr>
                <w:sz w:val="20"/>
                <w:szCs w:val="20"/>
                <w:color w:val="auto"/>
              </w:rPr>
            </w:pPr>
            <w:r>
              <w:rPr>
                <w:rFonts w:ascii="Arial" w:cs="Arial" w:eastAsia="Arial" w:hAnsi="Arial"/>
                <w:sz w:val="14"/>
                <w:szCs w:val="14"/>
                <w:b w:val="1"/>
                <w:bCs w:val="1"/>
                <w:color w:val="4800E6"/>
              </w:rPr>
              <w:t>Five Years:</w:t>
            </w:r>
          </w:p>
        </w:tc>
        <w:tc>
          <w:tcPr>
            <w:tcW w:w="0" w:type="dxa"/>
            <w:vAlign w:val="bottom"/>
          </w:tcPr>
          <w:p>
            <w:pPr>
              <w:spacing w:after="0"/>
              <w:rPr>
                <w:sz w:val="1"/>
                <w:szCs w:val="1"/>
                <w:color w:val="auto"/>
              </w:rPr>
            </w:pPr>
          </w:p>
        </w:tc>
      </w:tr>
      <w:tr>
        <w:trPr>
          <w:trHeight w:val="172"/>
        </w:trPr>
        <w:tc>
          <w:tcPr>
            <w:tcW w:w="1200" w:type="dxa"/>
            <w:vAlign w:val="bottom"/>
            <w:vMerge w:val="restart"/>
          </w:tcPr>
          <w:p>
            <w:pPr>
              <w:spacing w:after="0"/>
              <w:rPr>
                <w:sz w:val="20"/>
                <w:szCs w:val="20"/>
                <w:color w:val="auto"/>
              </w:rPr>
            </w:pPr>
            <w:r>
              <w:rPr>
                <w:rFonts w:ascii="Arial" w:cs="Arial" w:eastAsia="Arial" w:hAnsi="Arial"/>
                <w:sz w:val="13"/>
                <w:szCs w:val="13"/>
                <w:color w:val="auto"/>
              </w:rPr>
              <w:t>Director</w:t>
            </w:r>
          </w:p>
        </w:tc>
        <w:tc>
          <w:tcPr>
            <w:tcW w:w="3320" w:type="dxa"/>
            <w:vAlign w:val="bottom"/>
          </w:tcPr>
          <w:p>
            <w:pPr>
              <w:spacing w:after="0"/>
              <w:rPr>
                <w:sz w:val="14"/>
                <w:szCs w:val="14"/>
                <w:color w:val="auto"/>
              </w:rPr>
            </w:pPr>
          </w:p>
        </w:tc>
        <w:tc>
          <w:tcPr>
            <w:tcW w:w="4580" w:type="dxa"/>
            <w:vAlign w:val="bottom"/>
          </w:tcPr>
          <w:p>
            <w:pPr>
              <w:ind w:left="720"/>
              <w:spacing w:after="0"/>
              <w:rPr>
                <w:sz w:val="20"/>
                <w:szCs w:val="20"/>
                <w:color w:val="auto"/>
              </w:rPr>
            </w:pPr>
            <w:r>
              <w:rPr>
                <w:rFonts w:ascii="Arial" w:cs="Arial" w:eastAsia="Arial" w:hAnsi="Arial"/>
                <w:sz w:val="14"/>
                <w:szCs w:val="14"/>
                <w:color w:val="4800E6"/>
              </w:rPr>
              <w:t xml:space="preserve">• </w:t>
            </w:r>
            <w:r>
              <w:rPr>
                <w:rFonts w:ascii="Arial" w:cs="Arial" w:eastAsia="Arial" w:hAnsi="Arial"/>
                <w:sz w:val="14"/>
                <w:szCs w:val="14"/>
                <w:color w:val="000000"/>
              </w:rPr>
              <w:t>Cyberonics, Inc.; Arch Therapeutics, Inc.</w:t>
            </w:r>
          </w:p>
        </w:tc>
        <w:tc>
          <w:tcPr>
            <w:tcW w:w="0" w:type="dxa"/>
            <w:vAlign w:val="bottom"/>
          </w:tcPr>
          <w:p>
            <w:pPr>
              <w:spacing w:after="0"/>
              <w:rPr>
                <w:sz w:val="1"/>
                <w:szCs w:val="1"/>
                <w:color w:val="auto"/>
              </w:rPr>
            </w:pPr>
          </w:p>
        </w:tc>
      </w:tr>
      <w:tr>
        <w:trPr>
          <w:trHeight w:val="76"/>
        </w:trPr>
        <w:tc>
          <w:tcPr>
            <w:tcW w:w="1200" w:type="dxa"/>
            <w:vAlign w:val="bottom"/>
            <w:vMerge w:val="continue"/>
          </w:tcPr>
          <w:p>
            <w:pPr>
              <w:spacing w:after="0"/>
              <w:rPr>
                <w:sz w:val="6"/>
                <w:szCs w:val="6"/>
                <w:color w:val="auto"/>
              </w:rPr>
            </w:pPr>
          </w:p>
        </w:tc>
        <w:tc>
          <w:tcPr>
            <w:tcW w:w="3320" w:type="dxa"/>
            <w:vAlign w:val="bottom"/>
            <w:vMerge w:val="restart"/>
          </w:tcPr>
          <w:p>
            <w:pPr>
              <w:ind w:left="60"/>
              <w:spacing w:after="0"/>
              <w:rPr>
                <w:sz w:val="20"/>
                <w:szCs w:val="20"/>
                <w:color w:val="auto"/>
              </w:rPr>
            </w:pPr>
            <w:r>
              <w:rPr>
                <w:rFonts w:ascii="Arial" w:cs="Arial" w:eastAsia="Arial" w:hAnsi="Arial"/>
                <w:sz w:val="14"/>
                <w:szCs w:val="14"/>
                <w:b w:val="1"/>
                <w:bCs w:val="1"/>
                <w:color w:val="4800E6"/>
              </w:rPr>
              <w:t>Other Public Company Directorships:</w:t>
            </w:r>
          </w:p>
        </w:tc>
        <w:tc>
          <w:tcPr>
            <w:tcW w:w="458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70"/>
        </w:trPr>
        <w:tc>
          <w:tcPr>
            <w:tcW w:w="1200" w:type="dxa"/>
            <w:vAlign w:val="bottom"/>
          </w:tcPr>
          <w:p>
            <w:pPr>
              <w:spacing w:after="0"/>
              <w:rPr>
                <w:sz w:val="20"/>
                <w:szCs w:val="20"/>
                <w:color w:val="auto"/>
              </w:rPr>
            </w:pPr>
            <w:r>
              <w:rPr>
                <w:rFonts w:ascii="Arial" w:cs="Arial" w:eastAsia="Arial" w:hAnsi="Arial"/>
                <w:sz w:val="13"/>
                <w:szCs w:val="13"/>
                <w:color w:val="auto"/>
              </w:rPr>
              <w:t xml:space="preserve">since </w:t>
            </w:r>
            <w:r>
              <w:rPr>
                <w:rFonts w:ascii="Arial" w:cs="Arial" w:eastAsia="Arial" w:hAnsi="Arial"/>
                <w:sz w:val="13"/>
                <w:szCs w:val="13"/>
                <w:b w:val="1"/>
                <w:bCs w:val="1"/>
                <w:color w:val="4800E6"/>
              </w:rPr>
              <w:t>2015</w:t>
            </w:r>
          </w:p>
        </w:tc>
        <w:tc>
          <w:tcPr>
            <w:tcW w:w="3320" w:type="dxa"/>
            <w:vAlign w:val="bottom"/>
            <w:vMerge w:val="continue"/>
          </w:tcPr>
          <w:p>
            <w:pPr>
              <w:spacing w:after="0"/>
              <w:rPr>
                <w:sz w:val="14"/>
                <w:szCs w:val="14"/>
                <w:color w:val="auto"/>
              </w:rPr>
            </w:pPr>
          </w:p>
        </w:tc>
        <w:tc>
          <w:tcPr>
            <w:tcW w:w="4580" w:type="dxa"/>
            <w:vAlign w:val="bottom"/>
            <w:vMerge w:val="restart"/>
          </w:tcPr>
          <w:p>
            <w:pPr>
              <w:ind w:left="720"/>
              <w:spacing w:after="0"/>
              <w:rPr>
                <w:sz w:val="20"/>
                <w:szCs w:val="20"/>
                <w:color w:val="auto"/>
              </w:rPr>
            </w:pPr>
            <w:r>
              <w:rPr>
                <w:rFonts w:ascii="Arial" w:cs="Arial" w:eastAsia="Arial" w:hAnsi="Arial"/>
                <w:sz w:val="14"/>
                <w:szCs w:val="14"/>
                <w:b w:val="1"/>
                <w:bCs w:val="1"/>
                <w:color w:val="4800E6"/>
              </w:rPr>
              <w:t>Director Skills and Qualifications:</w:t>
            </w:r>
          </w:p>
        </w:tc>
        <w:tc>
          <w:tcPr>
            <w:tcW w:w="0" w:type="dxa"/>
            <w:vAlign w:val="bottom"/>
          </w:tcPr>
          <w:p>
            <w:pPr>
              <w:spacing w:after="0"/>
              <w:rPr>
                <w:sz w:val="1"/>
                <w:szCs w:val="1"/>
                <w:color w:val="auto"/>
              </w:rPr>
            </w:pPr>
          </w:p>
        </w:tc>
      </w:tr>
      <w:tr>
        <w:trPr>
          <w:trHeight w:val="175"/>
        </w:trPr>
        <w:tc>
          <w:tcPr>
            <w:tcW w:w="1200" w:type="dxa"/>
            <w:vAlign w:val="bottom"/>
          </w:tcPr>
          <w:p>
            <w:pPr>
              <w:spacing w:after="0"/>
              <w:rPr>
                <w:sz w:val="20"/>
                <w:szCs w:val="20"/>
                <w:color w:val="auto"/>
              </w:rPr>
            </w:pPr>
            <w:r>
              <w:rPr>
                <w:rFonts w:ascii="Arial" w:cs="Arial" w:eastAsia="Arial" w:hAnsi="Arial"/>
                <w:sz w:val="13"/>
                <w:szCs w:val="13"/>
                <w:color w:val="auto"/>
              </w:rPr>
              <w:t>Retired CEO</w:t>
            </w:r>
          </w:p>
        </w:tc>
        <w:tc>
          <w:tcPr>
            <w:tcW w:w="3320" w:type="dxa"/>
            <w:vAlign w:val="bottom"/>
          </w:tcPr>
          <w:p>
            <w:pPr>
              <w:ind w:left="60"/>
              <w:spacing w:after="0"/>
              <w:rPr>
                <w:sz w:val="20"/>
                <w:szCs w:val="20"/>
                <w:color w:val="auto"/>
              </w:rPr>
            </w:pPr>
            <w:r>
              <w:rPr>
                <w:rFonts w:ascii="Arial" w:cs="Arial" w:eastAsia="Arial" w:hAnsi="Arial"/>
                <w:sz w:val="14"/>
                <w:szCs w:val="14"/>
                <w:color w:val="4800E6"/>
              </w:rPr>
              <w:t xml:space="preserve">• </w:t>
            </w:r>
            <w:r>
              <w:rPr>
                <w:rFonts w:ascii="Arial" w:cs="Arial" w:eastAsia="Arial" w:hAnsi="Arial"/>
                <w:sz w:val="14"/>
                <w:szCs w:val="14"/>
                <w:color w:val="000000"/>
              </w:rPr>
              <w:t>Profound Medical Corp.</w:t>
            </w:r>
          </w:p>
        </w:tc>
        <w:tc>
          <w:tcPr>
            <w:tcW w:w="458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bl>
    <w:p>
      <w:pPr>
        <w:spacing w:after="0" w:line="1" w:lineRule="exact"/>
        <w:rPr>
          <w:sz w:val="20"/>
          <w:szCs w:val="20"/>
          <w:color w:val="auto"/>
        </w:rPr>
      </w:pPr>
    </w:p>
    <w:tbl>
      <w:tblPr>
        <w:tblLayout w:type="fixed"/>
        <w:tblInd w:w="760" w:type="dxa"/>
        <w:tblCellMar>
          <w:top w:w="0" w:type="dxa"/>
          <w:left w:w="0" w:type="dxa"/>
          <w:bottom w:w="0" w:type="dxa"/>
          <w:right w:w="0" w:type="dxa"/>
        </w:tblCellMar>
      </w:tblPr>
      <w:tr>
        <w:trPr>
          <w:trHeight w:val="162"/>
        </w:trPr>
        <w:tc>
          <w:tcPr>
            <w:tcW w:w="3080" w:type="dxa"/>
            <w:vAlign w:val="bottom"/>
            <w:vMerge w:val="restart"/>
          </w:tcPr>
          <w:p>
            <w:pPr>
              <w:ind w:left="80"/>
              <w:spacing w:after="0"/>
              <w:rPr>
                <w:sz w:val="20"/>
                <w:szCs w:val="20"/>
                <w:color w:val="auto"/>
              </w:rPr>
            </w:pPr>
            <w:r>
              <w:rPr>
                <w:rFonts w:ascii="Arial" w:cs="Arial" w:eastAsia="Arial" w:hAnsi="Arial"/>
                <w:sz w:val="13"/>
                <w:szCs w:val="13"/>
                <w:color w:val="auto"/>
              </w:rPr>
              <w:t>EyeCue, Inc.</w:t>
            </w:r>
          </w:p>
        </w:tc>
        <w:tc>
          <w:tcPr>
            <w:tcW w:w="6100" w:type="dxa"/>
            <w:vAlign w:val="bottom"/>
          </w:tcPr>
          <w:p>
            <w:pPr>
              <w:ind w:left="2240"/>
              <w:spacing w:after="0"/>
              <w:rPr>
                <w:sz w:val="20"/>
                <w:szCs w:val="20"/>
                <w:color w:val="auto"/>
              </w:rPr>
            </w:pPr>
            <w:r>
              <w:rPr>
                <w:rFonts w:ascii="Arial" w:cs="Arial" w:eastAsia="Arial" w:hAnsi="Arial"/>
                <w:sz w:val="14"/>
                <w:szCs w:val="14"/>
                <w:color w:val="4800E6"/>
              </w:rPr>
              <w:t xml:space="preserve">• </w:t>
            </w:r>
            <w:r>
              <w:rPr>
                <w:rFonts w:ascii="Arial" w:cs="Arial" w:eastAsia="Arial" w:hAnsi="Arial"/>
                <w:sz w:val="14"/>
                <w:szCs w:val="14"/>
                <w:color w:val="000000"/>
              </w:rPr>
              <w:t>For more than 40 years, Dr. Rosenthal has developed</w:t>
            </w:r>
          </w:p>
        </w:tc>
        <w:tc>
          <w:tcPr>
            <w:tcW w:w="0" w:type="dxa"/>
            <w:vAlign w:val="bottom"/>
          </w:tcPr>
          <w:p>
            <w:pPr>
              <w:spacing w:after="0"/>
              <w:rPr>
                <w:sz w:val="1"/>
                <w:szCs w:val="1"/>
                <w:color w:val="auto"/>
              </w:rPr>
            </w:pPr>
          </w:p>
        </w:tc>
      </w:tr>
      <w:tr>
        <w:trPr>
          <w:trHeight w:val="62"/>
        </w:trPr>
        <w:tc>
          <w:tcPr>
            <w:tcW w:w="3080" w:type="dxa"/>
            <w:vAlign w:val="bottom"/>
            <w:vMerge w:val="continue"/>
          </w:tcPr>
          <w:p>
            <w:pPr>
              <w:spacing w:after="0"/>
              <w:rPr>
                <w:sz w:val="5"/>
                <w:szCs w:val="5"/>
                <w:color w:val="auto"/>
              </w:rPr>
            </w:pPr>
          </w:p>
        </w:tc>
        <w:tc>
          <w:tcPr>
            <w:tcW w:w="6100" w:type="dxa"/>
            <w:vAlign w:val="bottom"/>
            <w:vMerge w:val="restart"/>
          </w:tcPr>
          <w:p>
            <w:pPr>
              <w:ind w:left="2380"/>
              <w:spacing w:after="0"/>
              <w:rPr>
                <w:sz w:val="20"/>
                <w:szCs w:val="20"/>
                <w:color w:val="auto"/>
              </w:rPr>
            </w:pPr>
            <w:r>
              <w:rPr>
                <w:rFonts w:ascii="Arial" w:cs="Arial" w:eastAsia="Arial" w:hAnsi="Arial"/>
                <w:sz w:val="14"/>
                <w:szCs w:val="14"/>
                <w:color w:val="auto"/>
              </w:rPr>
              <w:t>medical device technologies as an individual contributor,</w:t>
            </w:r>
          </w:p>
        </w:tc>
        <w:tc>
          <w:tcPr>
            <w:tcW w:w="0" w:type="dxa"/>
            <w:vAlign w:val="bottom"/>
          </w:tcPr>
          <w:p>
            <w:pPr>
              <w:spacing w:after="0"/>
              <w:rPr>
                <w:sz w:val="1"/>
                <w:szCs w:val="1"/>
                <w:color w:val="auto"/>
              </w:rPr>
            </w:pPr>
          </w:p>
        </w:tc>
      </w:tr>
      <w:tr>
        <w:trPr>
          <w:trHeight w:val="100"/>
        </w:trPr>
        <w:tc>
          <w:tcPr>
            <w:tcW w:w="3080" w:type="dxa"/>
            <w:vAlign w:val="bottom"/>
          </w:tcPr>
          <w:p>
            <w:pPr>
              <w:spacing w:after="0"/>
              <w:rPr>
                <w:sz w:val="8"/>
                <w:szCs w:val="8"/>
                <w:color w:val="auto"/>
              </w:rPr>
            </w:pPr>
          </w:p>
        </w:tc>
        <w:tc>
          <w:tcPr>
            <w:tcW w:w="610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62"/>
        </w:trPr>
        <w:tc>
          <w:tcPr>
            <w:tcW w:w="3080" w:type="dxa"/>
            <w:vAlign w:val="bottom"/>
          </w:tcPr>
          <w:p>
            <w:pPr>
              <w:spacing w:after="0"/>
              <w:rPr>
                <w:sz w:val="14"/>
                <w:szCs w:val="14"/>
                <w:color w:val="auto"/>
              </w:rPr>
            </w:pPr>
          </w:p>
        </w:tc>
        <w:tc>
          <w:tcPr>
            <w:tcW w:w="6100" w:type="dxa"/>
            <w:vAlign w:val="bottom"/>
          </w:tcPr>
          <w:p>
            <w:pPr>
              <w:ind w:left="2380"/>
              <w:spacing w:after="0"/>
              <w:rPr>
                <w:sz w:val="20"/>
                <w:szCs w:val="20"/>
                <w:color w:val="auto"/>
              </w:rPr>
            </w:pPr>
            <w:r>
              <w:rPr>
                <w:rFonts w:ascii="Arial" w:cs="Arial" w:eastAsia="Arial" w:hAnsi="Arial"/>
                <w:sz w:val="14"/>
                <w:szCs w:val="14"/>
                <w:color w:val="auto"/>
              </w:rPr>
              <w:t>technology executive and serial entrepreneur. He has</w:t>
            </w:r>
          </w:p>
        </w:tc>
        <w:tc>
          <w:tcPr>
            <w:tcW w:w="0" w:type="dxa"/>
            <w:vAlign w:val="bottom"/>
          </w:tcPr>
          <w:p>
            <w:pPr>
              <w:spacing w:after="0"/>
              <w:rPr>
                <w:sz w:val="1"/>
                <w:szCs w:val="1"/>
                <w:color w:val="auto"/>
              </w:rPr>
            </w:pPr>
          </w:p>
        </w:tc>
      </w:tr>
      <w:tr>
        <w:trPr>
          <w:trHeight w:val="162"/>
        </w:trPr>
        <w:tc>
          <w:tcPr>
            <w:tcW w:w="3080" w:type="dxa"/>
            <w:vAlign w:val="bottom"/>
          </w:tcPr>
          <w:p>
            <w:pPr>
              <w:spacing w:after="0"/>
              <w:rPr>
                <w:sz w:val="14"/>
                <w:szCs w:val="14"/>
                <w:color w:val="auto"/>
              </w:rPr>
            </w:pPr>
          </w:p>
        </w:tc>
        <w:tc>
          <w:tcPr>
            <w:tcW w:w="6100" w:type="dxa"/>
            <w:vAlign w:val="bottom"/>
          </w:tcPr>
          <w:p>
            <w:pPr>
              <w:ind w:left="2380"/>
              <w:spacing w:after="0"/>
              <w:rPr>
                <w:sz w:val="20"/>
                <w:szCs w:val="20"/>
                <w:color w:val="auto"/>
              </w:rPr>
            </w:pPr>
            <w:r>
              <w:rPr>
                <w:rFonts w:ascii="Arial" w:cs="Arial" w:eastAsia="Arial" w:hAnsi="Arial"/>
                <w:sz w:val="14"/>
                <w:szCs w:val="14"/>
                <w:color w:val="auto"/>
              </w:rPr>
              <w:t>extensive knowledge of regulatory and compliance</w:t>
            </w:r>
          </w:p>
        </w:tc>
        <w:tc>
          <w:tcPr>
            <w:tcW w:w="0" w:type="dxa"/>
            <w:vAlign w:val="bottom"/>
          </w:tcPr>
          <w:p>
            <w:pPr>
              <w:spacing w:after="0"/>
              <w:rPr>
                <w:sz w:val="1"/>
                <w:szCs w:val="1"/>
                <w:color w:val="auto"/>
              </w:rPr>
            </w:pPr>
          </w:p>
        </w:tc>
      </w:tr>
      <w:tr>
        <w:trPr>
          <w:trHeight w:val="162"/>
        </w:trPr>
        <w:tc>
          <w:tcPr>
            <w:tcW w:w="3080" w:type="dxa"/>
            <w:vAlign w:val="bottom"/>
          </w:tcPr>
          <w:p>
            <w:pPr>
              <w:spacing w:after="0"/>
              <w:rPr>
                <w:sz w:val="14"/>
                <w:szCs w:val="14"/>
                <w:color w:val="auto"/>
              </w:rPr>
            </w:pPr>
          </w:p>
        </w:tc>
        <w:tc>
          <w:tcPr>
            <w:tcW w:w="6100" w:type="dxa"/>
            <w:vAlign w:val="bottom"/>
          </w:tcPr>
          <w:p>
            <w:pPr>
              <w:ind w:left="2380"/>
              <w:spacing w:after="0"/>
              <w:rPr>
                <w:sz w:val="20"/>
                <w:szCs w:val="20"/>
                <w:color w:val="auto"/>
              </w:rPr>
            </w:pPr>
            <w:r>
              <w:rPr>
                <w:rFonts w:ascii="Arial" w:cs="Arial" w:eastAsia="Arial" w:hAnsi="Arial"/>
                <w:sz w:val="14"/>
                <w:szCs w:val="14"/>
                <w:color w:val="auto"/>
              </w:rPr>
              <w:t>requirements pertaining to medical devices and</w:t>
            </w:r>
          </w:p>
        </w:tc>
        <w:tc>
          <w:tcPr>
            <w:tcW w:w="0" w:type="dxa"/>
            <w:vAlign w:val="bottom"/>
          </w:tcPr>
          <w:p>
            <w:pPr>
              <w:spacing w:after="0"/>
              <w:rPr>
                <w:sz w:val="1"/>
                <w:szCs w:val="1"/>
                <w:color w:val="auto"/>
              </w:rPr>
            </w:pPr>
          </w:p>
        </w:tc>
      </w:tr>
      <w:tr>
        <w:trPr>
          <w:trHeight w:val="162"/>
        </w:trPr>
        <w:tc>
          <w:tcPr>
            <w:tcW w:w="3080" w:type="dxa"/>
            <w:vAlign w:val="bottom"/>
          </w:tcPr>
          <w:p>
            <w:pPr>
              <w:spacing w:after="0"/>
              <w:rPr>
                <w:sz w:val="14"/>
                <w:szCs w:val="14"/>
                <w:color w:val="auto"/>
              </w:rPr>
            </w:pPr>
          </w:p>
        </w:tc>
        <w:tc>
          <w:tcPr>
            <w:tcW w:w="6100" w:type="dxa"/>
            <w:vAlign w:val="bottom"/>
          </w:tcPr>
          <w:p>
            <w:pPr>
              <w:ind w:left="2380"/>
              <w:spacing w:after="0"/>
              <w:rPr>
                <w:sz w:val="20"/>
                <w:szCs w:val="20"/>
                <w:color w:val="auto"/>
              </w:rPr>
            </w:pPr>
            <w:r>
              <w:rPr>
                <w:rFonts w:ascii="Arial" w:cs="Arial" w:eastAsia="Arial" w:hAnsi="Arial"/>
                <w:sz w:val="14"/>
                <w:szCs w:val="14"/>
                <w:color w:val="auto"/>
              </w:rPr>
              <w:t>experience with new product development and technology</w:t>
            </w:r>
          </w:p>
        </w:tc>
        <w:tc>
          <w:tcPr>
            <w:tcW w:w="0" w:type="dxa"/>
            <w:vAlign w:val="bottom"/>
          </w:tcPr>
          <w:p>
            <w:pPr>
              <w:spacing w:after="0"/>
              <w:rPr>
                <w:sz w:val="1"/>
                <w:szCs w:val="1"/>
                <w:color w:val="auto"/>
              </w:rPr>
            </w:pPr>
          </w:p>
        </w:tc>
      </w:tr>
      <w:tr>
        <w:trPr>
          <w:trHeight w:val="162"/>
        </w:trPr>
        <w:tc>
          <w:tcPr>
            <w:tcW w:w="3080" w:type="dxa"/>
            <w:vAlign w:val="bottom"/>
          </w:tcPr>
          <w:p>
            <w:pPr>
              <w:spacing w:after="0"/>
              <w:rPr>
                <w:sz w:val="14"/>
                <w:szCs w:val="14"/>
                <w:color w:val="auto"/>
              </w:rPr>
            </w:pPr>
          </w:p>
        </w:tc>
        <w:tc>
          <w:tcPr>
            <w:tcW w:w="6100" w:type="dxa"/>
            <w:vAlign w:val="bottom"/>
          </w:tcPr>
          <w:p>
            <w:pPr>
              <w:ind w:left="2380"/>
              <w:spacing w:after="0"/>
              <w:rPr>
                <w:sz w:val="20"/>
                <w:szCs w:val="20"/>
                <w:color w:val="auto"/>
              </w:rPr>
            </w:pPr>
            <w:r>
              <w:rPr>
                <w:rFonts w:ascii="Arial" w:cs="Arial" w:eastAsia="Arial" w:hAnsi="Arial"/>
                <w:sz w:val="14"/>
                <w:szCs w:val="14"/>
                <w:color w:val="auto"/>
              </w:rPr>
              <w:t>commercialization as well as having served as an</w:t>
            </w:r>
          </w:p>
        </w:tc>
        <w:tc>
          <w:tcPr>
            <w:tcW w:w="0" w:type="dxa"/>
            <w:vAlign w:val="bottom"/>
          </w:tcPr>
          <w:p>
            <w:pPr>
              <w:spacing w:after="0"/>
              <w:rPr>
                <w:sz w:val="1"/>
                <w:szCs w:val="1"/>
                <w:color w:val="auto"/>
              </w:rPr>
            </w:pPr>
          </w:p>
        </w:tc>
      </w:tr>
      <w:tr>
        <w:trPr>
          <w:trHeight w:val="162"/>
        </w:trPr>
        <w:tc>
          <w:tcPr>
            <w:tcW w:w="3080" w:type="dxa"/>
            <w:vAlign w:val="bottom"/>
          </w:tcPr>
          <w:p>
            <w:pPr>
              <w:spacing w:after="0"/>
              <w:rPr>
                <w:sz w:val="14"/>
                <w:szCs w:val="14"/>
                <w:color w:val="auto"/>
              </w:rPr>
            </w:pPr>
          </w:p>
        </w:tc>
        <w:tc>
          <w:tcPr>
            <w:tcW w:w="6100" w:type="dxa"/>
            <w:vAlign w:val="bottom"/>
          </w:tcPr>
          <w:p>
            <w:pPr>
              <w:ind w:left="2380"/>
              <w:spacing w:after="0"/>
              <w:rPr>
                <w:sz w:val="20"/>
                <w:szCs w:val="20"/>
                <w:color w:val="auto"/>
              </w:rPr>
            </w:pPr>
            <w:r>
              <w:rPr>
                <w:rFonts w:ascii="Arial" w:cs="Arial" w:eastAsia="Arial" w:hAnsi="Arial"/>
                <w:sz w:val="14"/>
                <w:szCs w:val="14"/>
                <w:color w:val="auto"/>
              </w:rPr>
              <w:t>operating executive with a major medical device</w:t>
            </w:r>
          </w:p>
        </w:tc>
        <w:tc>
          <w:tcPr>
            <w:tcW w:w="0" w:type="dxa"/>
            <w:vAlign w:val="bottom"/>
          </w:tcPr>
          <w:p>
            <w:pPr>
              <w:spacing w:after="0"/>
              <w:rPr>
                <w:sz w:val="1"/>
                <w:szCs w:val="1"/>
                <w:color w:val="auto"/>
              </w:rPr>
            </w:pPr>
          </w:p>
        </w:tc>
      </w:tr>
      <w:tr>
        <w:trPr>
          <w:trHeight w:val="144"/>
        </w:trPr>
        <w:tc>
          <w:tcPr>
            <w:tcW w:w="3080" w:type="dxa"/>
            <w:vAlign w:val="bottom"/>
            <w:tcBorders>
              <w:bottom w:val="single" w:sz="8" w:color="4800E6"/>
            </w:tcBorders>
          </w:tcPr>
          <w:p>
            <w:pPr>
              <w:spacing w:after="0"/>
              <w:rPr>
                <w:sz w:val="12"/>
                <w:szCs w:val="12"/>
                <w:color w:val="auto"/>
              </w:rPr>
            </w:pPr>
          </w:p>
        </w:tc>
        <w:tc>
          <w:tcPr>
            <w:tcW w:w="6100" w:type="dxa"/>
            <w:vAlign w:val="bottom"/>
            <w:tcBorders>
              <w:bottom w:val="single" w:sz="8" w:color="4800E6"/>
            </w:tcBorders>
          </w:tcPr>
          <w:p>
            <w:pPr>
              <w:ind w:left="2380"/>
              <w:spacing w:after="0" w:line="144" w:lineRule="exact"/>
              <w:rPr>
                <w:sz w:val="20"/>
                <w:szCs w:val="20"/>
                <w:color w:val="auto"/>
              </w:rPr>
            </w:pPr>
            <w:r>
              <w:rPr>
                <w:rFonts w:ascii="Arial" w:cs="Arial" w:eastAsia="Arial" w:hAnsi="Arial"/>
                <w:sz w:val="14"/>
                <w:szCs w:val="14"/>
                <w:color w:val="auto"/>
              </w:rPr>
              <w:t>manufacturer.</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485140</wp:posOffset>
            </wp:positionH>
            <wp:positionV relativeFrom="paragraph">
              <wp:posOffset>137160</wp:posOffset>
            </wp:positionV>
            <wp:extent cx="5829300" cy="14605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5829300" cy="146050"/>
                    </a:xfrm>
                    <a:prstGeom prst="rect">
                      <a:avLst/>
                    </a:prstGeom>
                    <a:noFill/>
                  </pic:spPr>
                </pic:pic>
              </a:graphicData>
            </a:graphic>
          </wp:anchor>
        </w:drawing>
      </w:r>
    </w:p>
    <w:p>
      <w:pPr>
        <w:spacing w:after="0" w:line="224" w:lineRule="exact"/>
        <w:rPr>
          <w:sz w:val="20"/>
          <w:szCs w:val="20"/>
          <w:color w:val="auto"/>
        </w:rPr>
      </w:pPr>
    </w:p>
    <w:p>
      <w:pPr>
        <w:ind w:left="880"/>
        <w:spacing w:after="0"/>
        <w:rPr>
          <w:sz w:val="20"/>
          <w:szCs w:val="20"/>
          <w:color w:val="auto"/>
        </w:rPr>
      </w:pPr>
      <w:r>
        <w:rPr>
          <w:rFonts w:ascii="Arial" w:cs="Arial" w:eastAsia="Arial" w:hAnsi="Arial"/>
          <w:sz w:val="17"/>
          <w:szCs w:val="17"/>
          <w:b w:val="1"/>
          <w:bCs w:val="1"/>
          <w:color w:val="FEFEFE"/>
        </w:rPr>
        <w:t>ANDREA SAIA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493395</wp:posOffset>
            </wp:positionH>
            <wp:positionV relativeFrom="paragraph">
              <wp:posOffset>3810</wp:posOffset>
            </wp:positionV>
            <wp:extent cx="720090" cy="93408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20090" cy="934085"/>
                    </a:xfrm>
                    <a:prstGeom prst="rect">
                      <a:avLst/>
                    </a:prstGeom>
                    <a:noFill/>
                  </pic:spPr>
                </pic:pic>
              </a:graphicData>
            </a:graphic>
          </wp:anchor>
        </w:drawing>
      </w:r>
    </w:p>
    <w:p>
      <w:pPr>
        <w:jc w:val="both"/>
        <w:ind w:left="2100" w:right="219"/>
        <w:spacing w:after="0" w:line="243" w:lineRule="auto"/>
        <w:rPr>
          <w:sz w:val="20"/>
          <w:szCs w:val="20"/>
          <w:color w:val="auto"/>
        </w:rPr>
      </w:pPr>
      <w:r>
        <w:rPr>
          <w:rFonts w:ascii="Arial" w:cs="Arial" w:eastAsia="Arial" w:hAnsi="Arial"/>
          <w:sz w:val="14"/>
          <w:szCs w:val="14"/>
          <w:b w:val="1"/>
          <w:bCs w:val="1"/>
          <w:color w:val="auto"/>
        </w:rPr>
        <w:t xml:space="preserve">Andrea Saia </w:t>
      </w:r>
      <w:r>
        <w:rPr>
          <w:rFonts w:ascii="Arial" w:cs="Arial" w:eastAsia="Arial" w:hAnsi="Arial"/>
          <w:sz w:val="14"/>
          <w:szCs w:val="14"/>
          <w:color w:val="auto"/>
        </w:rPr>
        <w:t>served as the Global Head of Vision Care in the Alcon Division of Novartis AG, a global healthcare company,</w:t>
      </w:r>
      <w:r>
        <w:rPr>
          <w:rFonts w:ascii="Arial" w:cs="Arial" w:eastAsia="Arial" w:hAnsi="Arial"/>
          <w:sz w:val="14"/>
          <w:szCs w:val="14"/>
          <w:b w:val="1"/>
          <w:bCs w:val="1"/>
          <w:color w:val="auto"/>
        </w:rPr>
        <w:t xml:space="preserve"> </w:t>
      </w:r>
      <w:r>
        <w:rPr>
          <w:rFonts w:ascii="Arial" w:cs="Arial" w:eastAsia="Arial" w:hAnsi="Arial"/>
          <w:sz w:val="14"/>
          <w:szCs w:val="14"/>
          <w:color w:val="auto"/>
        </w:rPr>
        <w:t>from 2011 until her retirement in 2012. Prior to this role, she served as President and CEO of CibaVision Corporation, a subsidiary of Novartis, from 2008 to 2011. From 2005 to 2007, Ms. Saia relocated to Switzerland and served as President of Europe, Middle East and Africa operations, CibaVision’s largest regional business unit. She joined CibaVision in 2002 as Global Head of Marketing and was promoted to President of the Global Lens Business in 2003. Prior to joining Novartis, Ms. Saia was the Chief Marketing Officer for GCG Partners and also held senior management and marketing positions with global consumer products companies such as Procter &amp; Gamble Co., Unilever and Revlon, Inc. Ms. Saia earned her B.S. in Business Administration from Miami University and her M.B.A. from J.L. Kellogg Graduate School of Management.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1290955</wp:posOffset>
            </wp:positionH>
            <wp:positionV relativeFrom="paragraph">
              <wp:posOffset>8890</wp:posOffset>
            </wp:positionV>
            <wp:extent cx="5023485" cy="889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5023485" cy="8890"/>
                    </a:xfrm>
                    <a:prstGeom prst="rect">
                      <a:avLst/>
                    </a:prstGeom>
                    <a:noFill/>
                  </pic:spPr>
                </pic:pic>
              </a:graphicData>
            </a:graphic>
          </wp:anchor>
        </w:drawing>
      </w:r>
    </w:p>
    <w:p>
      <w:pPr>
        <w:sectPr>
          <w:pgSz w:w="11900" w:h="16838" w:orient="portrait"/>
          <w:cols w:equalWidth="0" w:num="1">
            <w:col w:w="10139"/>
          </w:cols>
          <w:pgMar w:left="320" w:top="132" w:right="1440" w:bottom="1440" w:gutter="0" w:footer="0" w:header="0"/>
        </w:sectPr>
      </w:pPr>
    </w:p>
    <w:p>
      <w:pPr>
        <w:spacing w:after="0" w:line="41" w:lineRule="exact"/>
        <w:rPr>
          <w:sz w:val="20"/>
          <w:szCs w:val="20"/>
          <w:color w:val="auto"/>
        </w:rPr>
      </w:pPr>
    </w:p>
    <w:tbl>
      <w:tblPr>
        <w:tblLayout w:type="fixed"/>
        <w:tblInd w:w="840" w:type="dxa"/>
        <w:tblCellMar>
          <w:top w:w="0" w:type="dxa"/>
          <w:left w:w="0" w:type="dxa"/>
          <w:bottom w:w="0" w:type="dxa"/>
          <w:right w:w="0" w:type="dxa"/>
        </w:tblCellMar>
      </w:tblPr>
      <w:tr>
        <w:trPr>
          <w:trHeight w:val="190"/>
        </w:trPr>
        <w:tc>
          <w:tcPr>
            <w:tcW w:w="1080" w:type="dxa"/>
            <w:vAlign w:val="bottom"/>
          </w:tcPr>
          <w:p>
            <w:pPr>
              <w:spacing w:after="0"/>
              <w:rPr>
                <w:sz w:val="16"/>
                <w:szCs w:val="16"/>
                <w:color w:val="auto"/>
              </w:rPr>
            </w:pPr>
          </w:p>
        </w:tc>
        <w:tc>
          <w:tcPr>
            <w:tcW w:w="2700" w:type="dxa"/>
            <w:vAlign w:val="bottom"/>
          </w:tcPr>
          <w:p>
            <w:pPr>
              <w:ind w:left="180"/>
              <w:spacing w:after="0"/>
              <w:rPr>
                <w:sz w:val="20"/>
                <w:szCs w:val="20"/>
                <w:color w:val="auto"/>
              </w:rPr>
            </w:pPr>
            <w:r>
              <w:rPr>
                <w:rFonts w:ascii="Arial" w:cs="Arial" w:eastAsia="Arial" w:hAnsi="Arial"/>
                <w:sz w:val="14"/>
                <w:szCs w:val="14"/>
                <w:b w:val="1"/>
                <w:bCs w:val="1"/>
                <w:color w:val="4800E6"/>
              </w:rPr>
              <w:t>Committees:</w:t>
            </w:r>
          </w:p>
        </w:tc>
        <w:tc>
          <w:tcPr>
            <w:tcW w:w="0" w:type="dxa"/>
            <w:vAlign w:val="bottom"/>
          </w:tcPr>
          <w:p>
            <w:pPr>
              <w:spacing w:after="0"/>
              <w:rPr>
                <w:sz w:val="1"/>
                <w:szCs w:val="1"/>
                <w:color w:val="auto"/>
              </w:rPr>
            </w:pPr>
          </w:p>
        </w:tc>
      </w:tr>
      <w:tr>
        <w:trPr>
          <w:trHeight w:val="198"/>
        </w:trPr>
        <w:tc>
          <w:tcPr>
            <w:tcW w:w="1080" w:type="dxa"/>
            <w:vAlign w:val="bottom"/>
          </w:tcPr>
          <w:p>
            <w:pPr>
              <w:spacing w:after="0"/>
              <w:rPr>
                <w:sz w:val="20"/>
                <w:szCs w:val="20"/>
                <w:color w:val="auto"/>
              </w:rPr>
            </w:pPr>
            <w:r>
              <w:rPr>
                <w:rFonts w:ascii="Arial" w:cs="Arial" w:eastAsia="Arial" w:hAnsi="Arial"/>
                <w:sz w:val="13"/>
                <w:szCs w:val="13"/>
                <w:b w:val="1"/>
                <w:bCs w:val="1"/>
                <w:color w:val="FF4C4C"/>
              </w:rPr>
              <w:t>INDEPENDENT</w:t>
            </w:r>
          </w:p>
        </w:tc>
        <w:tc>
          <w:tcPr>
            <w:tcW w:w="2700" w:type="dxa"/>
            <w:vAlign w:val="bottom"/>
          </w:tcPr>
          <w:p>
            <w:pPr>
              <w:ind w:left="180"/>
              <w:spacing w:after="0"/>
              <w:rPr>
                <w:sz w:val="20"/>
                <w:szCs w:val="20"/>
                <w:color w:val="auto"/>
              </w:rPr>
            </w:pPr>
            <w:r>
              <w:rPr>
                <w:rFonts w:ascii="Arial" w:cs="Arial" w:eastAsia="Arial" w:hAnsi="Arial"/>
                <w:sz w:val="14"/>
                <w:szCs w:val="14"/>
                <w:color w:val="4800E6"/>
              </w:rPr>
              <w:t xml:space="preserve">• </w:t>
            </w:r>
            <w:r>
              <w:rPr>
                <w:rFonts w:ascii="Arial" w:cs="Arial" w:eastAsia="Arial" w:hAnsi="Arial"/>
                <w:sz w:val="14"/>
                <w:szCs w:val="14"/>
                <w:color w:val="000000"/>
              </w:rPr>
              <w:t>Audit and Compliance</w:t>
            </w:r>
          </w:p>
        </w:tc>
        <w:tc>
          <w:tcPr>
            <w:tcW w:w="0" w:type="dxa"/>
            <w:vAlign w:val="bottom"/>
          </w:tcPr>
          <w:p>
            <w:pPr>
              <w:spacing w:after="0"/>
              <w:rPr>
                <w:sz w:val="1"/>
                <w:szCs w:val="1"/>
                <w:color w:val="auto"/>
              </w:rPr>
            </w:pPr>
          </w:p>
        </w:tc>
      </w:tr>
      <w:tr>
        <w:trPr>
          <w:trHeight w:val="299"/>
        </w:trPr>
        <w:tc>
          <w:tcPr>
            <w:tcW w:w="1080" w:type="dxa"/>
            <w:vAlign w:val="bottom"/>
          </w:tcPr>
          <w:p>
            <w:pPr>
              <w:spacing w:after="0"/>
              <w:rPr>
                <w:sz w:val="20"/>
                <w:szCs w:val="20"/>
                <w:color w:val="auto"/>
              </w:rPr>
            </w:pPr>
            <w:r>
              <w:rPr>
                <w:rFonts w:ascii="Arial" w:cs="Arial" w:eastAsia="Arial" w:hAnsi="Arial"/>
                <w:sz w:val="13"/>
                <w:szCs w:val="13"/>
                <w:color w:val="auto"/>
              </w:rPr>
              <w:t>Age 62</w:t>
            </w:r>
          </w:p>
        </w:tc>
        <w:tc>
          <w:tcPr>
            <w:tcW w:w="2700" w:type="dxa"/>
            <w:vAlign w:val="bottom"/>
            <w:vMerge w:val="restart"/>
          </w:tcPr>
          <w:p>
            <w:pPr>
              <w:ind w:left="180"/>
              <w:spacing w:after="0"/>
              <w:rPr>
                <w:sz w:val="20"/>
                <w:szCs w:val="20"/>
                <w:color w:val="auto"/>
              </w:rPr>
            </w:pPr>
            <w:r>
              <w:rPr>
                <w:rFonts w:ascii="Arial" w:cs="Arial" w:eastAsia="Arial" w:hAnsi="Arial"/>
                <w:sz w:val="14"/>
                <w:szCs w:val="14"/>
                <w:b w:val="1"/>
                <w:bCs w:val="1"/>
                <w:color w:val="4800E6"/>
              </w:rPr>
              <w:t>Other Public Company Directorships:</w:t>
            </w:r>
          </w:p>
        </w:tc>
        <w:tc>
          <w:tcPr>
            <w:tcW w:w="0" w:type="dxa"/>
            <w:vAlign w:val="bottom"/>
          </w:tcPr>
          <w:p>
            <w:pPr>
              <w:spacing w:after="0"/>
              <w:rPr>
                <w:sz w:val="1"/>
                <w:szCs w:val="1"/>
                <w:color w:val="auto"/>
              </w:rPr>
            </w:pPr>
          </w:p>
        </w:tc>
      </w:tr>
      <w:tr>
        <w:trPr>
          <w:trHeight w:val="83"/>
        </w:trPr>
        <w:tc>
          <w:tcPr>
            <w:tcW w:w="1080" w:type="dxa"/>
            <w:vAlign w:val="bottom"/>
          </w:tcPr>
          <w:p>
            <w:pPr>
              <w:spacing w:after="0"/>
              <w:rPr>
                <w:sz w:val="7"/>
                <w:szCs w:val="7"/>
                <w:color w:val="auto"/>
              </w:rPr>
            </w:pPr>
          </w:p>
        </w:tc>
        <w:tc>
          <w:tcPr>
            <w:tcW w:w="270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57"/>
        </w:trPr>
        <w:tc>
          <w:tcPr>
            <w:tcW w:w="1080" w:type="dxa"/>
            <w:vAlign w:val="bottom"/>
          </w:tcPr>
          <w:p>
            <w:pPr>
              <w:spacing w:after="0"/>
              <w:rPr>
                <w:sz w:val="20"/>
                <w:szCs w:val="20"/>
                <w:color w:val="auto"/>
              </w:rPr>
            </w:pPr>
            <w:r>
              <w:rPr>
                <w:rFonts w:ascii="Arial" w:cs="Arial" w:eastAsia="Arial" w:hAnsi="Arial"/>
                <w:sz w:val="13"/>
                <w:szCs w:val="13"/>
                <w:color w:val="auto"/>
              </w:rPr>
              <w:t>Director</w:t>
            </w:r>
          </w:p>
        </w:tc>
        <w:tc>
          <w:tcPr>
            <w:tcW w:w="2700" w:type="dxa"/>
            <w:vAlign w:val="bottom"/>
          </w:tcPr>
          <w:p>
            <w:pPr>
              <w:ind w:left="180"/>
              <w:spacing w:after="0" w:line="157" w:lineRule="exact"/>
              <w:rPr>
                <w:sz w:val="20"/>
                <w:szCs w:val="20"/>
                <w:color w:val="auto"/>
              </w:rPr>
            </w:pPr>
            <w:r>
              <w:rPr>
                <w:rFonts w:ascii="Arial" w:cs="Arial" w:eastAsia="Arial" w:hAnsi="Arial"/>
                <w:sz w:val="14"/>
                <w:szCs w:val="14"/>
                <w:color w:val="4800E6"/>
              </w:rPr>
              <w:t xml:space="preserve">• </w:t>
            </w:r>
            <w:r>
              <w:rPr>
                <w:rFonts w:ascii="Arial" w:cs="Arial" w:eastAsia="Arial" w:hAnsi="Arial"/>
                <w:sz w:val="14"/>
                <w:szCs w:val="14"/>
                <w:color w:val="000000"/>
              </w:rPr>
              <w:t>Align Technology</w:t>
            </w:r>
          </w:p>
        </w:tc>
        <w:tc>
          <w:tcPr>
            <w:tcW w:w="0" w:type="dxa"/>
            <w:vAlign w:val="bottom"/>
          </w:tcPr>
          <w:p>
            <w:pPr>
              <w:spacing w:after="0"/>
              <w:rPr>
                <w:sz w:val="1"/>
                <w:szCs w:val="1"/>
                <w:color w:val="auto"/>
              </w:rPr>
            </w:pPr>
          </w:p>
        </w:tc>
      </w:tr>
      <w:tr>
        <w:trPr>
          <w:trHeight w:val="178"/>
        </w:trPr>
        <w:tc>
          <w:tcPr>
            <w:tcW w:w="1080" w:type="dxa"/>
            <w:vAlign w:val="bottom"/>
          </w:tcPr>
          <w:p>
            <w:pPr>
              <w:spacing w:after="0"/>
              <w:rPr>
                <w:sz w:val="20"/>
                <w:szCs w:val="20"/>
                <w:color w:val="auto"/>
              </w:rPr>
            </w:pPr>
            <w:r>
              <w:rPr>
                <w:rFonts w:ascii="Arial" w:cs="Arial" w:eastAsia="Arial" w:hAnsi="Arial"/>
                <w:sz w:val="13"/>
                <w:szCs w:val="13"/>
                <w:color w:val="auto"/>
              </w:rPr>
              <w:t xml:space="preserve">since </w:t>
            </w:r>
            <w:r>
              <w:rPr>
                <w:rFonts w:ascii="Arial" w:cs="Arial" w:eastAsia="Arial" w:hAnsi="Arial"/>
                <w:sz w:val="13"/>
                <w:szCs w:val="13"/>
                <w:b w:val="1"/>
                <w:bCs w:val="1"/>
                <w:color w:val="4800E6"/>
              </w:rPr>
              <w:t>2016</w:t>
            </w:r>
          </w:p>
        </w:tc>
        <w:tc>
          <w:tcPr>
            <w:tcW w:w="27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1080" w:type="dxa"/>
            <w:vAlign w:val="bottom"/>
          </w:tcPr>
          <w:p>
            <w:pPr>
              <w:spacing w:after="0"/>
              <w:rPr>
                <w:sz w:val="20"/>
                <w:szCs w:val="20"/>
                <w:color w:val="auto"/>
              </w:rPr>
            </w:pPr>
            <w:r>
              <w:rPr>
                <w:rFonts w:ascii="Arial" w:cs="Arial" w:eastAsia="Arial" w:hAnsi="Arial"/>
                <w:sz w:val="13"/>
                <w:szCs w:val="13"/>
                <w:color w:val="auto"/>
              </w:rPr>
              <w:t>Retired, Global</w:t>
            </w:r>
          </w:p>
        </w:tc>
        <w:tc>
          <w:tcPr>
            <w:tcW w:w="27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35"/>
        </w:trPr>
        <w:tc>
          <w:tcPr>
            <w:tcW w:w="1080" w:type="dxa"/>
            <w:vAlign w:val="bottom"/>
          </w:tcPr>
          <w:p>
            <w:pPr>
              <w:spacing w:after="0" w:line="135" w:lineRule="exact"/>
              <w:rPr>
                <w:sz w:val="20"/>
                <w:szCs w:val="20"/>
                <w:color w:val="auto"/>
              </w:rPr>
            </w:pPr>
            <w:r>
              <w:rPr>
                <w:rFonts w:ascii="Arial" w:cs="Arial" w:eastAsia="Arial" w:hAnsi="Arial"/>
                <w:sz w:val="13"/>
                <w:szCs w:val="13"/>
                <w:color w:val="auto"/>
              </w:rPr>
              <w:t>Head of Vision</w:t>
            </w:r>
          </w:p>
        </w:tc>
        <w:tc>
          <w:tcPr>
            <w:tcW w:w="27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1080" w:type="dxa"/>
            <w:vAlign w:val="bottom"/>
          </w:tcPr>
          <w:p>
            <w:pPr>
              <w:spacing w:after="0" w:line="135" w:lineRule="exact"/>
              <w:rPr>
                <w:sz w:val="20"/>
                <w:szCs w:val="20"/>
                <w:color w:val="auto"/>
              </w:rPr>
            </w:pPr>
            <w:r>
              <w:rPr>
                <w:rFonts w:ascii="Arial" w:cs="Arial" w:eastAsia="Arial" w:hAnsi="Arial"/>
                <w:sz w:val="13"/>
                <w:szCs w:val="13"/>
                <w:color w:val="auto"/>
              </w:rPr>
              <w:t>Care</w:t>
            </w:r>
          </w:p>
        </w:tc>
        <w:tc>
          <w:tcPr>
            <w:tcW w:w="27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1080" w:type="dxa"/>
            <w:vAlign w:val="bottom"/>
          </w:tcPr>
          <w:p>
            <w:pPr>
              <w:spacing w:after="0"/>
              <w:rPr>
                <w:sz w:val="20"/>
                <w:szCs w:val="20"/>
                <w:color w:val="auto"/>
              </w:rPr>
            </w:pPr>
            <w:r>
              <w:rPr>
                <w:rFonts w:ascii="Arial" w:cs="Arial" w:eastAsia="Arial" w:hAnsi="Arial"/>
                <w:sz w:val="13"/>
                <w:szCs w:val="13"/>
                <w:color w:val="auto"/>
              </w:rPr>
              <w:t>Alcon Division,</w:t>
            </w:r>
          </w:p>
        </w:tc>
        <w:tc>
          <w:tcPr>
            <w:tcW w:w="27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1080" w:type="dxa"/>
            <w:vAlign w:val="bottom"/>
          </w:tcPr>
          <w:p>
            <w:pPr>
              <w:spacing w:after="0"/>
              <w:rPr>
                <w:sz w:val="20"/>
                <w:szCs w:val="20"/>
                <w:color w:val="auto"/>
              </w:rPr>
            </w:pPr>
            <w:r>
              <w:rPr>
                <w:rFonts w:ascii="Arial" w:cs="Arial" w:eastAsia="Arial" w:hAnsi="Arial"/>
                <w:sz w:val="13"/>
                <w:szCs w:val="13"/>
                <w:color w:val="auto"/>
              </w:rPr>
              <w:t>Novartis AG</w:t>
            </w:r>
          </w:p>
        </w:tc>
        <w:tc>
          <w:tcPr>
            <w:tcW w:w="2700" w:type="dxa"/>
            <w:vAlign w:val="bottom"/>
          </w:tcPr>
          <w:p>
            <w:pPr>
              <w:spacing w:after="0"/>
              <w:rPr>
                <w:sz w:val="14"/>
                <w:szCs w:val="1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br w:type="column"/>
      </w:r>
    </w:p>
    <w:p>
      <w:pPr>
        <w:spacing w:after="0" w:line="21" w:lineRule="exact"/>
        <w:rPr>
          <w:sz w:val="20"/>
          <w:szCs w:val="20"/>
          <w:color w:val="auto"/>
        </w:rPr>
      </w:pPr>
    </w:p>
    <w:p>
      <w:pPr>
        <w:ind w:right="399"/>
        <w:spacing w:after="0" w:line="264" w:lineRule="auto"/>
        <w:rPr>
          <w:sz w:val="20"/>
          <w:szCs w:val="20"/>
          <w:color w:val="auto"/>
        </w:rPr>
      </w:pPr>
      <w:r>
        <w:rPr>
          <w:rFonts w:ascii="Arial" w:cs="Arial" w:eastAsia="Arial" w:hAnsi="Arial"/>
          <w:sz w:val="14"/>
          <w:szCs w:val="14"/>
          <w:b w:val="1"/>
          <w:bCs w:val="1"/>
          <w:color w:val="4800E6"/>
        </w:rPr>
        <w:t>Former Public Company Directorships During the Past Five Years:</w:t>
      </w:r>
    </w:p>
    <w:p>
      <w:pPr>
        <w:spacing w:after="0" w:line="1" w:lineRule="exact"/>
        <w:rPr>
          <w:sz w:val="20"/>
          <w:szCs w:val="20"/>
          <w:color w:val="auto"/>
        </w:rPr>
      </w:pPr>
    </w:p>
    <w:p>
      <w:pPr>
        <w:ind w:left="140" w:hanging="137"/>
        <w:spacing w:after="0"/>
        <w:tabs>
          <w:tab w:leader="none" w:pos="140" w:val="left"/>
        </w:tabs>
        <w:numPr>
          <w:ilvl w:val="0"/>
          <w:numId w:val="31"/>
        </w:numPr>
        <w:rPr>
          <w:rFonts w:ascii="Arial" w:cs="Arial" w:eastAsia="Arial" w:hAnsi="Arial"/>
          <w:sz w:val="14"/>
          <w:szCs w:val="14"/>
          <w:color w:val="4800E6"/>
        </w:rPr>
      </w:pPr>
      <w:r>
        <w:rPr>
          <w:rFonts w:ascii="Arial" w:cs="Arial" w:eastAsia="Arial" w:hAnsi="Arial"/>
          <w:sz w:val="14"/>
          <w:szCs w:val="14"/>
          <w:color w:val="auto"/>
        </w:rPr>
        <w:t>Coca Cola Enterprises</w:t>
      </w:r>
    </w:p>
    <w:p>
      <w:pPr>
        <w:spacing w:after="0" w:line="226" w:lineRule="exact"/>
        <w:rPr>
          <w:sz w:val="20"/>
          <w:szCs w:val="20"/>
          <w:color w:val="auto"/>
        </w:rPr>
      </w:pPr>
    </w:p>
    <w:p>
      <w:pPr>
        <w:spacing w:after="0"/>
        <w:rPr>
          <w:sz w:val="20"/>
          <w:szCs w:val="20"/>
          <w:color w:val="auto"/>
        </w:rPr>
      </w:pPr>
      <w:r>
        <w:rPr>
          <w:rFonts w:ascii="Arial" w:cs="Arial" w:eastAsia="Arial" w:hAnsi="Arial"/>
          <w:sz w:val="14"/>
          <w:szCs w:val="14"/>
          <w:b w:val="1"/>
          <w:bCs w:val="1"/>
          <w:color w:val="4800E6"/>
        </w:rPr>
        <w:t>Director Skills and Qualifications:</w:t>
      </w:r>
    </w:p>
    <w:p>
      <w:pPr>
        <w:spacing w:after="0" w:line="46" w:lineRule="exact"/>
        <w:rPr>
          <w:sz w:val="20"/>
          <w:szCs w:val="20"/>
          <w:color w:val="auto"/>
        </w:rPr>
      </w:pPr>
    </w:p>
    <w:p>
      <w:pPr>
        <w:ind w:left="140" w:right="279" w:hanging="137"/>
        <w:spacing w:after="0" w:line="243" w:lineRule="auto"/>
        <w:tabs>
          <w:tab w:leader="none" w:pos="140" w:val="left"/>
        </w:tabs>
        <w:numPr>
          <w:ilvl w:val="0"/>
          <w:numId w:val="32"/>
        </w:numPr>
        <w:rPr>
          <w:rFonts w:ascii="Arial" w:cs="Arial" w:eastAsia="Arial" w:hAnsi="Arial"/>
          <w:sz w:val="14"/>
          <w:szCs w:val="14"/>
          <w:color w:val="4800E6"/>
        </w:rPr>
      </w:pPr>
      <w:r>
        <w:rPr>
          <w:rFonts w:ascii="Arial" w:cs="Arial" w:eastAsia="Arial" w:hAnsi="Arial"/>
          <w:sz w:val="14"/>
          <w:szCs w:val="14"/>
          <w:color w:val="auto"/>
        </w:rPr>
        <w:t>Ms. Saia is an accomplished global business executive with nearly 40 years’ experience in the medical device and consumer products industries including multinational companies such as Novartis, Unilever, Revlon and Procter &amp; Gamble, and continuing involvement in business matters as a member of the Miami University Farmer School of Business Advisory Board. She has extensive global business experience, a broad understanding of healthcare, medical device and consumer products industries, strong management skills and significant operations experience.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-3375025</wp:posOffset>
            </wp:positionH>
            <wp:positionV relativeFrom="paragraph">
              <wp:posOffset>-17780</wp:posOffset>
            </wp:positionV>
            <wp:extent cx="5829300" cy="825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5829300" cy="825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5360" w:space="720"/>
            <w:col w:w="4059"/>
          </w:cols>
          <w:pgMar w:left="320" w:top="132" w:right="1440" w:bottom="1440" w:gutter="0" w:footer="0" w:header="0"/>
          <w:type w:val="continuous"/>
        </w:sectPr>
      </w:pPr>
    </w:p>
    <w:p>
      <w:pPr>
        <w:spacing w:after="0" w:line="44" w:lineRule="exact"/>
        <w:rPr>
          <w:sz w:val="20"/>
          <w:szCs w:val="20"/>
          <w:color w:val="auto"/>
        </w:rPr>
      </w:pPr>
    </w:p>
    <w:p>
      <w:pPr>
        <w:ind w:left="760"/>
        <w:spacing w:after="0"/>
        <w:rPr>
          <w:sz w:val="20"/>
          <w:szCs w:val="20"/>
          <w:color w:val="auto"/>
        </w:rPr>
      </w:pPr>
      <w:r>
        <w:rPr>
          <w:rFonts w:ascii="Arial" w:cs="Arial" w:eastAsia="Arial" w:hAnsi="Arial"/>
          <w:sz w:val="23"/>
          <w:szCs w:val="23"/>
          <w:b w:val="1"/>
          <w:bCs w:val="1"/>
          <w:color w:val="auto"/>
        </w:rPr>
        <w:t>Family Relationships</w:t>
      </w:r>
    </w:p>
    <w:p>
      <w:pPr>
        <w:spacing w:after="0" w:line="139" w:lineRule="exact"/>
        <w:rPr>
          <w:sz w:val="20"/>
          <w:szCs w:val="20"/>
          <w:color w:val="auto"/>
        </w:rPr>
      </w:pPr>
    </w:p>
    <w:p>
      <w:pPr>
        <w:ind w:left="760"/>
        <w:spacing w:after="0"/>
        <w:rPr>
          <w:sz w:val="20"/>
          <w:szCs w:val="20"/>
          <w:color w:val="auto"/>
        </w:rPr>
      </w:pPr>
      <w:r>
        <w:rPr>
          <w:rFonts w:ascii="Arial" w:cs="Arial" w:eastAsia="Arial" w:hAnsi="Arial"/>
          <w:sz w:val="15"/>
          <w:szCs w:val="15"/>
          <w:color w:val="auto"/>
        </w:rPr>
        <w:t>There are no family relationships among any of our directors or executive officers.</w:t>
      </w:r>
    </w:p>
    <w:p>
      <w:pPr>
        <w:sectPr>
          <w:pgSz w:w="11900" w:h="16838" w:orient="portrait"/>
          <w:cols w:equalWidth="0" w:num="1">
            <w:col w:w="10139"/>
          </w:cols>
          <w:pgMar w:left="320" w:top="132" w:right="1440"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ind w:left="480"/>
        <w:spacing w:after="0"/>
        <w:tabs>
          <w:tab w:leader="none" w:pos="4400" w:val="left"/>
          <w:tab w:leader="none" w:pos="8760" w:val="left"/>
        </w:tabs>
        <w:rPr>
          <w:sz w:val="20"/>
          <w:szCs w:val="20"/>
          <w:color w:val="auto"/>
        </w:rPr>
      </w:pPr>
      <w:r>
        <w:rPr>
          <w:rFonts w:ascii="Arial" w:cs="Arial" w:eastAsia="Arial" w:hAnsi="Arial"/>
          <w:sz w:val="29"/>
          <w:szCs w:val="29"/>
          <w:b w:val="1"/>
          <w:bCs w:val="1"/>
          <w:color w:val="auto"/>
          <w:vertAlign w:val="subscript"/>
        </w:rPr>
        <w:t>15</w:t>
      </w:r>
      <w:r>
        <w:rPr>
          <w:sz w:val="20"/>
          <w:szCs w:val="20"/>
          <w:color w:val="auto"/>
        </w:rPr>
        <w:tab/>
      </w:r>
      <w:r>
        <w:rPr>
          <w:rFonts w:ascii="Arial" w:cs="Arial" w:eastAsia="Arial" w:hAnsi="Arial"/>
          <w:sz w:val="13"/>
          <w:szCs w:val="13"/>
          <w:b w:val="1"/>
          <w:bCs w:val="1"/>
          <w:color w:val="4800E6"/>
        </w:rPr>
        <w:t xml:space="preserve">LIVANOVA </w:t>
      </w:r>
      <w:r>
        <w:rPr>
          <w:rFonts w:ascii="Arial" w:cs="Arial" w:eastAsia="Arial" w:hAnsi="Arial"/>
          <w:sz w:val="13"/>
          <w:szCs w:val="13"/>
          <w:color w:val="000000"/>
        </w:rPr>
        <w:t>|</w:t>
      </w:r>
      <w:r>
        <w:rPr>
          <w:rFonts w:ascii="Arial" w:cs="Arial" w:eastAsia="Arial" w:hAnsi="Arial"/>
          <w:sz w:val="13"/>
          <w:szCs w:val="13"/>
          <w:b w:val="1"/>
          <w:bCs w:val="1"/>
          <w:color w:val="4800E6"/>
        </w:rPr>
        <w:t xml:space="preserve"> </w:t>
      </w:r>
      <w:r>
        <w:rPr>
          <w:rFonts w:ascii="Arial" w:cs="Arial" w:eastAsia="Arial" w:hAnsi="Arial"/>
          <w:sz w:val="13"/>
          <w:szCs w:val="13"/>
          <w:color w:val="4800E6"/>
        </w:rPr>
        <w:t>2020</w:t>
      </w:r>
      <w:r>
        <w:rPr>
          <w:rFonts w:ascii="Arial" w:cs="Arial" w:eastAsia="Arial" w:hAnsi="Arial"/>
          <w:sz w:val="13"/>
          <w:szCs w:val="13"/>
          <w:b w:val="1"/>
          <w:bCs w:val="1"/>
          <w:color w:val="4800E6"/>
        </w:rPr>
        <w:t xml:space="preserve"> </w:t>
      </w:r>
      <w:r>
        <w:rPr>
          <w:rFonts w:ascii="Arial" w:cs="Arial" w:eastAsia="Arial" w:hAnsi="Arial"/>
          <w:sz w:val="13"/>
          <w:szCs w:val="13"/>
          <w:color w:val="000000"/>
        </w:rPr>
        <w:t>Proxy Statement</w:t>
      </w:r>
      <w:r>
        <w:rPr>
          <w:sz w:val="20"/>
          <w:szCs w:val="20"/>
          <w:color w:val="auto"/>
        </w:rPr>
        <w:tab/>
      </w:r>
      <w:r>
        <w:rPr>
          <w:rFonts w:ascii="Arial" w:cs="Arial" w:eastAsia="Arial" w:hAnsi="Arial"/>
          <w:sz w:val="12"/>
          <w:szCs w:val="12"/>
          <w:b w:val="1"/>
          <w:bCs w:val="1"/>
          <w:color w:val="4800E6"/>
        </w:rPr>
        <w:t>www.livanova.com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561975</wp:posOffset>
            </wp:positionH>
            <wp:positionV relativeFrom="paragraph">
              <wp:posOffset>94615</wp:posOffset>
            </wp:positionV>
            <wp:extent cx="1954530" cy="889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1954530" cy="8890"/>
                    </a:xfrm>
                    <a:prstGeom prst="rect">
                      <a:avLst/>
                    </a:prstGeom>
                    <a:noFill/>
                  </pic:spPr>
                </pic:pic>
              </a:graphicData>
            </a:graphic>
          </wp:anchor>
        </w:drawing>
        <w:drawing>
          <wp:anchor simplePos="0" relativeHeight="251657728" behindDoc="1" locked="0" layoutInCell="0" allowOverlap="1">
            <wp:simplePos x="0" y="0"/>
            <wp:positionH relativeFrom="column">
              <wp:posOffset>4316730</wp:posOffset>
            </wp:positionH>
            <wp:positionV relativeFrom="paragraph">
              <wp:posOffset>94615</wp:posOffset>
            </wp:positionV>
            <wp:extent cx="1028700" cy="889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102870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231775</wp:posOffset>
            </wp:positionV>
            <wp:extent cx="6806565" cy="1714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10139"/>
          </w:cols>
          <w:pgMar w:left="320" w:top="132" w:right="1440" w:bottom="1440" w:gutter="0" w:footer="0" w:header="0"/>
          <w:type w:val="continuous"/>
        </w:sectPr>
      </w:pPr>
    </w:p>
    <w:bookmarkStart w:id="19" w:name="page20"/>
    <w:bookmarkEnd w:id="19"/>
    <w:p>
      <w:pPr>
        <w:spacing w:after="0"/>
        <w:rPr>
          <w:rFonts w:ascii="Arial" w:cs="Arial" w:eastAsia="Arial" w:hAnsi="Arial"/>
          <w:sz w:val="14"/>
          <w:szCs w:val="14"/>
          <w:color w:val="003366"/>
        </w:rPr>
      </w:pPr>
      <w:hyperlink w:anchor="page4">
        <w:r>
          <w:rPr>
            <w:rFonts w:ascii="Arial" w:cs="Arial" w:eastAsia="Arial" w:hAnsi="Arial"/>
            <w:sz w:val="14"/>
            <w:szCs w:val="14"/>
            <w:color w:val="003366"/>
          </w:rPr>
          <w:t>TABLE OF CONTENTS</w:t>
        </w:r>
      </w:hyperlink>
    </w:p>
    <w:p>
      <w:pPr>
        <w:spacing w:after="0" w:line="338" w:lineRule="exact"/>
        <w:rPr>
          <w:sz w:val="20"/>
          <w:szCs w:val="20"/>
          <w:color w:val="auto"/>
        </w:rPr>
      </w:pPr>
    </w:p>
    <w:p>
      <w:pPr>
        <w:jc w:val="right"/>
        <w:ind w:right="240"/>
        <w:spacing w:after="0"/>
        <w:rPr>
          <w:sz w:val="20"/>
          <w:szCs w:val="20"/>
          <w:color w:val="auto"/>
        </w:rPr>
      </w:pPr>
      <w:r>
        <w:rPr>
          <w:rFonts w:ascii="Arial" w:cs="Arial" w:eastAsia="Arial" w:hAnsi="Arial"/>
          <w:sz w:val="13"/>
          <w:szCs w:val="13"/>
          <w:b w:val="1"/>
          <w:bCs w:val="1"/>
          <w:color w:val="auto"/>
        </w:rPr>
        <w:t xml:space="preserve">Corporate </w:t>
      </w:r>
      <w:r>
        <w:rPr>
          <w:rFonts w:ascii="Arial" w:cs="Arial" w:eastAsia="Arial" w:hAnsi="Arial"/>
          <w:sz w:val="13"/>
          <w:szCs w:val="13"/>
          <w:b w:val="1"/>
          <w:bCs w:val="1"/>
          <w:color w:val="666666"/>
        </w:rPr>
        <w:t>Governance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485140</wp:posOffset>
            </wp:positionH>
            <wp:positionV relativeFrom="paragraph">
              <wp:posOffset>30480</wp:posOffset>
            </wp:positionV>
            <wp:extent cx="5829300" cy="825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5829300" cy="8255"/>
                    </a:xfrm>
                    <a:prstGeom prst="rect">
                      <a:avLst/>
                    </a:prstGeom>
                    <a:noFill/>
                  </pic:spPr>
                </pic:pic>
              </a:graphicData>
            </a:graphic>
          </wp:anchor>
        </w:drawing>
      </w:r>
    </w:p>
    <w:p>
      <w:pPr>
        <w:spacing w:after="0" w:line="60" w:lineRule="exact"/>
        <w:rPr>
          <w:sz w:val="20"/>
          <w:szCs w:val="20"/>
          <w:color w:val="auto"/>
        </w:rPr>
      </w:pPr>
    </w:p>
    <w:p>
      <w:pPr>
        <w:jc w:val="right"/>
        <w:ind w:right="240"/>
        <w:spacing w:after="0"/>
        <w:rPr>
          <w:sz w:val="20"/>
          <w:szCs w:val="20"/>
          <w:color w:val="auto"/>
        </w:rPr>
      </w:pPr>
      <w:r>
        <w:rPr>
          <w:rFonts w:ascii="Arial" w:cs="Arial" w:eastAsia="Arial" w:hAnsi="Arial"/>
          <w:sz w:val="13"/>
          <w:szCs w:val="13"/>
          <w:b w:val="1"/>
          <w:bCs w:val="1"/>
          <w:color w:val="4800E6"/>
        </w:rPr>
        <w:t>The Board of Directors</w:t>
      </w: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ind w:left="760"/>
        <w:spacing w:after="0"/>
        <w:rPr>
          <w:sz w:val="20"/>
          <w:szCs w:val="20"/>
          <w:color w:val="auto"/>
        </w:rPr>
      </w:pPr>
      <w:r>
        <w:rPr>
          <w:rFonts w:ascii="Arial" w:cs="Arial" w:eastAsia="Arial" w:hAnsi="Arial"/>
          <w:sz w:val="23"/>
          <w:szCs w:val="23"/>
          <w:b w:val="1"/>
          <w:bCs w:val="1"/>
          <w:color w:val="auto"/>
        </w:rPr>
        <w:t>Compensation Committee Interlocks</w:t>
      </w:r>
    </w:p>
    <w:p>
      <w:pPr>
        <w:spacing w:after="0" w:line="139" w:lineRule="exact"/>
        <w:rPr>
          <w:sz w:val="20"/>
          <w:szCs w:val="20"/>
          <w:color w:val="auto"/>
        </w:rPr>
      </w:pPr>
    </w:p>
    <w:p>
      <w:pPr>
        <w:ind w:left="760" w:right="280"/>
        <w:spacing w:after="0" w:line="249" w:lineRule="auto"/>
        <w:rPr>
          <w:sz w:val="20"/>
          <w:szCs w:val="20"/>
          <w:color w:val="auto"/>
        </w:rPr>
      </w:pPr>
      <w:r>
        <w:rPr>
          <w:rFonts w:ascii="Arial" w:cs="Arial" w:eastAsia="Arial" w:hAnsi="Arial"/>
          <w:sz w:val="16"/>
          <w:szCs w:val="16"/>
          <w:color w:val="auto"/>
        </w:rPr>
        <w:t>During the year ended December 31, 2019, the Compensation Committee was composed of Arthur L. Rosenthal (chairman), Francesco Bianchi, Stacy Enxing Seng and Alfred J. Novak. No member of the Compensation Committee is now, or at any time has been, employed by or served as an executive officer of the Company or any of its subsidiaries, or has had any substantial business dealings with the Company or any of its subsidiaries. None of our executive officers currently serves or served in the year ended December 31, 2019 on the board of directors or compensation committee of another company at any time during which an executive officer of such other company served on our Board or Compensation Committee.</w:t>
      </w:r>
    </w:p>
    <w:p>
      <w:pPr>
        <w:spacing w:after="0" w:line="247" w:lineRule="exact"/>
        <w:rPr>
          <w:sz w:val="20"/>
          <w:szCs w:val="20"/>
          <w:color w:val="auto"/>
        </w:rPr>
      </w:pPr>
    </w:p>
    <w:p>
      <w:pPr>
        <w:ind w:left="760"/>
        <w:spacing w:after="0"/>
        <w:rPr>
          <w:sz w:val="20"/>
          <w:szCs w:val="20"/>
          <w:color w:val="auto"/>
        </w:rPr>
      </w:pPr>
      <w:r>
        <w:rPr>
          <w:rFonts w:ascii="Arial" w:cs="Arial" w:eastAsia="Arial" w:hAnsi="Arial"/>
          <w:sz w:val="23"/>
          <w:szCs w:val="23"/>
          <w:b w:val="1"/>
          <w:bCs w:val="1"/>
          <w:color w:val="auto"/>
        </w:rPr>
        <w:t>Director Independence</w:t>
      </w:r>
    </w:p>
    <w:p>
      <w:pPr>
        <w:spacing w:after="0" w:line="139" w:lineRule="exact"/>
        <w:rPr>
          <w:sz w:val="20"/>
          <w:szCs w:val="20"/>
          <w:color w:val="auto"/>
        </w:rPr>
      </w:pPr>
    </w:p>
    <w:p>
      <w:pPr>
        <w:ind w:left="760" w:right="360"/>
        <w:spacing w:after="0" w:line="251" w:lineRule="auto"/>
        <w:rPr>
          <w:sz w:val="20"/>
          <w:szCs w:val="20"/>
          <w:color w:val="auto"/>
        </w:rPr>
      </w:pPr>
      <w:r>
        <w:rPr>
          <w:rFonts w:ascii="Arial" w:cs="Arial" w:eastAsia="Arial" w:hAnsi="Arial"/>
          <w:sz w:val="16"/>
          <w:szCs w:val="16"/>
          <w:color w:val="auto"/>
        </w:rPr>
        <w:t>The Nominating and Corporate Governance Committee of the Board is empowered by its Board-approved charter to make all determinations of independence required under Nasdaq rules or other applicable laws and regulations, including but not limited to determinations as to which directors are independent, non-employee directors and “audit committee financial experts” as defined by US securities laws.</w:t>
      </w:r>
    </w:p>
    <w:p>
      <w:pPr>
        <w:spacing w:after="0" w:line="81" w:lineRule="exact"/>
        <w:rPr>
          <w:sz w:val="20"/>
          <w:szCs w:val="20"/>
          <w:color w:val="auto"/>
        </w:rPr>
      </w:pPr>
    </w:p>
    <w:p>
      <w:pPr>
        <w:ind w:left="760" w:right="400"/>
        <w:spacing w:after="0" w:line="251" w:lineRule="auto"/>
        <w:rPr>
          <w:sz w:val="20"/>
          <w:szCs w:val="20"/>
          <w:color w:val="auto"/>
        </w:rPr>
      </w:pPr>
      <w:r>
        <w:rPr>
          <w:rFonts w:ascii="Arial" w:cs="Arial" w:eastAsia="Arial" w:hAnsi="Arial"/>
          <w:sz w:val="16"/>
          <w:szCs w:val="16"/>
          <w:color w:val="auto"/>
        </w:rPr>
        <w:t>Under the Nasdaq listing rules, a majority of the members of our Board must qualify as “independent directors.” An “independent director” for Nasdaq purposes is a person other than an executive officer or employee of the Company or any other individual having a relationship which, in the opinion of the Board, would interfere with the exercise of independent judgment in carrying out the responsibilities of a director.</w:t>
      </w:r>
    </w:p>
    <w:p>
      <w:pPr>
        <w:spacing w:after="0" w:line="67" w:lineRule="exact"/>
        <w:rPr>
          <w:sz w:val="20"/>
          <w:szCs w:val="20"/>
          <w:color w:val="auto"/>
        </w:rPr>
      </w:pPr>
    </w:p>
    <w:p>
      <w:pPr>
        <w:ind w:left="760" w:right="380"/>
        <w:spacing w:after="0" w:line="250" w:lineRule="auto"/>
        <w:rPr>
          <w:sz w:val="20"/>
          <w:szCs w:val="20"/>
          <w:color w:val="auto"/>
        </w:rPr>
      </w:pPr>
      <w:r>
        <w:rPr>
          <w:rFonts w:ascii="Arial" w:cs="Arial" w:eastAsia="Arial" w:hAnsi="Arial"/>
          <w:sz w:val="16"/>
          <w:szCs w:val="16"/>
          <w:color w:val="auto"/>
        </w:rPr>
        <w:t>The Nominating and Corporate Governance Committee has evaluated all relevant transactions and relationships between each director, or any of his or her family members, and the Company, senior management and our independent registered public accounting firm. Based on this evaluation, the Nominating and Corporate Governance Committee has determined that the following individuals, constituting a majority of the members of our Board, are “independent” as that term is defined in the Nasdaq listing standards and under the US securities laws: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485140</wp:posOffset>
            </wp:positionH>
            <wp:positionV relativeFrom="paragraph">
              <wp:posOffset>76200</wp:posOffset>
            </wp:positionV>
            <wp:extent cx="5829300" cy="889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5829300" cy="8890"/>
                    </a:xfrm>
                    <a:prstGeom prst="rect">
                      <a:avLst/>
                    </a:prstGeom>
                    <a:noFill/>
                  </pic:spPr>
                </pic:pic>
              </a:graphicData>
            </a:graphic>
          </wp:anchor>
        </w:drawing>
      </w:r>
    </w:p>
    <w:p>
      <w:pPr>
        <w:spacing w:after="0" w:line="150" w:lineRule="exact"/>
        <w:rPr>
          <w:sz w:val="20"/>
          <w:szCs w:val="20"/>
          <w:color w:val="auto"/>
        </w:rPr>
      </w:pPr>
    </w:p>
    <w:tbl>
      <w:tblPr>
        <w:tblLayout w:type="fixed"/>
        <w:tblInd w:w="760" w:type="dxa"/>
        <w:tblCellMar>
          <w:top w:w="0" w:type="dxa"/>
          <w:left w:w="0" w:type="dxa"/>
          <w:bottom w:w="0" w:type="dxa"/>
          <w:right w:w="0" w:type="dxa"/>
        </w:tblCellMar>
      </w:tblPr>
      <w:tr>
        <w:trPr>
          <w:trHeight w:val="184"/>
        </w:trPr>
        <w:tc>
          <w:tcPr>
            <w:tcW w:w="3020" w:type="dxa"/>
            <w:vAlign w:val="bottom"/>
          </w:tcPr>
          <w:p>
            <w:pPr>
              <w:ind w:left="60"/>
              <w:spacing w:after="0"/>
              <w:rPr>
                <w:sz w:val="20"/>
                <w:szCs w:val="20"/>
                <w:color w:val="auto"/>
              </w:rPr>
            </w:pPr>
            <w:r>
              <w:rPr>
                <w:rFonts w:ascii="Arial" w:cs="Arial" w:eastAsia="Arial" w:hAnsi="Arial"/>
                <w:sz w:val="15"/>
                <w:szCs w:val="15"/>
                <w:color w:val="auto"/>
              </w:rPr>
              <w:t>Francesco Bianchi</w:t>
            </w:r>
          </w:p>
        </w:tc>
        <w:tc>
          <w:tcPr>
            <w:tcW w:w="6160" w:type="dxa"/>
            <w:vAlign w:val="bottom"/>
          </w:tcPr>
          <w:p>
            <w:pPr>
              <w:ind w:left="1680"/>
              <w:spacing w:after="0"/>
              <w:rPr>
                <w:sz w:val="20"/>
                <w:szCs w:val="20"/>
                <w:color w:val="auto"/>
              </w:rPr>
            </w:pPr>
            <w:r>
              <w:rPr>
                <w:rFonts w:ascii="Arial" w:cs="Arial" w:eastAsia="Arial" w:hAnsi="Arial"/>
                <w:sz w:val="15"/>
                <w:szCs w:val="15"/>
                <w:color w:val="auto"/>
              </w:rPr>
              <w:t>Alfred Novak</w:t>
            </w:r>
          </w:p>
        </w:tc>
      </w:tr>
      <w:tr>
        <w:trPr>
          <w:trHeight w:val="21"/>
        </w:trPr>
        <w:tc>
          <w:tcPr>
            <w:tcW w:w="3020" w:type="dxa"/>
            <w:vAlign w:val="bottom"/>
          </w:tcPr>
          <w:p>
            <w:pPr>
              <w:spacing w:after="0" w:line="20" w:lineRule="exact"/>
              <w:rPr>
                <w:sz w:val="1"/>
                <w:szCs w:val="1"/>
                <w:color w:val="auto"/>
              </w:rPr>
            </w:pPr>
          </w:p>
        </w:tc>
        <w:tc>
          <w:tcPr>
            <w:tcW w:w="6160" w:type="dxa"/>
            <w:vAlign w:val="bottom"/>
          </w:tcPr>
          <w:p>
            <w:pPr>
              <w:spacing w:after="0" w:line="20" w:lineRule="exact"/>
              <w:rPr>
                <w:sz w:val="1"/>
                <w:szCs w:val="1"/>
                <w:color w:val="auto"/>
              </w:rPr>
            </w:pPr>
          </w:p>
        </w:tc>
      </w:tr>
      <w:tr>
        <w:trPr>
          <w:trHeight w:val="237"/>
        </w:trPr>
        <w:tc>
          <w:tcPr>
            <w:tcW w:w="3020" w:type="dxa"/>
            <w:vAlign w:val="bottom"/>
            <w:tcBorders>
              <w:bottom w:val="single" w:sz="8" w:color="EFE9FC"/>
            </w:tcBorders>
            <w:shd w:val="clear" w:color="auto" w:fill="EFE9FC"/>
          </w:tcPr>
          <w:p>
            <w:pPr>
              <w:ind w:left="60"/>
              <w:spacing w:after="0"/>
              <w:rPr>
                <w:sz w:val="20"/>
                <w:szCs w:val="20"/>
                <w:color w:val="auto"/>
              </w:rPr>
            </w:pPr>
            <w:r>
              <w:rPr>
                <w:rFonts w:ascii="Arial" w:cs="Arial" w:eastAsia="Arial" w:hAnsi="Arial"/>
                <w:sz w:val="15"/>
                <w:szCs w:val="15"/>
                <w:color w:val="auto"/>
              </w:rPr>
              <w:t>Stacy Enxing Seng</w:t>
            </w:r>
          </w:p>
        </w:tc>
        <w:tc>
          <w:tcPr>
            <w:tcW w:w="6160" w:type="dxa"/>
            <w:vAlign w:val="bottom"/>
            <w:tcBorders>
              <w:bottom w:val="single" w:sz="8" w:color="EFE9FC"/>
            </w:tcBorders>
            <w:shd w:val="clear" w:color="auto" w:fill="EFE9FC"/>
          </w:tcPr>
          <w:p>
            <w:pPr>
              <w:ind w:left="1680"/>
              <w:spacing w:after="0"/>
              <w:rPr>
                <w:sz w:val="20"/>
                <w:szCs w:val="20"/>
                <w:color w:val="auto"/>
              </w:rPr>
            </w:pPr>
            <w:r>
              <w:rPr>
                <w:rFonts w:ascii="Arial" w:cs="Arial" w:eastAsia="Arial" w:hAnsi="Arial"/>
                <w:sz w:val="15"/>
                <w:szCs w:val="15"/>
                <w:color w:val="auto"/>
              </w:rPr>
              <w:t>Sharon O’Kane</w:t>
            </w:r>
          </w:p>
        </w:tc>
      </w:tr>
      <w:tr>
        <w:trPr>
          <w:trHeight w:val="208"/>
        </w:trPr>
        <w:tc>
          <w:tcPr>
            <w:tcW w:w="3020" w:type="dxa"/>
            <w:vAlign w:val="bottom"/>
          </w:tcPr>
          <w:p>
            <w:pPr>
              <w:ind w:left="60"/>
              <w:spacing w:after="0"/>
              <w:rPr>
                <w:sz w:val="20"/>
                <w:szCs w:val="20"/>
                <w:color w:val="auto"/>
              </w:rPr>
            </w:pPr>
            <w:r>
              <w:rPr>
                <w:rFonts w:ascii="Arial" w:cs="Arial" w:eastAsia="Arial" w:hAnsi="Arial"/>
                <w:sz w:val="15"/>
                <w:szCs w:val="15"/>
                <w:color w:val="auto"/>
              </w:rPr>
              <w:t>William Kozy</w:t>
            </w:r>
          </w:p>
        </w:tc>
        <w:tc>
          <w:tcPr>
            <w:tcW w:w="6160" w:type="dxa"/>
            <w:vAlign w:val="bottom"/>
          </w:tcPr>
          <w:p>
            <w:pPr>
              <w:ind w:left="1680"/>
              <w:spacing w:after="0"/>
              <w:rPr>
                <w:sz w:val="20"/>
                <w:szCs w:val="20"/>
                <w:color w:val="auto"/>
              </w:rPr>
            </w:pPr>
            <w:r>
              <w:rPr>
                <w:rFonts w:ascii="Arial" w:cs="Arial" w:eastAsia="Arial" w:hAnsi="Arial"/>
                <w:sz w:val="15"/>
                <w:szCs w:val="15"/>
                <w:color w:val="auto"/>
              </w:rPr>
              <w:t>Arthur Rosenthal</w:t>
            </w:r>
          </w:p>
        </w:tc>
      </w:tr>
      <w:tr>
        <w:trPr>
          <w:trHeight w:val="22"/>
        </w:trPr>
        <w:tc>
          <w:tcPr>
            <w:tcW w:w="3020" w:type="dxa"/>
            <w:vAlign w:val="bottom"/>
          </w:tcPr>
          <w:p>
            <w:pPr>
              <w:spacing w:after="0" w:line="20" w:lineRule="exact"/>
              <w:rPr>
                <w:sz w:val="1"/>
                <w:szCs w:val="1"/>
                <w:color w:val="auto"/>
              </w:rPr>
            </w:pPr>
          </w:p>
        </w:tc>
        <w:tc>
          <w:tcPr>
            <w:tcW w:w="6160" w:type="dxa"/>
            <w:vAlign w:val="bottom"/>
          </w:tcPr>
          <w:p>
            <w:pPr>
              <w:spacing w:after="0" w:line="20" w:lineRule="exact"/>
              <w:rPr>
                <w:sz w:val="1"/>
                <w:szCs w:val="1"/>
                <w:color w:val="auto"/>
              </w:rPr>
            </w:pPr>
          </w:p>
        </w:tc>
      </w:tr>
      <w:tr>
        <w:trPr>
          <w:trHeight w:val="236"/>
        </w:trPr>
        <w:tc>
          <w:tcPr>
            <w:tcW w:w="3020" w:type="dxa"/>
            <w:vAlign w:val="bottom"/>
            <w:tcBorders>
              <w:bottom w:val="single" w:sz="8" w:color="EFE9FC"/>
            </w:tcBorders>
            <w:shd w:val="clear" w:color="auto" w:fill="EFE9FC"/>
          </w:tcPr>
          <w:p>
            <w:pPr>
              <w:ind w:left="60"/>
              <w:spacing w:after="0"/>
              <w:rPr>
                <w:sz w:val="20"/>
                <w:szCs w:val="20"/>
                <w:color w:val="auto"/>
              </w:rPr>
            </w:pPr>
            <w:r>
              <w:rPr>
                <w:rFonts w:ascii="Arial" w:cs="Arial" w:eastAsia="Arial" w:hAnsi="Arial"/>
                <w:sz w:val="15"/>
                <w:szCs w:val="15"/>
                <w:color w:val="auto"/>
              </w:rPr>
              <w:t>Daniel Moore</w:t>
            </w:r>
          </w:p>
        </w:tc>
        <w:tc>
          <w:tcPr>
            <w:tcW w:w="6160" w:type="dxa"/>
            <w:vAlign w:val="bottom"/>
            <w:tcBorders>
              <w:bottom w:val="single" w:sz="8" w:color="EFE9FC"/>
            </w:tcBorders>
            <w:shd w:val="clear" w:color="auto" w:fill="EFE9FC"/>
          </w:tcPr>
          <w:p>
            <w:pPr>
              <w:ind w:left="1680"/>
              <w:spacing w:after="0"/>
              <w:rPr>
                <w:sz w:val="20"/>
                <w:szCs w:val="20"/>
                <w:color w:val="auto"/>
              </w:rPr>
            </w:pPr>
            <w:r>
              <w:rPr>
                <w:rFonts w:ascii="Arial" w:cs="Arial" w:eastAsia="Arial" w:hAnsi="Arial"/>
                <w:sz w:val="15"/>
                <w:szCs w:val="15"/>
                <w:color w:val="auto"/>
              </w:rPr>
              <w:t>Andrea Saia</w:t>
            </w:r>
          </w:p>
        </w:tc>
      </w:tr>
      <w:tr>
        <w:trPr>
          <w:trHeight w:val="208"/>
        </w:trPr>
        <w:tc>
          <w:tcPr>
            <w:tcW w:w="3020" w:type="dxa"/>
            <w:vAlign w:val="bottom"/>
          </w:tcPr>
          <w:p>
            <w:pPr>
              <w:ind w:left="60"/>
              <w:spacing w:after="0"/>
              <w:rPr>
                <w:sz w:val="20"/>
                <w:szCs w:val="20"/>
                <w:color w:val="auto"/>
              </w:rPr>
            </w:pPr>
            <w:r>
              <w:rPr>
                <w:rFonts w:ascii="Arial" w:cs="Arial" w:eastAsia="Arial" w:hAnsi="Arial"/>
                <w:sz w:val="15"/>
                <w:szCs w:val="15"/>
                <w:color w:val="auto"/>
              </w:rPr>
              <w:t>Hugh Morrison</w:t>
            </w:r>
          </w:p>
        </w:tc>
        <w:tc>
          <w:tcPr>
            <w:tcW w:w="6160" w:type="dxa"/>
            <w:vAlign w:val="bottom"/>
          </w:tcPr>
          <w:p>
            <w:pPr>
              <w:spacing w:after="0"/>
              <w:rPr>
                <w:sz w:val="18"/>
                <w:szCs w:val="18"/>
                <w:color w:val="auto"/>
              </w:rPr>
            </w:pPr>
          </w:p>
        </w:tc>
      </w:tr>
      <w:tr>
        <w:trPr>
          <w:trHeight w:val="22"/>
        </w:trPr>
        <w:tc>
          <w:tcPr>
            <w:tcW w:w="3020" w:type="dxa"/>
            <w:vAlign w:val="bottom"/>
            <w:tcBorders>
              <w:bottom w:val="single" w:sz="8" w:color="4800E6"/>
            </w:tcBorders>
          </w:tcPr>
          <w:p>
            <w:pPr>
              <w:spacing w:after="0" w:line="20" w:lineRule="exact"/>
              <w:rPr>
                <w:sz w:val="1"/>
                <w:szCs w:val="1"/>
                <w:color w:val="auto"/>
              </w:rPr>
            </w:pPr>
          </w:p>
        </w:tc>
        <w:tc>
          <w:tcPr>
            <w:tcW w:w="6160" w:type="dxa"/>
            <w:vAlign w:val="bottom"/>
            <w:tcBorders>
              <w:bottom w:val="single" w:sz="8" w:color="4800E6"/>
            </w:tcBorders>
          </w:tcPr>
          <w:p>
            <w:pPr>
              <w:spacing w:after="0" w:line="20" w:lineRule="exact"/>
              <w:rPr>
                <w:sz w:val="1"/>
                <w:szCs w:val="1"/>
                <w:color w:val="auto"/>
              </w:rPr>
            </w:pPr>
          </w:p>
        </w:tc>
      </w:tr>
    </w:tbl>
    <w:p>
      <w:pPr>
        <w:spacing w:after="0" w:line="69" w:lineRule="exact"/>
        <w:rPr>
          <w:sz w:val="20"/>
          <w:szCs w:val="20"/>
          <w:color w:val="auto"/>
        </w:rPr>
      </w:pPr>
    </w:p>
    <w:p>
      <w:pPr>
        <w:ind w:left="760" w:right="340"/>
        <w:spacing w:after="0" w:line="251" w:lineRule="auto"/>
        <w:rPr>
          <w:sz w:val="20"/>
          <w:szCs w:val="20"/>
          <w:color w:val="auto"/>
        </w:rPr>
      </w:pPr>
      <w:r>
        <w:rPr>
          <w:rFonts w:ascii="Arial" w:cs="Arial" w:eastAsia="Arial" w:hAnsi="Arial"/>
          <w:sz w:val="16"/>
          <w:szCs w:val="16"/>
          <w:color w:val="auto"/>
        </w:rPr>
        <w:t>The Board has also determined that all members of the Audit and Compliance Committee meet additional, heightened independence criteria applicable to audit committee members under the Nasdaq listing rules. The Board has further determined that all members of the Audit and Compliance Committee are financially literate and that Francesco Bianchi, Hugh Morrison (chair of the Audit and Compliance Committee) and Alfred Novak are “audit committee financial experts.”</w:t>
      </w:r>
    </w:p>
    <w:p>
      <w:pPr>
        <w:spacing w:after="0" w:line="81" w:lineRule="exact"/>
        <w:rPr>
          <w:sz w:val="20"/>
          <w:szCs w:val="20"/>
          <w:color w:val="auto"/>
        </w:rPr>
      </w:pPr>
    </w:p>
    <w:p>
      <w:pPr>
        <w:ind w:left="760" w:right="260"/>
        <w:spacing w:after="0" w:line="253" w:lineRule="auto"/>
        <w:rPr>
          <w:sz w:val="20"/>
          <w:szCs w:val="20"/>
          <w:color w:val="auto"/>
        </w:rPr>
      </w:pPr>
      <w:r>
        <w:rPr>
          <w:rFonts w:ascii="Arial" w:cs="Arial" w:eastAsia="Arial" w:hAnsi="Arial"/>
          <w:sz w:val="16"/>
          <w:szCs w:val="16"/>
          <w:color w:val="auto"/>
        </w:rPr>
        <w:t>The Nominating and Corporate Governance Committee has also determined that all members of the Compensation Committee meet independence criteria applicable to compensation committee members under the Nasdaq listing rules as well as certain other requirements set out below.</w:t>
      </w:r>
    </w:p>
    <w:p>
      <w:pPr>
        <w:spacing w:after="0" w:line="66" w:lineRule="exact"/>
        <w:rPr>
          <w:sz w:val="20"/>
          <w:szCs w:val="20"/>
          <w:color w:val="auto"/>
        </w:rPr>
      </w:pPr>
    </w:p>
    <w:p>
      <w:pPr>
        <w:ind w:left="760" w:right="400"/>
        <w:spacing w:after="0" w:line="260" w:lineRule="auto"/>
        <w:rPr>
          <w:sz w:val="20"/>
          <w:szCs w:val="20"/>
          <w:color w:val="auto"/>
        </w:rPr>
      </w:pPr>
      <w:r>
        <w:rPr>
          <w:rFonts w:ascii="Arial" w:cs="Arial" w:eastAsia="Arial" w:hAnsi="Arial"/>
          <w:sz w:val="16"/>
          <w:szCs w:val="16"/>
          <w:color w:val="auto"/>
        </w:rPr>
        <w:t>The Nominating and Corporate Governance Committee’s determinations as to Nasdaq independence, status as a non-employee director and status as an audit committee financial expert are set out in the table below.</w:t>
      </w:r>
    </w:p>
    <w:p>
      <w:pPr>
        <w:spacing w:after="0" w:line="153" w:lineRule="exact"/>
        <w:rPr>
          <w:sz w:val="20"/>
          <w:szCs w:val="20"/>
          <w:color w:val="auto"/>
        </w:rPr>
      </w:pPr>
    </w:p>
    <w:tbl>
      <w:tblPr>
        <w:tblLayout w:type="fixed"/>
        <w:tblInd w:w="760" w:type="dxa"/>
        <w:tblCellMar>
          <w:top w:w="0" w:type="dxa"/>
          <w:left w:w="0" w:type="dxa"/>
          <w:bottom w:w="0" w:type="dxa"/>
          <w:right w:w="0" w:type="dxa"/>
        </w:tblCellMar>
      </w:tblPr>
      <w:tr>
        <w:trPr>
          <w:trHeight w:val="162"/>
        </w:trPr>
        <w:tc>
          <w:tcPr>
            <w:tcW w:w="1520" w:type="dxa"/>
            <w:vAlign w:val="bottom"/>
          </w:tcPr>
          <w:p>
            <w:pPr>
              <w:spacing w:after="0"/>
              <w:rPr>
                <w:sz w:val="14"/>
                <w:szCs w:val="14"/>
                <w:color w:val="auto"/>
              </w:rPr>
            </w:pPr>
          </w:p>
        </w:tc>
        <w:tc>
          <w:tcPr>
            <w:tcW w:w="2000" w:type="dxa"/>
            <w:vAlign w:val="bottom"/>
          </w:tcPr>
          <w:p>
            <w:pPr>
              <w:spacing w:after="0"/>
              <w:rPr>
                <w:sz w:val="14"/>
                <w:szCs w:val="14"/>
                <w:color w:val="auto"/>
              </w:rPr>
            </w:pPr>
          </w:p>
        </w:tc>
        <w:tc>
          <w:tcPr>
            <w:tcW w:w="2660" w:type="dxa"/>
            <w:vAlign w:val="bottom"/>
          </w:tcPr>
          <w:p>
            <w:pPr>
              <w:jc w:val="center"/>
              <w:spacing w:after="0"/>
              <w:rPr>
                <w:sz w:val="20"/>
                <w:szCs w:val="20"/>
                <w:color w:val="auto"/>
              </w:rPr>
            </w:pPr>
            <w:r>
              <w:rPr>
                <w:rFonts w:ascii="Arial" w:cs="Arial" w:eastAsia="Arial" w:hAnsi="Arial"/>
                <w:sz w:val="14"/>
                <w:szCs w:val="14"/>
                <w:b w:val="1"/>
                <w:bCs w:val="1"/>
                <w:color w:val="4800E6"/>
              </w:rPr>
              <w:t>Nasdaq</w:t>
            </w:r>
          </w:p>
        </w:tc>
        <w:tc>
          <w:tcPr>
            <w:tcW w:w="1540" w:type="dxa"/>
            <w:vAlign w:val="bottom"/>
          </w:tcPr>
          <w:p>
            <w:pPr>
              <w:spacing w:after="0"/>
              <w:rPr>
                <w:sz w:val="14"/>
                <w:szCs w:val="14"/>
                <w:color w:val="auto"/>
              </w:rPr>
            </w:pPr>
          </w:p>
        </w:tc>
        <w:tc>
          <w:tcPr>
            <w:tcW w:w="1460" w:type="dxa"/>
            <w:vAlign w:val="bottom"/>
          </w:tcPr>
          <w:p>
            <w:pPr>
              <w:spacing w:after="0"/>
              <w:rPr>
                <w:sz w:val="14"/>
                <w:szCs w:val="14"/>
                <w:color w:val="auto"/>
              </w:rPr>
            </w:pPr>
          </w:p>
        </w:tc>
      </w:tr>
      <w:tr>
        <w:trPr>
          <w:trHeight w:val="162"/>
        </w:trPr>
        <w:tc>
          <w:tcPr>
            <w:tcW w:w="1520" w:type="dxa"/>
            <w:vAlign w:val="bottom"/>
          </w:tcPr>
          <w:p>
            <w:pPr>
              <w:spacing w:after="0"/>
              <w:rPr>
                <w:sz w:val="14"/>
                <w:szCs w:val="14"/>
                <w:color w:val="auto"/>
              </w:rPr>
            </w:pPr>
          </w:p>
        </w:tc>
        <w:tc>
          <w:tcPr>
            <w:tcW w:w="2000" w:type="dxa"/>
            <w:vAlign w:val="bottom"/>
          </w:tcPr>
          <w:p>
            <w:pPr>
              <w:jc w:val="center"/>
              <w:spacing w:after="0"/>
              <w:rPr>
                <w:sz w:val="20"/>
                <w:szCs w:val="20"/>
                <w:color w:val="auto"/>
              </w:rPr>
            </w:pPr>
            <w:r>
              <w:rPr>
                <w:rFonts w:ascii="Arial" w:cs="Arial" w:eastAsia="Arial" w:hAnsi="Arial"/>
                <w:sz w:val="14"/>
                <w:szCs w:val="14"/>
                <w:b w:val="1"/>
                <w:bCs w:val="1"/>
                <w:color w:val="4800E6"/>
              </w:rPr>
              <w:t>Nasdaq</w:t>
            </w:r>
          </w:p>
        </w:tc>
        <w:tc>
          <w:tcPr>
            <w:tcW w:w="2660" w:type="dxa"/>
            <w:vAlign w:val="bottom"/>
          </w:tcPr>
          <w:p>
            <w:pPr>
              <w:jc w:val="center"/>
              <w:spacing w:after="0"/>
              <w:rPr>
                <w:sz w:val="20"/>
                <w:szCs w:val="20"/>
                <w:color w:val="auto"/>
              </w:rPr>
            </w:pPr>
            <w:r>
              <w:rPr>
                <w:rFonts w:ascii="Arial" w:cs="Arial" w:eastAsia="Arial" w:hAnsi="Arial"/>
                <w:sz w:val="14"/>
                <w:szCs w:val="14"/>
                <w:b w:val="1"/>
                <w:bCs w:val="1"/>
                <w:color w:val="4800E6"/>
              </w:rPr>
              <w:t>Independence for Compensation</w:t>
            </w:r>
          </w:p>
        </w:tc>
        <w:tc>
          <w:tcPr>
            <w:tcW w:w="1540" w:type="dxa"/>
            <w:vAlign w:val="bottom"/>
          </w:tcPr>
          <w:p>
            <w:pPr>
              <w:jc w:val="center"/>
              <w:spacing w:after="0"/>
              <w:rPr>
                <w:sz w:val="20"/>
                <w:szCs w:val="20"/>
                <w:color w:val="auto"/>
              </w:rPr>
            </w:pPr>
            <w:r>
              <w:rPr>
                <w:rFonts w:ascii="Arial" w:cs="Arial" w:eastAsia="Arial" w:hAnsi="Arial"/>
                <w:sz w:val="14"/>
                <w:szCs w:val="14"/>
                <w:b w:val="1"/>
                <w:bCs w:val="1"/>
                <w:color w:val="4800E6"/>
              </w:rPr>
              <w:t>“Non-Employee</w:t>
            </w:r>
          </w:p>
        </w:tc>
        <w:tc>
          <w:tcPr>
            <w:tcW w:w="1460" w:type="dxa"/>
            <w:vAlign w:val="bottom"/>
          </w:tcPr>
          <w:p>
            <w:pPr>
              <w:jc w:val="center"/>
              <w:ind w:left="65"/>
              <w:spacing w:after="0"/>
              <w:rPr>
                <w:sz w:val="20"/>
                <w:szCs w:val="20"/>
                <w:color w:val="auto"/>
              </w:rPr>
            </w:pPr>
            <w:r>
              <w:rPr>
                <w:rFonts w:ascii="Arial" w:cs="Arial" w:eastAsia="Arial" w:hAnsi="Arial"/>
                <w:sz w:val="14"/>
                <w:szCs w:val="14"/>
                <w:b w:val="1"/>
                <w:bCs w:val="1"/>
                <w:color w:val="4800E6"/>
                <w:w w:val="99"/>
              </w:rPr>
              <w:t>Audit Committee</w:t>
            </w:r>
          </w:p>
        </w:tc>
      </w:tr>
      <w:tr>
        <w:trPr>
          <w:trHeight w:val="196"/>
        </w:trPr>
        <w:tc>
          <w:tcPr>
            <w:tcW w:w="1520" w:type="dxa"/>
            <w:vAlign w:val="bottom"/>
            <w:tcBorders>
              <w:bottom w:val="single" w:sz="8" w:color="4800E6"/>
            </w:tcBorders>
          </w:tcPr>
          <w:p>
            <w:pPr>
              <w:ind w:left="40"/>
              <w:spacing w:after="0"/>
              <w:rPr>
                <w:sz w:val="20"/>
                <w:szCs w:val="20"/>
                <w:color w:val="auto"/>
              </w:rPr>
            </w:pPr>
            <w:r>
              <w:rPr>
                <w:rFonts w:ascii="Arial" w:cs="Arial" w:eastAsia="Arial" w:hAnsi="Arial"/>
                <w:sz w:val="14"/>
                <w:szCs w:val="14"/>
                <w:b w:val="1"/>
                <w:bCs w:val="1"/>
                <w:color w:val="4800E6"/>
              </w:rPr>
              <w:t>Directors</w:t>
            </w:r>
          </w:p>
        </w:tc>
        <w:tc>
          <w:tcPr>
            <w:tcW w:w="2000" w:type="dxa"/>
            <w:vAlign w:val="bottom"/>
            <w:tcBorders>
              <w:bottom w:val="single" w:sz="8" w:color="4800E6"/>
            </w:tcBorders>
          </w:tcPr>
          <w:p>
            <w:pPr>
              <w:jc w:val="center"/>
              <w:spacing w:after="0"/>
              <w:rPr>
                <w:sz w:val="20"/>
                <w:szCs w:val="20"/>
                <w:color w:val="auto"/>
              </w:rPr>
            </w:pPr>
            <w:r>
              <w:rPr>
                <w:rFonts w:ascii="Arial" w:cs="Arial" w:eastAsia="Arial" w:hAnsi="Arial"/>
                <w:sz w:val="14"/>
                <w:szCs w:val="14"/>
                <w:b w:val="1"/>
                <w:bCs w:val="1"/>
                <w:color w:val="4800E6"/>
              </w:rPr>
              <w:t>“Independent Director”</w:t>
            </w:r>
          </w:p>
        </w:tc>
        <w:tc>
          <w:tcPr>
            <w:tcW w:w="2660" w:type="dxa"/>
            <w:vAlign w:val="bottom"/>
            <w:tcBorders>
              <w:bottom w:val="single" w:sz="8" w:color="4800E6"/>
            </w:tcBorders>
          </w:tcPr>
          <w:p>
            <w:pPr>
              <w:jc w:val="center"/>
              <w:spacing w:after="0"/>
              <w:rPr>
                <w:sz w:val="20"/>
                <w:szCs w:val="20"/>
                <w:color w:val="auto"/>
              </w:rPr>
            </w:pPr>
            <w:r>
              <w:rPr>
                <w:rFonts w:ascii="Arial" w:cs="Arial" w:eastAsia="Arial" w:hAnsi="Arial"/>
                <w:sz w:val="14"/>
                <w:szCs w:val="14"/>
                <w:b w:val="1"/>
                <w:bCs w:val="1"/>
                <w:color w:val="4800E6"/>
              </w:rPr>
              <w:t>Committee Purposes</w:t>
            </w:r>
          </w:p>
        </w:tc>
        <w:tc>
          <w:tcPr>
            <w:tcW w:w="1540" w:type="dxa"/>
            <w:vAlign w:val="bottom"/>
            <w:tcBorders>
              <w:bottom w:val="single" w:sz="8" w:color="4800E6"/>
            </w:tcBorders>
          </w:tcPr>
          <w:p>
            <w:pPr>
              <w:jc w:val="center"/>
              <w:spacing w:after="0"/>
              <w:rPr>
                <w:sz w:val="20"/>
                <w:szCs w:val="20"/>
                <w:color w:val="auto"/>
              </w:rPr>
            </w:pPr>
            <w:r>
              <w:rPr>
                <w:rFonts w:ascii="Arial" w:cs="Arial" w:eastAsia="Arial" w:hAnsi="Arial"/>
                <w:sz w:val="14"/>
                <w:szCs w:val="14"/>
                <w:b w:val="1"/>
                <w:bCs w:val="1"/>
                <w:color w:val="4800E6"/>
              </w:rPr>
              <w:t>Director”</w:t>
            </w:r>
          </w:p>
        </w:tc>
        <w:tc>
          <w:tcPr>
            <w:tcW w:w="1460" w:type="dxa"/>
            <w:vAlign w:val="bottom"/>
            <w:tcBorders>
              <w:bottom w:val="single" w:sz="8" w:color="4800E6"/>
            </w:tcBorders>
          </w:tcPr>
          <w:p>
            <w:pPr>
              <w:jc w:val="center"/>
              <w:ind w:left="105"/>
              <w:spacing w:after="0"/>
              <w:rPr>
                <w:sz w:val="20"/>
                <w:szCs w:val="20"/>
                <w:color w:val="auto"/>
              </w:rPr>
            </w:pPr>
            <w:r>
              <w:rPr>
                <w:rFonts w:ascii="Arial" w:cs="Arial" w:eastAsia="Arial" w:hAnsi="Arial"/>
                <w:sz w:val="14"/>
                <w:szCs w:val="14"/>
                <w:b w:val="1"/>
                <w:bCs w:val="1"/>
                <w:color w:val="4800E6"/>
                <w:w w:val="99"/>
              </w:rPr>
              <w:t>Financial Expert</w:t>
            </w:r>
          </w:p>
        </w:tc>
      </w:tr>
      <w:tr>
        <w:trPr>
          <w:trHeight w:val="250"/>
        </w:trPr>
        <w:tc>
          <w:tcPr>
            <w:tcW w:w="1520" w:type="dxa"/>
            <w:vAlign w:val="bottom"/>
            <w:tcBorders>
              <w:bottom w:val="single" w:sz="8" w:color="FEFEFE"/>
            </w:tcBorders>
          </w:tcPr>
          <w:p>
            <w:pPr>
              <w:ind w:left="40"/>
              <w:spacing w:after="0"/>
              <w:rPr>
                <w:sz w:val="20"/>
                <w:szCs w:val="20"/>
                <w:color w:val="auto"/>
              </w:rPr>
            </w:pPr>
            <w:r>
              <w:rPr>
                <w:rFonts w:ascii="Arial" w:cs="Arial" w:eastAsia="Arial" w:hAnsi="Arial"/>
                <w:sz w:val="15"/>
                <w:szCs w:val="15"/>
                <w:color w:val="auto"/>
              </w:rPr>
              <w:t>Francesco Bianchi</w:t>
            </w:r>
          </w:p>
        </w:tc>
        <w:tc>
          <w:tcPr>
            <w:tcW w:w="2000" w:type="dxa"/>
            <w:vAlign w:val="bottom"/>
            <w:tcBorders>
              <w:bottom w:val="single" w:sz="8" w:color="FEFEFE"/>
            </w:tcBorders>
          </w:tcPr>
          <w:p>
            <w:pPr>
              <w:jc w:val="center"/>
              <w:spacing w:after="0" w:line="151" w:lineRule="exact"/>
              <w:rPr>
                <w:sz w:val="20"/>
                <w:szCs w:val="20"/>
                <w:color w:val="auto"/>
              </w:rPr>
            </w:pPr>
            <w:r>
              <w:rPr>
                <w:rFonts w:ascii="MS PGothic" w:cs="MS PGothic" w:eastAsia="MS PGothic" w:hAnsi="MS PGothic"/>
                <w:sz w:val="15"/>
                <w:szCs w:val="15"/>
                <w:color w:val="4800E6"/>
                <w:w w:val="93"/>
              </w:rPr>
              <w:t>✔</w:t>
            </w:r>
          </w:p>
        </w:tc>
        <w:tc>
          <w:tcPr>
            <w:tcW w:w="2660" w:type="dxa"/>
            <w:vAlign w:val="bottom"/>
            <w:tcBorders>
              <w:bottom w:val="single" w:sz="8" w:color="FEFEFE"/>
            </w:tcBorders>
          </w:tcPr>
          <w:p>
            <w:pPr>
              <w:jc w:val="center"/>
              <w:spacing w:after="0" w:line="151" w:lineRule="exact"/>
              <w:rPr>
                <w:sz w:val="20"/>
                <w:szCs w:val="20"/>
                <w:color w:val="auto"/>
              </w:rPr>
            </w:pPr>
            <w:r>
              <w:rPr>
                <w:rFonts w:ascii="MS PGothic" w:cs="MS PGothic" w:eastAsia="MS PGothic" w:hAnsi="MS PGothic"/>
                <w:sz w:val="15"/>
                <w:szCs w:val="15"/>
                <w:color w:val="4800E6"/>
                <w:w w:val="93"/>
              </w:rPr>
              <w:t>✔</w:t>
            </w:r>
          </w:p>
        </w:tc>
        <w:tc>
          <w:tcPr>
            <w:tcW w:w="1540" w:type="dxa"/>
            <w:vAlign w:val="bottom"/>
            <w:tcBorders>
              <w:bottom w:val="single" w:sz="8" w:color="FEFEFE"/>
            </w:tcBorders>
          </w:tcPr>
          <w:p>
            <w:pPr>
              <w:jc w:val="center"/>
              <w:spacing w:after="0" w:line="151" w:lineRule="exact"/>
              <w:rPr>
                <w:sz w:val="20"/>
                <w:szCs w:val="20"/>
                <w:color w:val="auto"/>
              </w:rPr>
            </w:pPr>
            <w:r>
              <w:rPr>
                <w:rFonts w:ascii="MS PGothic" w:cs="MS PGothic" w:eastAsia="MS PGothic" w:hAnsi="MS PGothic"/>
                <w:sz w:val="15"/>
                <w:szCs w:val="15"/>
                <w:color w:val="4800E6"/>
                <w:w w:val="79"/>
              </w:rPr>
              <w:t>✔</w:t>
            </w:r>
          </w:p>
        </w:tc>
        <w:tc>
          <w:tcPr>
            <w:tcW w:w="1460" w:type="dxa"/>
            <w:vAlign w:val="bottom"/>
            <w:tcBorders>
              <w:bottom w:val="single" w:sz="8" w:color="FEFEFE"/>
            </w:tcBorders>
          </w:tcPr>
          <w:p>
            <w:pPr>
              <w:jc w:val="center"/>
              <w:ind w:left="125"/>
              <w:spacing w:after="0" w:line="151" w:lineRule="exact"/>
              <w:rPr>
                <w:sz w:val="20"/>
                <w:szCs w:val="20"/>
                <w:color w:val="auto"/>
              </w:rPr>
            </w:pPr>
            <w:r>
              <w:rPr>
                <w:rFonts w:ascii="MS PGothic" w:cs="MS PGothic" w:eastAsia="MS PGothic" w:hAnsi="MS PGothic"/>
                <w:sz w:val="15"/>
                <w:szCs w:val="15"/>
                <w:color w:val="4800E6"/>
                <w:w w:val="93"/>
              </w:rPr>
              <w:t>✔</w:t>
            </w:r>
          </w:p>
        </w:tc>
      </w:tr>
      <w:tr>
        <w:trPr>
          <w:trHeight w:val="250"/>
        </w:trPr>
        <w:tc>
          <w:tcPr>
            <w:tcW w:w="1520" w:type="dxa"/>
            <w:vAlign w:val="bottom"/>
            <w:tcBorders>
              <w:bottom w:val="single" w:sz="8" w:color="FEFEFE"/>
            </w:tcBorders>
            <w:shd w:val="clear" w:color="auto" w:fill="EFE9FC"/>
          </w:tcPr>
          <w:p>
            <w:pPr>
              <w:ind w:left="40"/>
              <w:spacing w:after="0"/>
              <w:rPr>
                <w:sz w:val="20"/>
                <w:szCs w:val="20"/>
                <w:color w:val="auto"/>
              </w:rPr>
            </w:pPr>
            <w:r>
              <w:rPr>
                <w:rFonts w:ascii="Arial" w:cs="Arial" w:eastAsia="Arial" w:hAnsi="Arial"/>
                <w:sz w:val="15"/>
                <w:szCs w:val="15"/>
                <w:color w:val="auto"/>
              </w:rPr>
              <w:t>Stacy Enxing Seng</w:t>
            </w:r>
          </w:p>
        </w:tc>
        <w:tc>
          <w:tcPr>
            <w:tcW w:w="2000" w:type="dxa"/>
            <w:vAlign w:val="bottom"/>
            <w:tcBorders>
              <w:bottom w:val="single" w:sz="8" w:color="FEFEFE"/>
            </w:tcBorders>
            <w:shd w:val="clear" w:color="auto" w:fill="EFE9FC"/>
          </w:tcPr>
          <w:p>
            <w:pPr>
              <w:jc w:val="center"/>
              <w:spacing w:after="0" w:line="151" w:lineRule="exact"/>
              <w:rPr>
                <w:sz w:val="20"/>
                <w:szCs w:val="20"/>
                <w:color w:val="auto"/>
              </w:rPr>
            </w:pPr>
            <w:r>
              <w:rPr>
                <w:rFonts w:ascii="MS PGothic" w:cs="MS PGothic" w:eastAsia="MS PGothic" w:hAnsi="MS PGothic"/>
                <w:sz w:val="15"/>
                <w:szCs w:val="15"/>
                <w:color w:val="4800E6"/>
                <w:w w:val="93"/>
              </w:rPr>
              <w:t>✔</w:t>
            </w:r>
          </w:p>
        </w:tc>
        <w:tc>
          <w:tcPr>
            <w:tcW w:w="2660" w:type="dxa"/>
            <w:vAlign w:val="bottom"/>
            <w:tcBorders>
              <w:bottom w:val="single" w:sz="8" w:color="FEFEFE"/>
            </w:tcBorders>
            <w:shd w:val="clear" w:color="auto" w:fill="EFE9FC"/>
          </w:tcPr>
          <w:p>
            <w:pPr>
              <w:jc w:val="center"/>
              <w:spacing w:after="0" w:line="151" w:lineRule="exact"/>
              <w:rPr>
                <w:sz w:val="20"/>
                <w:szCs w:val="20"/>
                <w:color w:val="auto"/>
              </w:rPr>
            </w:pPr>
            <w:r>
              <w:rPr>
                <w:rFonts w:ascii="MS PGothic" w:cs="MS PGothic" w:eastAsia="MS PGothic" w:hAnsi="MS PGothic"/>
                <w:sz w:val="15"/>
                <w:szCs w:val="15"/>
                <w:color w:val="4800E6"/>
                <w:w w:val="93"/>
              </w:rPr>
              <w:t>✔</w:t>
            </w:r>
          </w:p>
        </w:tc>
        <w:tc>
          <w:tcPr>
            <w:tcW w:w="1540" w:type="dxa"/>
            <w:vAlign w:val="bottom"/>
            <w:tcBorders>
              <w:bottom w:val="single" w:sz="8" w:color="FEFEFE"/>
            </w:tcBorders>
            <w:shd w:val="clear" w:color="auto" w:fill="EFE9FC"/>
          </w:tcPr>
          <w:p>
            <w:pPr>
              <w:jc w:val="center"/>
              <w:spacing w:after="0" w:line="151" w:lineRule="exact"/>
              <w:rPr>
                <w:sz w:val="20"/>
                <w:szCs w:val="20"/>
                <w:color w:val="auto"/>
              </w:rPr>
            </w:pPr>
            <w:r>
              <w:rPr>
                <w:rFonts w:ascii="MS PGothic" w:cs="MS PGothic" w:eastAsia="MS PGothic" w:hAnsi="MS PGothic"/>
                <w:sz w:val="15"/>
                <w:szCs w:val="15"/>
                <w:color w:val="4800E6"/>
                <w:w w:val="79"/>
              </w:rPr>
              <w:t>✔</w:t>
            </w:r>
          </w:p>
        </w:tc>
        <w:tc>
          <w:tcPr>
            <w:tcW w:w="1460" w:type="dxa"/>
            <w:vAlign w:val="bottom"/>
            <w:tcBorders>
              <w:bottom w:val="single" w:sz="8" w:color="FEFEFE"/>
            </w:tcBorders>
            <w:shd w:val="clear" w:color="auto" w:fill="EFE9FC"/>
          </w:tcPr>
          <w:p>
            <w:pPr>
              <w:spacing w:after="0"/>
              <w:rPr>
                <w:sz w:val="21"/>
                <w:szCs w:val="21"/>
                <w:color w:val="auto"/>
              </w:rPr>
            </w:pPr>
          </w:p>
        </w:tc>
      </w:tr>
      <w:tr>
        <w:trPr>
          <w:trHeight w:val="250"/>
        </w:trPr>
        <w:tc>
          <w:tcPr>
            <w:tcW w:w="1520" w:type="dxa"/>
            <w:vAlign w:val="bottom"/>
            <w:tcBorders>
              <w:bottom w:val="single" w:sz="8" w:color="FEFEFE"/>
            </w:tcBorders>
          </w:tcPr>
          <w:p>
            <w:pPr>
              <w:ind w:left="40"/>
              <w:spacing w:after="0"/>
              <w:rPr>
                <w:sz w:val="20"/>
                <w:szCs w:val="20"/>
                <w:color w:val="auto"/>
              </w:rPr>
            </w:pPr>
            <w:r>
              <w:rPr>
                <w:rFonts w:ascii="Arial" w:cs="Arial" w:eastAsia="Arial" w:hAnsi="Arial"/>
                <w:sz w:val="15"/>
                <w:szCs w:val="15"/>
                <w:color w:val="auto"/>
              </w:rPr>
              <w:t>William Kozy</w:t>
            </w:r>
          </w:p>
        </w:tc>
        <w:tc>
          <w:tcPr>
            <w:tcW w:w="2000" w:type="dxa"/>
            <w:vAlign w:val="bottom"/>
            <w:tcBorders>
              <w:bottom w:val="single" w:sz="8" w:color="FEFEFE"/>
            </w:tcBorders>
          </w:tcPr>
          <w:p>
            <w:pPr>
              <w:jc w:val="center"/>
              <w:spacing w:after="0" w:line="151" w:lineRule="exact"/>
              <w:rPr>
                <w:sz w:val="20"/>
                <w:szCs w:val="20"/>
                <w:color w:val="auto"/>
              </w:rPr>
            </w:pPr>
            <w:r>
              <w:rPr>
                <w:rFonts w:ascii="MS PGothic" w:cs="MS PGothic" w:eastAsia="MS PGothic" w:hAnsi="MS PGothic"/>
                <w:sz w:val="15"/>
                <w:szCs w:val="15"/>
                <w:color w:val="4800E6"/>
                <w:w w:val="93"/>
              </w:rPr>
              <w:t>✔</w:t>
            </w:r>
          </w:p>
        </w:tc>
        <w:tc>
          <w:tcPr>
            <w:tcW w:w="2660" w:type="dxa"/>
            <w:vAlign w:val="bottom"/>
            <w:tcBorders>
              <w:bottom w:val="single" w:sz="8" w:color="FEFEFE"/>
            </w:tcBorders>
          </w:tcPr>
          <w:p>
            <w:pPr>
              <w:jc w:val="center"/>
              <w:spacing w:after="0" w:line="151" w:lineRule="exact"/>
              <w:rPr>
                <w:sz w:val="20"/>
                <w:szCs w:val="20"/>
                <w:color w:val="auto"/>
              </w:rPr>
            </w:pPr>
            <w:r>
              <w:rPr>
                <w:rFonts w:ascii="MS PGothic" w:cs="MS PGothic" w:eastAsia="MS PGothic" w:hAnsi="MS PGothic"/>
                <w:sz w:val="15"/>
                <w:szCs w:val="15"/>
                <w:color w:val="4800E6"/>
                <w:w w:val="93"/>
              </w:rPr>
              <w:t>✔</w:t>
            </w:r>
          </w:p>
        </w:tc>
        <w:tc>
          <w:tcPr>
            <w:tcW w:w="1540" w:type="dxa"/>
            <w:vAlign w:val="bottom"/>
            <w:tcBorders>
              <w:bottom w:val="single" w:sz="8" w:color="FEFEFE"/>
            </w:tcBorders>
          </w:tcPr>
          <w:p>
            <w:pPr>
              <w:jc w:val="center"/>
              <w:spacing w:after="0" w:line="151" w:lineRule="exact"/>
              <w:rPr>
                <w:sz w:val="20"/>
                <w:szCs w:val="20"/>
                <w:color w:val="auto"/>
              </w:rPr>
            </w:pPr>
            <w:r>
              <w:rPr>
                <w:rFonts w:ascii="MS PGothic" w:cs="MS PGothic" w:eastAsia="MS PGothic" w:hAnsi="MS PGothic"/>
                <w:sz w:val="15"/>
                <w:szCs w:val="15"/>
                <w:color w:val="4800E6"/>
                <w:w w:val="79"/>
              </w:rPr>
              <w:t>✔</w:t>
            </w:r>
          </w:p>
        </w:tc>
        <w:tc>
          <w:tcPr>
            <w:tcW w:w="1460" w:type="dxa"/>
            <w:vAlign w:val="bottom"/>
            <w:tcBorders>
              <w:bottom w:val="single" w:sz="8" w:color="FEFEFE"/>
            </w:tcBorders>
          </w:tcPr>
          <w:p>
            <w:pPr>
              <w:spacing w:after="0"/>
              <w:rPr>
                <w:sz w:val="21"/>
                <w:szCs w:val="21"/>
                <w:color w:val="auto"/>
              </w:rPr>
            </w:pPr>
          </w:p>
        </w:tc>
      </w:tr>
      <w:tr>
        <w:trPr>
          <w:trHeight w:val="250"/>
        </w:trPr>
        <w:tc>
          <w:tcPr>
            <w:tcW w:w="1520" w:type="dxa"/>
            <w:vAlign w:val="bottom"/>
            <w:tcBorders>
              <w:bottom w:val="single" w:sz="8" w:color="EFE9FC"/>
            </w:tcBorders>
            <w:shd w:val="clear" w:color="auto" w:fill="EFE9FC"/>
          </w:tcPr>
          <w:p>
            <w:pPr>
              <w:ind w:left="40"/>
              <w:spacing w:after="0"/>
              <w:rPr>
                <w:sz w:val="20"/>
                <w:szCs w:val="20"/>
                <w:color w:val="auto"/>
              </w:rPr>
            </w:pPr>
            <w:r>
              <w:rPr>
                <w:rFonts w:ascii="Arial" w:cs="Arial" w:eastAsia="Arial" w:hAnsi="Arial"/>
                <w:sz w:val="15"/>
                <w:szCs w:val="15"/>
                <w:color w:val="auto"/>
              </w:rPr>
              <w:t>Damien McDonald</w:t>
            </w:r>
          </w:p>
        </w:tc>
        <w:tc>
          <w:tcPr>
            <w:tcW w:w="2000" w:type="dxa"/>
            <w:vAlign w:val="bottom"/>
            <w:tcBorders>
              <w:bottom w:val="single" w:sz="8" w:color="EFE9FC"/>
            </w:tcBorders>
            <w:shd w:val="clear" w:color="auto" w:fill="EFE9FC"/>
          </w:tcPr>
          <w:p>
            <w:pPr>
              <w:spacing w:after="0"/>
              <w:rPr>
                <w:sz w:val="21"/>
                <w:szCs w:val="21"/>
                <w:color w:val="auto"/>
              </w:rPr>
            </w:pPr>
          </w:p>
        </w:tc>
        <w:tc>
          <w:tcPr>
            <w:tcW w:w="2660" w:type="dxa"/>
            <w:vAlign w:val="bottom"/>
            <w:tcBorders>
              <w:bottom w:val="single" w:sz="8" w:color="EFE9FC"/>
            </w:tcBorders>
            <w:shd w:val="clear" w:color="auto" w:fill="EFE9FC"/>
          </w:tcPr>
          <w:p>
            <w:pPr>
              <w:spacing w:after="0"/>
              <w:rPr>
                <w:sz w:val="21"/>
                <w:szCs w:val="21"/>
                <w:color w:val="auto"/>
              </w:rPr>
            </w:pPr>
          </w:p>
        </w:tc>
        <w:tc>
          <w:tcPr>
            <w:tcW w:w="1540" w:type="dxa"/>
            <w:vAlign w:val="bottom"/>
            <w:tcBorders>
              <w:bottom w:val="single" w:sz="8" w:color="EFE9FC"/>
            </w:tcBorders>
            <w:shd w:val="clear" w:color="auto" w:fill="EFE9FC"/>
          </w:tcPr>
          <w:p>
            <w:pPr>
              <w:spacing w:after="0"/>
              <w:rPr>
                <w:sz w:val="21"/>
                <w:szCs w:val="21"/>
                <w:color w:val="auto"/>
              </w:rPr>
            </w:pPr>
          </w:p>
        </w:tc>
        <w:tc>
          <w:tcPr>
            <w:tcW w:w="1460" w:type="dxa"/>
            <w:vAlign w:val="bottom"/>
            <w:tcBorders>
              <w:bottom w:val="single" w:sz="8" w:color="EFE9FC"/>
            </w:tcBorders>
            <w:shd w:val="clear" w:color="auto" w:fill="EFE9FC"/>
          </w:tcPr>
          <w:p>
            <w:pPr>
              <w:spacing w:after="0"/>
              <w:rPr>
                <w:sz w:val="21"/>
                <w:szCs w:val="21"/>
                <w:color w:val="auto"/>
              </w:rPr>
            </w:pPr>
          </w:p>
        </w:tc>
      </w:tr>
      <w:tr>
        <w:trPr>
          <w:trHeight w:val="250"/>
        </w:trPr>
        <w:tc>
          <w:tcPr>
            <w:tcW w:w="1520" w:type="dxa"/>
            <w:vAlign w:val="bottom"/>
            <w:tcBorders>
              <w:bottom w:val="single" w:sz="8" w:color="FEFEFE"/>
            </w:tcBorders>
          </w:tcPr>
          <w:p>
            <w:pPr>
              <w:ind w:left="40"/>
              <w:spacing w:after="0"/>
              <w:rPr>
                <w:sz w:val="20"/>
                <w:szCs w:val="20"/>
                <w:color w:val="auto"/>
              </w:rPr>
            </w:pPr>
            <w:r>
              <w:rPr>
                <w:rFonts w:ascii="Arial" w:cs="Arial" w:eastAsia="Arial" w:hAnsi="Arial"/>
                <w:sz w:val="15"/>
                <w:szCs w:val="15"/>
                <w:color w:val="auto"/>
              </w:rPr>
              <w:t>Daniel Moore</w:t>
            </w:r>
          </w:p>
        </w:tc>
        <w:tc>
          <w:tcPr>
            <w:tcW w:w="2000" w:type="dxa"/>
            <w:vAlign w:val="bottom"/>
            <w:tcBorders>
              <w:bottom w:val="single" w:sz="8" w:color="FEFEFE"/>
            </w:tcBorders>
          </w:tcPr>
          <w:p>
            <w:pPr>
              <w:jc w:val="center"/>
              <w:spacing w:after="0" w:line="151" w:lineRule="exact"/>
              <w:rPr>
                <w:sz w:val="20"/>
                <w:szCs w:val="20"/>
                <w:color w:val="auto"/>
              </w:rPr>
            </w:pPr>
            <w:r>
              <w:rPr>
                <w:rFonts w:ascii="MS PGothic" w:cs="MS PGothic" w:eastAsia="MS PGothic" w:hAnsi="MS PGothic"/>
                <w:sz w:val="15"/>
                <w:szCs w:val="15"/>
                <w:color w:val="4800E6"/>
                <w:w w:val="93"/>
              </w:rPr>
              <w:t>✔</w:t>
            </w:r>
          </w:p>
        </w:tc>
        <w:tc>
          <w:tcPr>
            <w:tcW w:w="2660" w:type="dxa"/>
            <w:vAlign w:val="bottom"/>
            <w:tcBorders>
              <w:bottom w:val="single" w:sz="8" w:color="FEFEFE"/>
            </w:tcBorders>
          </w:tcPr>
          <w:p>
            <w:pPr>
              <w:jc w:val="center"/>
              <w:spacing w:after="0" w:line="151" w:lineRule="exact"/>
              <w:rPr>
                <w:sz w:val="20"/>
                <w:szCs w:val="20"/>
                <w:color w:val="auto"/>
              </w:rPr>
            </w:pPr>
            <w:r>
              <w:rPr>
                <w:rFonts w:ascii="MS PGothic" w:cs="MS PGothic" w:eastAsia="MS PGothic" w:hAnsi="MS PGothic"/>
                <w:sz w:val="15"/>
                <w:szCs w:val="15"/>
                <w:color w:val="4800E6"/>
                <w:w w:val="93"/>
              </w:rPr>
              <w:t>✔</w:t>
            </w:r>
          </w:p>
        </w:tc>
        <w:tc>
          <w:tcPr>
            <w:tcW w:w="1540" w:type="dxa"/>
            <w:vAlign w:val="bottom"/>
            <w:tcBorders>
              <w:bottom w:val="single" w:sz="8" w:color="FEFEFE"/>
            </w:tcBorders>
          </w:tcPr>
          <w:p>
            <w:pPr>
              <w:jc w:val="center"/>
              <w:spacing w:after="0" w:line="151" w:lineRule="exact"/>
              <w:rPr>
                <w:sz w:val="20"/>
                <w:szCs w:val="20"/>
                <w:color w:val="auto"/>
              </w:rPr>
            </w:pPr>
            <w:r>
              <w:rPr>
                <w:rFonts w:ascii="MS PGothic" w:cs="MS PGothic" w:eastAsia="MS PGothic" w:hAnsi="MS PGothic"/>
                <w:sz w:val="15"/>
                <w:szCs w:val="15"/>
                <w:color w:val="4800E6"/>
                <w:w w:val="79"/>
              </w:rPr>
              <w:t>✔</w:t>
            </w:r>
          </w:p>
        </w:tc>
        <w:tc>
          <w:tcPr>
            <w:tcW w:w="1460" w:type="dxa"/>
            <w:vAlign w:val="bottom"/>
            <w:tcBorders>
              <w:bottom w:val="single" w:sz="8" w:color="FEFEFE"/>
            </w:tcBorders>
          </w:tcPr>
          <w:p>
            <w:pPr>
              <w:spacing w:after="0"/>
              <w:rPr>
                <w:sz w:val="21"/>
                <w:szCs w:val="21"/>
                <w:color w:val="auto"/>
              </w:rPr>
            </w:pPr>
          </w:p>
        </w:tc>
      </w:tr>
      <w:tr>
        <w:trPr>
          <w:trHeight w:val="250"/>
        </w:trPr>
        <w:tc>
          <w:tcPr>
            <w:tcW w:w="1520" w:type="dxa"/>
            <w:vAlign w:val="bottom"/>
            <w:tcBorders>
              <w:bottom w:val="single" w:sz="8" w:color="FEFEFE"/>
            </w:tcBorders>
            <w:shd w:val="clear" w:color="auto" w:fill="EFE9FC"/>
          </w:tcPr>
          <w:p>
            <w:pPr>
              <w:ind w:left="40"/>
              <w:spacing w:after="0"/>
              <w:rPr>
                <w:sz w:val="20"/>
                <w:szCs w:val="20"/>
                <w:color w:val="auto"/>
              </w:rPr>
            </w:pPr>
            <w:r>
              <w:rPr>
                <w:rFonts w:ascii="Arial" w:cs="Arial" w:eastAsia="Arial" w:hAnsi="Arial"/>
                <w:sz w:val="15"/>
                <w:szCs w:val="15"/>
                <w:color w:val="auto"/>
              </w:rPr>
              <w:t>Hugh Morrison</w:t>
            </w:r>
          </w:p>
        </w:tc>
        <w:tc>
          <w:tcPr>
            <w:tcW w:w="2000" w:type="dxa"/>
            <w:vAlign w:val="bottom"/>
            <w:tcBorders>
              <w:bottom w:val="single" w:sz="8" w:color="FEFEFE"/>
            </w:tcBorders>
            <w:shd w:val="clear" w:color="auto" w:fill="EFE9FC"/>
          </w:tcPr>
          <w:p>
            <w:pPr>
              <w:jc w:val="center"/>
              <w:spacing w:after="0" w:line="151" w:lineRule="exact"/>
              <w:rPr>
                <w:sz w:val="20"/>
                <w:szCs w:val="20"/>
                <w:color w:val="auto"/>
              </w:rPr>
            </w:pPr>
            <w:r>
              <w:rPr>
                <w:rFonts w:ascii="MS PGothic" w:cs="MS PGothic" w:eastAsia="MS PGothic" w:hAnsi="MS PGothic"/>
                <w:sz w:val="15"/>
                <w:szCs w:val="15"/>
                <w:color w:val="4800E6"/>
                <w:w w:val="93"/>
              </w:rPr>
              <w:t>✔</w:t>
            </w:r>
          </w:p>
        </w:tc>
        <w:tc>
          <w:tcPr>
            <w:tcW w:w="2660" w:type="dxa"/>
            <w:vAlign w:val="bottom"/>
            <w:tcBorders>
              <w:bottom w:val="single" w:sz="8" w:color="FEFEFE"/>
            </w:tcBorders>
            <w:shd w:val="clear" w:color="auto" w:fill="EFE9FC"/>
          </w:tcPr>
          <w:p>
            <w:pPr>
              <w:jc w:val="center"/>
              <w:spacing w:after="0" w:line="151" w:lineRule="exact"/>
              <w:rPr>
                <w:sz w:val="20"/>
                <w:szCs w:val="20"/>
                <w:color w:val="auto"/>
              </w:rPr>
            </w:pPr>
            <w:r>
              <w:rPr>
                <w:rFonts w:ascii="MS PGothic" w:cs="MS PGothic" w:eastAsia="MS PGothic" w:hAnsi="MS PGothic"/>
                <w:sz w:val="15"/>
                <w:szCs w:val="15"/>
                <w:color w:val="4800E6"/>
                <w:w w:val="93"/>
              </w:rPr>
              <w:t>✔</w:t>
            </w:r>
          </w:p>
        </w:tc>
        <w:tc>
          <w:tcPr>
            <w:tcW w:w="1540" w:type="dxa"/>
            <w:vAlign w:val="bottom"/>
            <w:tcBorders>
              <w:bottom w:val="single" w:sz="8" w:color="FEFEFE"/>
            </w:tcBorders>
            <w:shd w:val="clear" w:color="auto" w:fill="EFE9FC"/>
          </w:tcPr>
          <w:p>
            <w:pPr>
              <w:jc w:val="center"/>
              <w:spacing w:after="0" w:line="151" w:lineRule="exact"/>
              <w:rPr>
                <w:sz w:val="20"/>
                <w:szCs w:val="20"/>
                <w:color w:val="auto"/>
              </w:rPr>
            </w:pPr>
            <w:r>
              <w:rPr>
                <w:rFonts w:ascii="MS PGothic" w:cs="MS PGothic" w:eastAsia="MS PGothic" w:hAnsi="MS PGothic"/>
                <w:sz w:val="15"/>
                <w:szCs w:val="15"/>
                <w:color w:val="4800E6"/>
                <w:w w:val="79"/>
              </w:rPr>
              <w:t>✔</w:t>
            </w:r>
          </w:p>
        </w:tc>
        <w:tc>
          <w:tcPr>
            <w:tcW w:w="1460" w:type="dxa"/>
            <w:vAlign w:val="bottom"/>
            <w:tcBorders>
              <w:bottom w:val="single" w:sz="8" w:color="FEFEFE"/>
            </w:tcBorders>
            <w:shd w:val="clear" w:color="auto" w:fill="EFE9FC"/>
          </w:tcPr>
          <w:p>
            <w:pPr>
              <w:jc w:val="center"/>
              <w:ind w:left="125"/>
              <w:spacing w:after="0" w:line="151" w:lineRule="exact"/>
              <w:rPr>
                <w:sz w:val="20"/>
                <w:szCs w:val="20"/>
                <w:color w:val="auto"/>
              </w:rPr>
            </w:pPr>
            <w:r>
              <w:rPr>
                <w:rFonts w:ascii="MS PGothic" w:cs="MS PGothic" w:eastAsia="MS PGothic" w:hAnsi="MS PGothic"/>
                <w:sz w:val="15"/>
                <w:szCs w:val="15"/>
                <w:color w:val="4800E6"/>
                <w:w w:val="93"/>
              </w:rPr>
              <w:t>✔</w:t>
            </w:r>
          </w:p>
        </w:tc>
      </w:tr>
      <w:tr>
        <w:trPr>
          <w:trHeight w:val="250"/>
        </w:trPr>
        <w:tc>
          <w:tcPr>
            <w:tcW w:w="1520" w:type="dxa"/>
            <w:vAlign w:val="bottom"/>
            <w:tcBorders>
              <w:bottom w:val="single" w:sz="8" w:color="FEFEFE"/>
            </w:tcBorders>
          </w:tcPr>
          <w:p>
            <w:pPr>
              <w:ind w:left="40"/>
              <w:spacing w:after="0"/>
              <w:rPr>
                <w:sz w:val="20"/>
                <w:szCs w:val="20"/>
                <w:color w:val="auto"/>
              </w:rPr>
            </w:pPr>
            <w:r>
              <w:rPr>
                <w:rFonts w:ascii="Arial" w:cs="Arial" w:eastAsia="Arial" w:hAnsi="Arial"/>
                <w:sz w:val="15"/>
                <w:szCs w:val="15"/>
                <w:color w:val="auto"/>
              </w:rPr>
              <w:t>Alfred Novak</w:t>
            </w:r>
          </w:p>
        </w:tc>
        <w:tc>
          <w:tcPr>
            <w:tcW w:w="2000" w:type="dxa"/>
            <w:vAlign w:val="bottom"/>
            <w:tcBorders>
              <w:bottom w:val="single" w:sz="8" w:color="FEFEFE"/>
            </w:tcBorders>
          </w:tcPr>
          <w:p>
            <w:pPr>
              <w:jc w:val="center"/>
              <w:spacing w:after="0" w:line="151" w:lineRule="exact"/>
              <w:rPr>
                <w:sz w:val="20"/>
                <w:szCs w:val="20"/>
                <w:color w:val="auto"/>
              </w:rPr>
            </w:pPr>
            <w:r>
              <w:rPr>
                <w:rFonts w:ascii="MS PGothic" w:cs="MS PGothic" w:eastAsia="MS PGothic" w:hAnsi="MS PGothic"/>
                <w:sz w:val="15"/>
                <w:szCs w:val="15"/>
                <w:color w:val="4800E6"/>
                <w:w w:val="93"/>
              </w:rPr>
              <w:t>✔</w:t>
            </w:r>
          </w:p>
        </w:tc>
        <w:tc>
          <w:tcPr>
            <w:tcW w:w="2660" w:type="dxa"/>
            <w:vAlign w:val="bottom"/>
            <w:tcBorders>
              <w:bottom w:val="single" w:sz="8" w:color="FEFEFE"/>
            </w:tcBorders>
          </w:tcPr>
          <w:p>
            <w:pPr>
              <w:jc w:val="center"/>
              <w:spacing w:after="0" w:line="151" w:lineRule="exact"/>
              <w:rPr>
                <w:sz w:val="20"/>
                <w:szCs w:val="20"/>
                <w:color w:val="auto"/>
              </w:rPr>
            </w:pPr>
            <w:r>
              <w:rPr>
                <w:rFonts w:ascii="MS PGothic" w:cs="MS PGothic" w:eastAsia="MS PGothic" w:hAnsi="MS PGothic"/>
                <w:sz w:val="15"/>
                <w:szCs w:val="15"/>
                <w:color w:val="4800E6"/>
                <w:w w:val="93"/>
              </w:rPr>
              <w:t>✔</w:t>
            </w:r>
          </w:p>
        </w:tc>
        <w:tc>
          <w:tcPr>
            <w:tcW w:w="1540" w:type="dxa"/>
            <w:vAlign w:val="bottom"/>
            <w:tcBorders>
              <w:bottom w:val="single" w:sz="8" w:color="FEFEFE"/>
            </w:tcBorders>
          </w:tcPr>
          <w:p>
            <w:pPr>
              <w:jc w:val="center"/>
              <w:spacing w:after="0" w:line="151" w:lineRule="exact"/>
              <w:rPr>
                <w:sz w:val="20"/>
                <w:szCs w:val="20"/>
                <w:color w:val="auto"/>
              </w:rPr>
            </w:pPr>
            <w:r>
              <w:rPr>
                <w:rFonts w:ascii="MS PGothic" w:cs="MS PGothic" w:eastAsia="MS PGothic" w:hAnsi="MS PGothic"/>
                <w:sz w:val="15"/>
                <w:szCs w:val="15"/>
                <w:color w:val="4800E6"/>
                <w:w w:val="79"/>
              </w:rPr>
              <w:t>✔</w:t>
            </w:r>
          </w:p>
        </w:tc>
        <w:tc>
          <w:tcPr>
            <w:tcW w:w="1460" w:type="dxa"/>
            <w:vAlign w:val="bottom"/>
            <w:tcBorders>
              <w:bottom w:val="single" w:sz="8" w:color="FEFEFE"/>
            </w:tcBorders>
          </w:tcPr>
          <w:p>
            <w:pPr>
              <w:jc w:val="center"/>
              <w:ind w:left="125"/>
              <w:spacing w:after="0" w:line="151" w:lineRule="exact"/>
              <w:rPr>
                <w:sz w:val="20"/>
                <w:szCs w:val="20"/>
                <w:color w:val="auto"/>
              </w:rPr>
            </w:pPr>
            <w:r>
              <w:rPr>
                <w:rFonts w:ascii="MS PGothic" w:cs="MS PGothic" w:eastAsia="MS PGothic" w:hAnsi="MS PGothic"/>
                <w:sz w:val="15"/>
                <w:szCs w:val="15"/>
                <w:color w:val="4800E6"/>
                <w:w w:val="93"/>
              </w:rPr>
              <w:t>✔</w:t>
            </w:r>
          </w:p>
        </w:tc>
      </w:tr>
      <w:tr>
        <w:trPr>
          <w:trHeight w:val="250"/>
        </w:trPr>
        <w:tc>
          <w:tcPr>
            <w:tcW w:w="1520" w:type="dxa"/>
            <w:vAlign w:val="bottom"/>
            <w:tcBorders>
              <w:bottom w:val="single" w:sz="8" w:color="FEFEFE"/>
            </w:tcBorders>
            <w:shd w:val="clear" w:color="auto" w:fill="EFE9FC"/>
          </w:tcPr>
          <w:p>
            <w:pPr>
              <w:ind w:left="40"/>
              <w:spacing w:after="0"/>
              <w:rPr>
                <w:sz w:val="20"/>
                <w:szCs w:val="20"/>
                <w:color w:val="auto"/>
              </w:rPr>
            </w:pPr>
            <w:r>
              <w:rPr>
                <w:rFonts w:ascii="Arial" w:cs="Arial" w:eastAsia="Arial" w:hAnsi="Arial"/>
                <w:sz w:val="15"/>
                <w:szCs w:val="15"/>
                <w:color w:val="auto"/>
              </w:rPr>
              <w:t>Sharon O’Kane</w:t>
            </w:r>
          </w:p>
        </w:tc>
        <w:tc>
          <w:tcPr>
            <w:tcW w:w="2000" w:type="dxa"/>
            <w:vAlign w:val="bottom"/>
            <w:tcBorders>
              <w:bottom w:val="single" w:sz="8" w:color="FEFEFE"/>
            </w:tcBorders>
            <w:shd w:val="clear" w:color="auto" w:fill="EFE9FC"/>
          </w:tcPr>
          <w:p>
            <w:pPr>
              <w:jc w:val="center"/>
              <w:spacing w:after="0" w:line="151" w:lineRule="exact"/>
              <w:rPr>
                <w:sz w:val="20"/>
                <w:szCs w:val="20"/>
                <w:color w:val="auto"/>
              </w:rPr>
            </w:pPr>
            <w:r>
              <w:rPr>
                <w:rFonts w:ascii="MS PGothic" w:cs="MS PGothic" w:eastAsia="MS PGothic" w:hAnsi="MS PGothic"/>
                <w:sz w:val="15"/>
                <w:szCs w:val="15"/>
                <w:color w:val="4800E6"/>
                <w:w w:val="93"/>
              </w:rPr>
              <w:t>✔</w:t>
            </w:r>
          </w:p>
        </w:tc>
        <w:tc>
          <w:tcPr>
            <w:tcW w:w="2660" w:type="dxa"/>
            <w:vAlign w:val="bottom"/>
            <w:tcBorders>
              <w:bottom w:val="single" w:sz="8" w:color="FEFEFE"/>
            </w:tcBorders>
            <w:shd w:val="clear" w:color="auto" w:fill="EFE9FC"/>
          </w:tcPr>
          <w:p>
            <w:pPr>
              <w:jc w:val="center"/>
              <w:spacing w:after="0" w:line="151" w:lineRule="exact"/>
              <w:rPr>
                <w:sz w:val="20"/>
                <w:szCs w:val="20"/>
                <w:color w:val="auto"/>
              </w:rPr>
            </w:pPr>
            <w:r>
              <w:rPr>
                <w:rFonts w:ascii="MS PGothic" w:cs="MS PGothic" w:eastAsia="MS PGothic" w:hAnsi="MS PGothic"/>
                <w:sz w:val="15"/>
                <w:szCs w:val="15"/>
                <w:color w:val="4800E6"/>
                <w:w w:val="93"/>
              </w:rPr>
              <w:t>✔</w:t>
            </w:r>
          </w:p>
        </w:tc>
        <w:tc>
          <w:tcPr>
            <w:tcW w:w="1540" w:type="dxa"/>
            <w:vAlign w:val="bottom"/>
            <w:tcBorders>
              <w:bottom w:val="single" w:sz="8" w:color="FEFEFE"/>
            </w:tcBorders>
            <w:shd w:val="clear" w:color="auto" w:fill="EFE9FC"/>
          </w:tcPr>
          <w:p>
            <w:pPr>
              <w:jc w:val="center"/>
              <w:spacing w:after="0" w:line="151" w:lineRule="exact"/>
              <w:rPr>
                <w:sz w:val="20"/>
                <w:szCs w:val="20"/>
                <w:color w:val="auto"/>
              </w:rPr>
            </w:pPr>
            <w:r>
              <w:rPr>
                <w:rFonts w:ascii="MS PGothic" w:cs="MS PGothic" w:eastAsia="MS PGothic" w:hAnsi="MS PGothic"/>
                <w:sz w:val="15"/>
                <w:szCs w:val="15"/>
                <w:color w:val="4800E6"/>
                <w:w w:val="79"/>
              </w:rPr>
              <w:t>✔</w:t>
            </w:r>
          </w:p>
        </w:tc>
        <w:tc>
          <w:tcPr>
            <w:tcW w:w="1460" w:type="dxa"/>
            <w:vAlign w:val="bottom"/>
            <w:tcBorders>
              <w:bottom w:val="single" w:sz="8" w:color="FEFEFE"/>
            </w:tcBorders>
            <w:shd w:val="clear" w:color="auto" w:fill="EFE9FC"/>
          </w:tcPr>
          <w:p>
            <w:pPr>
              <w:spacing w:after="0"/>
              <w:rPr>
                <w:sz w:val="21"/>
                <w:szCs w:val="21"/>
                <w:color w:val="auto"/>
              </w:rPr>
            </w:pPr>
          </w:p>
        </w:tc>
      </w:tr>
      <w:tr>
        <w:trPr>
          <w:trHeight w:val="250"/>
        </w:trPr>
        <w:tc>
          <w:tcPr>
            <w:tcW w:w="1520" w:type="dxa"/>
            <w:vAlign w:val="bottom"/>
            <w:tcBorders>
              <w:bottom w:val="single" w:sz="8" w:color="FEFEFE"/>
            </w:tcBorders>
          </w:tcPr>
          <w:p>
            <w:pPr>
              <w:ind w:left="40"/>
              <w:spacing w:after="0"/>
              <w:rPr>
                <w:sz w:val="20"/>
                <w:szCs w:val="20"/>
                <w:color w:val="auto"/>
              </w:rPr>
            </w:pPr>
            <w:r>
              <w:rPr>
                <w:rFonts w:ascii="Arial" w:cs="Arial" w:eastAsia="Arial" w:hAnsi="Arial"/>
                <w:sz w:val="15"/>
                <w:szCs w:val="15"/>
                <w:color w:val="auto"/>
              </w:rPr>
              <w:t>Arthur Rosenthal</w:t>
            </w:r>
          </w:p>
        </w:tc>
        <w:tc>
          <w:tcPr>
            <w:tcW w:w="2000" w:type="dxa"/>
            <w:vAlign w:val="bottom"/>
            <w:tcBorders>
              <w:bottom w:val="single" w:sz="8" w:color="FEFEFE"/>
            </w:tcBorders>
          </w:tcPr>
          <w:p>
            <w:pPr>
              <w:jc w:val="center"/>
              <w:spacing w:after="0" w:line="151" w:lineRule="exact"/>
              <w:rPr>
                <w:sz w:val="20"/>
                <w:szCs w:val="20"/>
                <w:color w:val="auto"/>
              </w:rPr>
            </w:pPr>
            <w:r>
              <w:rPr>
                <w:rFonts w:ascii="MS PGothic" w:cs="MS PGothic" w:eastAsia="MS PGothic" w:hAnsi="MS PGothic"/>
                <w:sz w:val="15"/>
                <w:szCs w:val="15"/>
                <w:color w:val="4800E6"/>
                <w:w w:val="93"/>
              </w:rPr>
              <w:t>✔</w:t>
            </w:r>
          </w:p>
        </w:tc>
        <w:tc>
          <w:tcPr>
            <w:tcW w:w="2660" w:type="dxa"/>
            <w:vAlign w:val="bottom"/>
            <w:tcBorders>
              <w:bottom w:val="single" w:sz="8" w:color="FEFEFE"/>
            </w:tcBorders>
          </w:tcPr>
          <w:p>
            <w:pPr>
              <w:jc w:val="center"/>
              <w:spacing w:after="0" w:line="151" w:lineRule="exact"/>
              <w:rPr>
                <w:sz w:val="20"/>
                <w:szCs w:val="20"/>
                <w:color w:val="auto"/>
              </w:rPr>
            </w:pPr>
            <w:r>
              <w:rPr>
                <w:rFonts w:ascii="MS PGothic" w:cs="MS PGothic" w:eastAsia="MS PGothic" w:hAnsi="MS PGothic"/>
                <w:sz w:val="15"/>
                <w:szCs w:val="15"/>
                <w:color w:val="4800E6"/>
                <w:w w:val="93"/>
              </w:rPr>
              <w:t>✔</w:t>
            </w:r>
          </w:p>
        </w:tc>
        <w:tc>
          <w:tcPr>
            <w:tcW w:w="1540" w:type="dxa"/>
            <w:vAlign w:val="bottom"/>
            <w:tcBorders>
              <w:bottom w:val="single" w:sz="8" w:color="FEFEFE"/>
            </w:tcBorders>
          </w:tcPr>
          <w:p>
            <w:pPr>
              <w:jc w:val="center"/>
              <w:spacing w:after="0" w:line="151" w:lineRule="exact"/>
              <w:rPr>
                <w:sz w:val="20"/>
                <w:szCs w:val="20"/>
                <w:color w:val="auto"/>
              </w:rPr>
            </w:pPr>
            <w:r>
              <w:rPr>
                <w:rFonts w:ascii="MS PGothic" w:cs="MS PGothic" w:eastAsia="MS PGothic" w:hAnsi="MS PGothic"/>
                <w:sz w:val="15"/>
                <w:szCs w:val="15"/>
                <w:color w:val="4800E6"/>
                <w:w w:val="79"/>
              </w:rPr>
              <w:t>✔</w:t>
            </w:r>
          </w:p>
        </w:tc>
        <w:tc>
          <w:tcPr>
            <w:tcW w:w="1460" w:type="dxa"/>
            <w:vAlign w:val="bottom"/>
            <w:tcBorders>
              <w:bottom w:val="single" w:sz="8" w:color="FEFEFE"/>
            </w:tcBorders>
          </w:tcPr>
          <w:p>
            <w:pPr>
              <w:spacing w:after="0"/>
              <w:rPr>
                <w:sz w:val="21"/>
                <w:szCs w:val="21"/>
                <w:color w:val="auto"/>
              </w:rPr>
            </w:pPr>
          </w:p>
        </w:tc>
      </w:tr>
      <w:tr>
        <w:trPr>
          <w:trHeight w:val="250"/>
        </w:trPr>
        <w:tc>
          <w:tcPr>
            <w:tcW w:w="1520" w:type="dxa"/>
            <w:vAlign w:val="bottom"/>
            <w:tcBorders>
              <w:bottom w:val="single" w:sz="8" w:color="EFE9FC"/>
            </w:tcBorders>
            <w:shd w:val="clear" w:color="auto" w:fill="EFE9FC"/>
          </w:tcPr>
          <w:p>
            <w:pPr>
              <w:ind w:left="40"/>
              <w:spacing w:after="0"/>
              <w:rPr>
                <w:sz w:val="20"/>
                <w:szCs w:val="20"/>
                <w:color w:val="auto"/>
              </w:rPr>
            </w:pPr>
            <w:r>
              <w:rPr>
                <w:rFonts w:ascii="Arial" w:cs="Arial" w:eastAsia="Arial" w:hAnsi="Arial"/>
                <w:sz w:val="15"/>
                <w:szCs w:val="15"/>
                <w:color w:val="auto"/>
              </w:rPr>
              <w:t>Andrea Saia</w:t>
            </w:r>
          </w:p>
        </w:tc>
        <w:tc>
          <w:tcPr>
            <w:tcW w:w="2000" w:type="dxa"/>
            <w:vAlign w:val="bottom"/>
            <w:tcBorders>
              <w:bottom w:val="single" w:sz="8" w:color="EFE9FC"/>
            </w:tcBorders>
            <w:shd w:val="clear" w:color="auto" w:fill="EFE9FC"/>
          </w:tcPr>
          <w:p>
            <w:pPr>
              <w:jc w:val="center"/>
              <w:spacing w:after="0" w:line="151" w:lineRule="exact"/>
              <w:rPr>
                <w:sz w:val="20"/>
                <w:szCs w:val="20"/>
                <w:color w:val="auto"/>
              </w:rPr>
            </w:pPr>
            <w:r>
              <w:rPr>
                <w:rFonts w:ascii="MS PGothic" w:cs="MS PGothic" w:eastAsia="MS PGothic" w:hAnsi="MS PGothic"/>
                <w:sz w:val="15"/>
                <w:szCs w:val="15"/>
                <w:color w:val="4800E6"/>
                <w:w w:val="93"/>
              </w:rPr>
              <w:t>✔</w:t>
            </w:r>
          </w:p>
        </w:tc>
        <w:tc>
          <w:tcPr>
            <w:tcW w:w="2660" w:type="dxa"/>
            <w:vAlign w:val="bottom"/>
            <w:tcBorders>
              <w:bottom w:val="single" w:sz="8" w:color="EFE9FC"/>
            </w:tcBorders>
            <w:shd w:val="clear" w:color="auto" w:fill="EFE9FC"/>
          </w:tcPr>
          <w:p>
            <w:pPr>
              <w:jc w:val="center"/>
              <w:spacing w:after="0" w:line="151" w:lineRule="exact"/>
              <w:rPr>
                <w:sz w:val="20"/>
                <w:szCs w:val="20"/>
                <w:color w:val="auto"/>
              </w:rPr>
            </w:pPr>
            <w:r>
              <w:rPr>
                <w:rFonts w:ascii="MS PGothic" w:cs="MS PGothic" w:eastAsia="MS PGothic" w:hAnsi="MS PGothic"/>
                <w:sz w:val="15"/>
                <w:szCs w:val="15"/>
                <w:color w:val="4800E6"/>
                <w:w w:val="93"/>
              </w:rPr>
              <w:t>✔</w:t>
            </w:r>
          </w:p>
        </w:tc>
        <w:tc>
          <w:tcPr>
            <w:tcW w:w="1540" w:type="dxa"/>
            <w:vAlign w:val="bottom"/>
            <w:tcBorders>
              <w:bottom w:val="single" w:sz="8" w:color="EFE9FC"/>
            </w:tcBorders>
            <w:shd w:val="clear" w:color="auto" w:fill="EFE9FC"/>
          </w:tcPr>
          <w:p>
            <w:pPr>
              <w:jc w:val="center"/>
              <w:spacing w:after="0" w:line="151" w:lineRule="exact"/>
              <w:rPr>
                <w:sz w:val="20"/>
                <w:szCs w:val="20"/>
                <w:color w:val="auto"/>
              </w:rPr>
            </w:pPr>
            <w:r>
              <w:rPr>
                <w:rFonts w:ascii="MS PGothic" w:cs="MS PGothic" w:eastAsia="MS PGothic" w:hAnsi="MS PGothic"/>
                <w:sz w:val="15"/>
                <w:szCs w:val="15"/>
                <w:color w:val="4800E6"/>
                <w:w w:val="79"/>
              </w:rPr>
              <w:t>✔</w:t>
            </w:r>
          </w:p>
        </w:tc>
        <w:tc>
          <w:tcPr>
            <w:tcW w:w="1460" w:type="dxa"/>
            <w:vAlign w:val="bottom"/>
            <w:tcBorders>
              <w:bottom w:val="single" w:sz="8" w:color="EFE9FC"/>
            </w:tcBorders>
            <w:shd w:val="clear" w:color="auto" w:fill="EFE9FC"/>
          </w:tcPr>
          <w:p>
            <w:pPr>
              <w:spacing w:after="0"/>
              <w:rPr>
                <w:sz w:val="21"/>
                <w:szCs w:val="21"/>
                <w:color w:val="auto"/>
              </w:rPr>
            </w:pPr>
          </w:p>
        </w:tc>
      </w:tr>
      <w:tr>
        <w:trPr>
          <w:trHeight w:val="20"/>
        </w:trPr>
        <w:tc>
          <w:tcPr>
            <w:tcW w:w="1520" w:type="dxa"/>
            <w:vAlign w:val="bottom"/>
            <w:shd w:val="clear" w:color="auto" w:fill="4800E6"/>
          </w:tcPr>
          <w:p>
            <w:pPr>
              <w:spacing w:after="0" w:line="20" w:lineRule="exact"/>
              <w:rPr>
                <w:sz w:val="1"/>
                <w:szCs w:val="1"/>
                <w:color w:val="auto"/>
              </w:rPr>
            </w:pPr>
          </w:p>
        </w:tc>
        <w:tc>
          <w:tcPr>
            <w:tcW w:w="2000" w:type="dxa"/>
            <w:vAlign w:val="bottom"/>
            <w:shd w:val="clear" w:color="auto" w:fill="4800E6"/>
          </w:tcPr>
          <w:p>
            <w:pPr>
              <w:spacing w:after="0" w:line="20" w:lineRule="exact"/>
              <w:rPr>
                <w:sz w:val="1"/>
                <w:szCs w:val="1"/>
                <w:color w:val="auto"/>
              </w:rPr>
            </w:pPr>
          </w:p>
        </w:tc>
        <w:tc>
          <w:tcPr>
            <w:tcW w:w="2660" w:type="dxa"/>
            <w:vAlign w:val="bottom"/>
            <w:shd w:val="clear" w:color="auto" w:fill="4800E6"/>
          </w:tcPr>
          <w:p>
            <w:pPr>
              <w:spacing w:after="0" w:line="20" w:lineRule="exact"/>
              <w:rPr>
                <w:sz w:val="1"/>
                <w:szCs w:val="1"/>
                <w:color w:val="auto"/>
              </w:rPr>
            </w:pPr>
          </w:p>
        </w:tc>
        <w:tc>
          <w:tcPr>
            <w:tcW w:w="1540" w:type="dxa"/>
            <w:vAlign w:val="bottom"/>
            <w:shd w:val="clear" w:color="auto" w:fill="4800E6"/>
          </w:tcPr>
          <w:p>
            <w:pPr>
              <w:spacing w:after="0" w:line="20" w:lineRule="exact"/>
              <w:rPr>
                <w:sz w:val="1"/>
                <w:szCs w:val="1"/>
                <w:color w:val="auto"/>
              </w:rPr>
            </w:pPr>
          </w:p>
        </w:tc>
        <w:tc>
          <w:tcPr>
            <w:tcW w:w="1460" w:type="dxa"/>
            <w:vAlign w:val="bottom"/>
            <w:shd w:val="clear" w:color="auto" w:fill="4800E6"/>
          </w:tcPr>
          <w:p>
            <w:pPr>
              <w:spacing w:after="0" w:line="20" w:lineRule="exact"/>
              <w:rPr>
                <w:sz w:val="1"/>
                <w:szCs w:val="1"/>
                <w:color w:val="auto"/>
              </w:rPr>
            </w:pPr>
          </w:p>
        </w:tc>
      </w:tr>
    </w:tbl>
    <w:p>
      <w:pPr>
        <w:spacing w:after="0" w:line="115" w:lineRule="exact"/>
        <w:rPr>
          <w:sz w:val="20"/>
          <w:szCs w:val="20"/>
          <w:color w:val="auto"/>
        </w:rPr>
      </w:pPr>
    </w:p>
    <w:p>
      <w:pPr>
        <w:sectPr>
          <w:pgSz w:w="11900" w:h="16838" w:orient="portrait"/>
          <w:cols w:equalWidth="0" w:num="1">
            <w:col w:w="10180"/>
          </w:cols>
          <w:pgMar w:left="320" w:top="131" w:right="1399" w:bottom="1440" w:gutter="0" w:footer="0" w:header="0"/>
        </w:sectPr>
      </w:pPr>
    </w:p>
    <w:p>
      <w:pPr>
        <w:ind w:left="4340"/>
        <w:spacing w:after="0"/>
        <w:tabs>
          <w:tab w:leader="none" w:pos="10000" w:val="left"/>
        </w:tabs>
        <w:rPr>
          <w:sz w:val="20"/>
          <w:szCs w:val="20"/>
          <w:color w:val="auto"/>
        </w:rPr>
      </w:pPr>
      <w:r>
        <w:rPr>
          <w:rFonts w:ascii="Arial" w:cs="Arial" w:eastAsia="Arial" w:hAnsi="Arial"/>
          <w:sz w:val="13"/>
          <w:szCs w:val="13"/>
          <w:b w:val="1"/>
          <w:bCs w:val="1"/>
          <w:color w:val="4800E6"/>
        </w:rPr>
        <w:t xml:space="preserve">LIVANOVA </w:t>
      </w:r>
      <w:r>
        <w:rPr>
          <w:rFonts w:ascii="Arial" w:cs="Arial" w:eastAsia="Arial" w:hAnsi="Arial"/>
          <w:sz w:val="13"/>
          <w:szCs w:val="13"/>
          <w:color w:val="000000"/>
        </w:rPr>
        <w:t>|</w:t>
      </w:r>
      <w:r>
        <w:rPr>
          <w:rFonts w:ascii="Arial" w:cs="Arial" w:eastAsia="Arial" w:hAnsi="Arial"/>
          <w:sz w:val="13"/>
          <w:szCs w:val="13"/>
          <w:b w:val="1"/>
          <w:bCs w:val="1"/>
          <w:color w:val="4800E6"/>
        </w:rPr>
        <w:t xml:space="preserve"> </w:t>
      </w:r>
      <w:r>
        <w:rPr>
          <w:rFonts w:ascii="Arial" w:cs="Arial" w:eastAsia="Arial" w:hAnsi="Arial"/>
          <w:sz w:val="13"/>
          <w:szCs w:val="13"/>
          <w:color w:val="4800E6"/>
        </w:rPr>
        <w:t>2020</w:t>
      </w:r>
      <w:r>
        <w:rPr>
          <w:rFonts w:ascii="Arial" w:cs="Arial" w:eastAsia="Arial" w:hAnsi="Arial"/>
          <w:sz w:val="13"/>
          <w:szCs w:val="13"/>
          <w:b w:val="1"/>
          <w:bCs w:val="1"/>
          <w:color w:val="4800E6"/>
        </w:rPr>
        <w:t xml:space="preserve"> </w:t>
      </w:r>
      <w:r>
        <w:rPr>
          <w:rFonts w:ascii="Arial" w:cs="Arial" w:eastAsia="Arial" w:hAnsi="Arial"/>
          <w:sz w:val="13"/>
          <w:szCs w:val="13"/>
          <w:color w:val="000000"/>
        </w:rPr>
        <w:t>Proxy Statement</w:t>
      </w:r>
      <w:r>
        <w:rPr>
          <w:sz w:val="20"/>
          <w:szCs w:val="20"/>
          <w:color w:val="auto"/>
        </w:rPr>
        <w:tab/>
      </w:r>
      <w:r>
        <w:rPr>
          <w:rFonts w:ascii="Arial" w:cs="Arial" w:eastAsia="Arial" w:hAnsi="Arial"/>
          <w:sz w:val="21"/>
          <w:szCs w:val="21"/>
          <w:b w:val="1"/>
          <w:bCs w:val="1"/>
          <w:color w:val="auto"/>
          <w:vertAlign w:val="subscript"/>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519430</wp:posOffset>
            </wp:positionH>
            <wp:positionV relativeFrom="paragraph">
              <wp:posOffset>39370</wp:posOffset>
            </wp:positionV>
            <wp:extent cx="1954530" cy="889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1954530" cy="8890"/>
                    </a:xfrm>
                    <a:prstGeom prst="rect">
                      <a:avLst/>
                    </a:prstGeom>
                    <a:noFill/>
                  </pic:spPr>
                </pic:pic>
              </a:graphicData>
            </a:graphic>
          </wp:anchor>
        </w:drawing>
        <w:drawing>
          <wp:anchor simplePos="0" relativeHeight="251657728" behindDoc="1" locked="0" layoutInCell="0" allowOverlap="1">
            <wp:simplePos x="0" y="0"/>
            <wp:positionH relativeFrom="column">
              <wp:posOffset>4257040</wp:posOffset>
            </wp:positionH>
            <wp:positionV relativeFrom="paragraph">
              <wp:posOffset>39370</wp:posOffset>
            </wp:positionV>
            <wp:extent cx="1954530" cy="889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195453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176530</wp:posOffset>
            </wp:positionV>
            <wp:extent cx="6806565" cy="1714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10180"/>
          </w:cols>
          <w:pgMar w:left="320" w:top="131" w:right="1399" w:bottom="1440" w:gutter="0" w:footer="0" w:header="0"/>
          <w:type w:val="continuous"/>
        </w:sectPr>
      </w:pPr>
    </w:p>
    <w:bookmarkStart w:id="20" w:name="page21"/>
    <w:bookmarkEnd w:id="20"/>
    <w:p>
      <w:pPr>
        <w:spacing w:after="0"/>
        <w:rPr>
          <w:rFonts w:ascii="Arial" w:cs="Arial" w:eastAsia="Arial" w:hAnsi="Arial"/>
          <w:sz w:val="14"/>
          <w:szCs w:val="14"/>
          <w:color w:val="003366"/>
        </w:rPr>
      </w:pPr>
      <w:hyperlink w:anchor="page4">
        <w:r>
          <w:rPr>
            <w:rFonts w:ascii="Arial" w:cs="Arial" w:eastAsia="Arial" w:hAnsi="Arial"/>
            <w:sz w:val="14"/>
            <w:szCs w:val="14"/>
            <w:color w:val="003366"/>
          </w:rPr>
          <w:t>TABLE OF CONTENTS</w:t>
        </w:r>
      </w:hyperlink>
    </w:p>
    <w:p>
      <w:pPr>
        <w:spacing w:after="0" w:line="338" w:lineRule="exact"/>
        <w:rPr>
          <w:sz w:val="20"/>
          <w:szCs w:val="20"/>
          <w:color w:val="auto"/>
        </w:rPr>
      </w:pPr>
    </w:p>
    <w:p>
      <w:pPr>
        <w:ind w:left="760"/>
        <w:spacing w:after="0"/>
        <w:rPr>
          <w:sz w:val="20"/>
          <w:szCs w:val="20"/>
          <w:color w:val="auto"/>
        </w:rPr>
      </w:pPr>
      <w:r>
        <w:rPr>
          <w:rFonts w:ascii="Arial" w:cs="Arial" w:eastAsia="Arial" w:hAnsi="Arial"/>
          <w:sz w:val="13"/>
          <w:szCs w:val="13"/>
          <w:b w:val="1"/>
          <w:bCs w:val="1"/>
          <w:color w:val="auto"/>
        </w:rPr>
        <w:t xml:space="preserve">Corporate </w:t>
      </w:r>
      <w:r>
        <w:rPr>
          <w:rFonts w:ascii="Arial" w:cs="Arial" w:eastAsia="Arial" w:hAnsi="Arial"/>
          <w:sz w:val="13"/>
          <w:szCs w:val="13"/>
          <w:b w:val="1"/>
          <w:bCs w:val="1"/>
          <w:color w:val="666666"/>
        </w:rPr>
        <w:t>Governance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485140</wp:posOffset>
            </wp:positionH>
            <wp:positionV relativeFrom="paragraph">
              <wp:posOffset>30480</wp:posOffset>
            </wp:positionV>
            <wp:extent cx="5829300" cy="825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5829300" cy="8255"/>
                    </a:xfrm>
                    <a:prstGeom prst="rect">
                      <a:avLst/>
                    </a:prstGeom>
                    <a:noFill/>
                  </pic:spPr>
                </pic:pic>
              </a:graphicData>
            </a:graphic>
          </wp:anchor>
        </w:drawing>
      </w:r>
    </w:p>
    <w:p>
      <w:pPr>
        <w:spacing w:after="0" w:line="60" w:lineRule="exact"/>
        <w:rPr>
          <w:sz w:val="20"/>
          <w:szCs w:val="20"/>
          <w:color w:val="auto"/>
        </w:rPr>
      </w:pPr>
    </w:p>
    <w:p>
      <w:pPr>
        <w:ind w:left="760"/>
        <w:spacing w:after="0"/>
        <w:rPr>
          <w:sz w:val="20"/>
          <w:szCs w:val="20"/>
          <w:color w:val="auto"/>
        </w:rPr>
      </w:pPr>
      <w:r>
        <w:rPr>
          <w:rFonts w:ascii="Arial" w:cs="Arial" w:eastAsia="Arial" w:hAnsi="Arial"/>
          <w:sz w:val="13"/>
          <w:szCs w:val="13"/>
          <w:b w:val="1"/>
          <w:bCs w:val="1"/>
          <w:color w:val="4800E6"/>
        </w:rPr>
        <w:t>The Board of Directors</w:t>
      </w: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ind w:left="760"/>
        <w:spacing w:after="0"/>
        <w:rPr>
          <w:sz w:val="20"/>
          <w:szCs w:val="20"/>
          <w:color w:val="auto"/>
        </w:rPr>
      </w:pPr>
      <w:r>
        <w:rPr>
          <w:rFonts w:ascii="Arial" w:cs="Arial" w:eastAsia="Arial" w:hAnsi="Arial"/>
          <w:sz w:val="23"/>
          <w:szCs w:val="23"/>
          <w:b w:val="1"/>
          <w:bCs w:val="1"/>
          <w:color w:val="auto"/>
        </w:rPr>
        <w:t>Board Leadership Structure</w:t>
      </w:r>
    </w:p>
    <w:p>
      <w:pPr>
        <w:spacing w:after="0" w:line="139" w:lineRule="exact"/>
        <w:rPr>
          <w:sz w:val="20"/>
          <w:szCs w:val="20"/>
          <w:color w:val="auto"/>
        </w:rPr>
      </w:pPr>
    </w:p>
    <w:p>
      <w:pPr>
        <w:ind w:left="760" w:right="219"/>
        <w:spacing w:after="0" w:line="248" w:lineRule="auto"/>
        <w:rPr>
          <w:sz w:val="20"/>
          <w:szCs w:val="20"/>
          <w:color w:val="auto"/>
        </w:rPr>
      </w:pPr>
      <w:r>
        <w:rPr>
          <w:rFonts w:ascii="Arial" w:cs="Arial" w:eastAsia="Arial" w:hAnsi="Arial"/>
          <w:sz w:val="16"/>
          <w:szCs w:val="16"/>
          <w:color w:val="auto"/>
        </w:rPr>
        <w:t>The directors may at any time elect and remove a director as chairman of the Board and as deputy chairman. Unless he or she is unwilling to do so, the director appointed as chairman, or in his or her stead the director appointed as deputy chairman, presides at all meetings of the Board at which he or she is present. Our Board is currently led by a non-executive and independent chairman, Mr. Moore. Currently, we do not have a policy requiring the positions of chair of the Board and CEO to be held by different persons. However, these two positions have been separate and are expected to remain so because the Board believes that structure serves the needs of the Board in a more effective manner. Specifically, keeping the positions separate allows the CEO to focus his attention on driving business performance rather than Board governance. Additionally, keeping the positions separate is consistent with corporate best practice and many investor guidelines.</w:t>
      </w:r>
    </w:p>
    <w:p>
      <w:pPr>
        <w:spacing w:after="0" w:line="86" w:lineRule="exact"/>
        <w:rPr>
          <w:sz w:val="20"/>
          <w:szCs w:val="20"/>
          <w:color w:val="auto"/>
        </w:rPr>
      </w:pPr>
    </w:p>
    <w:p>
      <w:pPr>
        <w:ind w:left="760" w:right="639"/>
        <w:spacing w:after="0" w:line="253" w:lineRule="auto"/>
        <w:rPr>
          <w:sz w:val="20"/>
          <w:szCs w:val="20"/>
          <w:color w:val="auto"/>
        </w:rPr>
      </w:pPr>
      <w:r>
        <w:rPr>
          <w:rFonts w:ascii="Arial" w:cs="Arial" w:eastAsia="Arial" w:hAnsi="Arial"/>
          <w:sz w:val="16"/>
          <w:szCs w:val="16"/>
          <w:color w:val="auto"/>
        </w:rPr>
        <w:t>The chairman establishes the agenda for each Board meeting in consultation with the CEO and with the assistance of the Company Secretary. Each Board member is free to suggest the inclusion of items on the agenda and is also free to raise any subject that is not on the agenda for that meeting.</w:t>
      </w:r>
    </w:p>
    <w:p>
      <w:pPr>
        <w:spacing w:after="0" w:line="66" w:lineRule="exact"/>
        <w:rPr>
          <w:sz w:val="20"/>
          <w:szCs w:val="20"/>
          <w:color w:val="auto"/>
        </w:rPr>
      </w:pPr>
    </w:p>
    <w:p>
      <w:pPr>
        <w:ind w:left="760" w:right="959"/>
        <w:spacing w:after="0" w:line="260" w:lineRule="auto"/>
        <w:rPr>
          <w:sz w:val="20"/>
          <w:szCs w:val="20"/>
          <w:color w:val="auto"/>
        </w:rPr>
      </w:pPr>
      <w:r>
        <w:rPr>
          <w:rFonts w:ascii="Arial" w:cs="Arial" w:eastAsia="Arial" w:hAnsi="Arial"/>
          <w:sz w:val="16"/>
          <w:szCs w:val="16"/>
          <w:color w:val="auto"/>
        </w:rPr>
        <w:t>The non-executive, independent directors meet in private sessions at least quarterly, and the chairman is responsible for conducting these executive sessions.</w:t>
      </w:r>
    </w:p>
    <w:p>
      <w:pPr>
        <w:spacing w:after="0" w:line="251" w:lineRule="exact"/>
        <w:rPr>
          <w:sz w:val="20"/>
          <w:szCs w:val="20"/>
          <w:color w:val="auto"/>
        </w:rPr>
      </w:pPr>
    </w:p>
    <w:p>
      <w:pPr>
        <w:ind w:left="760"/>
        <w:spacing w:after="0"/>
        <w:rPr>
          <w:sz w:val="20"/>
          <w:szCs w:val="20"/>
          <w:color w:val="auto"/>
        </w:rPr>
      </w:pPr>
      <w:r>
        <w:rPr>
          <w:rFonts w:ascii="Arial" w:cs="Arial" w:eastAsia="Arial" w:hAnsi="Arial"/>
          <w:sz w:val="23"/>
          <w:szCs w:val="23"/>
          <w:b w:val="1"/>
          <w:bCs w:val="1"/>
          <w:color w:val="auto"/>
        </w:rPr>
        <w:t>Board Role in Risk Management</w:t>
      </w:r>
    </w:p>
    <w:p>
      <w:pPr>
        <w:spacing w:after="0" w:line="204" w:lineRule="exact"/>
        <w:rPr>
          <w:sz w:val="20"/>
          <w:szCs w:val="20"/>
          <w:color w:val="auto"/>
        </w:rPr>
      </w:pPr>
    </w:p>
    <w:p>
      <w:pPr>
        <w:ind w:left="760"/>
        <w:spacing w:after="0"/>
        <w:rPr>
          <w:sz w:val="20"/>
          <w:szCs w:val="20"/>
          <w:color w:val="auto"/>
        </w:rPr>
      </w:pPr>
      <w:r>
        <w:rPr>
          <w:rFonts w:ascii="Arial" w:cs="Arial" w:eastAsia="Arial" w:hAnsi="Arial"/>
          <w:sz w:val="20"/>
          <w:szCs w:val="20"/>
          <w:b w:val="1"/>
          <w:bCs w:val="1"/>
          <w:color w:val="FF4C4C"/>
        </w:rPr>
        <w:t>Oversight</w:t>
      </w:r>
    </w:p>
    <w:p>
      <w:pPr>
        <w:spacing w:after="0" w:line="124" w:lineRule="exact"/>
        <w:rPr>
          <w:sz w:val="20"/>
          <w:szCs w:val="20"/>
          <w:color w:val="auto"/>
        </w:rPr>
      </w:pPr>
    </w:p>
    <w:p>
      <w:pPr>
        <w:jc w:val="both"/>
        <w:ind w:left="760" w:right="479"/>
        <w:spacing w:after="0" w:line="253" w:lineRule="auto"/>
        <w:rPr>
          <w:sz w:val="20"/>
          <w:szCs w:val="20"/>
          <w:color w:val="auto"/>
        </w:rPr>
      </w:pPr>
      <w:r>
        <w:rPr>
          <w:rFonts w:ascii="Arial" w:cs="Arial" w:eastAsia="Arial" w:hAnsi="Arial"/>
          <w:sz w:val="16"/>
          <w:szCs w:val="16"/>
          <w:color w:val="auto"/>
        </w:rPr>
        <w:t>The Board determines the Company’s risk tolerance. The Board has determined that the Board as a whole, and not a separate committee, will oversee our risk management process. Each of our Board committees has historically focused and continues to focus on specific risks within their respective areas of responsibility.</w:t>
      </w:r>
    </w:p>
    <w:p>
      <w:pPr>
        <w:spacing w:after="0" w:line="80" w:lineRule="exact"/>
        <w:rPr>
          <w:sz w:val="20"/>
          <w:szCs w:val="20"/>
          <w:color w:val="auto"/>
        </w:rPr>
      </w:pPr>
    </w:p>
    <w:p>
      <w:pPr>
        <w:ind w:left="760"/>
        <w:spacing w:after="0"/>
        <w:rPr>
          <w:sz w:val="20"/>
          <w:szCs w:val="20"/>
          <w:color w:val="auto"/>
        </w:rPr>
      </w:pPr>
      <w:r>
        <w:rPr>
          <w:rFonts w:ascii="Arial" w:cs="Arial" w:eastAsia="Arial" w:hAnsi="Arial"/>
          <w:sz w:val="16"/>
          <w:szCs w:val="16"/>
          <w:color w:val="auto"/>
        </w:rPr>
        <w:t>The Board uses its committees to assist in its risk oversight responsibility as follows:</w:t>
      </w:r>
    </w:p>
    <w:p>
      <w:pPr>
        <w:spacing w:after="0" w:line="39" w:lineRule="exact"/>
        <w:rPr>
          <w:sz w:val="20"/>
          <w:szCs w:val="20"/>
          <w:color w:val="auto"/>
        </w:rPr>
      </w:pPr>
    </w:p>
    <w:p>
      <w:pPr>
        <w:ind w:left="920" w:right="199" w:hanging="156"/>
        <w:spacing w:after="0" w:line="254" w:lineRule="auto"/>
        <w:tabs>
          <w:tab w:leader="none" w:pos="920" w:val="left"/>
        </w:tabs>
        <w:numPr>
          <w:ilvl w:val="0"/>
          <w:numId w:val="33"/>
        </w:numPr>
        <w:rPr>
          <w:rFonts w:ascii="Arial" w:cs="Arial" w:eastAsia="Arial" w:hAnsi="Arial"/>
          <w:sz w:val="16"/>
          <w:szCs w:val="16"/>
          <w:color w:val="4800E6"/>
        </w:rPr>
      </w:pPr>
      <w:r>
        <w:rPr>
          <w:rFonts w:ascii="Arial" w:cs="Arial" w:eastAsia="Arial" w:hAnsi="Arial"/>
          <w:sz w:val="16"/>
          <w:szCs w:val="16"/>
          <w:b w:val="1"/>
          <w:bCs w:val="1"/>
          <w:color w:val="auto"/>
        </w:rPr>
        <w:t xml:space="preserve">Audit and Compliance Committee </w:t>
      </w:r>
      <w:r>
        <w:rPr>
          <w:rFonts w:ascii="Arial" w:cs="Arial" w:eastAsia="Arial" w:hAnsi="Arial"/>
          <w:sz w:val="16"/>
          <w:szCs w:val="16"/>
          <w:color w:val="auto"/>
        </w:rPr>
        <w:t>oversees the integrity of the financial reporting of the Company and its compliance with</w:t>
      </w:r>
      <w:r>
        <w:rPr>
          <w:rFonts w:ascii="Arial" w:cs="Arial" w:eastAsia="Arial" w:hAnsi="Arial"/>
          <w:sz w:val="16"/>
          <w:szCs w:val="16"/>
          <w:b w:val="1"/>
          <w:bCs w:val="1"/>
          <w:color w:val="auto"/>
        </w:rPr>
        <w:t xml:space="preserve"> </w:t>
      </w:r>
      <w:r>
        <w:rPr>
          <w:rFonts w:ascii="Arial" w:cs="Arial" w:eastAsia="Arial" w:hAnsi="Arial"/>
          <w:sz w:val="16"/>
          <w:szCs w:val="16"/>
          <w:color w:val="auto"/>
        </w:rPr>
        <w:t>applicable legal and regulatory requirements. It also oversees our internal controls and compliance activities. The committee periodically discusses our major financial and business risk exposures and certain contingent liabilities and the steps management has undertaken to monitor and control such exposures. It also meets privately with representatives from our independent registered public accounting firm as well as with the Head of Internal Audit and the Chief Ethics and Integrity Officer. The committee also has responsibility for the oversight of the management of cybersecurity risks.</w:t>
      </w:r>
    </w:p>
    <w:p>
      <w:pPr>
        <w:spacing w:after="0" w:line="19" w:lineRule="exact"/>
        <w:rPr>
          <w:rFonts w:ascii="Arial" w:cs="Arial" w:eastAsia="Arial" w:hAnsi="Arial"/>
          <w:sz w:val="16"/>
          <w:szCs w:val="16"/>
          <w:color w:val="4800E6"/>
        </w:rPr>
      </w:pPr>
    </w:p>
    <w:p>
      <w:pPr>
        <w:ind w:left="920" w:hanging="156"/>
        <w:spacing w:after="0"/>
        <w:tabs>
          <w:tab w:leader="none" w:pos="920" w:val="left"/>
        </w:tabs>
        <w:numPr>
          <w:ilvl w:val="0"/>
          <w:numId w:val="33"/>
        </w:numPr>
        <w:rPr>
          <w:rFonts w:ascii="Arial" w:cs="Arial" w:eastAsia="Arial" w:hAnsi="Arial"/>
          <w:sz w:val="16"/>
          <w:szCs w:val="16"/>
          <w:color w:val="4800E6"/>
        </w:rPr>
      </w:pPr>
      <w:r>
        <w:rPr>
          <w:rFonts w:ascii="Arial" w:cs="Arial" w:eastAsia="Arial" w:hAnsi="Arial"/>
          <w:sz w:val="16"/>
          <w:szCs w:val="16"/>
          <w:b w:val="1"/>
          <w:bCs w:val="1"/>
          <w:color w:val="auto"/>
        </w:rPr>
        <w:t xml:space="preserve">Compensation Committee </w:t>
      </w:r>
      <w:r>
        <w:rPr>
          <w:rFonts w:ascii="Arial" w:cs="Arial" w:eastAsia="Arial" w:hAnsi="Arial"/>
          <w:sz w:val="16"/>
          <w:szCs w:val="16"/>
          <w:color w:val="auto"/>
        </w:rPr>
        <w:t>oversees risks relating to our compensation policies and practices.</w:t>
      </w:r>
    </w:p>
    <w:p>
      <w:pPr>
        <w:spacing w:after="0" w:line="59" w:lineRule="exact"/>
        <w:rPr>
          <w:rFonts w:ascii="Arial" w:cs="Arial" w:eastAsia="Arial" w:hAnsi="Arial"/>
          <w:sz w:val="16"/>
          <w:szCs w:val="16"/>
          <w:color w:val="4800E6"/>
        </w:rPr>
      </w:pPr>
    </w:p>
    <w:p>
      <w:pPr>
        <w:ind w:left="920" w:right="939" w:hanging="156"/>
        <w:spacing w:after="0" w:line="286" w:lineRule="auto"/>
        <w:tabs>
          <w:tab w:leader="none" w:pos="920" w:val="left"/>
        </w:tabs>
        <w:numPr>
          <w:ilvl w:val="0"/>
          <w:numId w:val="33"/>
        </w:numPr>
        <w:rPr>
          <w:rFonts w:ascii="Arial" w:cs="Arial" w:eastAsia="Arial" w:hAnsi="Arial"/>
          <w:sz w:val="16"/>
          <w:szCs w:val="16"/>
          <w:color w:val="4800E6"/>
        </w:rPr>
      </w:pPr>
      <w:r>
        <w:rPr>
          <w:rFonts w:ascii="Arial" w:cs="Arial" w:eastAsia="Arial" w:hAnsi="Arial"/>
          <w:sz w:val="16"/>
          <w:szCs w:val="16"/>
          <w:b w:val="1"/>
          <w:bCs w:val="1"/>
          <w:color w:val="auto"/>
        </w:rPr>
        <w:t xml:space="preserve">Nominating and Corporate Governance Committee </w:t>
      </w:r>
      <w:r>
        <w:rPr>
          <w:rFonts w:ascii="Arial" w:cs="Arial" w:eastAsia="Arial" w:hAnsi="Arial"/>
          <w:sz w:val="16"/>
          <w:szCs w:val="16"/>
          <w:color w:val="auto"/>
        </w:rPr>
        <w:t>oversees risks relating to succession planning and governance</w:t>
      </w:r>
      <w:r>
        <w:rPr>
          <w:rFonts w:ascii="Arial" w:cs="Arial" w:eastAsia="Arial" w:hAnsi="Arial"/>
          <w:sz w:val="16"/>
          <w:szCs w:val="16"/>
          <w:b w:val="1"/>
          <w:bCs w:val="1"/>
          <w:color w:val="auto"/>
        </w:rPr>
        <w:t xml:space="preserve"> </w:t>
      </w:r>
      <w:r>
        <w:rPr>
          <w:rFonts w:ascii="Arial" w:cs="Arial" w:eastAsia="Arial" w:hAnsi="Arial"/>
          <w:sz w:val="16"/>
          <w:szCs w:val="16"/>
          <w:color w:val="auto"/>
        </w:rPr>
        <w:t>structures.</w:t>
      </w:r>
    </w:p>
    <w:p>
      <w:pPr>
        <w:spacing w:after="0" w:line="41" w:lineRule="exact"/>
        <w:rPr>
          <w:sz w:val="20"/>
          <w:szCs w:val="20"/>
          <w:color w:val="auto"/>
        </w:rPr>
      </w:pPr>
    </w:p>
    <w:p>
      <w:pPr>
        <w:ind w:left="760" w:right="359"/>
        <w:spacing w:after="0" w:line="250" w:lineRule="auto"/>
        <w:rPr>
          <w:sz w:val="20"/>
          <w:szCs w:val="20"/>
          <w:color w:val="auto"/>
        </w:rPr>
      </w:pPr>
      <w:r>
        <w:rPr>
          <w:rFonts w:ascii="Arial" w:cs="Arial" w:eastAsia="Arial" w:hAnsi="Arial"/>
          <w:sz w:val="16"/>
          <w:szCs w:val="16"/>
          <w:color w:val="auto"/>
        </w:rPr>
        <w:t>At the direction of our Board, the Company created the role of Chief Risk Officer. The Chief Risk Officer reports to and works with the Board to assess, monitor, and mitigate risks that arise in the course of our business. In addition to our Chief Risk Officer, our Chief Financial Officer, Chief Accounting Officer, General Counsel, Internal Audit team and Chief Information and Technology Officer meet regularly with the Board for the planning, assessment, and reporting of risks. The Board reviews an assessment of, and a report on, our risk profile delivered by the Chief Risk Officer on a regular basis.</w:t>
      </w:r>
    </w:p>
    <w:p>
      <w:pPr>
        <w:spacing w:after="0" w:line="160" w:lineRule="exact"/>
        <w:rPr>
          <w:sz w:val="20"/>
          <w:szCs w:val="20"/>
          <w:color w:val="auto"/>
        </w:rPr>
      </w:pPr>
    </w:p>
    <w:p>
      <w:pPr>
        <w:ind w:left="760"/>
        <w:spacing w:after="0"/>
        <w:rPr>
          <w:sz w:val="20"/>
          <w:szCs w:val="20"/>
          <w:color w:val="auto"/>
        </w:rPr>
      </w:pPr>
      <w:r>
        <w:rPr>
          <w:rFonts w:ascii="Arial" w:cs="Arial" w:eastAsia="Arial" w:hAnsi="Arial"/>
          <w:sz w:val="20"/>
          <w:szCs w:val="20"/>
          <w:b w:val="1"/>
          <w:bCs w:val="1"/>
          <w:color w:val="FF4C4C"/>
        </w:rPr>
        <w:t>COVID-19 Risk Management</w:t>
      </w:r>
    </w:p>
    <w:p>
      <w:pPr>
        <w:spacing w:after="0" w:line="124" w:lineRule="exact"/>
        <w:rPr>
          <w:sz w:val="20"/>
          <w:szCs w:val="20"/>
          <w:color w:val="auto"/>
        </w:rPr>
      </w:pPr>
    </w:p>
    <w:p>
      <w:pPr>
        <w:ind w:left="760" w:right="319"/>
        <w:spacing w:after="0" w:line="251" w:lineRule="auto"/>
        <w:rPr>
          <w:sz w:val="20"/>
          <w:szCs w:val="20"/>
          <w:color w:val="auto"/>
        </w:rPr>
      </w:pPr>
      <w:r>
        <w:rPr>
          <w:rFonts w:ascii="Arial" w:cs="Arial" w:eastAsia="Arial" w:hAnsi="Arial"/>
          <w:sz w:val="16"/>
          <w:szCs w:val="16"/>
          <w:color w:val="auto"/>
        </w:rPr>
        <w:t>In recent months, a new strain of coronavirus (COVID-19) has spread to many countries in the world and the outbreak has been declared a pandemic by the World Health Organization. The U.S. Secretary of Health and Human Services has also declared a public health emergency in the U.S. in response to the outbreak. Considerable uncertainty still surrounds the COVID-19 virus and its potential effects, and the extent of and effectiveness of responses taken on international, national and local levels.</w:t>
      </w:r>
    </w:p>
    <w:p>
      <w:pPr>
        <w:spacing w:after="0" w:line="67" w:lineRule="exact"/>
        <w:rPr>
          <w:sz w:val="20"/>
          <w:szCs w:val="20"/>
          <w:color w:val="auto"/>
        </w:rPr>
      </w:pPr>
    </w:p>
    <w:p>
      <w:pPr>
        <w:ind w:left="760" w:right="259"/>
        <w:spacing w:after="0" w:line="248" w:lineRule="auto"/>
        <w:rPr>
          <w:sz w:val="20"/>
          <w:szCs w:val="20"/>
          <w:color w:val="auto"/>
        </w:rPr>
      </w:pPr>
      <w:r>
        <w:rPr>
          <w:rFonts w:ascii="Arial" w:cs="Arial" w:eastAsia="Arial" w:hAnsi="Arial"/>
          <w:sz w:val="16"/>
          <w:szCs w:val="16"/>
          <w:color w:val="auto"/>
        </w:rPr>
        <w:t>The Board and management are continually evaluating risks to the business, our employees and stakeholders and have taken numerous steps, and will continue to take further actions, in our approach to addressing the COVID-19 pandemic. The Board has already met in a meeting apart from its scheduled quarterly meetings and has future such meetings planned primarily to address COVID-19-related matters. We have successfully implemented our business continuity plans, and our management team is in place to respond to changes in our environment quickly and effectively. We have not closed our manufacturing plants. Additionally, the supply of raw materials and the distribution of finished products remain operational with no known or foreseeable constraints. As a result of the COVID-19 pandemic, we instructed employees at many of our facilities across the globe to work from home on a temporary basis and have implemented travel restrictions.</w:t>
      </w:r>
    </w:p>
    <w:p>
      <w:pPr>
        <w:ind w:left="480"/>
        <w:spacing w:after="0"/>
        <w:tabs>
          <w:tab w:leader="none" w:pos="4400" w:val="left"/>
          <w:tab w:leader="none" w:pos="8760" w:val="left"/>
        </w:tabs>
        <w:rPr>
          <w:sz w:val="20"/>
          <w:szCs w:val="20"/>
          <w:color w:val="auto"/>
        </w:rPr>
      </w:pPr>
      <w:r>
        <w:rPr>
          <w:rFonts w:ascii="Arial" w:cs="Arial" w:eastAsia="Arial" w:hAnsi="Arial"/>
          <w:sz w:val="29"/>
          <w:szCs w:val="29"/>
          <w:b w:val="1"/>
          <w:bCs w:val="1"/>
          <w:color w:val="auto"/>
          <w:vertAlign w:val="subscript"/>
        </w:rPr>
        <w:t>17</w:t>
      </w:r>
      <w:r>
        <w:rPr>
          <w:sz w:val="20"/>
          <w:szCs w:val="20"/>
          <w:color w:val="auto"/>
        </w:rPr>
        <w:tab/>
      </w:r>
      <w:r>
        <w:rPr>
          <w:rFonts w:ascii="Arial" w:cs="Arial" w:eastAsia="Arial" w:hAnsi="Arial"/>
          <w:sz w:val="13"/>
          <w:szCs w:val="13"/>
          <w:b w:val="1"/>
          <w:bCs w:val="1"/>
          <w:color w:val="4800E6"/>
        </w:rPr>
        <w:t xml:space="preserve">LIVANOVA </w:t>
      </w:r>
      <w:r>
        <w:rPr>
          <w:rFonts w:ascii="Arial" w:cs="Arial" w:eastAsia="Arial" w:hAnsi="Arial"/>
          <w:sz w:val="13"/>
          <w:szCs w:val="13"/>
          <w:color w:val="000000"/>
        </w:rPr>
        <w:t>|</w:t>
      </w:r>
      <w:r>
        <w:rPr>
          <w:rFonts w:ascii="Arial" w:cs="Arial" w:eastAsia="Arial" w:hAnsi="Arial"/>
          <w:sz w:val="13"/>
          <w:szCs w:val="13"/>
          <w:b w:val="1"/>
          <w:bCs w:val="1"/>
          <w:color w:val="4800E6"/>
        </w:rPr>
        <w:t xml:space="preserve"> </w:t>
      </w:r>
      <w:r>
        <w:rPr>
          <w:rFonts w:ascii="Arial" w:cs="Arial" w:eastAsia="Arial" w:hAnsi="Arial"/>
          <w:sz w:val="13"/>
          <w:szCs w:val="13"/>
          <w:color w:val="4800E6"/>
        </w:rPr>
        <w:t>2020</w:t>
      </w:r>
      <w:r>
        <w:rPr>
          <w:rFonts w:ascii="Arial" w:cs="Arial" w:eastAsia="Arial" w:hAnsi="Arial"/>
          <w:sz w:val="13"/>
          <w:szCs w:val="13"/>
          <w:b w:val="1"/>
          <w:bCs w:val="1"/>
          <w:color w:val="4800E6"/>
        </w:rPr>
        <w:t xml:space="preserve"> </w:t>
      </w:r>
      <w:r>
        <w:rPr>
          <w:rFonts w:ascii="Arial" w:cs="Arial" w:eastAsia="Arial" w:hAnsi="Arial"/>
          <w:sz w:val="13"/>
          <w:szCs w:val="13"/>
          <w:color w:val="000000"/>
        </w:rPr>
        <w:t>Proxy Statement</w:t>
      </w:r>
      <w:r>
        <w:rPr>
          <w:sz w:val="20"/>
          <w:szCs w:val="20"/>
          <w:color w:val="auto"/>
        </w:rPr>
        <w:tab/>
      </w:r>
      <w:r>
        <w:rPr>
          <w:rFonts w:ascii="Arial" w:cs="Arial" w:eastAsia="Arial" w:hAnsi="Arial"/>
          <w:sz w:val="12"/>
          <w:szCs w:val="12"/>
          <w:b w:val="1"/>
          <w:bCs w:val="1"/>
          <w:color w:val="4800E6"/>
        </w:rPr>
        <w:t>www.livanova.com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561975</wp:posOffset>
            </wp:positionH>
            <wp:positionV relativeFrom="paragraph">
              <wp:posOffset>94615</wp:posOffset>
            </wp:positionV>
            <wp:extent cx="1954530" cy="889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1954530" cy="8890"/>
                    </a:xfrm>
                    <a:prstGeom prst="rect">
                      <a:avLst/>
                    </a:prstGeom>
                    <a:noFill/>
                  </pic:spPr>
                </pic:pic>
              </a:graphicData>
            </a:graphic>
          </wp:anchor>
        </w:drawing>
        <w:drawing>
          <wp:anchor simplePos="0" relativeHeight="251657728" behindDoc="1" locked="0" layoutInCell="0" allowOverlap="1">
            <wp:simplePos x="0" y="0"/>
            <wp:positionH relativeFrom="column">
              <wp:posOffset>4316730</wp:posOffset>
            </wp:positionH>
            <wp:positionV relativeFrom="paragraph">
              <wp:posOffset>94615</wp:posOffset>
            </wp:positionV>
            <wp:extent cx="1028700" cy="889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102870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222885</wp:posOffset>
            </wp:positionV>
            <wp:extent cx="6806565" cy="1714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10139"/>
          </w:cols>
          <w:pgMar w:left="320" w:top="131" w:right="1440" w:bottom="1440" w:gutter="0" w:footer="0" w:header="0"/>
        </w:sectPr>
      </w:pPr>
    </w:p>
    <w:bookmarkStart w:id="21" w:name="page22"/>
    <w:bookmarkEnd w:id="21"/>
    <w:p>
      <w:pPr>
        <w:spacing w:after="0"/>
        <w:rPr>
          <w:rFonts w:ascii="Arial" w:cs="Arial" w:eastAsia="Arial" w:hAnsi="Arial"/>
          <w:sz w:val="14"/>
          <w:szCs w:val="14"/>
          <w:color w:val="003366"/>
        </w:rPr>
      </w:pPr>
      <w:hyperlink w:anchor="page4">
        <w:r>
          <w:rPr>
            <w:rFonts w:ascii="Arial" w:cs="Arial" w:eastAsia="Arial" w:hAnsi="Arial"/>
            <w:sz w:val="14"/>
            <w:szCs w:val="14"/>
            <w:color w:val="003366"/>
          </w:rPr>
          <w:t>TABLE OF CONTENTS</w:t>
        </w:r>
      </w:hyperlink>
    </w:p>
    <w:p>
      <w:pPr>
        <w:spacing w:after="0" w:line="338" w:lineRule="exact"/>
        <w:rPr>
          <w:sz w:val="20"/>
          <w:szCs w:val="20"/>
          <w:color w:val="auto"/>
        </w:rPr>
      </w:pPr>
    </w:p>
    <w:p>
      <w:pPr>
        <w:jc w:val="right"/>
        <w:ind w:right="240"/>
        <w:spacing w:after="0"/>
        <w:rPr>
          <w:sz w:val="20"/>
          <w:szCs w:val="20"/>
          <w:color w:val="auto"/>
        </w:rPr>
      </w:pPr>
      <w:r>
        <w:rPr>
          <w:rFonts w:ascii="Arial" w:cs="Arial" w:eastAsia="Arial" w:hAnsi="Arial"/>
          <w:sz w:val="13"/>
          <w:szCs w:val="13"/>
          <w:b w:val="1"/>
          <w:bCs w:val="1"/>
          <w:color w:val="auto"/>
        </w:rPr>
        <w:t xml:space="preserve">Corporate </w:t>
      </w:r>
      <w:r>
        <w:rPr>
          <w:rFonts w:ascii="Arial" w:cs="Arial" w:eastAsia="Arial" w:hAnsi="Arial"/>
          <w:sz w:val="13"/>
          <w:szCs w:val="13"/>
          <w:b w:val="1"/>
          <w:bCs w:val="1"/>
          <w:color w:val="666666"/>
        </w:rPr>
        <w:t>Governance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485140</wp:posOffset>
            </wp:positionH>
            <wp:positionV relativeFrom="paragraph">
              <wp:posOffset>30480</wp:posOffset>
            </wp:positionV>
            <wp:extent cx="5829300" cy="825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5829300" cy="8255"/>
                    </a:xfrm>
                    <a:prstGeom prst="rect">
                      <a:avLst/>
                    </a:prstGeom>
                    <a:noFill/>
                  </pic:spPr>
                </pic:pic>
              </a:graphicData>
            </a:graphic>
          </wp:anchor>
        </w:drawing>
      </w:r>
    </w:p>
    <w:p>
      <w:pPr>
        <w:spacing w:after="0" w:line="60" w:lineRule="exact"/>
        <w:rPr>
          <w:sz w:val="20"/>
          <w:szCs w:val="20"/>
          <w:color w:val="auto"/>
        </w:rPr>
      </w:pPr>
    </w:p>
    <w:p>
      <w:pPr>
        <w:jc w:val="right"/>
        <w:ind w:right="240"/>
        <w:spacing w:after="0"/>
        <w:rPr>
          <w:sz w:val="20"/>
          <w:szCs w:val="20"/>
          <w:color w:val="auto"/>
        </w:rPr>
      </w:pPr>
      <w:r>
        <w:rPr>
          <w:rFonts w:ascii="Arial" w:cs="Arial" w:eastAsia="Arial" w:hAnsi="Arial"/>
          <w:sz w:val="13"/>
          <w:szCs w:val="13"/>
          <w:b w:val="1"/>
          <w:bCs w:val="1"/>
          <w:color w:val="4800E6"/>
        </w:rPr>
        <w:t>Board, Committee and Shareholder Meetings</w:t>
      </w: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ind w:left="760"/>
        <w:spacing w:after="0"/>
        <w:rPr>
          <w:sz w:val="20"/>
          <w:szCs w:val="20"/>
          <w:color w:val="auto"/>
        </w:rPr>
      </w:pPr>
      <w:r>
        <w:rPr>
          <w:rFonts w:ascii="Arial" w:cs="Arial" w:eastAsia="Arial" w:hAnsi="Arial"/>
          <w:sz w:val="20"/>
          <w:szCs w:val="20"/>
          <w:b w:val="1"/>
          <w:bCs w:val="1"/>
          <w:color w:val="FF4C4C"/>
        </w:rPr>
        <w:t>Compensation Risk Management</w:t>
      </w:r>
    </w:p>
    <w:p>
      <w:pPr>
        <w:spacing w:after="0" w:line="124" w:lineRule="exact"/>
        <w:rPr>
          <w:sz w:val="20"/>
          <w:szCs w:val="20"/>
          <w:color w:val="auto"/>
        </w:rPr>
      </w:pPr>
    </w:p>
    <w:p>
      <w:pPr>
        <w:ind w:left="760" w:right="480"/>
        <w:spacing w:after="0" w:line="267" w:lineRule="auto"/>
        <w:rPr>
          <w:sz w:val="20"/>
          <w:szCs w:val="20"/>
          <w:color w:val="auto"/>
        </w:rPr>
      </w:pPr>
      <w:r>
        <w:rPr>
          <w:rFonts w:ascii="Arial" w:cs="Arial" w:eastAsia="Arial" w:hAnsi="Arial"/>
          <w:sz w:val="16"/>
          <w:szCs w:val="16"/>
          <w:color w:val="auto"/>
        </w:rPr>
        <w:t>Our executive compensation program is designed to motivate and reward our executive officers for their performance during the fiscal year and over the long term and for taking appropriate risks toward achieving our long-term financial and strategic growth objectives. The following characteristics of our executive compensation program are designed to reduce the possibility our executive officers, either individually or as a group, make excessively risky business decisions that could maximize short-term results at the expense of long-term value:</w:t>
      </w:r>
    </w:p>
    <w:p>
      <w:pPr>
        <w:spacing w:after="0" w:line="27" w:lineRule="exact"/>
        <w:rPr>
          <w:sz w:val="20"/>
          <w:szCs w:val="20"/>
          <w:color w:val="auto"/>
        </w:rPr>
      </w:pPr>
    </w:p>
    <w:p>
      <w:pPr>
        <w:ind w:left="920" w:right="600" w:hanging="156"/>
        <w:spacing w:after="0" w:line="263" w:lineRule="auto"/>
        <w:tabs>
          <w:tab w:leader="none" w:pos="920" w:val="left"/>
        </w:tabs>
        <w:numPr>
          <w:ilvl w:val="0"/>
          <w:numId w:val="34"/>
        </w:numPr>
        <w:rPr>
          <w:rFonts w:ascii="Arial" w:cs="Arial" w:eastAsia="Arial" w:hAnsi="Arial"/>
          <w:sz w:val="16"/>
          <w:szCs w:val="16"/>
          <w:color w:val="4800E6"/>
        </w:rPr>
      </w:pPr>
      <w:r>
        <w:rPr>
          <w:rFonts w:ascii="Arial" w:cs="Arial" w:eastAsia="Arial" w:hAnsi="Arial"/>
          <w:sz w:val="16"/>
          <w:szCs w:val="16"/>
          <w:i w:val="1"/>
          <w:iCs w:val="1"/>
          <w:color w:val="auto"/>
        </w:rPr>
        <w:t>Balanced Mix of Pay Components</w:t>
      </w:r>
      <w:r>
        <w:rPr>
          <w:rFonts w:ascii="Arial" w:cs="Arial" w:eastAsia="Arial" w:hAnsi="Arial"/>
          <w:sz w:val="16"/>
          <w:szCs w:val="16"/>
          <w:color w:val="auto"/>
        </w:rPr>
        <w:t>. The target compensation mix is not overly weighted toward annual incentive awards and</w:t>
      </w:r>
      <w:r>
        <w:rPr>
          <w:rFonts w:ascii="Arial" w:cs="Arial" w:eastAsia="Arial" w:hAnsi="Arial"/>
          <w:sz w:val="16"/>
          <w:szCs w:val="16"/>
          <w:i w:val="1"/>
          <w:iCs w:val="1"/>
          <w:color w:val="auto"/>
        </w:rPr>
        <w:t xml:space="preserve"> </w:t>
      </w:r>
      <w:r>
        <w:rPr>
          <w:rFonts w:ascii="Arial" w:cs="Arial" w:eastAsia="Arial" w:hAnsi="Arial"/>
          <w:sz w:val="16"/>
          <w:szCs w:val="16"/>
          <w:color w:val="auto"/>
        </w:rPr>
        <w:t>represents a balance of base salary, annual short-term incentive compensation in the form of a cash bonus, and long-term equity-based compensation vesting over four years or based on long-term performance objectives;</w:t>
      </w:r>
    </w:p>
    <w:p>
      <w:pPr>
        <w:spacing w:after="0" w:line="29" w:lineRule="exact"/>
        <w:rPr>
          <w:rFonts w:ascii="Arial" w:cs="Arial" w:eastAsia="Arial" w:hAnsi="Arial"/>
          <w:sz w:val="16"/>
          <w:szCs w:val="16"/>
          <w:color w:val="4800E6"/>
        </w:rPr>
      </w:pPr>
    </w:p>
    <w:p>
      <w:pPr>
        <w:ind w:left="920" w:hanging="156"/>
        <w:spacing w:after="0"/>
        <w:tabs>
          <w:tab w:leader="none" w:pos="920" w:val="left"/>
        </w:tabs>
        <w:numPr>
          <w:ilvl w:val="0"/>
          <w:numId w:val="34"/>
        </w:numPr>
        <w:rPr>
          <w:rFonts w:ascii="Arial" w:cs="Arial" w:eastAsia="Arial" w:hAnsi="Arial"/>
          <w:sz w:val="16"/>
          <w:szCs w:val="16"/>
          <w:color w:val="4800E6"/>
        </w:rPr>
      </w:pPr>
      <w:r>
        <w:rPr>
          <w:rFonts w:ascii="Arial" w:cs="Arial" w:eastAsia="Arial" w:hAnsi="Arial"/>
          <w:sz w:val="16"/>
          <w:szCs w:val="16"/>
          <w:i w:val="1"/>
          <w:iCs w:val="1"/>
          <w:color w:val="auto"/>
        </w:rPr>
        <w:t>Bracketed Incentive Awards</w:t>
      </w:r>
      <w:r>
        <w:rPr>
          <w:rFonts w:ascii="Arial" w:cs="Arial" w:eastAsia="Arial" w:hAnsi="Arial"/>
          <w:sz w:val="16"/>
          <w:szCs w:val="16"/>
          <w:color w:val="auto"/>
        </w:rPr>
        <w:t>. Annual cash bonuses can be as little as 0%, but no more than 200%, of target;</w:t>
      </w:r>
    </w:p>
    <w:p>
      <w:pPr>
        <w:spacing w:after="0" w:line="59" w:lineRule="exact"/>
        <w:rPr>
          <w:rFonts w:ascii="Arial" w:cs="Arial" w:eastAsia="Arial" w:hAnsi="Arial"/>
          <w:sz w:val="16"/>
          <w:szCs w:val="16"/>
          <w:color w:val="4800E6"/>
        </w:rPr>
      </w:pPr>
    </w:p>
    <w:p>
      <w:pPr>
        <w:ind w:left="920" w:right="540" w:hanging="156"/>
        <w:spacing w:after="0" w:line="281" w:lineRule="auto"/>
        <w:tabs>
          <w:tab w:leader="none" w:pos="920" w:val="left"/>
        </w:tabs>
        <w:numPr>
          <w:ilvl w:val="0"/>
          <w:numId w:val="34"/>
        </w:numPr>
        <w:rPr>
          <w:rFonts w:ascii="Arial" w:cs="Arial" w:eastAsia="Arial" w:hAnsi="Arial"/>
          <w:sz w:val="16"/>
          <w:szCs w:val="16"/>
          <w:color w:val="4800E6"/>
        </w:rPr>
      </w:pPr>
      <w:r>
        <w:rPr>
          <w:rFonts w:ascii="Arial" w:cs="Arial" w:eastAsia="Arial" w:hAnsi="Arial"/>
          <w:sz w:val="16"/>
          <w:szCs w:val="16"/>
          <w:i w:val="1"/>
          <w:iCs w:val="1"/>
          <w:color w:val="auto"/>
        </w:rPr>
        <w:t>Stock Ownership Guidelines</w:t>
      </w:r>
      <w:r>
        <w:rPr>
          <w:rFonts w:ascii="Arial" w:cs="Arial" w:eastAsia="Arial" w:hAnsi="Arial"/>
          <w:sz w:val="16"/>
          <w:szCs w:val="16"/>
          <w:color w:val="auto"/>
        </w:rPr>
        <w:t>. Our executive officers and directors have guidelines suggesting that they achieve and maintain</w:t>
      </w:r>
      <w:r>
        <w:rPr>
          <w:rFonts w:ascii="Arial" w:cs="Arial" w:eastAsia="Arial" w:hAnsi="Arial"/>
          <w:sz w:val="16"/>
          <w:szCs w:val="16"/>
          <w:i w:val="1"/>
          <w:iCs w:val="1"/>
          <w:color w:val="auto"/>
        </w:rPr>
        <w:t xml:space="preserve"> </w:t>
      </w:r>
      <w:r>
        <w:rPr>
          <w:rFonts w:ascii="Arial" w:cs="Arial" w:eastAsia="Arial" w:hAnsi="Arial"/>
          <w:sz w:val="16"/>
          <w:szCs w:val="16"/>
          <w:color w:val="auto"/>
        </w:rPr>
        <w:t>ownership of substantial equity positions in our stock; and</w:t>
      </w:r>
    </w:p>
    <w:p>
      <w:pPr>
        <w:spacing w:after="0" w:line="1" w:lineRule="exact"/>
        <w:rPr>
          <w:rFonts w:ascii="Arial" w:cs="Arial" w:eastAsia="Arial" w:hAnsi="Arial"/>
          <w:sz w:val="16"/>
          <w:szCs w:val="16"/>
          <w:color w:val="4800E6"/>
        </w:rPr>
      </w:pPr>
    </w:p>
    <w:p>
      <w:pPr>
        <w:ind w:left="920" w:hanging="156"/>
        <w:spacing w:after="0"/>
        <w:tabs>
          <w:tab w:leader="none" w:pos="920" w:val="left"/>
        </w:tabs>
        <w:numPr>
          <w:ilvl w:val="0"/>
          <w:numId w:val="34"/>
        </w:numPr>
        <w:rPr>
          <w:rFonts w:ascii="Arial" w:cs="Arial" w:eastAsia="Arial" w:hAnsi="Arial"/>
          <w:sz w:val="16"/>
          <w:szCs w:val="16"/>
          <w:color w:val="4800E6"/>
        </w:rPr>
      </w:pPr>
      <w:r>
        <w:rPr>
          <w:rFonts w:ascii="Arial" w:cs="Arial" w:eastAsia="Arial" w:hAnsi="Arial"/>
          <w:sz w:val="16"/>
          <w:szCs w:val="16"/>
          <w:i w:val="1"/>
          <w:iCs w:val="1"/>
          <w:color w:val="auto"/>
        </w:rPr>
        <w:t>Performance Assessments</w:t>
      </w:r>
      <w:r>
        <w:rPr>
          <w:rFonts w:ascii="Arial" w:cs="Arial" w:eastAsia="Arial" w:hAnsi="Arial"/>
          <w:sz w:val="16"/>
          <w:szCs w:val="16"/>
          <w:color w:val="auto"/>
        </w:rPr>
        <w:t>. Compliance and ethical behaviors are integral factors considered in all performance assessments.</w:t>
      </w:r>
    </w:p>
    <w:p>
      <w:pPr>
        <w:spacing w:after="0" w:line="116" w:lineRule="exact"/>
        <w:rPr>
          <w:sz w:val="20"/>
          <w:szCs w:val="20"/>
          <w:color w:val="auto"/>
        </w:rPr>
      </w:pPr>
    </w:p>
    <w:p>
      <w:pPr>
        <w:ind w:left="760" w:right="340"/>
        <w:spacing w:after="0" w:line="286" w:lineRule="auto"/>
        <w:rPr>
          <w:sz w:val="20"/>
          <w:szCs w:val="20"/>
          <w:color w:val="auto"/>
        </w:rPr>
      </w:pPr>
      <w:r>
        <w:rPr>
          <w:rFonts w:ascii="Arial" w:cs="Arial" w:eastAsia="Arial" w:hAnsi="Arial"/>
          <w:sz w:val="15"/>
          <w:szCs w:val="15"/>
          <w:color w:val="auto"/>
        </w:rPr>
        <w:t>The Company also closely examines its broader compensation policies and actual compensation practices for all employees, including non-executive officers, to assess whether those compensation policies or practices create unreasonable risks. Management conducts the initial risk assessment before presenting potential plans to the Compensation Committee for its review, and, in the case of executive officers, its approval. Management has not identified any plans or practices presenting such risks to date, and the Compensation Committee has reviewed and agrees with management’s conclusion. The Compensation Committee believes that the mix and design of the elements of our compensation program are appropriate and encourage executive officers and key employees to strive to achieve goals that benefit the Company and our shareholders over the long term.</w:t>
      </w:r>
    </w:p>
    <w:p>
      <w:pPr>
        <w:spacing w:after="0" w:line="151" w:lineRule="exact"/>
        <w:rPr>
          <w:sz w:val="20"/>
          <w:szCs w:val="20"/>
          <w:color w:val="auto"/>
        </w:rPr>
      </w:pPr>
    </w:p>
    <w:p>
      <w:pPr>
        <w:ind w:left="760"/>
        <w:spacing w:after="0"/>
        <w:rPr>
          <w:sz w:val="20"/>
          <w:szCs w:val="20"/>
          <w:color w:val="auto"/>
        </w:rPr>
      </w:pPr>
      <w:r>
        <w:rPr>
          <w:rFonts w:ascii="Arial" w:cs="Arial" w:eastAsia="Arial" w:hAnsi="Arial"/>
          <w:sz w:val="31"/>
          <w:szCs w:val="31"/>
          <w:b w:val="1"/>
          <w:bCs w:val="1"/>
          <w:color w:val="4800E6"/>
        </w:rPr>
        <w:t>Board, Committee and Shareholder Meetings</w:t>
      </w:r>
    </w:p>
    <w:p>
      <w:pPr>
        <w:spacing w:after="0" w:line="132" w:lineRule="exact"/>
        <w:rPr>
          <w:sz w:val="20"/>
          <w:szCs w:val="20"/>
          <w:color w:val="auto"/>
        </w:rPr>
      </w:pPr>
    </w:p>
    <w:p>
      <w:pPr>
        <w:ind w:left="760" w:right="460"/>
        <w:spacing w:after="0" w:line="268" w:lineRule="auto"/>
        <w:rPr>
          <w:sz w:val="20"/>
          <w:szCs w:val="20"/>
          <w:color w:val="auto"/>
        </w:rPr>
      </w:pPr>
      <w:r>
        <w:rPr>
          <w:rFonts w:ascii="Arial" w:cs="Arial" w:eastAsia="Arial" w:hAnsi="Arial"/>
          <w:sz w:val="16"/>
          <w:szCs w:val="16"/>
          <w:color w:val="auto"/>
        </w:rPr>
        <w:t xml:space="preserve">Our Board has three standing committees: Audit and Compliance Committee; Compensation Committee; and Nominating and Corporate Governance Committee. Each committee is comprised entirely of independent directors and each committee is governed by a written charter approved by the Board. These charters form an integral part of our corporate governance policies, and a copy of each charter is available on our website at </w:t>
      </w:r>
      <w:r>
        <w:rPr>
          <w:rFonts w:ascii="Arial" w:cs="Arial" w:eastAsia="Arial" w:hAnsi="Arial"/>
          <w:sz w:val="16"/>
          <w:szCs w:val="16"/>
          <w:i w:val="1"/>
          <w:iCs w:val="1"/>
          <w:color w:val="auto"/>
        </w:rPr>
        <w:t>www.livanova.com</w:t>
      </w:r>
      <w:r>
        <w:rPr>
          <w:rFonts w:ascii="Arial" w:cs="Arial" w:eastAsia="Arial" w:hAnsi="Arial"/>
          <w:sz w:val="16"/>
          <w:szCs w:val="16"/>
          <w:color w:val="auto"/>
        </w:rPr>
        <w:t>.</w:t>
      </w:r>
    </w:p>
    <w:p>
      <w:pPr>
        <w:spacing w:after="0" w:line="83" w:lineRule="exact"/>
        <w:rPr>
          <w:sz w:val="20"/>
          <w:szCs w:val="20"/>
          <w:color w:val="auto"/>
        </w:rPr>
      </w:pPr>
    </w:p>
    <w:p>
      <w:pPr>
        <w:ind w:left="760" w:right="280"/>
        <w:spacing w:after="0" w:line="267" w:lineRule="auto"/>
        <w:rPr>
          <w:sz w:val="20"/>
          <w:szCs w:val="20"/>
          <w:color w:val="auto"/>
        </w:rPr>
      </w:pPr>
      <w:r>
        <w:rPr>
          <w:rFonts w:ascii="Arial" w:cs="Arial" w:eastAsia="Arial" w:hAnsi="Arial"/>
          <w:sz w:val="16"/>
          <w:szCs w:val="16"/>
          <w:color w:val="auto"/>
        </w:rPr>
        <w:t>The Board held six meetings during the year ended December 31, 2019, of which four were regularly scheduled and two were additional meetings, and acted by unanimous written consent on three occasions. Each of the directors attended at least 75 of the total number of Board meetings and meetings of the committees on which he/she served. We do not have a formal policy on director attendance at our AGM. Our 2019 AGM was a hybrid meeting, held in London and audio live streamed online. All directors attended the 2019 AGM either in person or virtually.</w:t>
      </w:r>
    </w:p>
    <w:p>
      <w:pPr>
        <w:spacing w:after="0" w:line="84" w:lineRule="exact"/>
        <w:rPr>
          <w:sz w:val="20"/>
          <w:szCs w:val="20"/>
          <w:color w:val="auto"/>
        </w:rPr>
      </w:pPr>
    </w:p>
    <w:p>
      <w:pPr>
        <w:ind w:left="760" w:right="300"/>
        <w:spacing w:after="0" w:line="278" w:lineRule="auto"/>
        <w:rPr>
          <w:sz w:val="20"/>
          <w:szCs w:val="20"/>
          <w:color w:val="auto"/>
        </w:rPr>
      </w:pPr>
      <w:r>
        <w:rPr>
          <w:rFonts w:ascii="Arial" w:cs="Arial" w:eastAsia="Arial" w:hAnsi="Arial"/>
          <w:sz w:val="16"/>
          <w:szCs w:val="16"/>
          <w:color w:val="auto"/>
        </w:rPr>
        <w:t>The following table summarizes (i) the membership of the Board, (ii) the members of each of the Board’s standing committees and (iii) the number of times each committee met.</w:t>
      </w:r>
    </w:p>
    <w:p>
      <w:pPr>
        <w:sectPr>
          <w:pgSz w:w="11900" w:h="16838" w:orient="portrait"/>
          <w:cols w:equalWidth="0" w:num="1">
            <w:col w:w="10180"/>
          </w:cols>
          <w:pgMar w:left="320" w:top="131" w:right="139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ind w:left="4340"/>
        <w:spacing w:after="0"/>
        <w:tabs>
          <w:tab w:leader="none" w:pos="10000" w:val="left"/>
        </w:tabs>
        <w:rPr>
          <w:sz w:val="20"/>
          <w:szCs w:val="20"/>
          <w:color w:val="auto"/>
        </w:rPr>
      </w:pPr>
      <w:r>
        <w:rPr>
          <w:rFonts w:ascii="Arial" w:cs="Arial" w:eastAsia="Arial" w:hAnsi="Arial"/>
          <w:sz w:val="13"/>
          <w:szCs w:val="13"/>
          <w:b w:val="1"/>
          <w:bCs w:val="1"/>
          <w:color w:val="4800E6"/>
        </w:rPr>
        <w:t xml:space="preserve">LIVANOVA </w:t>
      </w:r>
      <w:r>
        <w:rPr>
          <w:rFonts w:ascii="Arial" w:cs="Arial" w:eastAsia="Arial" w:hAnsi="Arial"/>
          <w:sz w:val="13"/>
          <w:szCs w:val="13"/>
          <w:color w:val="000000"/>
        </w:rPr>
        <w:t>|</w:t>
      </w:r>
      <w:r>
        <w:rPr>
          <w:rFonts w:ascii="Arial" w:cs="Arial" w:eastAsia="Arial" w:hAnsi="Arial"/>
          <w:sz w:val="13"/>
          <w:szCs w:val="13"/>
          <w:b w:val="1"/>
          <w:bCs w:val="1"/>
          <w:color w:val="4800E6"/>
        </w:rPr>
        <w:t xml:space="preserve"> </w:t>
      </w:r>
      <w:r>
        <w:rPr>
          <w:rFonts w:ascii="Arial" w:cs="Arial" w:eastAsia="Arial" w:hAnsi="Arial"/>
          <w:sz w:val="13"/>
          <w:szCs w:val="13"/>
          <w:color w:val="4800E6"/>
        </w:rPr>
        <w:t>2020</w:t>
      </w:r>
      <w:r>
        <w:rPr>
          <w:rFonts w:ascii="Arial" w:cs="Arial" w:eastAsia="Arial" w:hAnsi="Arial"/>
          <w:sz w:val="13"/>
          <w:szCs w:val="13"/>
          <w:b w:val="1"/>
          <w:bCs w:val="1"/>
          <w:color w:val="4800E6"/>
        </w:rPr>
        <w:t xml:space="preserve"> </w:t>
      </w:r>
      <w:r>
        <w:rPr>
          <w:rFonts w:ascii="Arial" w:cs="Arial" w:eastAsia="Arial" w:hAnsi="Arial"/>
          <w:sz w:val="13"/>
          <w:szCs w:val="13"/>
          <w:color w:val="000000"/>
        </w:rPr>
        <w:t>Proxy Statement</w:t>
      </w:r>
      <w:r>
        <w:rPr>
          <w:sz w:val="20"/>
          <w:szCs w:val="20"/>
          <w:color w:val="auto"/>
        </w:rPr>
        <w:tab/>
      </w:r>
      <w:r>
        <w:rPr>
          <w:rFonts w:ascii="Arial" w:cs="Arial" w:eastAsia="Arial" w:hAnsi="Arial"/>
          <w:sz w:val="21"/>
          <w:szCs w:val="21"/>
          <w:b w:val="1"/>
          <w:bCs w:val="1"/>
          <w:color w:val="auto"/>
          <w:vertAlign w:val="subscript"/>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519430</wp:posOffset>
            </wp:positionH>
            <wp:positionV relativeFrom="paragraph">
              <wp:posOffset>47625</wp:posOffset>
            </wp:positionV>
            <wp:extent cx="1954530" cy="889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1954530" cy="8890"/>
                    </a:xfrm>
                    <a:prstGeom prst="rect">
                      <a:avLst/>
                    </a:prstGeom>
                    <a:noFill/>
                  </pic:spPr>
                </pic:pic>
              </a:graphicData>
            </a:graphic>
          </wp:anchor>
        </w:drawing>
        <w:drawing>
          <wp:anchor simplePos="0" relativeHeight="251657728" behindDoc="1" locked="0" layoutInCell="0" allowOverlap="1">
            <wp:simplePos x="0" y="0"/>
            <wp:positionH relativeFrom="column">
              <wp:posOffset>4257040</wp:posOffset>
            </wp:positionH>
            <wp:positionV relativeFrom="paragraph">
              <wp:posOffset>47625</wp:posOffset>
            </wp:positionV>
            <wp:extent cx="1954530" cy="889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195453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184785</wp:posOffset>
            </wp:positionV>
            <wp:extent cx="6806565" cy="1714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10180"/>
          </w:cols>
          <w:pgMar w:left="320" w:top="131" w:right="1399" w:bottom="1440" w:gutter="0" w:footer="0" w:header="0"/>
          <w:type w:val="continuous"/>
        </w:sectPr>
      </w:pPr>
    </w:p>
    <w:bookmarkStart w:id="22" w:name="page23"/>
    <w:bookmarkEnd w:id="22"/>
    <w:p>
      <w:pPr>
        <w:spacing w:after="0"/>
        <w:rPr>
          <w:rFonts w:ascii="Arial" w:cs="Arial" w:eastAsia="Arial" w:hAnsi="Arial"/>
          <w:sz w:val="14"/>
          <w:szCs w:val="14"/>
          <w:color w:val="003366"/>
        </w:rPr>
      </w:pPr>
      <w:hyperlink w:anchor="page4">
        <w:r>
          <w:rPr>
            <w:rFonts w:ascii="Arial" w:cs="Arial" w:eastAsia="Arial" w:hAnsi="Arial"/>
            <w:sz w:val="14"/>
            <w:szCs w:val="14"/>
            <w:color w:val="003366"/>
          </w:rPr>
          <w:t>TABLE OF CONTENTS</w:t>
        </w:r>
      </w:hyperlink>
    </w:p>
    <w:p>
      <w:pPr>
        <w:spacing w:after="0" w:line="338" w:lineRule="exact"/>
        <w:rPr>
          <w:sz w:val="20"/>
          <w:szCs w:val="20"/>
          <w:color w:val="auto"/>
        </w:rPr>
      </w:pPr>
    </w:p>
    <w:p>
      <w:pPr>
        <w:ind w:left="760"/>
        <w:spacing w:after="0"/>
        <w:rPr>
          <w:sz w:val="20"/>
          <w:szCs w:val="20"/>
          <w:color w:val="auto"/>
        </w:rPr>
      </w:pPr>
      <w:r>
        <w:rPr>
          <w:rFonts w:ascii="Arial" w:cs="Arial" w:eastAsia="Arial" w:hAnsi="Arial"/>
          <w:sz w:val="13"/>
          <w:szCs w:val="13"/>
          <w:b w:val="1"/>
          <w:bCs w:val="1"/>
          <w:color w:val="auto"/>
        </w:rPr>
        <w:t xml:space="preserve">Corporate </w:t>
      </w:r>
      <w:r>
        <w:rPr>
          <w:rFonts w:ascii="Arial" w:cs="Arial" w:eastAsia="Arial" w:hAnsi="Arial"/>
          <w:sz w:val="13"/>
          <w:szCs w:val="13"/>
          <w:b w:val="1"/>
          <w:bCs w:val="1"/>
          <w:color w:val="666666"/>
        </w:rPr>
        <w:t>Governance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485140</wp:posOffset>
            </wp:positionH>
            <wp:positionV relativeFrom="paragraph">
              <wp:posOffset>30480</wp:posOffset>
            </wp:positionV>
            <wp:extent cx="5829300" cy="825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5829300" cy="8255"/>
                    </a:xfrm>
                    <a:prstGeom prst="rect">
                      <a:avLst/>
                    </a:prstGeom>
                    <a:noFill/>
                  </pic:spPr>
                </pic:pic>
              </a:graphicData>
            </a:graphic>
          </wp:anchor>
        </w:drawing>
      </w:r>
    </w:p>
    <w:p>
      <w:pPr>
        <w:spacing w:after="0" w:line="60" w:lineRule="exact"/>
        <w:rPr>
          <w:sz w:val="20"/>
          <w:szCs w:val="20"/>
          <w:color w:val="auto"/>
        </w:rPr>
      </w:pPr>
    </w:p>
    <w:p>
      <w:pPr>
        <w:ind w:left="760"/>
        <w:spacing w:after="0"/>
        <w:rPr>
          <w:sz w:val="20"/>
          <w:szCs w:val="20"/>
          <w:color w:val="auto"/>
        </w:rPr>
      </w:pPr>
      <w:r>
        <w:rPr>
          <w:rFonts w:ascii="Arial" w:cs="Arial" w:eastAsia="Arial" w:hAnsi="Arial"/>
          <w:sz w:val="13"/>
          <w:szCs w:val="13"/>
          <w:b w:val="1"/>
          <w:bCs w:val="1"/>
          <w:color w:val="4800E6"/>
        </w:rPr>
        <w:t>Board, Committee and Shareholder Meetings</w:t>
      </w: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jc w:val="center"/>
        <w:ind w:left="3120"/>
        <w:spacing w:after="0"/>
        <w:rPr>
          <w:sz w:val="20"/>
          <w:szCs w:val="20"/>
          <w:color w:val="auto"/>
        </w:rPr>
      </w:pPr>
      <w:r>
        <w:rPr>
          <w:rFonts w:ascii="Arial" w:cs="Arial" w:eastAsia="Arial" w:hAnsi="Arial"/>
          <w:sz w:val="14"/>
          <w:szCs w:val="14"/>
          <w:b w:val="1"/>
          <w:bCs w:val="1"/>
          <w:color w:val="4800E6"/>
        </w:rPr>
        <w:t>Members of the Board’s standing committees as of</w:t>
      </w:r>
    </w:p>
    <w:p>
      <w:pPr>
        <w:spacing w:after="0" w:line="19" w:lineRule="exact"/>
        <w:rPr>
          <w:sz w:val="20"/>
          <w:szCs w:val="20"/>
          <w:color w:val="auto"/>
        </w:rPr>
      </w:pPr>
    </w:p>
    <w:p>
      <w:pPr>
        <w:jc w:val="center"/>
        <w:ind w:left="3160"/>
        <w:spacing w:after="0"/>
        <w:rPr>
          <w:sz w:val="20"/>
          <w:szCs w:val="20"/>
          <w:color w:val="auto"/>
        </w:rPr>
      </w:pPr>
      <w:r>
        <w:rPr>
          <w:rFonts w:ascii="Arial" w:cs="Arial" w:eastAsia="Arial" w:hAnsi="Arial"/>
          <w:sz w:val="14"/>
          <w:szCs w:val="14"/>
          <w:b w:val="1"/>
          <w:bCs w:val="1"/>
          <w:color w:val="4800E6"/>
        </w:rPr>
        <w:t>December 31, 2019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2807970</wp:posOffset>
            </wp:positionH>
            <wp:positionV relativeFrom="paragraph">
              <wp:posOffset>6350</wp:posOffset>
            </wp:positionV>
            <wp:extent cx="3505835" cy="825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3505835" cy="8255"/>
                    </a:xfrm>
                    <a:prstGeom prst="rect">
                      <a:avLst/>
                    </a:prstGeom>
                    <a:noFill/>
                  </pic:spPr>
                </pic:pic>
              </a:graphicData>
            </a:graphic>
          </wp:anchor>
        </w:drawing>
      </w:r>
    </w:p>
    <w:p>
      <w:pPr>
        <w:spacing w:after="0" w:line="17" w:lineRule="exact"/>
        <w:rPr>
          <w:sz w:val="20"/>
          <w:szCs w:val="20"/>
          <w:color w:val="auto"/>
        </w:rPr>
      </w:pPr>
    </w:p>
    <w:tbl>
      <w:tblPr>
        <w:tblLayout w:type="fixed"/>
        <w:tblInd w:w="760" w:type="dxa"/>
        <w:tblCellMar>
          <w:top w:w="0" w:type="dxa"/>
          <w:left w:w="0" w:type="dxa"/>
          <w:bottom w:w="0" w:type="dxa"/>
          <w:right w:w="0" w:type="dxa"/>
        </w:tblCellMar>
      </w:tblPr>
      <w:tr>
        <w:trPr>
          <w:trHeight w:val="162"/>
        </w:trPr>
        <w:tc>
          <w:tcPr>
            <w:tcW w:w="3660" w:type="dxa"/>
            <w:vAlign w:val="bottom"/>
          </w:tcPr>
          <w:p>
            <w:pPr>
              <w:spacing w:after="0"/>
              <w:rPr>
                <w:sz w:val="14"/>
                <w:szCs w:val="14"/>
                <w:color w:val="auto"/>
              </w:rPr>
            </w:pPr>
          </w:p>
        </w:tc>
        <w:tc>
          <w:tcPr>
            <w:tcW w:w="1640" w:type="dxa"/>
            <w:vAlign w:val="bottom"/>
          </w:tcPr>
          <w:p>
            <w:pPr>
              <w:spacing w:after="0"/>
              <w:rPr>
                <w:sz w:val="14"/>
                <w:szCs w:val="14"/>
                <w:color w:val="auto"/>
              </w:rPr>
            </w:pPr>
          </w:p>
        </w:tc>
        <w:tc>
          <w:tcPr>
            <w:tcW w:w="2140" w:type="dxa"/>
            <w:vAlign w:val="bottom"/>
          </w:tcPr>
          <w:p>
            <w:pPr>
              <w:jc w:val="center"/>
              <w:ind w:left="46"/>
              <w:spacing w:after="0"/>
              <w:rPr>
                <w:sz w:val="20"/>
                <w:szCs w:val="20"/>
                <w:color w:val="auto"/>
              </w:rPr>
            </w:pPr>
            <w:r>
              <w:rPr>
                <w:rFonts w:ascii="Arial" w:cs="Arial" w:eastAsia="Arial" w:hAnsi="Arial"/>
                <w:sz w:val="14"/>
                <w:szCs w:val="14"/>
                <w:b w:val="1"/>
                <w:bCs w:val="1"/>
                <w:color w:val="4800E6"/>
              </w:rPr>
              <w:t>Nominating and</w:t>
            </w:r>
          </w:p>
        </w:tc>
        <w:tc>
          <w:tcPr>
            <w:tcW w:w="17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3660" w:type="dxa"/>
            <w:vAlign w:val="bottom"/>
          </w:tcPr>
          <w:p>
            <w:pPr>
              <w:spacing w:after="0"/>
              <w:rPr>
                <w:sz w:val="14"/>
                <w:szCs w:val="14"/>
                <w:color w:val="auto"/>
              </w:rPr>
            </w:pPr>
          </w:p>
        </w:tc>
        <w:tc>
          <w:tcPr>
            <w:tcW w:w="1640" w:type="dxa"/>
            <w:vAlign w:val="bottom"/>
          </w:tcPr>
          <w:p>
            <w:pPr>
              <w:jc w:val="center"/>
              <w:ind w:left="105"/>
              <w:spacing w:after="0"/>
              <w:rPr>
                <w:sz w:val="20"/>
                <w:szCs w:val="20"/>
                <w:color w:val="auto"/>
              </w:rPr>
            </w:pPr>
            <w:r>
              <w:rPr>
                <w:rFonts w:ascii="Arial" w:cs="Arial" w:eastAsia="Arial" w:hAnsi="Arial"/>
                <w:sz w:val="14"/>
                <w:szCs w:val="14"/>
                <w:b w:val="1"/>
                <w:bCs w:val="1"/>
                <w:color w:val="4800E6"/>
              </w:rPr>
              <w:t>Compensation</w:t>
            </w:r>
          </w:p>
        </w:tc>
        <w:tc>
          <w:tcPr>
            <w:tcW w:w="2140" w:type="dxa"/>
            <w:vAlign w:val="bottom"/>
          </w:tcPr>
          <w:p>
            <w:pPr>
              <w:jc w:val="center"/>
              <w:ind w:left="46"/>
              <w:spacing w:after="0"/>
              <w:rPr>
                <w:sz w:val="20"/>
                <w:szCs w:val="20"/>
                <w:color w:val="auto"/>
              </w:rPr>
            </w:pPr>
            <w:r>
              <w:rPr>
                <w:rFonts w:ascii="Arial" w:cs="Arial" w:eastAsia="Arial" w:hAnsi="Arial"/>
                <w:sz w:val="14"/>
                <w:szCs w:val="14"/>
                <w:b w:val="1"/>
                <w:bCs w:val="1"/>
                <w:color w:val="4800E6"/>
              </w:rPr>
              <w:t>Corporate Governance</w:t>
            </w:r>
          </w:p>
        </w:tc>
        <w:tc>
          <w:tcPr>
            <w:tcW w:w="1740" w:type="dxa"/>
            <w:vAlign w:val="bottom"/>
          </w:tcPr>
          <w:p>
            <w:pPr>
              <w:jc w:val="center"/>
              <w:spacing w:after="0"/>
              <w:rPr>
                <w:sz w:val="20"/>
                <w:szCs w:val="20"/>
                <w:color w:val="auto"/>
              </w:rPr>
            </w:pPr>
            <w:r>
              <w:rPr>
                <w:rFonts w:ascii="Arial" w:cs="Arial" w:eastAsia="Arial" w:hAnsi="Arial"/>
                <w:sz w:val="14"/>
                <w:szCs w:val="14"/>
                <w:b w:val="1"/>
                <w:bCs w:val="1"/>
                <w:color w:val="4800E6"/>
              </w:rPr>
              <w:t>Audit and Compliance</w:t>
            </w:r>
          </w:p>
        </w:tc>
        <w:tc>
          <w:tcPr>
            <w:tcW w:w="0" w:type="dxa"/>
            <w:vAlign w:val="bottom"/>
          </w:tcPr>
          <w:p>
            <w:pPr>
              <w:spacing w:after="0"/>
              <w:rPr>
                <w:sz w:val="1"/>
                <w:szCs w:val="1"/>
                <w:color w:val="auto"/>
              </w:rPr>
            </w:pPr>
          </w:p>
        </w:tc>
      </w:tr>
      <w:tr>
        <w:trPr>
          <w:trHeight w:val="189"/>
        </w:trPr>
        <w:tc>
          <w:tcPr>
            <w:tcW w:w="3660" w:type="dxa"/>
            <w:vAlign w:val="bottom"/>
            <w:tcBorders>
              <w:bottom w:val="single" w:sz="8" w:color="4800E6"/>
            </w:tcBorders>
          </w:tcPr>
          <w:p>
            <w:pPr>
              <w:spacing w:after="0"/>
              <w:rPr>
                <w:sz w:val="16"/>
                <w:szCs w:val="16"/>
                <w:color w:val="auto"/>
              </w:rPr>
            </w:pPr>
          </w:p>
        </w:tc>
        <w:tc>
          <w:tcPr>
            <w:tcW w:w="1640" w:type="dxa"/>
            <w:vAlign w:val="bottom"/>
            <w:tcBorders>
              <w:bottom w:val="single" w:sz="8" w:color="4800E6"/>
            </w:tcBorders>
          </w:tcPr>
          <w:p>
            <w:pPr>
              <w:jc w:val="center"/>
              <w:ind w:left="145"/>
              <w:spacing w:after="0"/>
              <w:rPr>
                <w:sz w:val="20"/>
                <w:szCs w:val="20"/>
                <w:color w:val="auto"/>
              </w:rPr>
            </w:pPr>
            <w:r>
              <w:rPr>
                <w:rFonts w:ascii="Arial" w:cs="Arial" w:eastAsia="Arial" w:hAnsi="Arial"/>
                <w:sz w:val="14"/>
                <w:szCs w:val="14"/>
                <w:b w:val="1"/>
                <w:bCs w:val="1"/>
                <w:color w:val="4800E6"/>
              </w:rPr>
              <w:t>Committee</w:t>
            </w:r>
          </w:p>
        </w:tc>
        <w:tc>
          <w:tcPr>
            <w:tcW w:w="2140" w:type="dxa"/>
            <w:vAlign w:val="bottom"/>
            <w:tcBorders>
              <w:bottom w:val="single" w:sz="8" w:color="4800E6"/>
            </w:tcBorders>
          </w:tcPr>
          <w:p>
            <w:pPr>
              <w:jc w:val="center"/>
              <w:ind w:left="86"/>
              <w:spacing w:after="0"/>
              <w:rPr>
                <w:sz w:val="20"/>
                <w:szCs w:val="20"/>
                <w:color w:val="auto"/>
              </w:rPr>
            </w:pPr>
            <w:r>
              <w:rPr>
                <w:rFonts w:ascii="Arial" w:cs="Arial" w:eastAsia="Arial" w:hAnsi="Arial"/>
                <w:sz w:val="14"/>
                <w:szCs w:val="14"/>
                <w:b w:val="1"/>
                <w:bCs w:val="1"/>
                <w:color w:val="4800E6"/>
              </w:rPr>
              <w:t>Committee</w:t>
            </w:r>
          </w:p>
        </w:tc>
        <w:tc>
          <w:tcPr>
            <w:tcW w:w="1740" w:type="dxa"/>
            <w:vAlign w:val="bottom"/>
            <w:tcBorders>
              <w:bottom w:val="single" w:sz="8" w:color="4800E6"/>
            </w:tcBorders>
          </w:tcPr>
          <w:p>
            <w:pPr>
              <w:jc w:val="center"/>
              <w:spacing w:after="0"/>
              <w:rPr>
                <w:sz w:val="20"/>
                <w:szCs w:val="20"/>
                <w:color w:val="auto"/>
              </w:rPr>
            </w:pPr>
            <w:r>
              <w:rPr>
                <w:rFonts w:ascii="Arial" w:cs="Arial" w:eastAsia="Arial" w:hAnsi="Arial"/>
                <w:sz w:val="14"/>
                <w:szCs w:val="14"/>
                <w:b w:val="1"/>
                <w:bCs w:val="1"/>
                <w:color w:val="4800E6"/>
              </w:rPr>
              <w:t>Committee</w:t>
            </w:r>
          </w:p>
        </w:tc>
        <w:tc>
          <w:tcPr>
            <w:tcW w:w="0" w:type="dxa"/>
            <w:vAlign w:val="bottom"/>
          </w:tcPr>
          <w:p>
            <w:pPr>
              <w:spacing w:after="0"/>
              <w:rPr>
                <w:sz w:val="1"/>
                <w:szCs w:val="1"/>
                <w:color w:val="auto"/>
              </w:rPr>
            </w:pPr>
          </w:p>
        </w:tc>
      </w:tr>
      <w:tr>
        <w:trPr>
          <w:trHeight w:val="169"/>
        </w:trPr>
        <w:tc>
          <w:tcPr>
            <w:tcW w:w="3660" w:type="dxa"/>
            <w:vAlign w:val="bottom"/>
          </w:tcPr>
          <w:p>
            <w:pPr>
              <w:ind w:left="60"/>
              <w:spacing w:after="0" w:line="169" w:lineRule="exact"/>
              <w:rPr>
                <w:sz w:val="20"/>
                <w:szCs w:val="20"/>
                <w:color w:val="auto"/>
              </w:rPr>
            </w:pPr>
            <w:r>
              <w:rPr>
                <w:rFonts w:ascii="Arial" w:cs="Arial" w:eastAsia="Arial" w:hAnsi="Arial"/>
                <w:sz w:val="15"/>
                <w:szCs w:val="15"/>
                <w:color w:val="auto"/>
              </w:rPr>
              <w:t>Francesco Bianchi</w:t>
            </w:r>
          </w:p>
        </w:tc>
        <w:tc>
          <w:tcPr>
            <w:tcW w:w="1640" w:type="dxa"/>
            <w:vAlign w:val="bottom"/>
          </w:tcPr>
          <w:p>
            <w:pPr>
              <w:jc w:val="center"/>
              <w:ind w:left="145"/>
              <w:spacing w:after="0" w:line="151" w:lineRule="exact"/>
              <w:rPr>
                <w:sz w:val="20"/>
                <w:szCs w:val="20"/>
                <w:color w:val="auto"/>
              </w:rPr>
            </w:pPr>
            <w:r>
              <w:rPr>
                <w:rFonts w:ascii="MS PGothic" w:cs="MS PGothic" w:eastAsia="MS PGothic" w:hAnsi="MS PGothic"/>
                <w:sz w:val="15"/>
                <w:szCs w:val="15"/>
                <w:color w:val="4800E6"/>
                <w:w w:val="93"/>
              </w:rPr>
              <w:t>✔</w:t>
            </w:r>
          </w:p>
        </w:tc>
        <w:tc>
          <w:tcPr>
            <w:tcW w:w="2140" w:type="dxa"/>
            <w:vAlign w:val="bottom"/>
          </w:tcPr>
          <w:p>
            <w:pPr>
              <w:spacing w:after="0"/>
              <w:rPr>
                <w:sz w:val="14"/>
                <w:szCs w:val="14"/>
                <w:color w:val="auto"/>
              </w:rPr>
            </w:pPr>
          </w:p>
        </w:tc>
        <w:tc>
          <w:tcPr>
            <w:tcW w:w="1740" w:type="dxa"/>
            <w:vAlign w:val="bottom"/>
          </w:tcPr>
          <w:p>
            <w:pPr>
              <w:jc w:val="center"/>
              <w:spacing w:after="0" w:line="151" w:lineRule="exact"/>
              <w:rPr>
                <w:sz w:val="20"/>
                <w:szCs w:val="20"/>
                <w:color w:val="auto"/>
              </w:rPr>
            </w:pPr>
            <w:r>
              <w:rPr>
                <w:rFonts w:ascii="MS PGothic" w:cs="MS PGothic" w:eastAsia="MS PGothic" w:hAnsi="MS PGothic"/>
                <w:sz w:val="15"/>
                <w:szCs w:val="15"/>
                <w:color w:val="4800E6"/>
                <w:w w:val="93"/>
              </w:rPr>
              <w:t>✔</w:t>
            </w:r>
          </w:p>
        </w:tc>
        <w:tc>
          <w:tcPr>
            <w:tcW w:w="0" w:type="dxa"/>
            <w:vAlign w:val="bottom"/>
          </w:tcPr>
          <w:p>
            <w:pPr>
              <w:spacing w:after="0"/>
              <w:rPr>
                <w:sz w:val="1"/>
                <w:szCs w:val="1"/>
                <w:color w:val="auto"/>
              </w:rPr>
            </w:pPr>
          </w:p>
        </w:tc>
      </w:tr>
      <w:tr>
        <w:trPr>
          <w:trHeight w:val="203"/>
        </w:trPr>
        <w:tc>
          <w:tcPr>
            <w:tcW w:w="3660" w:type="dxa"/>
            <w:vAlign w:val="bottom"/>
            <w:shd w:val="clear" w:color="auto" w:fill="EFE9FC"/>
          </w:tcPr>
          <w:p>
            <w:pPr>
              <w:ind w:left="60"/>
              <w:spacing w:after="0"/>
              <w:rPr>
                <w:sz w:val="20"/>
                <w:szCs w:val="20"/>
                <w:color w:val="auto"/>
              </w:rPr>
            </w:pPr>
            <w:r>
              <w:rPr>
                <w:rFonts w:ascii="Arial" w:cs="Arial" w:eastAsia="Arial" w:hAnsi="Arial"/>
                <w:sz w:val="15"/>
                <w:szCs w:val="15"/>
                <w:color w:val="auto"/>
              </w:rPr>
              <w:t>Stacy Enxing Seng</w:t>
            </w:r>
          </w:p>
        </w:tc>
        <w:tc>
          <w:tcPr>
            <w:tcW w:w="1640" w:type="dxa"/>
            <w:vAlign w:val="bottom"/>
            <w:shd w:val="clear" w:color="auto" w:fill="EFE9FC"/>
          </w:tcPr>
          <w:p>
            <w:pPr>
              <w:jc w:val="center"/>
              <w:ind w:left="145"/>
              <w:spacing w:after="0" w:line="151" w:lineRule="exact"/>
              <w:rPr>
                <w:sz w:val="20"/>
                <w:szCs w:val="20"/>
                <w:color w:val="auto"/>
              </w:rPr>
            </w:pPr>
            <w:r>
              <w:rPr>
                <w:rFonts w:ascii="MS PGothic" w:cs="MS PGothic" w:eastAsia="MS PGothic" w:hAnsi="MS PGothic"/>
                <w:sz w:val="15"/>
                <w:szCs w:val="15"/>
                <w:color w:val="4800E6"/>
                <w:w w:val="93"/>
              </w:rPr>
              <w:t>✔</w:t>
            </w:r>
          </w:p>
        </w:tc>
        <w:tc>
          <w:tcPr>
            <w:tcW w:w="2140" w:type="dxa"/>
            <w:vAlign w:val="bottom"/>
            <w:shd w:val="clear" w:color="auto" w:fill="EFE9FC"/>
          </w:tcPr>
          <w:p>
            <w:pPr>
              <w:spacing w:after="0"/>
              <w:rPr>
                <w:sz w:val="17"/>
                <w:szCs w:val="17"/>
                <w:color w:val="auto"/>
              </w:rPr>
            </w:pPr>
          </w:p>
        </w:tc>
        <w:tc>
          <w:tcPr>
            <w:tcW w:w="1740" w:type="dxa"/>
            <w:vAlign w:val="bottom"/>
            <w:shd w:val="clear" w:color="auto" w:fill="EFE9FC"/>
          </w:tcPr>
          <w:p>
            <w:pPr>
              <w:spacing w:after="0"/>
              <w:rPr>
                <w:sz w:val="17"/>
                <w:szCs w:val="17"/>
                <w:color w:val="auto"/>
              </w:rPr>
            </w:pPr>
          </w:p>
        </w:tc>
        <w:tc>
          <w:tcPr>
            <w:tcW w:w="0" w:type="dxa"/>
            <w:vAlign w:val="bottom"/>
          </w:tcPr>
          <w:p>
            <w:pPr>
              <w:spacing w:after="0"/>
              <w:rPr>
                <w:sz w:val="1"/>
                <w:szCs w:val="1"/>
                <w:color w:val="auto"/>
              </w:rPr>
            </w:pPr>
          </w:p>
        </w:tc>
      </w:tr>
      <w:tr>
        <w:trPr>
          <w:trHeight w:val="175"/>
        </w:trPr>
        <w:tc>
          <w:tcPr>
            <w:tcW w:w="3660" w:type="dxa"/>
            <w:vAlign w:val="bottom"/>
          </w:tcPr>
          <w:p>
            <w:pPr>
              <w:ind w:left="60"/>
              <w:spacing w:after="0"/>
              <w:rPr>
                <w:sz w:val="20"/>
                <w:szCs w:val="20"/>
                <w:color w:val="auto"/>
              </w:rPr>
            </w:pPr>
            <w:r>
              <w:rPr>
                <w:rFonts w:ascii="Arial" w:cs="Arial" w:eastAsia="Arial" w:hAnsi="Arial"/>
                <w:sz w:val="15"/>
                <w:szCs w:val="15"/>
                <w:color w:val="auto"/>
              </w:rPr>
              <w:t>William Kozy</w:t>
            </w:r>
          </w:p>
        </w:tc>
        <w:tc>
          <w:tcPr>
            <w:tcW w:w="1640" w:type="dxa"/>
            <w:vAlign w:val="bottom"/>
          </w:tcPr>
          <w:p>
            <w:pPr>
              <w:spacing w:after="0"/>
              <w:rPr>
                <w:sz w:val="15"/>
                <w:szCs w:val="15"/>
                <w:color w:val="auto"/>
              </w:rPr>
            </w:pPr>
          </w:p>
        </w:tc>
        <w:tc>
          <w:tcPr>
            <w:tcW w:w="2140" w:type="dxa"/>
            <w:vAlign w:val="bottom"/>
          </w:tcPr>
          <w:p>
            <w:pPr>
              <w:jc w:val="center"/>
              <w:ind w:left="86"/>
              <w:spacing w:after="0" w:line="151" w:lineRule="exact"/>
              <w:rPr>
                <w:sz w:val="20"/>
                <w:szCs w:val="20"/>
                <w:color w:val="auto"/>
              </w:rPr>
            </w:pPr>
            <w:r>
              <w:rPr>
                <w:rFonts w:ascii="MS PGothic" w:cs="MS PGothic" w:eastAsia="MS PGothic" w:hAnsi="MS PGothic"/>
                <w:sz w:val="15"/>
                <w:szCs w:val="15"/>
                <w:color w:val="4800E6"/>
                <w:w w:val="93"/>
              </w:rPr>
              <w:t>✔</w:t>
            </w:r>
          </w:p>
        </w:tc>
        <w:tc>
          <w:tcPr>
            <w:tcW w:w="17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3660" w:type="dxa"/>
            <w:vAlign w:val="bottom"/>
            <w:shd w:val="clear" w:color="auto" w:fill="EFE9FC"/>
          </w:tcPr>
          <w:p>
            <w:pPr>
              <w:ind w:left="60"/>
              <w:spacing w:after="0"/>
              <w:rPr>
                <w:sz w:val="20"/>
                <w:szCs w:val="20"/>
                <w:color w:val="auto"/>
              </w:rPr>
            </w:pPr>
            <w:r>
              <w:rPr>
                <w:rFonts w:ascii="Arial" w:cs="Arial" w:eastAsia="Arial" w:hAnsi="Arial"/>
                <w:sz w:val="15"/>
                <w:szCs w:val="15"/>
                <w:color w:val="auto"/>
              </w:rPr>
              <w:t>Damien McDonald</w:t>
            </w:r>
          </w:p>
        </w:tc>
        <w:tc>
          <w:tcPr>
            <w:tcW w:w="1640" w:type="dxa"/>
            <w:vAlign w:val="bottom"/>
            <w:shd w:val="clear" w:color="auto" w:fill="EFE9FC"/>
          </w:tcPr>
          <w:p>
            <w:pPr>
              <w:spacing w:after="0"/>
              <w:rPr>
                <w:sz w:val="17"/>
                <w:szCs w:val="17"/>
                <w:color w:val="auto"/>
              </w:rPr>
            </w:pPr>
          </w:p>
        </w:tc>
        <w:tc>
          <w:tcPr>
            <w:tcW w:w="2140" w:type="dxa"/>
            <w:vAlign w:val="bottom"/>
            <w:shd w:val="clear" w:color="auto" w:fill="EFE9FC"/>
          </w:tcPr>
          <w:p>
            <w:pPr>
              <w:spacing w:after="0"/>
              <w:rPr>
                <w:sz w:val="17"/>
                <w:szCs w:val="17"/>
                <w:color w:val="auto"/>
              </w:rPr>
            </w:pPr>
          </w:p>
        </w:tc>
        <w:tc>
          <w:tcPr>
            <w:tcW w:w="1740" w:type="dxa"/>
            <w:vAlign w:val="bottom"/>
            <w:shd w:val="clear" w:color="auto" w:fill="EFE9FC"/>
          </w:tcPr>
          <w:p>
            <w:pPr>
              <w:spacing w:after="0"/>
              <w:rPr>
                <w:sz w:val="17"/>
                <w:szCs w:val="17"/>
                <w:color w:val="auto"/>
              </w:rPr>
            </w:pPr>
          </w:p>
        </w:tc>
        <w:tc>
          <w:tcPr>
            <w:tcW w:w="0" w:type="dxa"/>
            <w:vAlign w:val="bottom"/>
          </w:tcPr>
          <w:p>
            <w:pPr>
              <w:spacing w:after="0"/>
              <w:rPr>
                <w:sz w:val="1"/>
                <w:szCs w:val="1"/>
                <w:color w:val="auto"/>
              </w:rPr>
            </w:pPr>
          </w:p>
        </w:tc>
      </w:tr>
      <w:tr>
        <w:trPr>
          <w:trHeight w:val="208"/>
        </w:trPr>
        <w:tc>
          <w:tcPr>
            <w:tcW w:w="3660" w:type="dxa"/>
            <w:vAlign w:val="bottom"/>
          </w:tcPr>
          <w:p>
            <w:pPr>
              <w:ind w:left="60"/>
              <w:spacing w:after="0"/>
              <w:rPr>
                <w:sz w:val="20"/>
                <w:szCs w:val="20"/>
                <w:color w:val="auto"/>
              </w:rPr>
            </w:pPr>
            <w:r>
              <w:rPr>
                <w:rFonts w:ascii="Arial" w:cs="Arial" w:eastAsia="Arial" w:hAnsi="Arial"/>
                <w:sz w:val="15"/>
                <w:szCs w:val="15"/>
                <w:color w:val="auto"/>
              </w:rPr>
              <w:t>Daniel Moore</w:t>
            </w:r>
          </w:p>
        </w:tc>
        <w:tc>
          <w:tcPr>
            <w:tcW w:w="1640" w:type="dxa"/>
            <w:vAlign w:val="bottom"/>
          </w:tcPr>
          <w:p>
            <w:pPr>
              <w:spacing w:after="0"/>
              <w:rPr>
                <w:sz w:val="18"/>
                <w:szCs w:val="18"/>
                <w:color w:val="auto"/>
              </w:rPr>
            </w:pPr>
          </w:p>
        </w:tc>
        <w:tc>
          <w:tcPr>
            <w:tcW w:w="2140" w:type="dxa"/>
            <w:vAlign w:val="bottom"/>
          </w:tcPr>
          <w:p>
            <w:pPr>
              <w:spacing w:after="0"/>
              <w:rPr>
                <w:sz w:val="18"/>
                <w:szCs w:val="18"/>
                <w:color w:val="auto"/>
              </w:rPr>
            </w:pPr>
          </w:p>
        </w:tc>
        <w:tc>
          <w:tcPr>
            <w:tcW w:w="17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7"/>
        </w:trPr>
        <w:tc>
          <w:tcPr>
            <w:tcW w:w="3660" w:type="dxa"/>
            <w:vAlign w:val="bottom"/>
          </w:tcPr>
          <w:p>
            <w:pPr>
              <w:ind w:left="220"/>
              <w:spacing w:after="0"/>
              <w:rPr>
                <w:sz w:val="20"/>
                <w:szCs w:val="20"/>
                <w:color w:val="auto"/>
              </w:rPr>
            </w:pPr>
            <w:r>
              <w:rPr>
                <w:rFonts w:ascii="Arial" w:cs="Arial" w:eastAsia="Arial" w:hAnsi="Arial"/>
                <w:sz w:val="15"/>
                <w:szCs w:val="15"/>
                <w:color w:val="auto"/>
              </w:rPr>
              <w:t>(Chairman of the Board)</w:t>
            </w:r>
          </w:p>
        </w:tc>
        <w:tc>
          <w:tcPr>
            <w:tcW w:w="1640" w:type="dxa"/>
            <w:vAlign w:val="bottom"/>
          </w:tcPr>
          <w:p>
            <w:pPr>
              <w:spacing w:after="0"/>
              <w:rPr>
                <w:sz w:val="21"/>
                <w:szCs w:val="21"/>
                <w:color w:val="auto"/>
              </w:rPr>
            </w:pPr>
          </w:p>
        </w:tc>
        <w:tc>
          <w:tcPr>
            <w:tcW w:w="2140" w:type="dxa"/>
            <w:vAlign w:val="bottom"/>
          </w:tcPr>
          <w:p>
            <w:pPr>
              <w:spacing w:after="0"/>
              <w:rPr>
                <w:sz w:val="21"/>
                <w:szCs w:val="21"/>
                <w:color w:val="auto"/>
              </w:rPr>
            </w:pPr>
          </w:p>
        </w:tc>
        <w:tc>
          <w:tcPr>
            <w:tcW w:w="17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309"/>
        </w:trPr>
        <w:tc>
          <w:tcPr>
            <w:tcW w:w="3660" w:type="dxa"/>
            <w:vAlign w:val="bottom"/>
            <w:shd w:val="clear" w:color="auto" w:fill="EFE9FC"/>
          </w:tcPr>
          <w:p>
            <w:pPr>
              <w:ind w:left="60"/>
              <w:spacing w:after="0"/>
              <w:rPr>
                <w:sz w:val="20"/>
                <w:szCs w:val="20"/>
                <w:color w:val="auto"/>
              </w:rPr>
            </w:pPr>
            <w:r>
              <w:rPr>
                <w:rFonts w:ascii="Arial" w:cs="Arial" w:eastAsia="Arial" w:hAnsi="Arial"/>
                <w:sz w:val="15"/>
                <w:szCs w:val="15"/>
                <w:color w:val="auto"/>
              </w:rPr>
              <w:t>Hugh Morrison</w:t>
            </w:r>
          </w:p>
        </w:tc>
        <w:tc>
          <w:tcPr>
            <w:tcW w:w="1640" w:type="dxa"/>
            <w:vAlign w:val="bottom"/>
            <w:shd w:val="clear" w:color="auto" w:fill="EFE9FC"/>
          </w:tcPr>
          <w:p>
            <w:pPr>
              <w:spacing w:after="0"/>
              <w:rPr>
                <w:sz w:val="24"/>
                <w:szCs w:val="24"/>
                <w:color w:val="auto"/>
              </w:rPr>
            </w:pPr>
          </w:p>
        </w:tc>
        <w:tc>
          <w:tcPr>
            <w:tcW w:w="2140" w:type="dxa"/>
            <w:vAlign w:val="bottom"/>
            <w:shd w:val="clear" w:color="auto" w:fill="EFE9FC"/>
          </w:tcPr>
          <w:p>
            <w:pPr>
              <w:jc w:val="center"/>
              <w:ind w:left="86"/>
              <w:spacing w:after="0" w:line="151" w:lineRule="exact"/>
              <w:rPr>
                <w:sz w:val="20"/>
                <w:szCs w:val="20"/>
                <w:color w:val="auto"/>
              </w:rPr>
            </w:pPr>
            <w:r>
              <w:rPr>
                <w:rFonts w:ascii="MS PGothic" w:cs="MS PGothic" w:eastAsia="MS PGothic" w:hAnsi="MS PGothic"/>
                <w:sz w:val="15"/>
                <w:szCs w:val="15"/>
                <w:color w:val="4800E6"/>
                <w:w w:val="93"/>
              </w:rPr>
              <w:t>✔</w:t>
            </w:r>
          </w:p>
        </w:tc>
        <w:tc>
          <w:tcPr>
            <w:tcW w:w="1740" w:type="dxa"/>
            <w:vAlign w:val="bottom"/>
            <w:vMerge w:val="restart"/>
            <w:shd w:val="clear" w:color="auto" w:fill="EFE9FC"/>
          </w:tcPr>
          <w:p>
            <w:pPr>
              <w:ind w:left="720"/>
              <w:spacing w:after="0" w:line="151" w:lineRule="exact"/>
              <w:rPr>
                <w:sz w:val="20"/>
                <w:szCs w:val="20"/>
                <w:color w:val="auto"/>
              </w:rPr>
            </w:pPr>
            <w:r>
              <w:rPr>
                <w:rFonts w:ascii="MS PGothic" w:cs="MS PGothic" w:eastAsia="MS PGothic" w:hAnsi="MS PGothic"/>
                <w:sz w:val="15"/>
                <w:szCs w:val="15"/>
                <w:color w:val="4800E6"/>
              </w:rPr>
              <w:t>✔</w:t>
            </w:r>
          </w:p>
        </w:tc>
        <w:tc>
          <w:tcPr>
            <w:tcW w:w="0" w:type="dxa"/>
            <w:vAlign w:val="bottom"/>
          </w:tcPr>
          <w:p>
            <w:pPr>
              <w:spacing w:after="0"/>
              <w:rPr>
                <w:sz w:val="1"/>
                <w:szCs w:val="1"/>
                <w:color w:val="auto"/>
              </w:rPr>
            </w:pPr>
          </w:p>
        </w:tc>
      </w:tr>
      <w:tr>
        <w:trPr>
          <w:trHeight w:val="73"/>
        </w:trPr>
        <w:tc>
          <w:tcPr>
            <w:tcW w:w="3660" w:type="dxa"/>
            <w:vAlign w:val="bottom"/>
            <w:shd w:val="clear" w:color="auto" w:fill="EFE9FC"/>
          </w:tcPr>
          <w:p>
            <w:pPr>
              <w:spacing w:after="0"/>
              <w:rPr>
                <w:sz w:val="6"/>
                <w:szCs w:val="6"/>
                <w:color w:val="auto"/>
              </w:rPr>
            </w:pPr>
          </w:p>
        </w:tc>
        <w:tc>
          <w:tcPr>
            <w:tcW w:w="1640" w:type="dxa"/>
            <w:vAlign w:val="bottom"/>
            <w:shd w:val="clear" w:color="auto" w:fill="EFE9FC"/>
          </w:tcPr>
          <w:p>
            <w:pPr>
              <w:spacing w:after="0"/>
              <w:rPr>
                <w:sz w:val="6"/>
                <w:szCs w:val="6"/>
                <w:color w:val="auto"/>
              </w:rPr>
            </w:pPr>
          </w:p>
        </w:tc>
        <w:tc>
          <w:tcPr>
            <w:tcW w:w="2140" w:type="dxa"/>
            <w:vAlign w:val="bottom"/>
            <w:shd w:val="clear" w:color="auto" w:fill="EFE9FC"/>
          </w:tcPr>
          <w:p>
            <w:pPr>
              <w:spacing w:after="0"/>
              <w:rPr>
                <w:sz w:val="6"/>
                <w:szCs w:val="6"/>
                <w:color w:val="auto"/>
              </w:rPr>
            </w:pPr>
          </w:p>
        </w:tc>
        <w:tc>
          <w:tcPr>
            <w:tcW w:w="1740" w:type="dxa"/>
            <w:vAlign w:val="bottom"/>
            <w:vMerge w:val="continue"/>
            <w:shd w:val="clear" w:color="auto" w:fill="EFE9FC"/>
          </w:tcPr>
          <w:p>
            <w:pPr>
              <w:spacing w:after="0"/>
              <w:rPr>
                <w:sz w:val="6"/>
                <w:szCs w:val="6"/>
                <w:color w:val="auto"/>
              </w:rPr>
            </w:pPr>
          </w:p>
        </w:tc>
        <w:tc>
          <w:tcPr>
            <w:tcW w:w="0" w:type="dxa"/>
            <w:vAlign w:val="bottom"/>
          </w:tcPr>
          <w:p>
            <w:pPr>
              <w:spacing w:after="0"/>
              <w:rPr>
                <w:sz w:val="1"/>
                <w:szCs w:val="1"/>
                <w:color w:val="auto"/>
              </w:rPr>
            </w:pPr>
          </w:p>
        </w:tc>
      </w:tr>
      <w:tr>
        <w:trPr>
          <w:trHeight w:val="175"/>
        </w:trPr>
        <w:tc>
          <w:tcPr>
            <w:tcW w:w="3660" w:type="dxa"/>
            <w:vAlign w:val="bottom"/>
          </w:tcPr>
          <w:p>
            <w:pPr>
              <w:ind w:left="60"/>
              <w:spacing w:after="0"/>
              <w:rPr>
                <w:sz w:val="20"/>
                <w:szCs w:val="20"/>
                <w:color w:val="auto"/>
              </w:rPr>
            </w:pPr>
            <w:r>
              <w:rPr>
                <w:rFonts w:ascii="Arial" w:cs="Arial" w:eastAsia="Arial" w:hAnsi="Arial"/>
                <w:sz w:val="15"/>
                <w:szCs w:val="15"/>
                <w:color w:val="auto"/>
              </w:rPr>
              <w:t>Alfred Novak</w:t>
            </w:r>
          </w:p>
        </w:tc>
        <w:tc>
          <w:tcPr>
            <w:tcW w:w="1640" w:type="dxa"/>
            <w:vAlign w:val="bottom"/>
          </w:tcPr>
          <w:p>
            <w:pPr>
              <w:jc w:val="center"/>
              <w:ind w:left="145"/>
              <w:spacing w:after="0" w:line="151" w:lineRule="exact"/>
              <w:rPr>
                <w:sz w:val="20"/>
                <w:szCs w:val="20"/>
                <w:color w:val="auto"/>
              </w:rPr>
            </w:pPr>
            <w:r>
              <w:rPr>
                <w:rFonts w:ascii="MS PGothic" w:cs="MS PGothic" w:eastAsia="MS PGothic" w:hAnsi="MS PGothic"/>
                <w:sz w:val="15"/>
                <w:szCs w:val="15"/>
                <w:color w:val="4800E6"/>
                <w:w w:val="93"/>
              </w:rPr>
              <w:t>✔</w:t>
            </w:r>
          </w:p>
        </w:tc>
        <w:tc>
          <w:tcPr>
            <w:tcW w:w="2140" w:type="dxa"/>
            <w:vAlign w:val="bottom"/>
          </w:tcPr>
          <w:p>
            <w:pPr>
              <w:spacing w:after="0"/>
              <w:rPr>
                <w:sz w:val="15"/>
                <w:szCs w:val="15"/>
                <w:color w:val="auto"/>
              </w:rPr>
            </w:pPr>
          </w:p>
        </w:tc>
        <w:tc>
          <w:tcPr>
            <w:tcW w:w="1740" w:type="dxa"/>
            <w:vAlign w:val="bottom"/>
          </w:tcPr>
          <w:p>
            <w:pPr>
              <w:jc w:val="center"/>
              <w:spacing w:after="0" w:line="151" w:lineRule="exact"/>
              <w:rPr>
                <w:sz w:val="20"/>
                <w:szCs w:val="20"/>
                <w:color w:val="auto"/>
              </w:rPr>
            </w:pPr>
            <w:r>
              <w:rPr>
                <w:rFonts w:ascii="MS PGothic" w:cs="MS PGothic" w:eastAsia="MS PGothic" w:hAnsi="MS PGothic"/>
                <w:sz w:val="15"/>
                <w:szCs w:val="15"/>
                <w:color w:val="4800E6"/>
                <w:w w:val="93"/>
              </w:rPr>
              <w:t>✔</w:t>
            </w:r>
          </w:p>
        </w:tc>
        <w:tc>
          <w:tcPr>
            <w:tcW w:w="0" w:type="dxa"/>
            <w:vAlign w:val="bottom"/>
          </w:tcPr>
          <w:p>
            <w:pPr>
              <w:spacing w:after="0"/>
              <w:rPr>
                <w:sz w:val="1"/>
                <w:szCs w:val="1"/>
                <w:color w:val="auto"/>
              </w:rPr>
            </w:pPr>
          </w:p>
        </w:tc>
      </w:tr>
      <w:tr>
        <w:trPr>
          <w:trHeight w:val="289"/>
        </w:trPr>
        <w:tc>
          <w:tcPr>
            <w:tcW w:w="3660" w:type="dxa"/>
            <w:vAlign w:val="bottom"/>
            <w:shd w:val="clear" w:color="auto" w:fill="EFE9FC"/>
          </w:tcPr>
          <w:p>
            <w:pPr>
              <w:ind w:left="60"/>
              <w:spacing w:after="0"/>
              <w:rPr>
                <w:sz w:val="20"/>
                <w:szCs w:val="20"/>
                <w:color w:val="auto"/>
              </w:rPr>
            </w:pPr>
            <w:r>
              <w:rPr>
                <w:rFonts w:ascii="Arial" w:cs="Arial" w:eastAsia="Arial" w:hAnsi="Arial"/>
                <w:sz w:val="15"/>
                <w:szCs w:val="15"/>
                <w:color w:val="auto"/>
              </w:rPr>
              <w:t>Sharon O’Kane</w:t>
            </w:r>
          </w:p>
        </w:tc>
        <w:tc>
          <w:tcPr>
            <w:tcW w:w="1640" w:type="dxa"/>
            <w:vAlign w:val="bottom"/>
            <w:shd w:val="clear" w:color="auto" w:fill="EFE9FC"/>
          </w:tcPr>
          <w:p>
            <w:pPr>
              <w:spacing w:after="0"/>
              <w:rPr>
                <w:sz w:val="24"/>
                <w:szCs w:val="24"/>
                <w:color w:val="auto"/>
              </w:rPr>
            </w:pPr>
          </w:p>
        </w:tc>
        <w:tc>
          <w:tcPr>
            <w:tcW w:w="2140" w:type="dxa"/>
            <w:vAlign w:val="bottom"/>
            <w:vMerge w:val="restart"/>
            <w:shd w:val="clear" w:color="auto" w:fill="EFE9FC"/>
          </w:tcPr>
          <w:p>
            <w:pPr>
              <w:ind w:left="1000"/>
              <w:spacing w:after="0" w:line="151" w:lineRule="exact"/>
              <w:rPr>
                <w:sz w:val="20"/>
                <w:szCs w:val="20"/>
                <w:color w:val="auto"/>
              </w:rPr>
            </w:pPr>
            <w:r>
              <w:rPr>
                <w:rFonts w:ascii="MS PGothic" w:cs="MS PGothic" w:eastAsia="MS PGothic" w:hAnsi="MS PGothic"/>
                <w:sz w:val="15"/>
                <w:szCs w:val="15"/>
                <w:color w:val="4800E6"/>
              </w:rPr>
              <w:t>✔</w:t>
            </w:r>
          </w:p>
        </w:tc>
        <w:tc>
          <w:tcPr>
            <w:tcW w:w="1740" w:type="dxa"/>
            <w:vAlign w:val="bottom"/>
            <w:shd w:val="clear" w:color="auto" w:fill="EFE9FC"/>
          </w:tcPr>
          <w:p>
            <w:pPr>
              <w:spacing w:after="0"/>
              <w:rPr>
                <w:sz w:val="24"/>
                <w:szCs w:val="24"/>
                <w:color w:val="auto"/>
              </w:rPr>
            </w:pPr>
          </w:p>
        </w:tc>
        <w:tc>
          <w:tcPr>
            <w:tcW w:w="0" w:type="dxa"/>
            <w:vAlign w:val="bottom"/>
          </w:tcPr>
          <w:p>
            <w:pPr>
              <w:spacing w:after="0"/>
              <w:rPr>
                <w:sz w:val="1"/>
                <w:szCs w:val="1"/>
                <w:color w:val="auto"/>
              </w:rPr>
            </w:pPr>
          </w:p>
        </w:tc>
      </w:tr>
      <w:tr>
        <w:trPr>
          <w:trHeight w:val="89"/>
        </w:trPr>
        <w:tc>
          <w:tcPr>
            <w:tcW w:w="3660" w:type="dxa"/>
            <w:vAlign w:val="bottom"/>
            <w:shd w:val="clear" w:color="auto" w:fill="EFE9FC"/>
          </w:tcPr>
          <w:p>
            <w:pPr>
              <w:spacing w:after="0"/>
              <w:rPr>
                <w:sz w:val="7"/>
                <w:szCs w:val="7"/>
                <w:color w:val="auto"/>
              </w:rPr>
            </w:pPr>
          </w:p>
        </w:tc>
        <w:tc>
          <w:tcPr>
            <w:tcW w:w="1640" w:type="dxa"/>
            <w:vAlign w:val="bottom"/>
            <w:shd w:val="clear" w:color="auto" w:fill="EFE9FC"/>
          </w:tcPr>
          <w:p>
            <w:pPr>
              <w:spacing w:after="0"/>
              <w:rPr>
                <w:sz w:val="7"/>
                <w:szCs w:val="7"/>
                <w:color w:val="auto"/>
              </w:rPr>
            </w:pPr>
          </w:p>
        </w:tc>
        <w:tc>
          <w:tcPr>
            <w:tcW w:w="2140" w:type="dxa"/>
            <w:vAlign w:val="bottom"/>
            <w:vMerge w:val="continue"/>
            <w:shd w:val="clear" w:color="auto" w:fill="EFE9FC"/>
          </w:tcPr>
          <w:p>
            <w:pPr>
              <w:spacing w:after="0"/>
              <w:rPr>
                <w:sz w:val="7"/>
                <w:szCs w:val="7"/>
                <w:color w:val="auto"/>
              </w:rPr>
            </w:pPr>
          </w:p>
        </w:tc>
        <w:tc>
          <w:tcPr>
            <w:tcW w:w="1740" w:type="dxa"/>
            <w:vAlign w:val="bottom"/>
            <w:shd w:val="clear" w:color="auto" w:fill="EFE9FC"/>
          </w:tcPr>
          <w:p>
            <w:pPr>
              <w:spacing w:after="0"/>
              <w:rPr>
                <w:sz w:val="7"/>
                <w:szCs w:val="7"/>
                <w:color w:val="auto"/>
              </w:rPr>
            </w:pPr>
          </w:p>
        </w:tc>
        <w:tc>
          <w:tcPr>
            <w:tcW w:w="0" w:type="dxa"/>
            <w:vAlign w:val="bottom"/>
          </w:tcPr>
          <w:p>
            <w:pPr>
              <w:spacing w:after="0"/>
              <w:rPr>
                <w:sz w:val="1"/>
                <w:szCs w:val="1"/>
                <w:color w:val="auto"/>
              </w:rPr>
            </w:pPr>
          </w:p>
        </w:tc>
      </w:tr>
      <w:tr>
        <w:trPr>
          <w:trHeight w:val="275"/>
        </w:trPr>
        <w:tc>
          <w:tcPr>
            <w:tcW w:w="3660" w:type="dxa"/>
            <w:vAlign w:val="bottom"/>
          </w:tcPr>
          <w:p>
            <w:pPr>
              <w:ind w:left="60"/>
              <w:spacing w:after="0"/>
              <w:rPr>
                <w:sz w:val="20"/>
                <w:szCs w:val="20"/>
                <w:color w:val="auto"/>
              </w:rPr>
            </w:pPr>
            <w:r>
              <w:rPr>
                <w:rFonts w:ascii="Arial" w:cs="Arial" w:eastAsia="Arial" w:hAnsi="Arial"/>
                <w:sz w:val="15"/>
                <w:szCs w:val="15"/>
                <w:color w:val="auto"/>
              </w:rPr>
              <w:t>Arthur Rosenthal</w:t>
            </w:r>
          </w:p>
        </w:tc>
        <w:tc>
          <w:tcPr>
            <w:tcW w:w="1640" w:type="dxa"/>
            <w:vAlign w:val="bottom"/>
            <w:vMerge w:val="restart"/>
          </w:tcPr>
          <w:p>
            <w:pPr>
              <w:ind w:left="780"/>
              <w:spacing w:after="0" w:line="151" w:lineRule="exact"/>
              <w:rPr>
                <w:sz w:val="20"/>
                <w:szCs w:val="20"/>
                <w:color w:val="auto"/>
              </w:rPr>
            </w:pPr>
            <w:r>
              <w:rPr>
                <w:rFonts w:ascii="MS PGothic" w:cs="MS PGothic" w:eastAsia="MS PGothic" w:hAnsi="MS PGothic"/>
                <w:sz w:val="15"/>
                <w:szCs w:val="15"/>
                <w:color w:val="4800E6"/>
              </w:rPr>
              <w:t>✔</w:t>
            </w:r>
          </w:p>
        </w:tc>
        <w:tc>
          <w:tcPr>
            <w:tcW w:w="2140" w:type="dxa"/>
            <w:vAlign w:val="bottom"/>
          </w:tcPr>
          <w:p>
            <w:pPr>
              <w:spacing w:after="0"/>
              <w:rPr>
                <w:sz w:val="23"/>
                <w:szCs w:val="23"/>
                <w:color w:val="auto"/>
              </w:rPr>
            </w:pPr>
          </w:p>
        </w:tc>
        <w:tc>
          <w:tcPr>
            <w:tcW w:w="17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76"/>
        </w:trPr>
        <w:tc>
          <w:tcPr>
            <w:tcW w:w="3660" w:type="dxa"/>
            <w:vAlign w:val="bottom"/>
          </w:tcPr>
          <w:p>
            <w:pPr>
              <w:spacing w:after="0"/>
              <w:rPr>
                <w:sz w:val="6"/>
                <w:szCs w:val="6"/>
                <w:color w:val="auto"/>
              </w:rPr>
            </w:pPr>
          </w:p>
        </w:tc>
        <w:tc>
          <w:tcPr>
            <w:tcW w:w="1640" w:type="dxa"/>
            <w:vAlign w:val="bottom"/>
            <w:vMerge w:val="continue"/>
          </w:tcPr>
          <w:p>
            <w:pPr>
              <w:spacing w:after="0"/>
              <w:rPr>
                <w:sz w:val="6"/>
                <w:szCs w:val="6"/>
                <w:color w:val="auto"/>
              </w:rPr>
            </w:pPr>
          </w:p>
        </w:tc>
        <w:tc>
          <w:tcPr>
            <w:tcW w:w="2140" w:type="dxa"/>
            <w:vAlign w:val="bottom"/>
          </w:tcPr>
          <w:p>
            <w:pPr>
              <w:spacing w:after="0"/>
              <w:rPr>
                <w:sz w:val="6"/>
                <w:szCs w:val="6"/>
                <w:color w:val="auto"/>
              </w:rPr>
            </w:pPr>
          </w:p>
        </w:tc>
        <w:tc>
          <w:tcPr>
            <w:tcW w:w="17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03"/>
        </w:trPr>
        <w:tc>
          <w:tcPr>
            <w:tcW w:w="3660" w:type="dxa"/>
            <w:vAlign w:val="bottom"/>
            <w:shd w:val="clear" w:color="auto" w:fill="EFE9FC"/>
          </w:tcPr>
          <w:p>
            <w:pPr>
              <w:ind w:left="60"/>
              <w:spacing w:after="0"/>
              <w:rPr>
                <w:sz w:val="20"/>
                <w:szCs w:val="20"/>
                <w:color w:val="auto"/>
              </w:rPr>
            </w:pPr>
            <w:r>
              <w:rPr>
                <w:rFonts w:ascii="Arial" w:cs="Arial" w:eastAsia="Arial" w:hAnsi="Arial"/>
                <w:sz w:val="15"/>
                <w:szCs w:val="15"/>
                <w:color w:val="auto"/>
              </w:rPr>
              <w:t>Andrea Saia</w:t>
            </w:r>
          </w:p>
        </w:tc>
        <w:tc>
          <w:tcPr>
            <w:tcW w:w="1640" w:type="dxa"/>
            <w:vAlign w:val="bottom"/>
            <w:shd w:val="clear" w:color="auto" w:fill="EFE9FC"/>
          </w:tcPr>
          <w:p>
            <w:pPr>
              <w:spacing w:after="0"/>
              <w:rPr>
                <w:sz w:val="17"/>
                <w:szCs w:val="17"/>
                <w:color w:val="auto"/>
              </w:rPr>
            </w:pPr>
          </w:p>
        </w:tc>
        <w:tc>
          <w:tcPr>
            <w:tcW w:w="2140" w:type="dxa"/>
            <w:vAlign w:val="bottom"/>
            <w:shd w:val="clear" w:color="auto" w:fill="EFE9FC"/>
          </w:tcPr>
          <w:p>
            <w:pPr>
              <w:spacing w:after="0"/>
              <w:rPr>
                <w:sz w:val="17"/>
                <w:szCs w:val="17"/>
                <w:color w:val="auto"/>
              </w:rPr>
            </w:pPr>
          </w:p>
        </w:tc>
        <w:tc>
          <w:tcPr>
            <w:tcW w:w="1740" w:type="dxa"/>
            <w:vAlign w:val="bottom"/>
            <w:shd w:val="clear" w:color="auto" w:fill="EFE9FC"/>
          </w:tcPr>
          <w:p>
            <w:pPr>
              <w:jc w:val="center"/>
              <w:spacing w:after="0" w:line="151" w:lineRule="exact"/>
              <w:rPr>
                <w:sz w:val="20"/>
                <w:szCs w:val="20"/>
                <w:color w:val="auto"/>
              </w:rPr>
            </w:pPr>
            <w:r>
              <w:rPr>
                <w:rFonts w:ascii="MS PGothic" w:cs="MS PGothic" w:eastAsia="MS PGothic" w:hAnsi="MS PGothic"/>
                <w:sz w:val="15"/>
                <w:szCs w:val="15"/>
                <w:color w:val="4800E6"/>
                <w:w w:val="93"/>
              </w:rPr>
              <w:t>✔</w:t>
            </w:r>
          </w:p>
        </w:tc>
        <w:tc>
          <w:tcPr>
            <w:tcW w:w="0" w:type="dxa"/>
            <w:vAlign w:val="bottom"/>
          </w:tcPr>
          <w:p>
            <w:pPr>
              <w:spacing w:after="0"/>
              <w:rPr>
                <w:sz w:val="1"/>
                <w:szCs w:val="1"/>
                <w:color w:val="auto"/>
              </w:rPr>
            </w:pPr>
          </w:p>
        </w:tc>
      </w:tr>
      <w:tr>
        <w:trPr>
          <w:trHeight w:val="176"/>
        </w:trPr>
        <w:tc>
          <w:tcPr>
            <w:tcW w:w="3660" w:type="dxa"/>
            <w:vAlign w:val="bottom"/>
            <w:tcBorders>
              <w:bottom w:val="single" w:sz="8" w:color="EFE9FC"/>
            </w:tcBorders>
          </w:tcPr>
          <w:p>
            <w:pPr>
              <w:spacing w:after="0"/>
              <w:rPr>
                <w:sz w:val="15"/>
                <w:szCs w:val="15"/>
                <w:color w:val="auto"/>
              </w:rPr>
            </w:pPr>
          </w:p>
        </w:tc>
        <w:tc>
          <w:tcPr>
            <w:tcW w:w="1640" w:type="dxa"/>
            <w:vAlign w:val="bottom"/>
            <w:tcBorders>
              <w:bottom w:val="single" w:sz="8" w:color="4800E6"/>
            </w:tcBorders>
          </w:tcPr>
          <w:p>
            <w:pPr>
              <w:spacing w:after="0"/>
              <w:rPr>
                <w:sz w:val="15"/>
                <w:szCs w:val="15"/>
                <w:color w:val="auto"/>
              </w:rPr>
            </w:pPr>
          </w:p>
        </w:tc>
        <w:tc>
          <w:tcPr>
            <w:tcW w:w="2140" w:type="dxa"/>
            <w:vAlign w:val="bottom"/>
            <w:tcBorders>
              <w:bottom w:val="single" w:sz="8" w:color="4800E6"/>
            </w:tcBorders>
          </w:tcPr>
          <w:p>
            <w:pPr>
              <w:ind w:left="240"/>
              <w:spacing w:after="0"/>
              <w:rPr>
                <w:sz w:val="20"/>
                <w:szCs w:val="20"/>
                <w:color w:val="auto"/>
              </w:rPr>
            </w:pPr>
            <w:r>
              <w:rPr>
                <w:rFonts w:ascii="Arial" w:cs="Arial" w:eastAsia="Arial" w:hAnsi="Arial"/>
                <w:sz w:val="14"/>
                <w:szCs w:val="14"/>
                <w:b w:val="1"/>
                <w:bCs w:val="1"/>
                <w:color w:val="4800E6"/>
              </w:rPr>
              <w:t>Committee Actions in 2019</w:t>
            </w:r>
          </w:p>
        </w:tc>
        <w:tc>
          <w:tcPr>
            <w:tcW w:w="1740" w:type="dxa"/>
            <w:vAlign w:val="bottom"/>
            <w:tcBorders>
              <w:bottom w:val="single" w:sz="8" w:color="4800E6"/>
            </w:tcBorders>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3660" w:type="dxa"/>
            <w:vAlign w:val="bottom"/>
            <w:shd w:val="clear" w:color="auto" w:fill="EFE9FC"/>
          </w:tcPr>
          <w:p>
            <w:pPr>
              <w:ind w:left="60"/>
              <w:spacing w:after="0" w:line="169" w:lineRule="exact"/>
              <w:rPr>
                <w:sz w:val="20"/>
                <w:szCs w:val="20"/>
                <w:color w:val="auto"/>
              </w:rPr>
            </w:pPr>
            <w:r>
              <w:rPr>
                <w:rFonts w:ascii="Arial" w:cs="Arial" w:eastAsia="Arial" w:hAnsi="Arial"/>
                <w:sz w:val="15"/>
                <w:szCs w:val="15"/>
                <w:color w:val="auto"/>
              </w:rPr>
              <w:t>Meetings</w:t>
            </w:r>
          </w:p>
        </w:tc>
        <w:tc>
          <w:tcPr>
            <w:tcW w:w="1640" w:type="dxa"/>
            <w:vAlign w:val="bottom"/>
            <w:shd w:val="clear" w:color="auto" w:fill="EFE9FC"/>
          </w:tcPr>
          <w:p>
            <w:pPr>
              <w:jc w:val="right"/>
              <w:ind w:right="545"/>
              <w:spacing w:after="0"/>
              <w:rPr>
                <w:sz w:val="20"/>
                <w:szCs w:val="20"/>
                <w:color w:val="auto"/>
              </w:rPr>
            </w:pPr>
            <w:r>
              <w:rPr>
                <w:rFonts w:ascii="Arial" w:cs="Arial" w:eastAsia="Arial" w:hAnsi="Arial"/>
                <w:sz w:val="15"/>
                <w:szCs w:val="15"/>
                <w:color w:val="auto"/>
              </w:rPr>
              <w:t>10</w:t>
            </w:r>
          </w:p>
        </w:tc>
        <w:tc>
          <w:tcPr>
            <w:tcW w:w="2140" w:type="dxa"/>
            <w:vAlign w:val="bottom"/>
            <w:shd w:val="clear" w:color="auto" w:fill="EFE9FC"/>
          </w:tcPr>
          <w:p>
            <w:pPr>
              <w:jc w:val="center"/>
              <w:ind w:left="66"/>
              <w:spacing w:after="0"/>
              <w:rPr>
                <w:sz w:val="20"/>
                <w:szCs w:val="20"/>
                <w:color w:val="auto"/>
              </w:rPr>
            </w:pPr>
            <w:r>
              <w:rPr>
                <w:rFonts w:ascii="Arial" w:cs="Arial" w:eastAsia="Arial" w:hAnsi="Arial"/>
                <w:sz w:val="15"/>
                <w:szCs w:val="15"/>
                <w:color w:val="auto"/>
                <w:w w:val="95"/>
              </w:rPr>
              <w:t>4</w:t>
            </w:r>
          </w:p>
        </w:tc>
        <w:tc>
          <w:tcPr>
            <w:tcW w:w="1740" w:type="dxa"/>
            <w:vAlign w:val="bottom"/>
            <w:shd w:val="clear" w:color="auto" w:fill="EFE9FC"/>
          </w:tcPr>
          <w:p>
            <w:pPr>
              <w:jc w:val="center"/>
              <w:spacing w:after="0"/>
              <w:rPr>
                <w:sz w:val="20"/>
                <w:szCs w:val="20"/>
                <w:color w:val="auto"/>
              </w:rPr>
            </w:pPr>
            <w:r>
              <w:rPr>
                <w:rFonts w:ascii="Arial" w:cs="Arial" w:eastAsia="Arial" w:hAnsi="Arial"/>
                <w:sz w:val="15"/>
                <w:szCs w:val="15"/>
                <w:color w:val="auto"/>
              </w:rPr>
              <w:t>10</w:t>
            </w:r>
          </w:p>
        </w:tc>
        <w:tc>
          <w:tcPr>
            <w:tcW w:w="0" w:type="dxa"/>
            <w:vAlign w:val="bottom"/>
          </w:tcPr>
          <w:p>
            <w:pPr>
              <w:spacing w:after="0"/>
              <w:rPr>
                <w:sz w:val="1"/>
                <w:szCs w:val="1"/>
                <w:color w:val="auto"/>
              </w:rPr>
            </w:pPr>
          </w:p>
        </w:tc>
      </w:tr>
      <w:tr>
        <w:trPr>
          <w:trHeight w:val="175"/>
        </w:trPr>
        <w:tc>
          <w:tcPr>
            <w:tcW w:w="3660" w:type="dxa"/>
            <w:vAlign w:val="bottom"/>
            <w:tcBorders>
              <w:bottom w:val="single" w:sz="8" w:color="4800E6"/>
            </w:tcBorders>
          </w:tcPr>
          <w:p>
            <w:pPr>
              <w:ind w:left="60"/>
              <w:spacing w:after="0"/>
              <w:rPr>
                <w:sz w:val="20"/>
                <w:szCs w:val="20"/>
                <w:color w:val="auto"/>
              </w:rPr>
            </w:pPr>
            <w:r>
              <w:rPr>
                <w:rFonts w:ascii="Arial" w:cs="Arial" w:eastAsia="Arial" w:hAnsi="Arial"/>
                <w:sz w:val="15"/>
                <w:szCs w:val="15"/>
                <w:color w:val="auto"/>
              </w:rPr>
              <w:t>Written Resolutions</w:t>
            </w:r>
          </w:p>
        </w:tc>
        <w:tc>
          <w:tcPr>
            <w:tcW w:w="1640" w:type="dxa"/>
            <w:vAlign w:val="bottom"/>
            <w:tcBorders>
              <w:bottom w:val="single" w:sz="8" w:color="4800E6"/>
            </w:tcBorders>
          </w:tcPr>
          <w:p>
            <w:pPr>
              <w:jc w:val="right"/>
              <w:ind w:right="585"/>
              <w:spacing w:after="0"/>
              <w:rPr>
                <w:sz w:val="20"/>
                <w:szCs w:val="20"/>
                <w:color w:val="auto"/>
              </w:rPr>
            </w:pPr>
            <w:r>
              <w:rPr>
                <w:rFonts w:ascii="Arial" w:cs="Arial" w:eastAsia="Arial" w:hAnsi="Arial"/>
                <w:sz w:val="15"/>
                <w:szCs w:val="15"/>
                <w:color w:val="auto"/>
              </w:rPr>
              <w:t>2</w:t>
            </w:r>
          </w:p>
        </w:tc>
        <w:tc>
          <w:tcPr>
            <w:tcW w:w="2140" w:type="dxa"/>
            <w:vAlign w:val="bottom"/>
            <w:tcBorders>
              <w:bottom w:val="single" w:sz="8" w:color="4800E6"/>
            </w:tcBorders>
          </w:tcPr>
          <w:p>
            <w:pPr>
              <w:jc w:val="center"/>
              <w:ind w:left="66"/>
              <w:spacing w:after="0"/>
              <w:rPr>
                <w:sz w:val="20"/>
                <w:szCs w:val="20"/>
                <w:color w:val="auto"/>
              </w:rPr>
            </w:pPr>
            <w:r>
              <w:rPr>
                <w:rFonts w:ascii="Arial" w:cs="Arial" w:eastAsia="Arial" w:hAnsi="Arial"/>
                <w:sz w:val="15"/>
                <w:szCs w:val="15"/>
                <w:color w:val="auto"/>
                <w:w w:val="95"/>
              </w:rPr>
              <w:t>–</w:t>
            </w:r>
          </w:p>
        </w:tc>
        <w:tc>
          <w:tcPr>
            <w:tcW w:w="1740" w:type="dxa"/>
            <w:vAlign w:val="bottom"/>
            <w:tcBorders>
              <w:bottom w:val="single" w:sz="8" w:color="4800E6"/>
            </w:tcBorders>
          </w:tcPr>
          <w:p>
            <w:pPr>
              <w:jc w:val="center"/>
              <w:spacing w:after="0"/>
              <w:rPr>
                <w:sz w:val="20"/>
                <w:szCs w:val="20"/>
                <w:color w:val="auto"/>
              </w:rPr>
            </w:pPr>
            <w:r>
              <w:rPr>
                <w:rFonts w:ascii="Arial" w:cs="Arial" w:eastAsia="Arial" w:hAnsi="Arial"/>
                <w:sz w:val="15"/>
                <w:szCs w:val="15"/>
                <w:color w:val="auto"/>
                <w:w w:val="95"/>
              </w:rPr>
              <w:t>1</w:t>
            </w:r>
          </w:p>
        </w:tc>
        <w:tc>
          <w:tcPr>
            <w:tcW w:w="0" w:type="dxa"/>
            <w:vAlign w:val="bottom"/>
          </w:tcPr>
          <w:p>
            <w:pPr>
              <w:spacing w:after="0"/>
              <w:rPr>
                <w:sz w:val="1"/>
                <w:szCs w:val="1"/>
                <w:color w:val="auto"/>
              </w:rPr>
            </w:pPr>
          </w:p>
        </w:tc>
      </w:tr>
      <w:tr>
        <w:trPr>
          <w:trHeight w:val="170"/>
        </w:trPr>
        <w:tc>
          <w:tcPr>
            <w:tcW w:w="3660" w:type="dxa"/>
            <w:vAlign w:val="bottom"/>
          </w:tcPr>
          <w:p>
            <w:pPr>
              <w:ind w:left="220"/>
              <w:spacing w:after="0"/>
              <w:rPr>
                <w:sz w:val="20"/>
                <w:szCs w:val="20"/>
                <w:color w:val="auto"/>
              </w:rPr>
            </w:pPr>
            <w:r>
              <w:rPr>
                <w:rFonts w:ascii="Arial" w:cs="Arial" w:eastAsia="Arial" w:hAnsi="Arial"/>
                <w:sz w:val="13"/>
                <w:szCs w:val="13"/>
                <w:i w:val="1"/>
                <w:iCs w:val="1"/>
                <w:color w:val="auto"/>
              </w:rPr>
              <w:t>indicates committee chair</w:t>
            </w:r>
          </w:p>
        </w:tc>
        <w:tc>
          <w:tcPr>
            <w:tcW w:w="1640" w:type="dxa"/>
            <w:vAlign w:val="bottom"/>
          </w:tcPr>
          <w:p>
            <w:pPr>
              <w:spacing w:after="0"/>
              <w:rPr>
                <w:sz w:val="14"/>
                <w:szCs w:val="14"/>
                <w:color w:val="auto"/>
              </w:rPr>
            </w:pPr>
          </w:p>
        </w:tc>
        <w:tc>
          <w:tcPr>
            <w:tcW w:w="2140" w:type="dxa"/>
            <w:vAlign w:val="bottom"/>
          </w:tcPr>
          <w:p>
            <w:pPr>
              <w:spacing w:after="0"/>
              <w:rPr>
                <w:sz w:val="14"/>
                <w:szCs w:val="14"/>
                <w:color w:val="auto"/>
              </w:rPr>
            </w:pPr>
          </w:p>
        </w:tc>
        <w:tc>
          <w:tcPr>
            <w:tcW w:w="1740" w:type="dxa"/>
            <w:vAlign w:val="bottom"/>
          </w:tcPr>
          <w:p>
            <w:pPr>
              <w:spacing w:after="0"/>
              <w:rPr>
                <w:sz w:val="14"/>
                <w:szCs w:val="1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485140</wp:posOffset>
            </wp:positionH>
            <wp:positionV relativeFrom="paragraph">
              <wp:posOffset>-360045</wp:posOffset>
            </wp:positionV>
            <wp:extent cx="2322830" cy="825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2322830" cy="8255"/>
                    </a:xfrm>
                    <a:prstGeom prst="rect">
                      <a:avLst/>
                    </a:prstGeom>
                    <a:noFill/>
                  </pic:spPr>
                </pic:pic>
              </a:graphicData>
            </a:graphic>
          </wp:anchor>
        </w:drawing>
        <w:drawing>
          <wp:anchor simplePos="0" relativeHeight="251657728" behindDoc="1" locked="0" layoutInCell="0" allowOverlap="1">
            <wp:simplePos x="0" y="0"/>
            <wp:positionH relativeFrom="column">
              <wp:posOffset>485140</wp:posOffset>
            </wp:positionH>
            <wp:positionV relativeFrom="paragraph">
              <wp:posOffset>-111125</wp:posOffset>
            </wp:positionV>
            <wp:extent cx="68580" cy="12001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68580" cy="120015"/>
                    </a:xfrm>
                    <a:prstGeom prst="rect">
                      <a:avLst/>
                    </a:prstGeom>
                    <a:noFill/>
                  </pic:spPr>
                </pic:pic>
              </a:graphicData>
            </a:graphic>
          </wp:anchor>
        </w:drawing>
        <w:drawing>
          <wp:anchor simplePos="0" relativeHeight="251657728" behindDoc="1" locked="0" layoutInCell="0" allowOverlap="1">
            <wp:simplePos x="0" y="0"/>
            <wp:positionH relativeFrom="column">
              <wp:posOffset>5782945</wp:posOffset>
            </wp:positionH>
            <wp:positionV relativeFrom="paragraph">
              <wp:posOffset>-1328420</wp:posOffset>
            </wp:positionV>
            <wp:extent cx="68580" cy="12001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68580" cy="120015"/>
                    </a:xfrm>
                    <a:prstGeom prst="rect">
                      <a:avLst/>
                    </a:prstGeom>
                    <a:noFill/>
                  </pic:spPr>
                </pic:pic>
              </a:graphicData>
            </a:graphic>
          </wp:anchor>
        </w:drawing>
        <w:drawing>
          <wp:anchor simplePos="0" relativeHeight="251657728" behindDoc="1" locked="0" layoutInCell="0" allowOverlap="1">
            <wp:simplePos x="0" y="0"/>
            <wp:positionH relativeFrom="column">
              <wp:posOffset>4599940</wp:posOffset>
            </wp:positionH>
            <wp:positionV relativeFrom="paragraph">
              <wp:posOffset>-977265</wp:posOffset>
            </wp:positionV>
            <wp:extent cx="68580" cy="12001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68580" cy="120015"/>
                    </a:xfrm>
                    <a:prstGeom prst="rect">
                      <a:avLst/>
                    </a:prstGeom>
                    <a:noFill/>
                  </pic:spPr>
                </pic:pic>
              </a:graphicData>
            </a:graphic>
          </wp:anchor>
        </w:drawing>
        <w:drawing>
          <wp:anchor simplePos="0" relativeHeight="251657728" behindDoc="1" locked="0" layoutInCell="0" allowOverlap="1">
            <wp:simplePos x="0" y="0"/>
            <wp:positionH relativeFrom="column">
              <wp:posOffset>3425190</wp:posOffset>
            </wp:positionH>
            <wp:positionV relativeFrom="paragraph">
              <wp:posOffset>-745490</wp:posOffset>
            </wp:positionV>
            <wp:extent cx="68580" cy="12001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68580" cy="120015"/>
                    </a:xfrm>
                    <a:prstGeom prst="rect">
                      <a:avLst/>
                    </a:prstGeom>
                    <a:noFill/>
                  </pic:spPr>
                </pic:pic>
              </a:graphicData>
            </a:graphic>
          </wp:anchor>
        </w:drawing>
      </w:r>
    </w:p>
    <w:p>
      <w:pPr>
        <w:spacing w:after="0" w:line="253" w:lineRule="exact"/>
        <w:rPr>
          <w:sz w:val="20"/>
          <w:szCs w:val="20"/>
          <w:color w:val="auto"/>
        </w:rPr>
      </w:pPr>
    </w:p>
    <w:p>
      <w:pPr>
        <w:ind w:left="760"/>
        <w:spacing w:after="0"/>
        <w:rPr>
          <w:sz w:val="20"/>
          <w:szCs w:val="20"/>
          <w:color w:val="auto"/>
        </w:rPr>
      </w:pPr>
      <w:r>
        <w:rPr>
          <w:rFonts w:ascii="Arial" w:cs="Arial" w:eastAsia="Arial" w:hAnsi="Arial"/>
          <w:sz w:val="23"/>
          <w:szCs w:val="23"/>
          <w:b w:val="1"/>
          <w:bCs w:val="1"/>
          <w:color w:val="auto"/>
        </w:rPr>
        <w:t>Audit and Compliance Committee</w:t>
      </w:r>
    </w:p>
    <w:p>
      <w:pPr>
        <w:spacing w:after="0" w:line="139" w:lineRule="exact"/>
        <w:rPr>
          <w:sz w:val="20"/>
          <w:szCs w:val="20"/>
          <w:color w:val="auto"/>
        </w:rPr>
      </w:pPr>
    </w:p>
    <w:p>
      <w:pPr>
        <w:ind w:left="760"/>
        <w:spacing w:after="0"/>
        <w:rPr>
          <w:sz w:val="20"/>
          <w:szCs w:val="20"/>
          <w:color w:val="auto"/>
        </w:rPr>
      </w:pPr>
      <w:r>
        <w:rPr>
          <w:rFonts w:ascii="Arial" w:cs="Arial" w:eastAsia="Arial" w:hAnsi="Arial"/>
          <w:sz w:val="16"/>
          <w:szCs w:val="16"/>
          <w:color w:val="auto"/>
        </w:rPr>
        <w:t>Under its charter, the Audit and Compliance Committee’s key responsibilities include:</w:t>
      </w:r>
    </w:p>
    <w:p>
      <w:pPr>
        <w:spacing w:after="0" w:line="46" w:lineRule="exact"/>
        <w:rPr>
          <w:sz w:val="20"/>
          <w:szCs w:val="20"/>
          <w:color w:val="auto"/>
        </w:rPr>
      </w:pPr>
    </w:p>
    <w:p>
      <w:pPr>
        <w:ind w:left="920" w:hanging="156"/>
        <w:spacing w:after="0"/>
        <w:tabs>
          <w:tab w:leader="none" w:pos="920" w:val="left"/>
        </w:tabs>
        <w:numPr>
          <w:ilvl w:val="0"/>
          <w:numId w:val="35"/>
        </w:numPr>
        <w:rPr>
          <w:rFonts w:ascii="Arial" w:cs="Arial" w:eastAsia="Arial" w:hAnsi="Arial"/>
          <w:sz w:val="16"/>
          <w:szCs w:val="16"/>
          <w:color w:val="4800E6"/>
        </w:rPr>
      </w:pPr>
      <w:r>
        <w:rPr>
          <w:rFonts w:ascii="Arial" w:cs="Arial" w:eastAsia="Arial" w:hAnsi="Arial"/>
          <w:sz w:val="16"/>
          <w:szCs w:val="16"/>
          <w:color w:val="auto"/>
        </w:rPr>
        <w:t>reviewing our consolidated financial statements and internal controls with management and the independent auditors;</w:t>
      </w:r>
    </w:p>
    <w:p>
      <w:pPr>
        <w:spacing w:after="0" w:line="45" w:lineRule="exact"/>
        <w:rPr>
          <w:rFonts w:ascii="Arial" w:cs="Arial" w:eastAsia="Arial" w:hAnsi="Arial"/>
          <w:sz w:val="16"/>
          <w:szCs w:val="16"/>
          <w:color w:val="4800E6"/>
        </w:rPr>
      </w:pPr>
    </w:p>
    <w:p>
      <w:pPr>
        <w:ind w:left="920" w:right="539" w:hanging="156"/>
        <w:spacing w:after="0" w:line="260" w:lineRule="auto"/>
        <w:tabs>
          <w:tab w:leader="none" w:pos="920" w:val="left"/>
        </w:tabs>
        <w:numPr>
          <w:ilvl w:val="0"/>
          <w:numId w:val="35"/>
        </w:numPr>
        <w:rPr>
          <w:rFonts w:ascii="Arial" w:cs="Arial" w:eastAsia="Arial" w:hAnsi="Arial"/>
          <w:sz w:val="16"/>
          <w:szCs w:val="16"/>
          <w:color w:val="4800E6"/>
        </w:rPr>
      </w:pPr>
      <w:r>
        <w:rPr>
          <w:rFonts w:ascii="Arial" w:cs="Arial" w:eastAsia="Arial" w:hAnsi="Arial"/>
          <w:sz w:val="16"/>
          <w:szCs w:val="16"/>
          <w:color w:val="auto"/>
        </w:rPr>
        <w:t>monitoring actions we take to comply with our internal accounting and control policies as well as external financial, legal and regulatory requirements;</w:t>
      </w:r>
    </w:p>
    <w:p>
      <w:pPr>
        <w:spacing w:after="0" w:line="19" w:lineRule="exact"/>
        <w:rPr>
          <w:rFonts w:ascii="Arial" w:cs="Arial" w:eastAsia="Arial" w:hAnsi="Arial"/>
          <w:sz w:val="16"/>
          <w:szCs w:val="16"/>
          <w:color w:val="4800E6"/>
        </w:rPr>
      </w:pPr>
    </w:p>
    <w:p>
      <w:pPr>
        <w:ind w:left="920" w:hanging="156"/>
        <w:spacing w:after="0"/>
        <w:tabs>
          <w:tab w:leader="none" w:pos="920" w:val="left"/>
        </w:tabs>
        <w:numPr>
          <w:ilvl w:val="0"/>
          <w:numId w:val="35"/>
        </w:numPr>
        <w:rPr>
          <w:rFonts w:ascii="Arial" w:cs="Arial" w:eastAsia="Arial" w:hAnsi="Arial"/>
          <w:sz w:val="16"/>
          <w:szCs w:val="16"/>
          <w:color w:val="4800E6"/>
        </w:rPr>
      </w:pPr>
      <w:r>
        <w:rPr>
          <w:rFonts w:ascii="Arial" w:cs="Arial" w:eastAsia="Arial" w:hAnsi="Arial"/>
          <w:sz w:val="16"/>
          <w:szCs w:val="16"/>
          <w:color w:val="auto"/>
        </w:rPr>
        <w:t>monitoring our internal audit functions;</w:t>
      </w:r>
    </w:p>
    <w:p>
      <w:pPr>
        <w:spacing w:after="0" w:line="59" w:lineRule="exact"/>
        <w:rPr>
          <w:rFonts w:ascii="Arial" w:cs="Arial" w:eastAsia="Arial" w:hAnsi="Arial"/>
          <w:sz w:val="16"/>
          <w:szCs w:val="16"/>
          <w:color w:val="4800E6"/>
        </w:rPr>
      </w:pPr>
    </w:p>
    <w:p>
      <w:pPr>
        <w:ind w:left="920" w:right="239" w:hanging="156"/>
        <w:spacing w:after="0" w:line="260" w:lineRule="auto"/>
        <w:tabs>
          <w:tab w:leader="none" w:pos="920" w:val="left"/>
        </w:tabs>
        <w:numPr>
          <w:ilvl w:val="0"/>
          <w:numId w:val="35"/>
        </w:numPr>
        <w:rPr>
          <w:rFonts w:ascii="Arial" w:cs="Arial" w:eastAsia="Arial" w:hAnsi="Arial"/>
          <w:sz w:val="16"/>
          <w:szCs w:val="16"/>
          <w:color w:val="4800E6"/>
        </w:rPr>
      </w:pPr>
      <w:r>
        <w:rPr>
          <w:rFonts w:ascii="Arial" w:cs="Arial" w:eastAsia="Arial" w:hAnsi="Arial"/>
          <w:sz w:val="16"/>
          <w:szCs w:val="16"/>
          <w:color w:val="auto"/>
        </w:rPr>
        <w:t>reviewing the qualifications and independence of our independent auditors engaged for the purpose of auditing our consolidated financial statements and issuing an audit report for inclusion in appropriate regulatory filings; and</w:t>
      </w:r>
    </w:p>
    <w:p>
      <w:pPr>
        <w:spacing w:after="0" w:line="19" w:lineRule="exact"/>
        <w:rPr>
          <w:rFonts w:ascii="Arial" w:cs="Arial" w:eastAsia="Arial" w:hAnsi="Arial"/>
          <w:sz w:val="16"/>
          <w:szCs w:val="16"/>
          <w:color w:val="4800E6"/>
        </w:rPr>
      </w:pPr>
    </w:p>
    <w:p>
      <w:pPr>
        <w:ind w:left="920" w:hanging="156"/>
        <w:spacing w:after="0"/>
        <w:tabs>
          <w:tab w:leader="none" w:pos="920" w:val="left"/>
        </w:tabs>
        <w:numPr>
          <w:ilvl w:val="0"/>
          <w:numId w:val="35"/>
        </w:numPr>
        <w:rPr>
          <w:rFonts w:ascii="Arial" w:cs="Arial" w:eastAsia="Arial" w:hAnsi="Arial"/>
          <w:sz w:val="16"/>
          <w:szCs w:val="16"/>
          <w:color w:val="4800E6"/>
        </w:rPr>
      </w:pPr>
      <w:r>
        <w:rPr>
          <w:rFonts w:ascii="Arial" w:cs="Arial" w:eastAsia="Arial" w:hAnsi="Arial"/>
          <w:sz w:val="16"/>
          <w:szCs w:val="16"/>
          <w:color w:val="auto"/>
        </w:rPr>
        <w:t>selecting, subject to required shareholder approvals, our independent auditors and evaluating their performance.</w:t>
      </w:r>
    </w:p>
    <w:p>
      <w:pPr>
        <w:spacing w:after="0" w:line="100" w:lineRule="exact"/>
        <w:rPr>
          <w:sz w:val="20"/>
          <w:szCs w:val="20"/>
          <w:color w:val="auto"/>
        </w:rPr>
      </w:pPr>
    </w:p>
    <w:p>
      <w:pPr>
        <w:ind w:left="760" w:right="459"/>
        <w:spacing w:after="0" w:line="249" w:lineRule="auto"/>
        <w:rPr>
          <w:sz w:val="20"/>
          <w:szCs w:val="20"/>
          <w:color w:val="auto"/>
        </w:rPr>
      </w:pPr>
      <w:r>
        <w:rPr>
          <w:rFonts w:ascii="Arial" w:cs="Arial" w:eastAsia="Arial" w:hAnsi="Arial"/>
          <w:sz w:val="16"/>
          <w:szCs w:val="16"/>
          <w:color w:val="auto"/>
        </w:rPr>
        <w:t>The Audit and Compliance Committee meets at least quarterly with management, the Chief Ethics and Integrity Officer, internal auditors and the independent auditors in separate executive sessions to discuss any matter that any of these groups believe should be discussed privately. Pursuant to its charter, the Audit and Compliance Committee has the authority, at the Company’s expense, to retain professional advisors, including legal, accounting or other consultants, to advise it in connection with the exercise of its powers and responsibilities. This committee is also responsible for engaging and providing for appropriate compensation of the independent auditors.</w:t>
      </w:r>
    </w:p>
    <w:p>
      <w:pPr>
        <w:spacing w:after="0" w:line="247" w:lineRule="exact"/>
        <w:rPr>
          <w:sz w:val="20"/>
          <w:szCs w:val="20"/>
          <w:color w:val="auto"/>
        </w:rPr>
      </w:pPr>
    </w:p>
    <w:p>
      <w:pPr>
        <w:ind w:left="760"/>
        <w:spacing w:after="0"/>
        <w:rPr>
          <w:sz w:val="20"/>
          <w:szCs w:val="20"/>
          <w:color w:val="auto"/>
        </w:rPr>
      </w:pPr>
      <w:r>
        <w:rPr>
          <w:rFonts w:ascii="Arial" w:cs="Arial" w:eastAsia="Arial" w:hAnsi="Arial"/>
          <w:sz w:val="23"/>
          <w:szCs w:val="23"/>
          <w:b w:val="1"/>
          <w:bCs w:val="1"/>
          <w:color w:val="auto"/>
        </w:rPr>
        <w:t>Compensation Committee</w:t>
      </w:r>
    </w:p>
    <w:p>
      <w:pPr>
        <w:spacing w:after="0" w:line="139" w:lineRule="exact"/>
        <w:rPr>
          <w:sz w:val="20"/>
          <w:szCs w:val="20"/>
          <w:color w:val="auto"/>
        </w:rPr>
      </w:pPr>
    </w:p>
    <w:p>
      <w:pPr>
        <w:ind w:left="760"/>
        <w:spacing w:after="0"/>
        <w:rPr>
          <w:sz w:val="20"/>
          <w:szCs w:val="20"/>
          <w:color w:val="auto"/>
        </w:rPr>
      </w:pPr>
      <w:r>
        <w:rPr>
          <w:rFonts w:ascii="Arial" w:cs="Arial" w:eastAsia="Arial" w:hAnsi="Arial"/>
          <w:sz w:val="16"/>
          <w:szCs w:val="16"/>
          <w:color w:val="auto"/>
        </w:rPr>
        <w:t>Under its charter, the Compensation Committee is responsible for, among other things, the following:</w:t>
      </w:r>
    </w:p>
    <w:p>
      <w:pPr>
        <w:spacing w:after="0" w:line="32" w:lineRule="exact"/>
        <w:rPr>
          <w:sz w:val="20"/>
          <w:szCs w:val="20"/>
          <w:color w:val="auto"/>
        </w:rPr>
      </w:pPr>
    </w:p>
    <w:p>
      <w:pPr>
        <w:ind w:left="920" w:hanging="156"/>
        <w:spacing w:after="0"/>
        <w:tabs>
          <w:tab w:leader="none" w:pos="920" w:val="left"/>
        </w:tabs>
        <w:numPr>
          <w:ilvl w:val="0"/>
          <w:numId w:val="36"/>
        </w:numPr>
        <w:rPr>
          <w:rFonts w:ascii="Arial" w:cs="Arial" w:eastAsia="Arial" w:hAnsi="Arial"/>
          <w:sz w:val="16"/>
          <w:szCs w:val="16"/>
          <w:color w:val="4800E6"/>
        </w:rPr>
      </w:pPr>
      <w:r>
        <w:rPr>
          <w:rFonts w:ascii="Arial" w:cs="Arial" w:eastAsia="Arial" w:hAnsi="Arial"/>
          <w:sz w:val="16"/>
          <w:szCs w:val="16"/>
          <w:color w:val="auto"/>
        </w:rPr>
        <w:t>Regarding the CEO:</w:t>
      </w:r>
    </w:p>
    <w:p>
      <w:pPr>
        <w:spacing w:after="0" w:line="59" w:lineRule="exact"/>
        <w:rPr>
          <w:rFonts w:ascii="Arial" w:cs="Arial" w:eastAsia="Arial" w:hAnsi="Arial"/>
          <w:sz w:val="16"/>
          <w:szCs w:val="16"/>
          <w:color w:val="4800E6"/>
        </w:rPr>
      </w:pPr>
    </w:p>
    <w:p>
      <w:pPr>
        <w:ind w:left="1140" w:hanging="160"/>
        <w:spacing w:after="0"/>
        <w:tabs>
          <w:tab w:leader="none" w:pos="1140" w:val="left"/>
        </w:tabs>
        <w:numPr>
          <w:ilvl w:val="1"/>
          <w:numId w:val="36"/>
        </w:numPr>
        <w:rPr>
          <w:rFonts w:ascii="Arial" w:cs="Arial" w:eastAsia="Arial" w:hAnsi="Arial"/>
          <w:sz w:val="16"/>
          <w:szCs w:val="16"/>
          <w:color w:val="4800E6"/>
        </w:rPr>
      </w:pPr>
      <w:r>
        <w:rPr>
          <w:rFonts w:ascii="Arial" w:cs="Arial" w:eastAsia="Arial" w:hAnsi="Arial"/>
          <w:sz w:val="16"/>
          <w:szCs w:val="16"/>
          <w:color w:val="auto"/>
        </w:rPr>
        <w:t>determining and approving his goals as they relate to his compensation;</w:t>
      </w:r>
    </w:p>
    <w:p>
      <w:pPr>
        <w:spacing w:after="0" w:line="45" w:lineRule="exact"/>
        <w:rPr>
          <w:rFonts w:ascii="Arial" w:cs="Arial" w:eastAsia="Arial" w:hAnsi="Arial"/>
          <w:sz w:val="16"/>
          <w:szCs w:val="16"/>
          <w:color w:val="4800E6"/>
        </w:rPr>
      </w:pPr>
    </w:p>
    <w:p>
      <w:pPr>
        <w:ind w:left="1140" w:hanging="160"/>
        <w:spacing w:after="0"/>
        <w:tabs>
          <w:tab w:leader="none" w:pos="1140" w:val="left"/>
        </w:tabs>
        <w:numPr>
          <w:ilvl w:val="1"/>
          <w:numId w:val="36"/>
        </w:numPr>
        <w:rPr>
          <w:rFonts w:ascii="Arial" w:cs="Arial" w:eastAsia="Arial" w:hAnsi="Arial"/>
          <w:sz w:val="16"/>
          <w:szCs w:val="16"/>
          <w:color w:val="4800E6"/>
        </w:rPr>
      </w:pPr>
      <w:r>
        <w:rPr>
          <w:rFonts w:ascii="Arial" w:cs="Arial" w:eastAsia="Arial" w:hAnsi="Arial"/>
          <w:sz w:val="16"/>
          <w:szCs w:val="16"/>
          <w:color w:val="auto"/>
        </w:rPr>
        <w:t>evaluating the CEO in light of those goals; and</w:t>
      </w:r>
    </w:p>
    <w:p>
      <w:pPr>
        <w:spacing w:after="0" w:line="45" w:lineRule="exact"/>
        <w:rPr>
          <w:rFonts w:ascii="Arial" w:cs="Arial" w:eastAsia="Arial" w:hAnsi="Arial"/>
          <w:sz w:val="16"/>
          <w:szCs w:val="16"/>
          <w:color w:val="4800E6"/>
        </w:rPr>
      </w:pPr>
    </w:p>
    <w:p>
      <w:pPr>
        <w:ind w:left="1140" w:hanging="160"/>
        <w:spacing w:after="0"/>
        <w:tabs>
          <w:tab w:leader="none" w:pos="1140" w:val="left"/>
        </w:tabs>
        <w:numPr>
          <w:ilvl w:val="1"/>
          <w:numId w:val="36"/>
        </w:numPr>
        <w:rPr>
          <w:rFonts w:ascii="Arial" w:cs="Arial" w:eastAsia="Arial" w:hAnsi="Arial"/>
          <w:sz w:val="16"/>
          <w:szCs w:val="16"/>
          <w:color w:val="4800E6"/>
        </w:rPr>
      </w:pPr>
      <w:r>
        <w:rPr>
          <w:rFonts w:ascii="Arial" w:cs="Arial" w:eastAsia="Arial" w:hAnsi="Arial"/>
          <w:sz w:val="16"/>
          <w:szCs w:val="16"/>
          <w:color w:val="auto"/>
        </w:rPr>
        <w:t>determining and approving the CEO’s compensation based on his performance;</w:t>
      </w:r>
    </w:p>
    <w:p>
      <w:pPr>
        <w:spacing w:after="0" w:line="59" w:lineRule="exact"/>
        <w:rPr>
          <w:rFonts w:ascii="Arial" w:cs="Arial" w:eastAsia="Arial" w:hAnsi="Arial"/>
          <w:sz w:val="16"/>
          <w:szCs w:val="16"/>
          <w:color w:val="4800E6"/>
        </w:rPr>
      </w:pPr>
    </w:p>
    <w:p>
      <w:pPr>
        <w:ind w:left="920" w:hanging="156"/>
        <w:spacing w:after="0"/>
        <w:tabs>
          <w:tab w:leader="none" w:pos="920" w:val="left"/>
        </w:tabs>
        <w:numPr>
          <w:ilvl w:val="0"/>
          <w:numId w:val="36"/>
        </w:numPr>
        <w:rPr>
          <w:rFonts w:ascii="Arial" w:cs="Arial" w:eastAsia="Arial" w:hAnsi="Arial"/>
          <w:sz w:val="16"/>
          <w:szCs w:val="16"/>
          <w:color w:val="4800E6"/>
        </w:rPr>
      </w:pPr>
      <w:r>
        <w:rPr>
          <w:rFonts w:ascii="Arial" w:cs="Arial" w:eastAsia="Arial" w:hAnsi="Arial"/>
          <w:sz w:val="16"/>
          <w:szCs w:val="16"/>
          <w:color w:val="auto"/>
        </w:rPr>
        <w:t>determining and approving the compensation of all other executive officers;</w:t>
      </w:r>
    </w:p>
    <w:p>
      <w:pPr>
        <w:spacing w:after="0" w:line="45" w:lineRule="exact"/>
        <w:rPr>
          <w:rFonts w:ascii="Arial" w:cs="Arial" w:eastAsia="Arial" w:hAnsi="Arial"/>
          <w:sz w:val="16"/>
          <w:szCs w:val="16"/>
          <w:color w:val="4800E6"/>
        </w:rPr>
      </w:pPr>
    </w:p>
    <w:p>
      <w:pPr>
        <w:ind w:left="920" w:hanging="156"/>
        <w:spacing w:after="0"/>
        <w:tabs>
          <w:tab w:leader="none" w:pos="920" w:val="left"/>
        </w:tabs>
        <w:numPr>
          <w:ilvl w:val="0"/>
          <w:numId w:val="36"/>
        </w:numPr>
        <w:rPr>
          <w:rFonts w:ascii="Arial" w:cs="Arial" w:eastAsia="Arial" w:hAnsi="Arial"/>
          <w:sz w:val="16"/>
          <w:szCs w:val="16"/>
          <w:color w:val="4800E6"/>
        </w:rPr>
      </w:pPr>
      <w:r>
        <w:rPr>
          <w:rFonts w:ascii="Arial" w:cs="Arial" w:eastAsia="Arial" w:hAnsi="Arial"/>
          <w:sz w:val="16"/>
          <w:szCs w:val="16"/>
          <w:color w:val="auto"/>
        </w:rPr>
        <w:t>reviewing and certifying the achievement of any performance goals for long-term and short-term incentive plans;</w:t>
      </w:r>
    </w:p>
    <w:p>
      <w:pPr>
        <w:spacing w:after="0" w:line="45" w:lineRule="exact"/>
        <w:rPr>
          <w:rFonts w:ascii="Arial" w:cs="Arial" w:eastAsia="Arial" w:hAnsi="Arial"/>
          <w:sz w:val="16"/>
          <w:szCs w:val="16"/>
          <w:color w:val="4800E6"/>
        </w:rPr>
      </w:pPr>
    </w:p>
    <w:p>
      <w:pPr>
        <w:ind w:left="920" w:right="299" w:hanging="156"/>
        <w:spacing w:after="0" w:line="260" w:lineRule="auto"/>
        <w:tabs>
          <w:tab w:leader="none" w:pos="920" w:val="left"/>
        </w:tabs>
        <w:numPr>
          <w:ilvl w:val="0"/>
          <w:numId w:val="36"/>
        </w:numPr>
        <w:rPr>
          <w:rFonts w:ascii="Arial" w:cs="Arial" w:eastAsia="Arial" w:hAnsi="Arial"/>
          <w:sz w:val="16"/>
          <w:szCs w:val="16"/>
          <w:color w:val="4800E6"/>
        </w:rPr>
      </w:pPr>
      <w:r>
        <w:rPr>
          <w:rFonts w:ascii="Arial" w:cs="Arial" w:eastAsia="Arial" w:hAnsi="Arial"/>
          <w:sz w:val="16"/>
          <w:szCs w:val="16"/>
          <w:color w:val="auto"/>
        </w:rPr>
        <w:t>reviewing and approving incentive compensation plans and equity-based plans and, where required, recommending such plans for shareholder approval;</w:t>
      </w:r>
    </w:p>
    <w:p>
      <w:pPr>
        <w:spacing w:after="0" w:line="33" w:lineRule="exact"/>
        <w:rPr>
          <w:rFonts w:ascii="Arial" w:cs="Arial" w:eastAsia="Arial" w:hAnsi="Arial"/>
          <w:sz w:val="16"/>
          <w:szCs w:val="16"/>
          <w:color w:val="4800E6"/>
        </w:rPr>
      </w:pPr>
    </w:p>
    <w:p>
      <w:pPr>
        <w:ind w:left="920" w:hanging="156"/>
        <w:spacing w:after="0"/>
        <w:tabs>
          <w:tab w:leader="none" w:pos="920" w:val="left"/>
        </w:tabs>
        <w:numPr>
          <w:ilvl w:val="0"/>
          <w:numId w:val="36"/>
        </w:numPr>
        <w:rPr>
          <w:rFonts w:ascii="Arial" w:cs="Arial" w:eastAsia="Arial" w:hAnsi="Arial"/>
          <w:sz w:val="16"/>
          <w:szCs w:val="16"/>
          <w:color w:val="4800E6"/>
        </w:rPr>
      </w:pPr>
      <w:r>
        <w:rPr>
          <w:rFonts w:ascii="Arial" w:cs="Arial" w:eastAsia="Arial" w:hAnsi="Arial"/>
          <w:sz w:val="16"/>
          <w:szCs w:val="16"/>
          <w:color w:val="auto"/>
        </w:rPr>
        <w:t>administering (including adopting, amending and terminating) incentive compensation and equity-based plans;</w:t>
      </w:r>
    </w:p>
    <w:p>
      <w:pPr>
        <w:ind w:left="480"/>
        <w:spacing w:after="0"/>
        <w:tabs>
          <w:tab w:leader="none" w:pos="4400" w:val="left"/>
          <w:tab w:leader="none" w:pos="8760" w:val="left"/>
        </w:tabs>
        <w:rPr>
          <w:sz w:val="20"/>
          <w:szCs w:val="20"/>
          <w:color w:val="auto"/>
        </w:rPr>
      </w:pPr>
      <w:r>
        <w:rPr>
          <w:rFonts w:ascii="Arial" w:cs="Arial" w:eastAsia="Arial" w:hAnsi="Arial"/>
          <w:sz w:val="29"/>
          <w:szCs w:val="29"/>
          <w:b w:val="1"/>
          <w:bCs w:val="1"/>
          <w:color w:val="auto"/>
          <w:vertAlign w:val="subscript"/>
        </w:rPr>
        <w:t>19</w:t>
      </w:r>
      <w:r>
        <w:rPr>
          <w:sz w:val="20"/>
          <w:szCs w:val="20"/>
          <w:color w:val="auto"/>
        </w:rPr>
        <w:tab/>
      </w:r>
      <w:r>
        <w:rPr>
          <w:rFonts w:ascii="Arial" w:cs="Arial" w:eastAsia="Arial" w:hAnsi="Arial"/>
          <w:sz w:val="13"/>
          <w:szCs w:val="13"/>
          <w:b w:val="1"/>
          <w:bCs w:val="1"/>
          <w:color w:val="4800E6"/>
        </w:rPr>
        <w:t xml:space="preserve">LIVANOVA </w:t>
      </w:r>
      <w:r>
        <w:rPr>
          <w:rFonts w:ascii="Arial" w:cs="Arial" w:eastAsia="Arial" w:hAnsi="Arial"/>
          <w:sz w:val="13"/>
          <w:szCs w:val="13"/>
          <w:color w:val="000000"/>
        </w:rPr>
        <w:t>|</w:t>
      </w:r>
      <w:r>
        <w:rPr>
          <w:rFonts w:ascii="Arial" w:cs="Arial" w:eastAsia="Arial" w:hAnsi="Arial"/>
          <w:sz w:val="13"/>
          <w:szCs w:val="13"/>
          <w:b w:val="1"/>
          <w:bCs w:val="1"/>
          <w:color w:val="4800E6"/>
        </w:rPr>
        <w:t xml:space="preserve"> </w:t>
      </w:r>
      <w:r>
        <w:rPr>
          <w:rFonts w:ascii="Arial" w:cs="Arial" w:eastAsia="Arial" w:hAnsi="Arial"/>
          <w:sz w:val="13"/>
          <w:szCs w:val="13"/>
          <w:color w:val="4800E6"/>
        </w:rPr>
        <w:t>2020</w:t>
      </w:r>
      <w:r>
        <w:rPr>
          <w:rFonts w:ascii="Arial" w:cs="Arial" w:eastAsia="Arial" w:hAnsi="Arial"/>
          <w:sz w:val="13"/>
          <w:szCs w:val="13"/>
          <w:b w:val="1"/>
          <w:bCs w:val="1"/>
          <w:color w:val="4800E6"/>
        </w:rPr>
        <w:t xml:space="preserve"> </w:t>
      </w:r>
      <w:r>
        <w:rPr>
          <w:rFonts w:ascii="Arial" w:cs="Arial" w:eastAsia="Arial" w:hAnsi="Arial"/>
          <w:sz w:val="13"/>
          <w:szCs w:val="13"/>
          <w:color w:val="000000"/>
        </w:rPr>
        <w:t>Proxy Statement</w:t>
      </w:r>
      <w:r>
        <w:rPr>
          <w:sz w:val="20"/>
          <w:szCs w:val="20"/>
          <w:color w:val="auto"/>
        </w:rPr>
        <w:tab/>
      </w:r>
      <w:r>
        <w:rPr>
          <w:rFonts w:ascii="Arial" w:cs="Arial" w:eastAsia="Arial" w:hAnsi="Arial"/>
          <w:sz w:val="12"/>
          <w:szCs w:val="12"/>
          <w:b w:val="1"/>
          <w:bCs w:val="1"/>
          <w:color w:val="4800E6"/>
        </w:rPr>
        <w:t>www.livanova.com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561975</wp:posOffset>
            </wp:positionH>
            <wp:positionV relativeFrom="paragraph">
              <wp:posOffset>85725</wp:posOffset>
            </wp:positionV>
            <wp:extent cx="1954530" cy="825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1954530" cy="8255"/>
                    </a:xfrm>
                    <a:prstGeom prst="rect">
                      <a:avLst/>
                    </a:prstGeom>
                    <a:noFill/>
                  </pic:spPr>
                </pic:pic>
              </a:graphicData>
            </a:graphic>
          </wp:anchor>
        </w:drawing>
        <w:drawing>
          <wp:anchor simplePos="0" relativeHeight="251657728" behindDoc="1" locked="0" layoutInCell="0" allowOverlap="1">
            <wp:simplePos x="0" y="0"/>
            <wp:positionH relativeFrom="column">
              <wp:posOffset>4316730</wp:posOffset>
            </wp:positionH>
            <wp:positionV relativeFrom="paragraph">
              <wp:posOffset>85725</wp:posOffset>
            </wp:positionV>
            <wp:extent cx="1028700" cy="825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102870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222885</wp:posOffset>
            </wp:positionV>
            <wp:extent cx="6806565" cy="1714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10139"/>
          </w:cols>
          <w:pgMar w:left="320" w:top="131" w:right="1440" w:bottom="1440" w:gutter="0" w:footer="0" w:header="0"/>
        </w:sectPr>
      </w:pPr>
    </w:p>
    <w:bookmarkStart w:id="23" w:name="page24"/>
    <w:bookmarkEnd w:id="23"/>
    <w:p>
      <w:pPr>
        <w:spacing w:after="0"/>
        <w:rPr>
          <w:rFonts w:ascii="Arial" w:cs="Arial" w:eastAsia="Arial" w:hAnsi="Arial"/>
          <w:sz w:val="14"/>
          <w:szCs w:val="14"/>
          <w:color w:val="003366"/>
        </w:rPr>
      </w:pPr>
      <w:hyperlink w:anchor="page4">
        <w:r>
          <w:rPr>
            <w:rFonts w:ascii="Arial" w:cs="Arial" w:eastAsia="Arial" w:hAnsi="Arial"/>
            <w:sz w:val="14"/>
            <w:szCs w:val="14"/>
            <w:color w:val="003366"/>
          </w:rPr>
          <w:t>TABLE OF CONTENTS</w:t>
        </w:r>
      </w:hyperlink>
    </w:p>
    <w:p>
      <w:pPr>
        <w:spacing w:after="0" w:line="338" w:lineRule="exact"/>
        <w:rPr>
          <w:sz w:val="20"/>
          <w:szCs w:val="20"/>
          <w:color w:val="auto"/>
        </w:rPr>
      </w:pPr>
    </w:p>
    <w:p>
      <w:pPr>
        <w:jc w:val="right"/>
        <w:ind w:right="780"/>
        <w:spacing w:after="0"/>
        <w:rPr>
          <w:sz w:val="20"/>
          <w:szCs w:val="20"/>
          <w:color w:val="auto"/>
        </w:rPr>
      </w:pPr>
      <w:r>
        <w:rPr>
          <w:rFonts w:ascii="Arial" w:cs="Arial" w:eastAsia="Arial" w:hAnsi="Arial"/>
          <w:sz w:val="13"/>
          <w:szCs w:val="13"/>
          <w:b w:val="1"/>
          <w:bCs w:val="1"/>
          <w:color w:val="auto"/>
        </w:rPr>
        <w:t xml:space="preserve">Corporate </w:t>
      </w:r>
      <w:r>
        <w:rPr>
          <w:rFonts w:ascii="Arial" w:cs="Arial" w:eastAsia="Arial" w:hAnsi="Arial"/>
          <w:sz w:val="13"/>
          <w:szCs w:val="13"/>
          <w:b w:val="1"/>
          <w:bCs w:val="1"/>
          <w:color w:val="666666"/>
        </w:rPr>
        <w:t>Governance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485140</wp:posOffset>
            </wp:positionH>
            <wp:positionV relativeFrom="paragraph">
              <wp:posOffset>30480</wp:posOffset>
            </wp:positionV>
            <wp:extent cx="5829300" cy="825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5829300" cy="8255"/>
                    </a:xfrm>
                    <a:prstGeom prst="rect">
                      <a:avLst/>
                    </a:prstGeom>
                    <a:noFill/>
                  </pic:spPr>
                </pic:pic>
              </a:graphicData>
            </a:graphic>
          </wp:anchor>
        </w:drawing>
      </w:r>
    </w:p>
    <w:p>
      <w:pPr>
        <w:spacing w:after="0" w:line="60" w:lineRule="exact"/>
        <w:rPr>
          <w:sz w:val="20"/>
          <w:szCs w:val="20"/>
          <w:color w:val="auto"/>
        </w:rPr>
      </w:pPr>
    </w:p>
    <w:p>
      <w:pPr>
        <w:jc w:val="right"/>
        <w:ind w:right="780"/>
        <w:spacing w:after="0"/>
        <w:rPr>
          <w:sz w:val="20"/>
          <w:szCs w:val="20"/>
          <w:color w:val="auto"/>
        </w:rPr>
      </w:pPr>
      <w:r>
        <w:rPr>
          <w:rFonts w:ascii="Arial" w:cs="Arial" w:eastAsia="Arial" w:hAnsi="Arial"/>
          <w:sz w:val="13"/>
          <w:szCs w:val="13"/>
          <w:b w:val="1"/>
          <w:bCs w:val="1"/>
          <w:color w:val="4800E6"/>
        </w:rPr>
        <w:t>Board, Committee and Shareholder Meetings</w:t>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both"/>
        <w:ind w:left="920" w:right="840" w:hanging="156"/>
        <w:spacing w:after="0" w:line="253" w:lineRule="auto"/>
        <w:tabs>
          <w:tab w:leader="none" w:pos="920" w:val="left"/>
        </w:tabs>
        <w:numPr>
          <w:ilvl w:val="0"/>
          <w:numId w:val="37"/>
        </w:numPr>
        <w:rPr>
          <w:rFonts w:ascii="Arial" w:cs="Arial" w:eastAsia="Arial" w:hAnsi="Arial"/>
          <w:sz w:val="16"/>
          <w:szCs w:val="16"/>
          <w:color w:val="4800E6"/>
        </w:rPr>
      </w:pPr>
      <w:r>
        <w:rPr>
          <w:rFonts w:ascii="Arial" w:cs="Arial" w:eastAsia="Arial" w:hAnsi="Arial"/>
          <w:sz w:val="16"/>
          <w:szCs w:val="16"/>
          <w:color w:val="auto"/>
        </w:rPr>
        <w:t>reviewing and discussing with management the Compensation Discussion and Analysis to be included in appropriate regulatory filings and determining whether to recommend to the Board that the Compensation Discussion and Analysis be included in such filings;</w:t>
      </w:r>
    </w:p>
    <w:p>
      <w:pPr>
        <w:spacing w:after="0" w:line="25" w:lineRule="exact"/>
        <w:rPr>
          <w:rFonts w:ascii="Arial" w:cs="Arial" w:eastAsia="Arial" w:hAnsi="Arial"/>
          <w:sz w:val="16"/>
          <w:szCs w:val="16"/>
          <w:color w:val="4800E6"/>
        </w:rPr>
      </w:pPr>
    </w:p>
    <w:p>
      <w:pPr>
        <w:ind w:left="920" w:hanging="156"/>
        <w:spacing w:after="0"/>
        <w:tabs>
          <w:tab w:leader="none" w:pos="920" w:val="left"/>
        </w:tabs>
        <w:numPr>
          <w:ilvl w:val="0"/>
          <w:numId w:val="37"/>
        </w:numPr>
        <w:rPr>
          <w:rFonts w:ascii="Arial" w:cs="Arial" w:eastAsia="Arial" w:hAnsi="Arial"/>
          <w:sz w:val="16"/>
          <w:szCs w:val="16"/>
          <w:color w:val="4800E6"/>
        </w:rPr>
      </w:pPr>
      <w:r>
        <w:rPr>
          <w:rFonts w:ascii="Arial" w:cs="Arial" w:eastAsia="Arial" w:hAnsi="Arial"/>
          <w:sz w:val="16"/>
          <w:szCs w:val="16"/>
          <w:color w:val="auto"/>
        </w:rPr>
        <w:t>submitting to the Board for its approval an annual Remuneration Report to be included in our UK Annual Report;</w:t>
      </w:r>
    </w:p>
    <w:p>
      <w:pPr>
        <w:spacing w:after="0" w:line="45" w:lineRule="exact"/>
        <w:rPr>
          <w:rFonts w:ascii="Arial" w:cs="Arial" w:eastAsia="Arial" w:hAnsi="Arial"/>
          <w:sz w:val="16"/>
          <w:szCs w:val="16"/>
          <w:color w:val="4800E6"/>
        </w:rPr>
      </w:pPr>
    </w:p>
    <w:p>
      <w:pPr>
        <w:ind w:left="920" w:right="820" w:hanging="156"/>
        <w:spacing w:after="0" w:line="260" w:lineRule="auto"/>
        <w:tabs>
          <w:tab w:leader="none" w:pos="920" w:val="left"/>
        </w:tabs>
        <w:numPr>
          <w:ilvl w:val="0"/>
          <w:numId w:val="37"/>
        </w:numPr>
        <w:rPr>
          <w:rFonts w:ascii="Arial" w:cs="Arial" w:eastAsia="Arial" w:hAnsi="Arial"/>
          <w:sz w:val="16"/>
          <w:szCs w:val="16"/>
          <w:color w:val="4800E6"/>
        </w:rPr>
      </w:pPr>
      <w:r>
        <w:rPr>
          <w:rFonts w:ascii="Arial" w:cs="Arial" w:eastAsia="Arial" w:hAnsi="Arial"/>
          <w:sz w:val="16"/>
          <w:szCs w:val="16"/>
          <w:color w:val="auto"/>
        </w:rPr>
        <w:t>producing a report of the Compensation Committee for inclusion in appropriate US regulatory filings, as well as in the UK Annual Report; and</w:t>
      </w:r>
    </w:p>
    <w:p>
      <w:pPr>
        <w:spacing w:after="0" w:line="19" w:lineRule="exact"/>
        <w:rPr>
          <w:rFonts w:ascii="Arial" w:cs="Arial" w:eastAsia="Arial" w:hAnsi="Arial"/>
          <w:sz w:val="16"/>
          <w:szCs w:val="16"/>
          <w:color w:val="4800E6"/>
        </w:rPr>
      </w:pPr>
    </w:p>
    <w:p>
      <w:pPr>
        <w:ind w:left="920" w:hanging="156"/>
        <w:spacing w:after="0"/>
        <w:tabs>
          <w:tab w:leader="none" w:pos="920" w:val="left"/>
        </w:tabs>
        <w:numPr>
          <w:ilvl w:val="0"/>
          <w:numId w:val="37"/>
        </w:numPr>
        <w:rPr>
          <w:rFonts w:ascii="Arial" w:cs="Arial" w:eastAsia="Arial" w:hAnsi="Arial"/>
          <w:sz w:val="16"/>
          <w:szCs w:val="16"/>
          <w:color w:val="4800E6"/>
        </w:rPr>
      </w:pPr>
      <w:r>
        <w:rPr>
          <w:rFonts w:ascii="Arial" w:cs="Arial" w:eastAsia="Arial" w:hAnsi="Arial"/>
          <w:sz w:val="16"/>
          <w:szCs w:val="16"/>
          <w:color w:val="auto"/>
        </w:rPr>
        <w:t>approving employment agreements and severance arrangements or plans for executive officers.</w:t>
      </w:r>
    </w:p>
    <w:p>
      <w:pPr>
        <w:spacing w:after="0" w:line="86" w:lineRule="exact"/>
        <w:rPr>
          <w:sz w:val="20"/>
          <w:szCs w:val="20"/>
          <w:color w:val="auto"/>
        </w:rPr>
      </w:pPr>
    </w:p>
    <w:p>
      <w:pPr>
        <w:ind w:left="760" w:right="1160"/>
        <w:spacing w:after="0" w:line="253" w:lineRule="auto"/>
        <w:rPr>
          <w:sz w:val="20"/>
          <w:szCs w:val="20"/>
          <w:color w:val="auto"/>
        </w:rPr>
      </w:pPr>
      <w:r>
        <w:rPr>
          <w:rFonts w:ascii="Arial" w:cs="Arial" w:eastAsia="Arial" w:hAnsi="Arial"/>
          <w:sz w:val="16"/>
          <w:szCs w:val="16"/>
          <w:color w:val="auto"/>
        </w:rPr>
        <w:t>The Compensation Committee has the sole authority to retain and terminate a compensation consultant to assist with its responsibilities, as well as the sole authority to approve the consultant’s fees, which are then paid by the Company (within any budgetary constraints imposed by the Board).</w:t>
      </w:r>
    </w:p>
    <w:p>
      <w:pPr>
        <w:spacing w:after="0" w:line="257" w:lineRule="exact"/>
        <w:rPr>
          <w:sz w:val="20"/>
          <w:szCs w:val="20"/>
          <w:color w:val="auto"/>
        </w:rPr>
      </w:pPr>
    </w:p>
    <w:p>
      <w:pPr>
        <w:ind w:left="760"/>
        <w:spacing w:after="0"/>
        <w:rPr>
          <w:sz w:val="20"/>
          <w:szCs w:val="20"/>
          <w:color w:val="auto"/>
        </w:rPr>
      </w:pPr>
      <w:r>
        <w:rPr>
          <w:rFonts w:ascii="Arial" w:cs="Arial" w:eastAsia="Arial" w:hAnsi="Arial"/>
          <w:sz w:val="23"/>
          <w:szCs w:val="23"/>
          <w:b w:val="1"/>
          <w:bCs w:val="1"/>
          <w:color w:val="auto"/>
        </w:rPr>
        <w:t>Nominating and Corporate Governance Committee</w:t>
      </w:r>
    </w:p>
    <w:p>
      <w:pPr>
        <w:spacing w:after="0" w:line="126" w:lineRule="exact"/>
        <w:rPr>
          <w:sz w:val="20"/>
          <w:szCs w:val="20"/>
          <w:color w:val="auto"/>
        </w:rPr>
      </w:pPr>
    </w:p>
    <w:p>
      <w:pPr>
        <w:ind w:left="760" w:right="960"/>
        <w:spacing w:after="0" w:line="278" w:lineRule="auto"/>
        <w:rPr>
          <w:sz w:val="20"/>
          <w:szCs w:val="20"/>
          <w:color w:val="auto"/>
        </w:rPr>
      </w:pPr>
      <w:r>
        <w:rPr>
          <w:rFonts w:ascii="Arial" w:cs="Arial" w:eastAsia="Arial" w:hAnsi="Arial"/>
          <w:sz w:val="15"/>
          <w:szCs w:val="15"/>
          <w:color w:val="auto"/>
        </w:rPr>
        <w:t>Under the terms of its charter, the Nominating and Corporate Governance Committee develops and recommends corporate governance principles and policies to our Board and administers the process for identifying candidates for membership on the Board, including developing criteria for Board and committee memberships and recommending and recruiting director nominees.</w:t>
      </w:r>
    </w:p>
    <w:p>
      <w:pPr>
        <w:spacing w:after="0" w:line="62" w:lineRule="exact"/>
        <w:rPr>
          <w:sz w:val="20"/>
          <w:szCs w:val="20"/>
          <w:color w:val="auto"/>
        </w:rPr>
      </w:pPr>
    </w:p>
    <w:p>
      <w:pPr>
        <w:ind w:left="760" w:right="900"/>
        <w:spacing w:after="0" w:line="249" w:lineRule="auto"/>
        <w:rPr>
          <w:sz w:val="20"/>
          <w:szCs w:val="20"/>
          <w:color w:val="auto"/>
        </w:rPr>
      </w:pPr>
      <w:r>
        <w:rPr>
          <w:rFonts w:ascii="Arial" w:cs="Arial" w:eastAsia="Arial" w:hAnsi="Arial"/>
          <w:sz w:val="16"/>
          <w:szCs w:val="16"/>
          <w:color w:val="auto"/>
        </w:rPr>
        <w:t>The Nominating and Governance Committee evaluates the independence and other standards applicable to service on the Board and its committees, including whether each Audit and Compliance Committee member is financially literate and whether the Audit and Compliance Committee has at least one “audit committee financial expert.” This committee also evaluates and recommends changes, as appropriate, to Board and committee size, composition and chairmanship and committee structure and administers the process for regular Board and committee self-evaluations. In addition, this committee prepares and recommends, for Board approval, the Company’s CEO succession planning policies and reviews succession planning activities.</w:t>
      </w:r>
    </w:p>
    <w:p>
      <w:pPr>
        <w:spacing w:after="0" w:line="247" w:lineRule="exact"/>
        <w:rPr>
          <w:sz w:val="20"/>
          <w:szCs w:val="20"/>
          <w:color w:val="auto"/>
        </w:rPr>
      </w:pPr>
    </w:p>
    <w:p>
      <w:pPr>
        <w:ind w:left="760"/>
        <w:spacing w:after="0"/>
        <w:rPr>
          <w:sz w:val="20"/>
          <w:szCs w:val="20"/>
          <w:color w:val="auto"/>
        </w:rPr>
      </w:pPr>
      <w:r>
        <w:rPr>
          <w:rFonts w:ascii="Arial" w:cs="Arial" w:eastAsia="Arial" w:hAnsi="Arial"/>
          <w:sz w:val="23"/>
          <w:szCs w:val="23"/>
          <w:b w:val="1"/>
          <w:bCs w:val="1"/>
          <w:color w:val="auto"/>
        </w:rPr>
        <w:t>Governance Policies and Practices</w:t>
      </w:r>
    </w:p>
    <w:p>
      <w:pPr>
        <w:spacing w:after="0" w:line="218" w:lineRule="exact"/>
        <w:rPr>
          <w:sz w:val="20"/>
          <w:szCs w:val="20"/>
          <w:color w:val="auto"/>
        </w:rPr>
      </w:pPr>
    </w:p>
    <w:p>
      <w:pPr>
        <w:ind w:left="760"/>
        <w:spacing w:after="0"/>
        <w:rPr>
          <w:sz w:val="20"/>
          <w:szCs w:val="20"/>
          <w:color w:val="auto"/>
        </w:rPr>
      </w:pPr>
      <w:r>
        <w:rPr>
          <w:rFonts w:ascii="Arial" w:cs="Arial" w:eastAsia="Arial" w:hAnsi="Arial"/>
          <w:sz w:val="20"/>
          <w:szCs w:val="20"/>
          <w:b w:val="1"/>
          <w:bCs w:val="1"/>
          <w:color w:val="FF4C4C"/>
        </w:rPr>
        <w:t>Stock Ownership Guidelines</w:t>
      </w:r>
    </w:p>
    <w:p>
      <w:pPr>
        <w:spacing w:after="0" w:line="124" w:lineRule="exact"/>
        <w:rPr>
          <w:sz w:val="20"/>
          <w:szCs w:val="20"/>
          <w:color w:val="auto"/>
        </w:rPr>
      </w:pPr>
    </w:p>
    <w:p>
      <w:pPr>
        <w:jc w:val="both"/>
        <w:ind w:left="760" w:right="780"/>
        <w:spacing w:after="0" w:line="251" w:lineRule="auto"/>
        <w:rPr>
          <w:sz w:val="20"/>
          <w:szCs w:val="20"/>
          <w:color w:val="auto"/>
        </w:rPr>
      </w:pPr>
      <w:r>
        <w:rPr>
          <w:rFonts w:ascii="Arial" w:cs="Arial" w:eastAsia="Arial" w:hAnsi="Arial"/>
          <w:sz w:val="16"/>
          <w:szCs w:val="16"/>
          <w:color w:val="auto"/>
        </w:rPr>
        <w:t>The Board believes that ownership of our shares by our executive officers and directors further aligns their interests with that of our shareholders. We encourage our executive officers and non-executive directors to achieve the following levels of equity ownership in the Company within five years after the date he/she becomes a Section 16 officer or a non-executive director and, following such initial measurement date, to demonstrate the same levels on the last day of each financial year thereafter:</w:t>
      </w:r>
    </w:p>
    <w:p>
      <w:pPr>
        <w:spacing w:after="0" w:line="13" w:lineRule="exact"/>
        <w:rPr>
          <w:sz w:val="20"/>
          <w:szCs w:val="20"/>
          <w:color w:val="auto"/>
        </w:rPr>
      </w:pPr>
    </w:p>
    <w:p>
      <w:pPr>
        <w:ind w:left="920" w:hanging="156"/>
        <w:spacing w:after="0"/>
        <w:tabs>
          <w:tab w:leader="none" w:pos="920" w:val="left"/>
        </w:tabs>
        <w:numPr>
          <w:ilvl w:val="0"/>
          <w:numId w:val="38"/>
        </w:numPr>
        <w:rPr>
          <w:rFonts w:ascii="Arial" w:cs="Arial" w:eastAsia="Arial" w:hAnsi="Arial"/>
          <w:sz w:val="16"/>
          <w:szCs w:val="16"/>
          <w:color w:val="4800E6"/>
        </w:rPr>
      </w:pPr>
      <w:r>
        <w:rPr>
          <w:rFonts w:ascii="Arial" w:cs="Arial" w:eastAsia="Arial" w:hAnsi="Arial"/>
          <w:sz w:val="16"/>
          <w:szCs w:val="16"/>
          <w:color w:val="auto"/>
        </w:rPr>
        <w:t>Five times the base salary for the CEO;</w:t>
      </w:r>
    </w:p>
    <w:p>
      <w:pPr>
        <w:spacing w:after="0" w:line="45" w:lineRule="exact"/>
        <w:rPr>
          <w:rFonts w:ascii="Arial" w:cs="Arial" w:eastAsia="Arial" w:hAnsi="Arial"/>
          <w:sz w:val="16"/>
          <w:szCs w:val="16"/>
          <w:color w:val="4800E6"/>
        </w:rPr>
      </w:pPr>
    </w:p>
    <w:p>
      <w:pPr>
        <w:ind w:left="920" w:hanging="156"/>
        <w:spacing w:after="0"/>
        <w:tabs>
          <w:tab w:leader="none" w:pos="920" w:val="left"/>
        </w:tabs>
        <w:numPr>
          <w:ilvl w:val="0"/>
          <w:numId w:val="38"/>
        </w:numPr>
        <w:rPr>
          <w:rFonts w:ascii="Arial" w:cs="Arial" w:eastAsia="Arial" w:hAnsi="Arial"/>
          <w:sz w:val="16"/>
          <w:szCs w:val="16"/>
          <w:color w:val="4800E6"/>
        </w:rPr>
      </w:pPr>
      <w:r>
        <w:rPr>
          <w:rFonts w:ascii="Arial" w:cs="Arial" w:eastAsia="Arial" w:hAnsi="Arial"/>
          <w:sz w:val="16"/>
          <w:szCs w:val="16"/>
          <w:color w:val="auto"/>
        </w:rPr>
        <w:t>Three times the base salary for all executive officers, other than the CEO; and</w:t>
      </w:r>
    </w:p>
    <w:p>
      <w:pPr>
        <w:spacing w:after="0" w:line="45" w:lineRule="exact"/>
        <w:rPr>
          <w:rFonts w:ascii="Arial" w:cs="Arial" w:eastAsia="Arial" w:hAnsi="Arial"/>
          <w:sz w:val="16"/>
          <w:szCs w:val="16"/>
          <w:color w:val="4800E6"/>
        </w:rPr>
      </w:pPr>
    </w:p>
    <w:p>
      <w:pPr>
        <w:ind w:left="920" w:hanging="156"/>
        <w:spacing w:after="0"/>
        <w:tabs>
          <w:tab w:leader="none" w:pos="920" w:val="left"/>
        </w:tabs>
        <w:numPr>
          <w:ilvl w:val="0"/>
          <w:numId w:val="38"/>
        </w:numPr>
        <w:rPr>
          <w:rFonts w:ascii="Arial" w:cs="Arial" w:eastAsia="Arial" w:hAnsi="Arial"/>
          <w:sz w:val="16"/>
          <w:szCs w:val="16"/>
          <w:color w:val="4800E6"/>
        </w:rPr>
      </w:pPr>
      <w:r>
        <w:rPr>
          <w:rFonts w:ascii="Arial" w:cs="Arial" w:eastAsia="Arial" w:hAnsi="Arial"/>
          <w:sz w:val="16"/>
          <w:szCs w:val="16"/>
          <w:color w:val="auto"/>
        </w:rPr>
        <w:t>Five times the annual cash retainer for all non-executive directors.</w:t>
      </w:r>
    </w:p>
    <w:p>
      <w:pPr>
        <w:spacing w:after="0" w:line="100" w:lineRule="exact"/>
        <w:rPr>
          <w:sz w:val="20"/>
          <w:szCs w:val="20"/>
          <w:color w:val="auto"/>
        </w:rPr>
      </w:pPr>
    </w:p>
    <w:p>
      <w:pPr>
        <w:ind w:left="760" w:right="780"/>
        <w:spacing w:after="0" w:line="251" w:lineRule="auto"/>
        <w:rPr>
          <w:sz w:val="20"/>
          <w:szCs w:val="20"/>
          <w:color w:val="auto"/>
        </w:rPr>
      </w:pPr>
      <w:r>
        <w:rPr>
          <w:rFonts w:ascii="Arial" w:cs="Arial" w:eastAsia="Arial" w:hAnsi="Arial"/>
          <w:sz w:val="16"/>
          <w:szCs w:val="16"/>
          <w:color w:val="auto"/>
        </w:rPr>
        <w:t>Equity ownership used to determine the market value includes all ordinary shares, all unvested restricted stock units of our ordinary shares and all in-the-money, vested, unexercised stock appreciation rights (calculated as stock market value, minus exercise price, minus estimated tax expense at a 40% tax rate). The Company includes not only equity owned by the individual but also that held individually by or jointly with the individual’s spouse or children.</w:t>
      </w:r>
    </w:p>
    <w:p>
      <w:pPr>
        <w:spacing w:after="0" w:line="67" w:lineRule="exact"/>
        <w:rPr>
          <w:sz w:val="20"/>
          <w:szCs w:val="20"/>
          <w:color w:val="auto"/>
        </w:rPr>
      </w:pPr>
    </w:p>
    <w:p>
      <w:pPr>
        <w:ind w:left="760" w:right="900"/>
        <w:spacing w:after="0" w:line="253" w:lineRule="auto"/>
        <w:rPr>
          <w:sz w:val="20"/>
          <w:szCs w:val="20"/>
          <w:color w:val="auto"/>
        </w:rPr>
      </w:pPr>
      <w:r>
        <w:rPr>
          <w:rFonts w:ascii="Arial" w:cs="Arial" w:eastAsia="Arial" w:hAnsi="Arial"/>
          <w:sz w:val="16"/>
          <w:szCs w:val="16"/>
          <w:color w:val="auto"/>
        </w:rPr>
        <w:t>Compliance with our stock ownership guidelines is voluntary; however, an individual’s failure to comply with the guidelines is a factor considered by the Compensation Committee in connection with the award of future equity awards to the individual. Our first measurement date under the stock ownership guidelines will be in October 2020.</w:t>
      </w:r>
    </w:p>
    <w:p>
      <w:pPr>
        <w:spacing w:after="0" w:line="158" w:lineRule="exact"/>
        <w:rPr>
          <w:sz w:val="20"/>
          <w:szCs w:val="20"/>
          <w:color w:val="auto"/>
        </w:rPr>
      </w:pPr>
    </w:p>
    <w:p>
      <w:pPr>
        <w:ind w:left="760"/>
        <w:spacing w:after="0"/>
        <w:rPr>
          <w:sz w:val="20"/>
          <w:szCs w:val="20"/>
          <w:color w:val="auto"/>
        </w:rPr>
      </w:pPr>
      <w:r>
        <w:rPr>
          <w:rFonts w:ascii="Arial" w:cs="Arial" w:eastAsia="Arial" w:hAnsi="Arial"/>
          <w:sz w:val="20"/>
          <w:szCs w:val="20"/>
          <w:b w:val="1"/>
          <w:bCs w:val="1"/>
          <w:color w:val="FF4C4C"/>
        </w:rPr>
        <w:t>Corporate Governance Best Practices</w:t>
      </w:r>
    </w:p>
    <w:p>
      <w:pPr>
        <w:spacing w:after="0" w:line="124" w:lineRule="exact"/>
        <w:rPr>
          <w:sz w:val="20"/>
          <w:szCs w:val="20"/>
          <w:color w:val="auto"/>
        </w:rPr>
      </w:pPr>
    </w:p>
    <w:p>
      <w:pPr>
        <w:ind w:left="760" w:right="800"/>
        <w:spacing w:after="0" w:line="253" w:lineRule="auto"/>
        <w:rPr>
          <w:sz w:val="20"/>
          <w:szCs w:val="20"/>
          <w:color w:val="auto"/>
        </w:rPr>
      </w:pPr>
      <w:r>
        <w:rPr>
          <w:rFonts w:ascii="Arial" w:cs="Arial" w:eastAsia="Arial" w:hAnsi="Arial"/>
          <w:sz w:val="16"/>
          <w:szCs w:val="16"/>
          <w:color w:val="auto"/>
        </w:rPr>
        <w:t>Throughout this proxy statement we have discussed certain best practices the Company adheres to in its corporate governance, including Stock Ownership Guidelines, mentioned directly above. The following is a list of other best practice actions the Board and the Company use and promote:</w:t>
      </w:r>
    </w:p>
    <w:p>
      <w:pPr>
        <w:spacing w:after="0" w:line="12" w:lineRule="exact"/>
        <w:rPr>
          <w:sz w:val="20"/>
          <w:szCs w:val="20"/>
          <w:color w:val="auto"/>
        </w:rPr>
      </w:pPr>
    </w:p>
    <w:p>
      <w:pPr>
        <w:ind w:left="920" w:hanging="156"/>
        <w:spacing w:after="0"/>
        <w:tabs>
          <w:tab w:leader="none" w:pos="920" w:val="left"/>
        </w:tabs>
        <w:numPr>
          <w:ilvl w:val="0"/>
          <w:numId w:val="39"/>
        </w:numPr>
        <w:rPr>
          <w:rFonts w:ascii="Arial" w:cs="Arial" w:eastAsia="Arial" w:hAnsi="Arial"/>
          <w:sz w:val="16"/>
          <w:szCs w:val="16"/>
          <w:color w:val="4800E6"/>
        </w:rPr>
      </w:pPr>
      <w:r>
        <w:rPr>
          <w:rFonts w:ascii="Arial" w:cs="Arial" w:eastAsia="Arial" w:hAnsi="Arial"/>
          <w:sz w:val="16"/>
          <w:szCs w:val="16"/>
          <w:color w:val="auto"/>
        </w:rPr>
        <w:t>Annual Board and committee performance evaluations;</w:t>
      </w:r>
    </w:p>
    <w:p>
      <w:pPr>
        <w:spacing w:after="0" w:line="45" w:lineRule="exact"/>
        <w:rPr>
          <w:rFonts w:ascii="Arial" w:cs="Arial" w:eastAsia="Arial" w:hAnsi="Arial"/>
          <w:sz w:val="16"/>
          <w:szCs w:val="16"/>
          <w:color w:val="4800E6"/>
        </w:rPr>
      </w:pPr>
    </w:p>
    <w:p>
      <w:pPr>
        <w:ind w:left="920" w:hanging="156"/>
        <w:spacing w:after="0"/>
        <w:tabs>
          <w:tab w:leader="none" w:pos="920" w:val="left"/>
        </w:tabs>
        <w:numPr>
          <w:ilvl w:val="0"/>
          <w:numId w:val="39"/>
        </w:numPr>
        <w:rPr>
          <w:rFonts w:ascii="Arial" w:cs="Arial" w:eastAsia="Arial" w:hAnsi="Arial"/>
          <w:sz w:val="16"/>
          <w:szCs w:val="16"/>
          <w:color w:val="4800E6"/>
        </w:rPr>
      </w:pPr>
      <w:r>
        <w:rPr>
          <w:rFonts w:ascii="Arial" w:cs="Arial" w:eastAsia="Arial" w:hAnsi="Arial"/>
          <w:sz w:val="16"/>
          <w:szCs w:val="16"/>
          <w:color w:val="auto"/>
        </w:rPr>
        <w:t>Annual elections for directors;</w:t>
      </w:r>
    </w:p>
    <w:p>
      <w:pPr>
        <w:spacing w:after="0" w:line="45" w:lineRule="exact"/>
        <w:rPr>
          <w:rFonts w:ascii="Arial" w:cs="Arial" w:eastAsia="Arial" w:hAnsi="Arial"/>
          <w:sz w:val="16"/>
          <w:szCs w:val="16"/>
          <w:color w:val="4800E6"/>
        </w:rPr>
      </w:pPr>
    </w:p>
    <w:p>
      <w:pPr>
        <w:ind w:left="920" w:hanging="156"/>
        <w:spacing w:after="0"/>
        <w:tabs>
          <w:tab w:leader="none" w:pos="920" w:val="left"/>
        </w:tabs>
        <w:numPr>
          <w:ilvl w:val="0"/>
          <w:numId w:val="39"/>
        </w:numPr>
        <w:rPr>
          <w:rFonts w:ascii="Arial" w:cs="Arial" w:eastAsia="Arial" w:hAnsi="Arial"/>
          <w:sz w:val="16"/>
          <w:szCs w:val="16"/>
          <w:color w:val="4800E6"/>
        </w:rPr>
      </w:pPr>
      <w:r>
        <w:rPr>
          <w:rFonts w:ascii="Arial" w:cs="Arial" w:eastAsia="Arial" w:hAnsi="Arial"/>
          <w:sz w:val="16"/>
          <w:szCs w:val="16"/>
          <w:color w:val="auto"/>
        </w:rPr>
        <w:t>Separated roles of Chair of the Board and CEO;</w:t>
      </w:r>
    </w:p>
    <w:p>
      <w:pPr>
        <w:spacing w:after="0" w:line="32" w:lineRule="exact"/>
        <w:rPr>
          <w:rFonts w:ascii="Arial" w:cs="Arial" w:eastAsia="Arial" w:hAnsi="Arial"/>
          <w:sz w:val="16"/>
          <w:szCs w:val="16"/>
          <w:color w:val="4800E6"/>
        </w:rPr>
      </w:pPr>
    </w:p>
    <w:p>
      <w:pPr>
        <w:ind w:left="920" w:hanging="156"/>
        <w:spacing w:after="0"/>
        <w:tabs>
          <w:tab w:leader="none" w:pos="920" w:val="left"/>
        </w:tabs>
        <w:numPr>
          <w:ilvl w:val="0"/>
          <w:numId w:val="39"/>
        </w:numPr>
        <w:rPr>
          <w:rFonts w:ascii="Arial" w:cs="Arial" w:eastAsia="Arial" w:hAnsi="Arial"/>
          <w:sz w:val="16"/>
          <w:szCs w:val="16"/>
          <w:color w:val="4800E6"/>
        </w:rPr>
      </w:pPr>
      <w:r>
        <w:rPr>
          <w:rFonts w:ascii="Arial" w:cs="Arial" w:eastAsia="Arial" w:hAnsi="Arial"/>
          <w:sz w:val="16"/>
          <w:szCs w:val="16"/>
          <w:color w:val="auto"/>
        </w:rPr>
        <w:t>Majority voting for directors in uncontested elections;</w:t>
      </w:r>
    </w:p>
    <w:p>
      <w:pPr>
        <w:spacing w:after="0" w:line="45" w:lineRule="exact"/>
        <w:rPr>
          <w:rFonts w:ascii="Arial" w:cs="Arial" w:eastAsia="Arial" w:hAnsi="Arial"/>
          <w:sz w:val="16"/>
          <w:szCs w:val="16"/>
          <w:color w:val="4800E6"/>
        </w:rPr>
      </w:pPr>
    </w:p>
    <w:p>
      <w:pPr>
        <w:ind w:left="920" w:hanging="156"/>
        <w:spacing w:after="0"/>
        <w:tabs>
          <w:tab w:leader="none" w:pos="920" w:val="left"/>
        </w:tabs>
        <w:numPr>
          <w:ilvl w:val="0"/>
          <w:numId w:val="39"/>
        </w:numPr>
        <w:rPr>
          <w:rFonts w:ascii="Arial" w:cs="Arial" w:eastAsia="Arial" w:hAnsi="Arial"/>
          <w:sz w:val="16"/>
          <w:szCs w:val="16"/>
          <w:color w:val="4800E6"/>
        </w:rPr>
      </w:pPr>
      <w:r>
        <w:rPr>
          <w:rFonts w:ascii="Arial" w:cs="Arial" w:eastAsia="Arial" w:hAnsi="Arial"/>
          <w:sz w:val="16"/>
          <w:szCs w:val="16"/>
          <w:color w:val="auto"/>
        </w:rPr>
        <w:t>Supermajority voting to change or amend the Company’s Articles of Association;</w:t>
      </w:r>
    </w:p>
    <w:p>
      <w:pPr>
        <w:spacing w:after="0" w:line="45" w:lineRule="exact"/>
        <w:rPr>
          <w:rFonts w:ascii="Arial" w:cs="Arial" w:eastAsia="Arial" w:hAnsi="Arial"/>
          <w:sz w:val="16"/>
          <w:szCs w:val="16"/>
          <w:color w:val="4800E6"/>
        </w:rPr>
      </w:pPr>
    </w:p>
    <w:p>
      <w:pPr>
        <w:ind w:left="920" w:hanging="156"/>
        <w:spacing w:after="0"/>
        <w:tabs>
          <w:tab w:leader="none" w:pos="920" w:val="left"/>
        </w:tabs>
        <w:numPr>
          <w:ilvl w:val="0"/>
          <w:numId w:val="39"/>
        </w:numPr>
        <w:rPr>
          <w:rFonts w:ascii="Arial" w:cs="Arial" w:eastAsia="Arial" w:hAnsi="Arial"/>
          <w:sz w:val="16"/>
          <w:szCs w:val="16"/>
          <w:color w:val="4800E6"/>
        </w:rPr>
      </w:pPr>
      <w:r>
        <w:rPr>
          <w:rFonts w:ascii="Arial" w:cs="Arial" w:eastAsia="Arial" w:hAnsi="Arial"/>
          <w:sz w:val="16"/>
          <w:szCs w:val="16"/>
          <w:color w:val="auto"/>
        </w:rPr>
        <w:t>Prohibiting repricing of grants in equity compensation plans; and</w:t>
      </w:r>
    </w:p>
    <w:p>
      <w:pPr>
        <w:spacing w:after="0" w:line="305" w:lineRule="exact"/>
        <w:rPr>
          <w:sz w:val="20"/>
          <w:szCs w:val="20"/>
          <w:color w:val="auto"/>
        </w:rPr>
      </w:pPr>
    </w:p>
    <w:tbl>
      <w:tblPr>
        <w:tblLayout w:type="fixed"/>
        <w:tblInd w:w="0" w:type="dxa"/>
        <w:tblCellMar>
          <w:top w:w="0" w:type="dxa"/>
          <w:left w:w="0" w:type="dxa"/>
          <w:bottom w:w="0" w:type="dxa"/>
          <w:right w:w="0" w:type="dxa"/>
        </w:tblCellMar>
      </w:tblPr>
      <w:tr>
        <w:trPr>
          <w:trHeight w:val="116"/>
        </w:trPr>
        <w:tc>
          <w:tcPr>
            <w:tcW w:w="820" w:type="dxa"/>
            <w:vAlign w:val="bottom"/>
            <w:vMerge w:val="restart"/>
          </w:tcPr>
          <w:p>
            <w:pPr>
              <w:spacing w:after="0"/>
              <w:rPr>
                <w:sz w:val="10"/>
                <w:szCs w:val="10"/>
                <w:color w:val="auto"/>
              </w:rPr>
            </w:pPr>
          </w:p>
        </w:tc>
        <w:tc>
          <w:tcPr>
            <w:tcW w:w="3080" w:type="dxa"/>
            <w:vAlign w:val="bottom"/>
            <w:tcBorders>
              <w:bottom w:val="single" w:sz="8" w:color="auto"/>
            </w:tcBorders>
          </w:tcPr>
          <w:p>
            <w:pPr>
              <w:spacing w:after="0"/>
              <w:rPr>
                <w:sz w:val="10"/>
                <w:szCs w:val="10"/>
                <w:color w:val="auto"/>
              </w:rPr>
            </w:pPr>
          </w:p>
        </w:tc>
        <w:tc>
          <w:tcPr>
            <w:tcW w:w="2800" w:type="dxa"/>
            <w:vAlign w:val="bottom"/>
            <w:vMerge w:val="restart"/>
          </w:tcPr>
          <w:p>
            <w:pPr>
              <w:ind w:left="440"/>
              <w:spacing w:after="0"/>
              <w:rPr>
                <w:sz w:val="20"/>
                <w:szCs w:val="20"/>
                <w:color w:val="auto"/>
              </w:rPr>
            </w:pPr>
            <w:r>
              <w:rPr>
                <w:rFonts w:ascii="Arial" w:cs="Arial" w:eastAsia="Arial" w:hAnsi="Arial"/>
                <w:sz w:val="13"/>
                <w:szCs w:val="13"/>
                <w:b w:val="1"/>
                <w:bCs w:val="1"/>
                <w:color w:val="4800E6"/>
              </w:rPr>
              <w:t xml:space="preserve">LIVANOVA </w:t>
            </w:r>
            <w:r>
              <w:rPr>
                <w:rFonts w:ascii="Arial" w:cs="Arial" w:eastAsia="Arial" w:hAnsi="Arial"/>
                <w:sz w:val="13"/>
                <w:szCs w:val="13"/>
                <w:color w:val="000000"/>
              </w:rPr>
              <w:t>|</w:t>
            </w:r>
            <w:r>
              <w:rPr>
                <w:rFonts w:ascii="Arial" w:cs="Arial" w:eastAsia="Arial" w:hAnsi="Arial"/>
                <w:sz w:val="13"/>
                <w:szCs w:val="13"/>
                <w:b w:val="1"/>
                <w:bCs w:val="1"/>
                <w:color w:val="4800E6"/>
              </w:rPr>
              <w:t xml:space="preserve"> </w:t>
            </w:r>
            <w:r>
              <w:rPr>
                <w:rFonts w:ascii="Arial" w:cs="Arial" w:eastAsia="Arial" w:hAnsi="Arial"/>
                <w:sz w:val="13"/>
                <w:szCs w:val="13"/>
                <w:color w:val="4800E6"/>
              </w:rPr>
              <w:t>2020</w:t>
            </w:r>
            <w:r>
              <w:rPr>
                <w:rFonts w:ascii="Arial" w:cs="Arial" w:eastAsia="Arial" w:hAnsi="Arial"/>
                <w:sz w:val="13"/>
                <w:szCs w:val="13"/>
                <w:b w:val="1"/>
                <w:bCs w:val="1"/>
                <w:color w:val="4800E6"/>
              </w:rPr>
              <w:t xml:space="preserve"> </w:t>
            </w:r>
            <w:r>
              <w:rPr>
                <w:rFonts w:ascii="Arial" w:cs="Arial" w:eastAsia="Arial" w:hAnsi="Arial"/>
                <w:sz w:val="13"/>
                <w:szCs w:val="13"/>
                <w:color w:val="000000"/>
              </w:rPr>
              <w:t>Proxy Statement</w:t>
            </w:r>
          </w:p>
        </w:tc>
        <w:tc>
          <w:tcPr>
            <w:tcW w:w="3080" w:type="dxa"/>
            <w:vAlign w:val="bottom"/>
            <w:tcBorders>
              <w:bottom w:val="single" w:sz="8" w:color="auto"/>
            </w:tcBorders>
          </w:tcPr>
          <w:p>
            <w:pPr>
              <w:spacing w:after="0"/>
              <w:rPr>
                <w:sz w:val="10"/>
                <w:szCs w:val="10"/>
                <w:color w:val="auto"/>
              </w:rPr>
            </w:pPr>
          </w:p>
        </w:tc>
        <w:tc>
          <w:tcPr>
            <w:tcW w:w="940" w:type="dxa"/>
            <w:vAlign w:val="bottom"/>
            <w:vMerge w:val="restart"/>
          </w:tcPr>
          <w:p>
            <w:pPr>
              <w:jc w:val="right"/>
              <w:ind w:right="468"/>
              <w:spacing w:after="0"/>
              <w:rPr>
                <w:sz w:val="20"/>
                <w:szCs w:val="20"/>
                <w:color w:val="auto"/>
              </w:rPr>
            </w:pPr>
            <w:r>
              <w:rPr>
                <w:rFonts w:ascii="Arial" w:cs="Arial" w:eastAsia="Arial" w:hAnsi="Arial"/>
                <w:sz w:val="14"/>
                <w:szCs w:val="14"/>
                <w:b w:val="1"/>
                <w:bCs w:val="1"/>
                <w:color w:val="auto"/>
              </w:rPr>
              <w:t>20</w:t>
            </w:r>
          </w:p>
        </w:tc>
        <w:tc>
          <w:tcPr>
            <w:tcW w:w="0" w:type="dxa"/>
            <w:vAlign w:val="bottom"/>
          </w:tcPr>
          <w:p>
            <w:pPr>
              <w:spacing w:after="0"/>
              <w:rPr>
                <w:sz w:val="1"/>
                <w:szCs w:val="1"/>
                <w:color w:val="auto"/>
              </w:rPr>
            </w:pPr>
          </w:p>
        </w:tc>
      </w:tr>
      <w:tr>
        <w:trPr>
          <w:trHeight w:val="63"/>
        </w:trPr>
        <w:tc>
          <w:tcPr>
            <w:tcW w:w="820" w:type="dxa"/>
            <w:vAlign w:val="bottom"/>
            <w:vMerge w:val="continue"/>
          </w:tcPr>
          <w:p>
            <w:pPr>
              <w:spacing w:after="0"/>
              <w:rPr>
                <w:sz w:val="5"/>
                <w:szCs w:val="5"/>
                <w:color w:val="auto"/>
              </w:rPr>
            </w:pPr>
          </w:p>
        </w:tc>
        <w:tc>
          <w:tcPr>
            <w:tcW w:w="3080" w:type="dxa"/>
            <w:vAlign w:val="bottom"/>
          </w:tcPr>
          <w:p>
            <w:pPr>
              <w:spacing w:after="0"/>
              <w:rPr>
                <w:sz w:val="5"/>
                <w:szCs w:val="5"/>
                <w:color w:val="auto"/>
              </w:rPr>
            </w:pPr>
          </w:p>
        </w:tc>
        <w:tc>
          <w:tcPr>
            <w:tcW w:w="2800" w:type="dxa"/>
            <w:vAlign w:val="bottom"/>
            <w:vMerge w:val="continue"/>
          </w:tcPr>
          <w:p>
            <w:pPr>
              <w:spacing w:after="0"/>
              <w:rPr>
                <w:sz w:val="5"/>
                <w:szCs w:val="5"/>
                <w:color w:val="auto"/>
              </w:rPr>
            </w:pPr>
          </w:p>
        </w:tc>
        <w:tc>
          <w:tcPr>
            <w:tcW w:w="3080" w:type="dxa"/>
            <w:vAlign w:val="bottom"/>
          </w:tcPr>
          <w:p>
            <w:pPr>
              <w:spacing w:after="0"/>
              <w:rPr>
                <w:sz w:val="5"/>
                <w:szCs w:val="5"/>
                <w:color w:val="auto"/>
              </w:rPr>
            </w:pPr>
          </w:p>
        </w:tc>
        <w:tc>
          <w:tcPr>
            <w:tcW w:w="94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40"/>
        </w:trPr>
        <w:tc>
          <w:tcPr>
            <w:tcW w:w="820" w:type="dxa"/>
            <w:vAlign w:val="bottom"/>
            <w:tcBorders>
              <w:bottom w:val="single" w:sz="8" w:color="9A9A9A"/>
            </w:tcBorders>
          </w:tcPr>
          <w:p>
            <w:pPr>
              <w:spacing w:after="0"/>
              <w:rPr>
                <w:sz w:val="12"/>
                <w:szCs w:val="12"/>
                <w:color w:val="auto"/>
              </w:rPr>
            </w:pPr>
          </w:p>
        </w:tc>
        <w:tc>
          <w:tcPr>
            <w:tcW w:w="3080" w:type="dxa"/>
            <w:vAlign w:val="bottom"/>
            <w:tcBorders>
              <w:bottom w:val="single" w:sz="8" w:color="9A9A9A"/>
            </w:tcBorders>
          </w:tcPr>
          <w:p>
            <w:pPr>
              <w:spacing w:after="0"/>
              <w:rPr>
                <w:sz w:val="12"/>
                <w:szCs w:val="12"/>
                <w:color w:val="auto"/>
              </w:rPr>
            </w:pPr>
          </w:p>
        </w:tc>
        <w:tc>
          <w:tcPr>
            <w:tcW w:w="2800" w:type="dxa"/>
            <w:vAlign w:val="bottom"/>
            <w:tcBorders>
              <w:bottom w:val="single" w:sz="8" w:color="9A9A9A"/>
            </w:tcBorders>
          </w:tcPr>
          <w:p>
            <w:pPr>
              <w:spacing w:after="0"/>
              <w:rPr>
                <w:sz w:val="12"/>
                <w:szCs w:val="12"/>
                <w:color w:val="auto"/>
              </w:rPr>
            </w:pPr>
          </w:p>
        </w:tc>
        <w:tc>
          <w:tcPr>
            <w:tcW w:w="3080" w:type="dxa"/>
            <w:vAlign w:val="bottom"/>
            <w:tcBorders>
              <w:bottom w:val="single" w:sz="8" w:color="9A9A9A"/>
            </w:tcBorders>
          </w:tcPr>
          <w:p>
            <w:pPr>
              <w:spacing w:after="0"/>
              <w:rPr>
                <w:sz w:val="12"/>
                <w:szCs w:val="12"/>
                <w:color w:val="auto"/>
              </w:rPr>
            </w:pPr>
          </w:p>
        </w:tc>
        <w:tc>
          <w:tcPr>
            <w:tcW w:w="940" w:type="dxa"/>
            <w:vAlign w:val="bottom"/>
            <w:tcBorders>
              <w:bottom w:val="single" w:sz="8" w:color="9A9A9A"/>
            </w:tcBorders>
          </w:tcPr>
          <w:p>
            <w:pPr>
              <w:spacing w:after="0"/>
              <w:rPr>
                <w:sz w:val="12"/>
                <w:szCs w:val="12"/>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6802755</wp:posOffset>
            </wp:positionH>
            <wp:positionV relativeFrom="paragraph">
              <wp:posOffset>-8255</wp:posOffset>
            </wp:positionV>
            <wp:extent cx="8255" cy="8890"/>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wp:posOffset>
            </wp:positionV>
            <wp:extent cx="8890" cy="1714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sectPr>
          <w:pgSz w:w="11900" w:h="16838" w:orient="portrait"/>
          <w:cols w:equalWidth="0" w:num="1">
            <w:col w:w="10720"/>
          </w:cols>
          <w:pgMar w:left="320" w:top="131" w:right="859" w:bottom="1440" w:gutter="0" w:footer="0" w:header="0"/>
        </w:sectPr>
      </w:pPr>
    </w:p>
    <w:bookmarkStart w:id="24" w:name="page25"/>
    <w:bookmarkEnd w:id="24"/>
    <w:p>
      <w:pPr>
        <w:spacing w:after="0"/>
        <w:rPr>
          <w:rFonts w:ascii="Arial" w:cs="Arial" w:eastAsia="Arial" w:hAnsi="Arial"/>
          <w:sz w:val="14"/>
          <w:szCs w:val="14"/>
          <w:color w:val="003366"/>
        </w:rPr>
      </w:pPr>
      <w:hyperlink w:anchor="page4">
        <w:r>
          <w:rPr>
            <w:rFonts w:ascii="Arial" w:cs="Arial" w:eastAsia="Arial" w:hAnsi="Arial"/>
            <w:sz w:val="14"/>
            <w:szCs w:val="14"/>
            <w:color w:val="003366"/>
          </w:rPr>
          <w:t>TABLE OF CONTENTS</w:t>
        </w:r>
      </w:hyperlink>
    </w:p>
    <w:p>
      <w:pPr>
        <w:spacing w:after="0" w:line="338" w:lineRule="exact"/>
        <w:rPr>
          <w:sz w:val="20"/>
          <w:szCs w:val="20"/>
          <w:color w:val="auto"/>
        </w:rPr>
      </w:pPr>
    </w:p>
    <w:p>
      <w:pPr>
        <w:ind w:left="760"/>
        <w:spacing w:after="0"/>
        <w:rPr>
          <w:sz w:val="20"/>
          <w:szCs w:val="20"/>
          <w:color w:val="auto"/>
        </w:rPr>
      </w:pPr>
      <w:r>
        <w:rPr>
          <w:rFonts w:ascii="Arial" w:cs="Arial" w:eastAsia="Arial" w:hAnsi="Arial"/>
          <w:sz w:val="13"/>
          <w:szCs w:val="13"/>
          <w:b w:val="1"/>
          <w:bCs w:val="1"/>
          <w:color w:val="auto"/>
        </w:rPr>
        <w:t xml:space="preserve">Corporate </w:t>
      </w:r>
      <w:r>
        <w:rPr>
          <w:rFonts w:ascii="Arial" w:cs="Arial" w:eastAsia="Arial" w:hAnsi="Arial"/>
          <w:sz w:val="13"/>
          <w:szCs w:val="13"/>
          <w:b w:val="1"/>
          <w:bCs w:val="1"/>
          <w:color w:val="666666"/>
        </w:rPr>
        <w:t>Governance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485140</wp:posOffset>
            </wp:positionH>
            <wp:positionV relativeFrom="paragraph">
              <wp:posOffset>30480</wp:posOffset>
            </wp:positionV>
            <wp:extent cx="5829300" cy="825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5829300" cy="8255"/>
                    </a:xfrm>
                    <a:prstGeom prst="rect">
                      <a:avLst/>
                    </a:prstGeom>
                    <a:noFill/>
                  </pic:spPr>
                </pic:pic>
              </a:graphicData>
            </a:graphic>
          </wp:anchor>
        </w:drawing>
      </w:r>
    </w:p>
    <w:p>
      <w:pPr>
        <w:spacing w:after="0" w:line="60" w:lineRule="exact"/>
        <w:rPr>
          <w:sz w:val="20"/>
          <w:szCs w:val="20"/>
          <w:color w:val="auto"/>
        </w:rPr>
      </w:pPr>
    </w:p>
    <w:p>
      <w:pPr>
        <w:ind w:left="760"/>
        <w:spacing w:after="0"/>
        <w:rPr>
          <w:sz w:val="20"/>
          <w:szCs w:val="20"/>
          <w:color w:val="auto"/>
        </w:rPr>
      </w:pPr>
      <w:r>
        <w:rPr>
          <w:rFonts w:ascii="Arial" w:cs="Arial" w:eastAsia="Arial" w:hAnsi="Arial"/>
          <w:sz w:val="13"/>
          <w:szCs w:val="13"/>
          <w:b w:val="1"/>
          <w:bCs w:val="1"/>
          <w:color w:val="4800E6"/>
        </w:rPr>
        <w:t>Board, Committee and Shareholder Meetings</w:t>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ind w:left="920" w:hanging="156"/>
        <w:spacing w:after="0"/>
        <w:tabs>
          <w:tab w:leader="none" w:pos="920" w:val="left"/>
        </w:tabs>
        <w:numPr>
          <w:ilvl w:val="0"/>
          <w:numId w:val="40"/>
        </w:numPr>
        <w:rPr>
          <w:rFonts w:ascii="Arial" w:cs="Arial" w:eastAsia="Arial" w:hAnsi="Arial"/>
          <w:sz w:val="16"/>
          <w:szCs w:val="16"/>
          <w:color w:val="4800E6"/>
        </w:rPr>
      </w:pPr>
      <w:r>
        <w:rPr>
          <w:rFonts w:ascii="Arial" w:cs="Arial" w:eastAsia="Arial" w:hAnsi="Arial"/>
          <w:sz w:val="16"/>
          <w:szCs w:val="16"/>
          <w:color w:val="auto"/>
        </w:rPr>
        <w:t>Prohibiting the pledging of Company securities, subject to a transition period for one director to unwind an existing pledge.</w:t>
      </w:r>
    </w:p>
    <w:p>
      <w:pPr>
        <w:spacing w:after="0" w:line="178" w:lineRule="exact"/>
        <w:rPr>
          <w:sz w:val="20"/>
          <w:szCs w:val="20"/>
          <w:color w:val="auto"/>
        </w:rPr>
      </w:pPr>
    </w:p>
    <w:p>
      <w:pPr>
        <w:ind w:left="760"/>
        <w:spacing w:after="0"/>
        <w:rPr>
          <w:sz w:val="20"/>
          <w:szCs w:val="20"/>
          <w:color w:val="auto"/>
        </w:rPr>
      </w:pPr>
      <w:r>
        <w:rPr>
          <w:rFonts w:ascii="Arial" w:cs="Arial" w:eastAsia="Arial" w:hAnsi="Arial"/>
          <w:sz w:val="20"/>
          <w:szCs w:val="20"/>
          <w:b w:val="1"/>
          <w:bCs w:val="1"/>
          <w:color w:val="FF4C4C"/>
        </w:rPr>
        <w:t>Communication with Directors</w:t>
      </w:r>
    </w:p>
    <w:p>
      <w:pPr>
        <w:spacing w:after="0" w:line="124" w:lineRule="exact"/>
        <w:rPr>
          <w:sz w:val="20"/>
          <w:szCs w:val="20"/>
          <w:color w:val="auto"/>
        </w:rPr>
      </w:pPr>
    </w:p>
    <w:p>
      <w:pPr>
        <w:ind w:left="760" w:right="479"/>
        <w:spacing w:after="0" w:line="262" w:lineRule="auto"/>
        <w:rPr>
          <w:sz w:val="20"/>
          <w:szCs w:val="20"/>
          <w:color w:val="auto"/>
        </w:rPr>
      </w:pPr>
      <w:r>
        <w:rPr>
          <w:rFonts w:ascii="Arial" w:cs="Arial" w:eastAsia="Arial" w:hAnsi="Arial"/>
          <w:sz w:val="15"/>
          <w:szCs w:val="15"/>
          <w:color w:val="auto"/>
        </w:rPr>
        <w:t>Any shareholder or other party interested in communicating with members of the Board, any of its committees, the independent directors as a group or any of the independent directors individually may send written communications to LivaNova Plc,</w:t>
      </w:r>
    </w:p>
    <w:p>
      <w:pPr>
        <w:spacing w:after="0" w:line="1" w:lineRule="exact"/>
        <w:rPr>
          <w:sz w:val="20"/>
          <w:szCs w:val="20"/>
          <w:color w:val="auto"/>
        </w:rPr>
      </w:pPr>
    </w:p>
    <w:p>
      <w:pPr>
        <w:ind w:left="760" w:right="279"/>
        <w:spacing w:after="0" w:line="268" w:lineRule="auto"/>
        <w:rPr>
          <w:sz w:val="20"/>
          <w:szCs w:val="20"/>
          <w:color w:val="auto"/>
        </w:rPr>
      </w:pPr>
      <w:r>
        <w:rPr>
          <w:rFonts w:ascii="Arial" w:cs="Arial" w:eastAsia="Arial" w:hAnsi="Arial"/>
          <w:sz w:val="15"/>
          <w:szCs w:val="15"/>
          <w:color w:val="auto"/>
        </w:rPr>
        <w:t>20 Eastbourne Terrace, London, England W2 6LG, Attention: Company Secretary or to company.secretariat@livanova.com. Communications received in writing are forwarded to the Board, committee or to any individual director or directors to whom the communication is directed, unless the communication is unduly hostile, threatening, illegal, does not reasonably relate to us or our business or is inappropriate. The Company Secretary has the authority to discard or disregard any inappropriate communications or to take other appropriate actions with respect to any such inappropriate communications. The Board will endeavor to promptly respond to all appropriate communications and encourages all shareholders and interested persons to use the aforementioned email and mailing address to send communications relating to the our business to the Board and its members.</w:t>
      </w:r>
    </w:p>
    <w:p>
      <w:pPr>
        <w:spacing w:after="0" w:line="134" w:lineRule="exact"/>
        <w:rPr>
          <w:sz w:val="20"/>
          <w:szCs w:val="20"/>
          <w:color w:val="auto"/>
        </w:rPr>
      </w:pPr>
    </w:p>
    <w:p>
      <w:pPr>
        <w:ind w:left="760"/>
        <w:spacing w:after="0"/>
        <w:rPr>
          <w:sz w:val="20"/>
          <w:szCs w:val="20"/>
          <w:color w:val="auto"/>
        </w:rPr>
      </w:pPr>
      <w:r>
        <w:rPr>
          <w:rFonts w:ascii="Arial" w:cs="Arial" w:eastAsia="Arial" w:hAnsi="Arial"/>
          <w:sz w:val="20"/>
          <w:szCs w:val="20"/>
          <w:b w:val="1"/>
          <w:bCs w:val="1"/>
          <w:color w:val="FF4C4C"/>
        </w:rPr>
        <w:t>Code of Business Conduct and Ethics</w:t>
      </w:r>
    </w:p>
    <w:p>
      <w:pPr>
        <w:spacing w:after="0" w:line="124" w:lineRule="exact"/>
        <w:rPr>
          <w:sz w:val="20"/>
          <w:szCs w:val="20"/>
          <w:color w:val="auto"/>
        </w:rPr>
      </w:pPr>
    </w:p>
    <w:p>
      <w:pPr>
        <w:ind w:left="760" w:right="239"/>
        <w:spacing w:after="0" w:line="268" w:lineRule="auto"/>
        <w:rPr>
          <w:sz w:val="20"/>
          <w:szCs w:val="20"/>
          <w:color w:val="auto"/>
        </w:rPr>
      </w:pPr>
      <w:r>
        <w:rPr>
          <w:rFonts w:ascii="Arial" w:cs="Arial" w:eastAsia="Arial" w:hAnsi="Arial"/>
          <w:sz w:val="15"/>
          <w:szCs w:val="15"/>
          <w:color w:val="auto"/>
        </w:rPr>
        <w:t xml:space="preserve">The Board has adopted a Corporate Code of Business Conduct and Ethics (the “Code”) for all directors, executive officers and other employees, agents and representatives. The Code is designed to deter wrongdoing and to promote honest and ethical conduct, including the ethical handling of actual or apparent conflicts; full, fair, accurate, timely and understandable disclosure in reports and documents that we file with, or submit to, the SEC and in other public communications made by us; compliance with applicable governmental laws, rules and regulations; the prompt internal reporting of violations of the Code; and accountability for adherence to Code. A copy of the Code is available on our website at </w:t>
      </w:r>
      <w:r>
        <w:rPr>
          <w:rFonts w:ascii="Arial" w:cs="Arial" w:eastAsia="Arial" w:hAnsi="Arial"/>
          <w:sz w:val="15"/>
          <w:szCs w:val="15"/>
          <w:i w:val="1"/>
          <w:iCs w:val="1"/>
          <w:color w:val="auto"/>
        </w:rPr>
        <w:t>www.livanova.com</w:t>
      </w:r>
      <w:r>
        <w:rPr>
          <w:rFonts w:ascii="Arial" w:cs="Arial" w:eastAsia="Arial" w:hAnsi="Arial"/>
          <w:sz w:val="15"/>
          <w:szCs w:val="15"/>
          <w:color w:val="auto"/>
        </w:rPr>
        <w:t>. Any change to, or waiver from, the Code will be disclosed as required by applicable securities laws, which disclosure may occur on our website or by filing a Form 8-K.</w:t>
      </w:r>
    </w:p>
    <w:p>
      <w:pPr>
        <w:spacing w:after="0" w:line="148" w:lineRule="exact"/>
        <w:rPr>
          <w:sz w:val="20"/>
          <w:szCs w:val="20"/>
          <w:color w:val="auto"/>
        </w:rPr>
      </w:pPr>
    </w:p>
    <w:p>
      <w:pPr>
        <w:ind w:left="760"/>
        <w:spacing w:after="0"/>
        <w:rPr>
          <w:sz w:val="20"/>
          <w:szCs w:val="20"/>
          <w:color w:val="auto"/>
        </w:rPr>
      </w:pPr>
      <w:r>
        <w:rPr>
          <w:rFonts w:ascii="Arial" w:cs="Arial" w:eastAsia="Arial" w:hAnsi="Arial"/>
          <w:sz w:val="20"/>
          <w:szCs w:val="20"/>
          <w:b w:val="1"/>
          <w:bCs w:val="1"/>
          <w:color w:val="FF4C4C"/>
        </w:rPr>
        <w:t>Hedging</w:t>
      </w:r>
    </w:p>
    <w:p>
      <w:pPr>
        <w:spacing w:after="0" w:line="110" w:lineRule="exact"/>
        <w:rPr>
          <w:sz w:val="20"/>
          <w:szCs w:val="20"/>
          <w:color w:val="auto"/>
        </w:rPr>
      </w:pPr>
    </w:p>
    <w:p>
      <w:pPr>
        <w:ind w:left="760" w:right="399"/>
        <w:spacing w:after="0" w:line="278" w:lineRule="auto"/>
        <w:rPr>
          <w:sz w:val="20"/>
          <w:szCs w:val="20"/>
          <w:color w:val="auto"/>
        </w:rPr>
      </w:pPr>
      <w:r>
        <w:rPr>
          <w:rFonts w:ascii="Arial" w:cs="Arial" w:eastAsia="Arial" w:hAnsi="Arial"/>
          <w:sz w:val="15"/>
          <w:szCs w:val="15"/>
          <w:color w:val="auto"/>
        </w:rPr>
        <w:t>The Company’s Insider Trading Policy provides that the Company’s employees and directors and the family members of those individuals may not engage in hedging transactions of any type concerning Company securities, including without limitation puts, calls, equity swaps, collars, exchange funds, prepaid variable forwards or other financial instruments or derivative securities.</w:t>
      </w:r>
    </w:p>
    <w:p>
      <w:pPr>
        <w:spacing w:after="0" w:line="239" w:lineRule="exact"/>
        <w:rPr>
          <w:sz w:val="20"/>
          <w:szCs w:val="20"/>
          <w:color w:val="auto"/>
        </w:rPr>
      </w:pPr>
    </w:p>
    <w:p>
      <w:pPr>
        <w:ind w:left="760"/>
        <w:spacing w:after="0"/>
        <w:rPr>
          <w:sz w:val="20"/>
          <w:szCs w:val="20"/>
          <w:color w:val="auto"/>
        </w:rPr>
      </w:pPr>
      <w:r>
        <w:rPr>
          <w:rFonts w:ascii="Arial" w:cs="Arial" w:eastAsia="Arial" w:hAnsi="Arial"/>
          <w:sz w:val="23"/>
          <w:szCs w:val="23"/>
          <w:b w:val="1"/>
          <w:bCs w:val="1"/>
          <w:color w:val="auto"/>
        </w:rPr>
        <w:t>Related Party Transactions</w:t>
      </w:r>
    </w:p>
    <w:p>
      <w:pPr>
        <w:spacing w:after="0" w:line="126" w:lineRule="exact"/>
        <w:rPr>
          <w:sz w:val="20"/>
          <w:szCs w:val="20"/>
          <w:color w:val="auto"/>
        </w:rPr>
      </w:pPr>
    </w:p>
    <w:p>
      <w:pPr>
        <w:ind w:left="760" w:right="339"/>
        <w:spacing w:after="0" w:line="253" w:lineRule="auto"/>
        <w:rPr>
          <w:sz w:val="20"/>
          <w:szCs w:val="20"/>
          <w:color w:val="auto"/>
        </w:rPr>
      </w:pPr>
      <w:r>
        <w:rPr>
          <w:rFonts w:ascii="Arial" w:cs="Arial" w:eastAsia="Arial" w:hAnsi="Arial"/>
          <w:sz w:val="16"/>
          <w:szCs w:val="16"/>
          <w:color w:val="auto"/>
        </w:rPr>
        <w:t>We recognize that related party transactions involving the Company present a heightened risk of conflicts of interest or the perception of such a conflict. The Board has a formal written policy for reviewing, approving and ratifying transactions with related persons.</w:t>
      </w:r>
    </w:p>
    <w:p>
      <w:pPr>
        <w:spacing w:after="0" w:line="80" w:lineRule="exact"/>
        <w:rPr>
          <w:sz w:val="20"/>
          <w:szCs w:val="20"/>
          <w:color w:val="auto"/>
        </w:rPr>
      </w:pPr>
    </w:p>
    <w:p>
      <w:pPr>
        <w:ind w:left="760" w:right="699"/>
        <w:spacing w:after="0" w:line="260" w:lineRule="auto"/>
        <w:rPr>
          <w:sz w:val="20"/>
          <w:szCs w:val="20"/>
          <w:color w:val="auto"/>
        </w:rPr>
      </w:pPr>
      <w:r>
        <w:rPr>
          <w:rFonts w:ascii="Arial" w:cs="Arial" w:eastAsia="Arial" w:hAnsi="Arial"/>
          <w:sz w:val="16"/>
          <w:szCs w:val="16"/>
          <w:color w:val="auto"/>
        </w:rPr>
        <w:t>Under the policy, any “Related Person Transaction” may be consummated or may continue only if the Audit and Compliance Committee approves or ratifies the transaction in accordance with the guidelines set forth in the policy.</w:t>
      </w:r>
    </w:p>
    <w:p>
      <w:pPr>
        <w:spacing w:after="0" w:line="74" w:lineRule="exact"/>
        <w:rPr>
          <w:sz w:val="20"/>
          <w:szCs w:val="20"/>
          <w:color w:val="auto"/>
        </w:rPr>
      </w:pPr>
    </w:p>
    <w:p>
      <w:pPr>
        <w:ind w:left="760"/>
        <w:spacing w:after="0"/>
        <w:rPr>
          <w:sz w:val="20"/>
          <w:szCs w:val="20"/>
          <w:color w:val="auto"/>
        </w:rPr>
      </w:pPr>
      <w:r>
        <w:rPr>
          <w:rFonts w:ascii="Arial" w:cs="Arial" w:eastAsia="Arial" w:hAnsi="Arial"/>
          <w:sz w:val="16"/>
          <w:szCs w:val="16"/>
          <w:color w:val="auto"/>
        </w:rPr>
        <w:t>For these purposes, a “Related Person” is:</w:t>
      </w:r>
    </w:p>
    <w:p>
      <w:pPr>
        <w:spacing w:after="0" w:line="32" w:lineRule="exact"/>
        <w:rPr>
          <w:sz w:val="20"/>
          <w:szCs w:val="20"/>
          <w:color w:val="auto"/>
        </w:rPr>
      </w:pPr>
    </w:p>
    <w:p>
      <w:pPr>
        <w:ind w:left="920" w:hanging="156"/>
        <w:spacing w:after="0"/>
        <w:tabs>
          <w:tab w:leader="none" w:pos="920" w:val="left"/>
        </w:tabs>
        <w:numPr>
          <w:ilvl w:val="0"/>
          <w:numId w:val="41"/>
        </w:numPr>
        <w:rPr>
          <w:rFonts w:ascii="Arial" w:cs="Arial" w:eastAsia="Arial" w:hAnsi="Arial"/>
          <w:sz w:val="16"/>
          <w:szCs w:val="16"/>
          <w:color w:val="4800E6"/>
        </w:rPr>
      </w:pPr>
      <w:r>
        <w:rPr>
          <w:rFonts w:ascii="Arial" w:cs="Arial" w:eastAsia="Arial" w:hAnsi="Arial"/>
          <w:sz w:val="16"/>
          <w:szCs w:val="16"/>
          <w:color w:val="auto"/>
        </w:rPr>
        <w:t>a senior officer (which shall include, at a minimum, each executive officer/Section 16 officer) or director;</w:t>
      </w:r>
    </w:p>
    <w:p>
      <w:pPr>
        <w:spacing w:after="0" w:line="45" w:lineRule="exact"/>
        <w:rPr>
          <w:rFonts w:ascii="Arial" w:cs="Arial" w:eastAsia="Arial" w:hAnsi="Arial"/>
          <w:sz w:val="16"/>
          <w:szCs w:val="16"/>
          <w:color w:val="4800E6"/>
        </w:rPr>
      </w:pPr>
    </w:p>
    <w:p>
      <w:pPr>
        <w:ind w:left="920" w:hanging="156"/>
        <w:spacing w:after="0"/>
        <w:tabs>
          <w:tab w:leader="none" w:pos="920" w:val="left"/>
        </w:tabs>
        <w:numPr>
          <w:ilvl w:val="0"/>
          <w:numId w:val="41"/>
        </w:numPr>
        <w:rPr>
          <w:rFonts w:ascii="Arial" w:cs="Arial" w:eastAsia="Arial" w:hAnsi="Arial"/>
          <w:sz w:val="16"/>
          <w:szCs w:val="16"/>
          <w:color w:val="4800E6"/>
        </w:rPr>
      </w:pPr>
      <w:r>
        <w:rPr>
          <w:rFonts w:ascii="Arial" w:cs="Arial" w:eastAsia="Arial" w:hAnsi="Arial"/>
          <w:sz w:val="16"/>
          <w:szCs w:val="16"/>
          <w:color w:val="auto"/>
        </w:rPr>
        <w:t>a shareholder owning more than 5% of the Company (or our controlled affiliates);</w:t>
      </w:r>
    </w:p>
    <w:p>
      <w:pPr>
        <w:spacing w:after="0" w:line="32" w:lineRule="exact"/>
        <w:rPr>
          <w:rFonts w:ascii="Arial" w:cs="Arial" w:eastAsia="Arial" w:hAnsi="Arial"/>
          <w:sz w:val="16"/>
          <w:szCs w:val="16"/>
          <w:color w:val="4800E6"/>
        </w:rPr>
      </w:pPr>
    </w:p>
    <w:p>
      <w:pPr>
        <w:ind w:left="920" w:hanging="156"/>
        <w:spacing w:after="0"/>
        <w:tabs>
          <w:tab w:leader="none" w:pos="920" w:val="left"/>
        </w:tabs>
        <w:numPr>
          <w:ilvl w:val="0"/>
          <w:numId w:val="41"/>
        </w:numPr>
        <w:rPr>
          <w:rFonts w:ascii="Arial" w:cs="Arial" w:eastAsia="Arial" w:hAnsi="Arial"/>
          <w:sz w:val="16"/>
          <w:szCs w:val="16"/>
          <w:color w:val="4800E6"/>
        </w:rPr>
      </w:pPr>
      <w:r>
        <w:rPr>
          <w:rFonts w:ascii="Arial" w:cs="Arial" w:eastAsia="Arial" w:hAnsi="Arial"/>
          <w:sz w:val="16"/>
          <w:szCs w:val="16"/>
          <w:color w:val="auto"/>
        </w:rPr>
        <w:t>a person who is an immediate family member of a senior officer or director; and</w:t>
      </w:r>
    </w:p>
    <w:p>
      <w:pPr>
        <w:spacing w:after="0" w:line="45" w:lineRule="exact"/>
        <w:rPr>
          <w:rFonts w:ascii="Arial" w:cs="Arial" w:eastAsia="Arial" w:hAnsi="Arial"/>
          <w:sz w:val="16"/>
          <w:szCs w:val="16"/>
          <w:color w:val="4800E6"/>
        </w:rPr>
      </w:pPr>
    </w:p>
    <w:p>
      <w:pPr>
        <w:ind w:left="920" w:right="619" w:hanging="156"/>
        <w:spacing w:after="0" w:line="260" w:lineRule="auto"/>
        <w:tabs>
          <w:tab w:leader="none" w:pos="920" w:val="left"/>
        </w:tabs>
        <w:numPr>
          <w:ilvl w:val="0"/>
          <w:numId w:val="41"/>
        </w:numPr>
        <w:rPr>
          <w:rFonts w:ascii="Arial" w:cs="Arial" w:eastAsia="Arial" w:hAnsi="Arial"/>
          <w:sz w:val="16"/>
          <w:szCs w:val="16"/>
          <w:color w:val="4800E6"/>
        </w:rPr>
      </w:pPr>
      <w:r>
        <w:rPr>
          <w:rFonts w:ascii="Arial" w:cs="Arial" w:eastAsia="Arial" w:hAnsi="Arial"/>
          <w:sz w:val="16"/>
          <w:szCs w:val="16"/>
          <w:color w:val="auto"/>
        </w:rPr>
        <w:t>an entity that is owned or controlled by someone listed above, or an entity in which someone listed above has a substantial ownership interest or control.</w:t>
      </w:r>
    </w:p>
    <w:p>
      <w:pPr>
        <w:spacing w:after="0" w:line="60" w:lineRule="exact"/>
        <w:rPr>
          <w:sz w:val="20"/>
          <w:szCs w:val="20"/>
          <w:color w:val="auto"/>
        </w:rPr>
      </w:pPr>
    </w:p>
    <w:p>
      <w:pPr>
        <w:ind w:left="760" w:right="219"/>
        <w:spacing w:after="0" w:line="260" w:lineRule="auto"/>
        <w:rPr>
          <w:sz w:val="20"/>
          <w:szCs w:val="20"/>
          <w:color w:val="auto"/>
        </w:rPr>
      </w:pPr>
      <w:r>
        <w:rPr>
          <w:rFonts w:ascii="Arial" w:cs="Arial" w:eastAsia="Arial" w:hAnsi="Arial"/>
          <w:sz w:val="16"/>
          <w:szCs w:val="16"/>
          <w:color w:val="auto"/>
        </w:rPr>
        <w:t>For these purposes, a “Related Person Transaction” is a transaction between the Company and any Related Person (including any transactions requiring disclosure under the Exchange Act), other than:</w:t>
      </w:r>
    </w:p>
    <w:p>
      <w:pPr>
        <w:spacing w:after="0" w:line="20" w:lineRule="exact"/>
        <w:rPr>
          <w:sz w:val="20"/>
          <w:szCs w:val="20"/>
          <w:color w:val="auto"/>
        </w:rPr>
      </w:pPr>
    </w:p>
    <w:p>
      <w:pPr>
        <w:ind w:left="920" w:hanging="156"/>
        <w:spacing w:after="0"/>
        <w:tabs>
          <w:tab w:leader="none" w:pos="920" w:val="left"/>
        </w:tabs>
        <w:numPr>
          <w:ilvl w:val="0"/>
          <w:numId w:val="42"/>
        </w:numPr>
        <w:rPr>
          <w:rFonts w:ascii="Arial" w:cs="Arial" w:eastAsia="Arial" w:hAnsi="Arial"/>
          <w:sz w:val="16"/>
          <w:szCs w:val="16"/>
          <w:color w:val="4800E6"/>
        </w:rPr>
      </w:pPr>
      <w:r>
        <w:rPr>
          <w:rFonts w:ascii="Arial" w:cs="Arial" w:eastAsia="Arial" w:hAnsi="Arial"/>
          <w:sz w:val="16"/>
          <w:szCs w:val="16"/>
          <w:color w:val="auto"/>
        </w:rPr>
        <w:t>transactions involving compensation approved by the Compensation Committee;</w:t>
      </w:r>
    </w:p>
    <w:p>
      <w:pPr>
        <w:spacing w:after="0" w:line="32" w:lineRule="exact"/>
        <w:rPr>
          <w:rFonts w:ascii="Arial" w:cs="Arial" w:eastAsia="Arial" w:hAnsi="Arial"/>
          <w:sz w:val="16"/>
          <w:szCs w:val="16"/>
          <w:color w:val="4800E6"/>
        </w:rPr>
      </w:pPr>
    </w:p>
    <w:p>
      <w:pPr>
        <w:ind w:left="920" w:hanging="156"/>
        <w:spacing w:after="0"/>
        <w:tabs>
          <w:tab w:leader="none" w:pos="920" w:val="left"/>
        </w:tabs>
        <w:numPr>
          <w:ilvl w:val="0"/>
          <w:numId w:val="42"/>
        </w:numPr>
        <w:rPr>
          <w:rFonts w:ascii="Arial" w:cs="Arial" w:eastAsia="Arial" w:hAnsi="Arial"/>
          <w:sz w:val="16"/>
          <w:szCs w:val="16"/>
          <w:color w:val="4800E6"/>
        </w:rPr>
      </w:pPr>
      <w:r>
        <w:rPr>
          <w:rFonts w:ascii="Arial" w:cs="Arial" w:eastAsia="Arial" w:hAnsi="Arial"/>
          <w:sz w:val="16"/>
          <w:szCs w:val="16"/>
          <w:color w:val="auto"/>
        </w:rPr>
        <w:t>transactions available to all employees generally; and</w:t>
      </w:r>
    </w:p>
    <w:p>
      <w:pPr>
        <w:spacing w:after="0" w:line="45" w:lineRule="exact"/>
        <w:rPr>
          <w:rFonts w:ascii="Arial" w:cs="Arial" w:eastAsia="Arial" w:hAnsi="Arial"/>
          <w:sz w:val="16"/>
          <w:szCs w:val="16"/>
          <w:color w:val="4800E6"/>
        </w:rPr>
      </w:pPr>
    </w:p>
    <w:p>
      <w:pPr>
        <w:ind w:left="920" w:hanging="156"/>
        <w:spacing w:after="0"/>
        <w:tabs>
          <w:tab w:leader="none" w:pos="920" w:val="left"/>
        </w:tabs>
        <w:numPr>
          <w:ilvl w:val="0"/>
          <w:numId w:val="42"/>
        </w:numPr>
        <w:rPr>
          <w:rFonts w:ascii="Arial" w:cs="Arial" w:eastAsia="Arial" w:hAnsi="Arial"/>
          <w:sz w:val="16"/>
          <w:szCs w:val="16"/>
          <w:color w:val="4800E6"/>
        </w:rPr>
      </w:pPr>
      <w:r>
        <w:rPr>
          <w:rFonts w:ascii="Arial" w:cs="Arial" w:eastAsia="Arial" w:hAnsi="Arial"/>
          <w:sz w:val="16"/>
          <w:szCs w:val="16"/>
          <w:color w:val="auto"/>
        </w:rPr>
        <w:t>transactions involving less than $50,000 when aggregated with all similar transactions.</w:t>
      </w:r>
    </w:p>
    <w:p>
      <w:pPr>
        <w:spacing w:after="0" w:line="100" w:lineRule="exact"/>
        <w:rPr>
          <w:sz w:val="20"/>
          <w:szCs w:val="20"/>
          <w:color w:val="auto"/>
        </w:rPr>
      </w:pPr>
    </w:p>
    <w:p>
      <w:pPr>
        <w:ind w:left="760" w:right="199"/>
        <w:spacing w:after="0" w:line="248" w:lineRule="auto"/>
        <w:rPr>
          <w:sz w:val="20"/>
          <w:szCs w:val="20"/>
          <w:color w:val="auto"/>
        </w:rPr>
      </w:pPr>
      <w:r>
        <w:rPr>
          <w:rFonts w:ascii="Arial" w:cs="Arial" w:eastAsia="Arial" w:hAnsi="Arial"/>
          <w:sz w:val="16"/>
          <w:szCs w:val="16"/>
          <w:color w:val="auto"/>
        </w:rPr>
        <w:t>The Board has determined that the Audit and Compliance Committee is best suited to review and approve Related Person Transactions. Accordingly, in the event that management recommends a Related Person Transaction, management is required to present the transaction to the Audit and Compliance Committee in advance of entering into the transaction. If management is unable to present the transaction to the Audit and Compliance Committee for approval in advance, management may enter into the transaction preliminarily, subject to ratification by the Audit and Compliance Committee; provided, however, that if the Audit and Compliance Committee does not so approve, management must make all reasonable efforts to cancel or annul the transaction, or if unable to do so, to amend it in a satisfactory manner. The Audit and Compliance Committee may approve or</w:t>
      </w:r>
    </w:p>
    <w:p>
      <w:pPr>
        <w:ind w:left="480"/>
        <w:spacing w:after="0"/>
        <w:tabs>
          <w:tab w:leader="none" w:pos="4400" w:val="left"/>
          <w:tab w:leader="none" w:pos="8760" w:val="left"/>
        </w:tabs>
        <w:rPr>
          <w:sz w:val="20"/>
          <w:szCs w:val="20"/>
          <w:color w:val="auto"/>
        </w:rPr>
      </w:pPr>
      <w:r>
        <w:rPr>
          <w:rFonts w:ascii="Arial" w:cs="Arial" w:eastAsia="Arial" w:hAnsi="Arial"/>
          <w:sz w:val="29"/>
          <w:szCs w:val="29"/>
          <w:b w:val="1"/>
          <w:bCs w:val="1"/>
          <w:color w:val="auto"/>
          <w:vertAlign w:val="subscript"/>
        </w:rPr>
        <w:t>21</w:t>
      </w:r>
      <w:r>
        <w:rPr>
          <w:sz w:val="20"/>
          <w:szCs w:val="20"/>
          <w:color w:val="auto"/>
        </w:rPr>
        <w:tab/>
      </w:r>
      <w:r>
        <w:rPr>
          <w:rFonts w:ascii="Arial" w:cs="Arial" w:eastAsia="Arial" w:hAnsi="Arial"/>
          <w:sz w:val="13"/>
          <w:szCs w:val="13"/>
          <w:b w:val="1"/>
          <w:bCs w:val="1"/>
          <w:color w:val="4800E6"/>
        </w:rPr>
        <w:t xml:space="preserve">LIVANOVA </w:t>
      </w:r>
      <w:r>
        <w:rPr>
          <w:rFonts w:ascii="Arial" w:cs="Arial" w:eastAsia="Arial" w:hAnsi="Arial"/>
          <w:sz w:val="13"/>
          <w:szCs w:val="13"/>
          <w:color w:val="000000"/>
        </w:rPr>
        <w:t>|</w:t>
      </w:r>
      <w:r>
        <w:rPr>
          <w:rFonts w:ascii="Arial" w:cs="Arial" w:eastAsia="Arial" w:hAnsi="Arial"/>
          <w:sz w:val="13"/>
          <w:szCs w:val="13"/>
          <w:b w:val="1"/>
          <w:bCs w:val="1"/>
          <w:color w:val="4800E6"/>
        </w:rPr>
        <w:t xml:space="preserve"> </w:t>
      </w:r>
      <w:r>
        <w:rPr>
          <w:rFonts w:ascii="Arial" w:cs="Arial" w:eastAsia="Arial" w:hAnsi="Arial"/>
          <w:sz w:val="13"/>
          <w:szCs w:val="13"/>
          <w:color w:val="4800E6"/>
        </w:rPr>
        <w:t>2020</w:t>
      </w:r>
      <w:r>
        <w:rPr>
          <w:rFonts w:ascii="Arial" w:cs="Arial" w:eastAsia="Arial" w:hAnsi="Arial"/>
          <w:sz w:val="13"/>
          <w:szCs w:val="13"/>
          <w:b w:val="1"/>
          <w:bCs w:val="1"/>
          <w:color w:val="4800E6"/>
        </w:rPr>
        <w:t xml:space="preserve"> </w:t>
      </w:r>
      <w:r>
        <w:rPr>
          <w:rFonts w:ascii="Arial" w:cs="Arial" w:eastAsia="Arial" w:hAnsi="Arial"/>
          <w:sz w:val="13"/>
          <w:szCs w:val="13"/>
          <w:color w:val="000000"/>
        </w:rPr>
        <w:t>Proxy Statement</w:t>
      </w:r>
      <w:r>
        <w:rPr>
          <w:sz w:val="20"/>
          <w:szCs w:val="20"/>
          <w:color w:val="auto"/>
        </w:rPr>
        <w:tab/>
      </w:r>
      <w:r>
        <w:rPr>
          <w:rFonts w:ascii="Arial" w:cs="Arial" w:eastAsia="Arial" w:hAnsi="Arial"/>
          <w:sz w:val="12"/>
          <w:szCs w:val="12"/>
          <w:b w:val="1"/>
          <w:bCs w:val="1"/>
          <w:color w:val="4800E6"/>
        </w:rPr>
        <w:t>www.livanova.com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561975</wp:posOffset>
            </wp:positionH>
            <wp:positionV relativeFrom="paragraph">
              <wp:posOffset>86360</wp:posOffset>
            </wp:positionV>
            <wp:extent cx="1954530" cy="8890"/>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1954530" cy="8890"/>
                    </a:xfrm>
                    <a:prstGeom prst="rect">
                      <a:avLst/>
                    </a:prstGeom>
                    <a:noFill/>
                  </pic:spPr>
                </pic:pic>
              </a:graphicData>
            </a:graphic>
          </wp:anchor>
        </w:drawing>
        <w:drawing>
          <wp:anchor simplePos="0" relativeHeight="251657728" behindDoc="1" locked="0" layoutInCell="0" allowOverlap="1">
            <wp:simplePos x="0" y="0"/>
            <wp:positionH relativeFrom="column">
              <wp:posOffset>4316730</wp:posOffset>
            </wp:positionH>
            <wp:positionV relativeFrom="paragraph">
              <wp:posOffset>86360</wp:posOffset>
            </wp:positionV>
            <wp:extent cx="1028700" cy="8890"/>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102870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223520</wp:posOffset>
            </wp:positionV>
            <wp:extent cx="6806565" cy="1714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10139"/>
          </w:cols>
          <w:pgMar w:left="320" w:top="131" w:right="1440" w:bottom="1440" w:gutter="0" w:footer="0" w:header="0"/>
        </w:sectPr>
      </w:pPr>
    </w:p>
    <w:bookmarkStart w:id="25" w:name="page26"/>
    <w:bookmarkEnd w:id="25"/>
    <w:p>
      <w:pPr>
        <w:spacing w:after="0"/>
        <w:rPr>
          <w:rFonts w:ascii="Arial" w:cs="Arial" w:eastAsia="Arial" w:hAnsi="Arial"/>
          <w:sz w:val="14"/>
          <w:szCs w:val="14"/>
          <w:color w:val="003366"/>
        </w:rPr>
      </w:pPr>
      <w:hyperlink w:anchor="page4">
        <w:r>
          <w:rPr>
            <w:rFonts w:ascii="Arial" w:cs="Arial" w:eastAsia="Arial" w:hAnsi="Arial"/>
            <w:sz w:val="14"/>
            <w:szCs w:val="14"/>
            <w:color w:val="003366"/>
          </w:rPr>
          <w:t>TABLE OF CONTENTS</w:t>
        </w:r>
      </w:hyperlink>
    </w:p>
    <w:p>
      <w:pPr>
        <w:spacing w:after="0" w:line="338" w:lineRule="exact"/>
        <w:rPr>
          <w:sz w:val="20"/>
          <w:szCs w:val="20"/>
          <w:color w:val="auto"/>
        </w:rPr>
      </w:pPr>
    </w:p>
    <w:p>
      <w:pPr>
        <w:jc w:val="right"/>
        <w:ind w:right="240"/>
        <w:spacing w:after="0"/>
        <w:rPr>
          <w:sz w:val="20"/>
          <w:szCs w:val="20"/>
          <w:color w:val="auto"/>
        </w:rPr>
      </w:pPr>
      <w:r>
        <w:rPr>
          <w:rFonts w:ascii="Arial" w:cs="Arial" w:eastAsia="Arial" w:hAnsi="Arial"/>
          <w:sz w:val="13"/>
          <w:szCs w:val="13"/>
          <w:b w:val="1"/>
          <w:bCs w:val="1"/>
          <w:color w:val="auto"/>
        </w:rPr>
        <w:t xml:space="preserve">Corporate </w:t>
      </w:r>
      <w:r>
        <w:rPr>
          <w:rFonts w:ascii="Arial" w:cs="Arial" w:eastAsia="Arial" w:hAnsi="Arial"/>
          <w:sz w:val="13"/>
          <w:szCs w:val="13"/>
          <w:b w:val="1"/>
          <w:bCs w:val="1"/>
          <w:color w:val="666666"/>
        </w:rPr>
        <w:t>Governance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485140</wp:posOffset>
            </wp:positionH>
            <wp:positionV relativeFrom="paragraph">
              <wp:posOffset>30480</wp:posOffset>
            </wp:positionV>
            <wp:extent cx="5829300" cy="825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5829300" cy="8255"/>
                    </a:xfrm>
                    <a:prstGeom prst="rect">
                      <a:avLst/>
                    </a:prstGeom>
                    <a:noFill/>
                  </pic:spPr>
                </pic:pic>
              </a:graphicData>
            </a:graphic>
          </wp:anchor>
        </w:drawing>
      </w:r>
    </w:p>
    <w:p>
      <w:pPr>
        <w:spacing w:after="0" w:line="60" w:lineRule="exact"/>
        <w:rPr>
          <w:sz w:val="20"/>
          <w:szCs w:val="20"/>
          <w:color w:val="auto"/>
        </w:rPr>
      </w:pPr>
    </w:p>
    <w:p>
      <w:pPr>
        <w:jc w:val="right"/>
        <w:ind w:right="240"/>
        <w:spacing w:after="0"/>
        <w:rPr>
          <w:sz w:val="20"/>
          <w:szCs w:val="20"/>
          <w:color w:val="auto"/>
        </w:rPr>
      </w:pPr>
      <w:r>
        <w:rPr>
          <w:rFonts w:ascii="Arial" w:cs="Arial" w:eastAsia="Arial" w:hAnsi="Arial"/>
          <w:sz w:val="13"/>
          <w:szCs w:val="13"/>
          <w:b w:val="1"/>
          <w:bCs w:val="1"/>
          <w:color w:val="4800E6"/>
        </w:rPr>
        <w:t>Board, Committee and Shareholder Meetings</w:t>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ind w:left="760" w:right="420"/>
        <w:spacing w:after="0" w:line="260" w:lineRule="auto"/>
        <w:rPr>
          <w:sz w:val="20"/>
          <w:szCs w:val="20"/>
          <w:color w:val="auto"/>
        </w:rPr>
      </w:pPr>
      <w:r>
        <w:rPr>
          <w:rFonts w:ascii="Arial" w:cs="Arial" w:eastAsia="Arial" w:hAnsi="Arial"/>
          <w:sz w:val="16"/>
          <w:szCs w:val="16"/>
          <w:color w:val="auto"/>
        </w:rPr>
        <w:t>ratify a Related Person Transaction only if the transaction is on terms comparable to those that could be obtained in arm’s-length dealings with an unrelated third party.</w:t>
      </w:r>
    </w:p>
    <w:p>
      <w:pPr>
        <w:spacing w:after="0" w:line="74" w:lineRule="exact"/>
        <w:rPr>
          <w:sz w:val="20"/>
          <w:szCs w:val="20"/>
          <w:color w:val="auto"/>
        </w:rPr>
      </w:pPr>
    </w:p>
    <w:p>
      <w:pPr>
        <w:ind w:left="760" w:right="240"/>
        <w:spacing w:after="0" w:line="250" w:lineRule="auto"/>
        <w:rPr>
          <w:sz w:val="20"/>
          <w:szCs w:val="20"/>
          <w:color w:val="auto"/>
        </w:rPr>
      </w:pPr>
      <w:r>
        <w:rPr>
          <w:rFonts w:ascii="Arial" w:cs="Arial" w:eastAsia="Arial" w:hAnsi="Arial"/>
          <w:sz w:val="16"/>
          <w:szCs w:val="16"/>
          <w:color w:val="auto"/>
        </w:rPr>
        <w:t>The Board recognizes that a member of our management team or a director may be presented with a significant business opportunity that may equally be available to the Company, either directly or via referral. Before the opportunity may be consummated by a Related Person (other than an otherwise unaffiliated 5% shareholder), the opportunity must be presented to the Audit and Compliance Committee for consideration. The Audit and Compliance Committee, in its discretion, may present the opportunity to the Board for consideration.</w:t>
      </w:r>
    </w:p>
    <w:p>
      <w:pPr>
        <w:spacing w:after="0" w:line="81" w:lineRule="exact"/>
        <w:rPr>
          <w:sz w:val="20"/>
          <w:szCs w:val="20"/>
          <w:color w:val="auto"/>
        </w:rPr>
      </w:pPr>
    </w:p>
    <w:p>
      <w:pPr>
        <w:ind w:left="760" w:right="860"/>
        <w:spacing w:after="0" w:line="260" w:lineRule="auto"/>
        <w:rPr>
          <w:sz w:val="20"/>
          <w:szCs w:val="20"/>
          <w:color w:val="auto"/>
        </w:rPr>
      </w:pPr>
      <w:r>
        <w:rPr>
          <w:rFonts w:ascii="Arial" w:cs="Arial" w:eastAsia="Arial" w:hAnsi="Arial"/>
          <w:sz w:val="16"/>
          <w:szCs w:val="16"/>
          <w:color w:val="auto"/>
        </w:rPr>
        <w:t>Since the beginning of the fiscal year ended December 31, 2019, there were no Related Person Transactions and no such transactions are currently proposed.</w:t>
      </w:r>
    </w:p>
    <w:p>
      <w:pPr>
        <w:spacing w:after="0" w:line="237" w:lineRule="exact"/>
        <w:rPr>
          <w:sz w:val="20"/>
          <w:szCs w:val="20"/>
          <w:color w:val="auto"/>
        </w:rPr>
      </w:pPr>
    </w:p>
    <w:p>
      <w:pPr>
        <w:ind w:left="760"/>
        <w:spacing w:after="0"/>
        <w:rPr>
          <w:sz w:val="20"/>
          <w:szCs w:val="20"/>
          <w:color w:val="auto"/>
        </w:rPr>
      </w:pPr>
      <w:r>
        <w:rPr>
          <w:rFonts w:ascii="Arial" w:cs="Arial" w:eastAsia="Arial" w:hAnsi="Arial"/>
          <w:sz w:val="23"/>
          <w:szCs w:val="23"/>
          <w:b w:val="1"/>
          <w:bCs w:val="1"/>
          <w:color w:val="auto"/>
        </w:rPr>
        <w:t>Succession Planning</w:t>
      </w:r>
    </w:p>
    <w:p>
      <w:pPr>
        <w:spacing w:after="0" w:line="139" w:lineRule="exact"/>
        <w:rPr>
          <w:sz w:val="20"/>
          <w:szCs w:val="20"/>
          <w:color w:val="auto"/>
        </w:rPr>
      </w:pPr>
    </w:p>
    <w:p>
      <w:pPr>
        <w:ind w:left="760" w:right="300"/>
        <w:spacing w:after="0" w:line="249" w:lineRule="auto"/>
        <w:rPr>
          <w:sz w:val="20"/>
          <w:szCs w:val="20"/>
          <w:color w:val="auto"/>
        </w:rPr>
      </w:pPr>
      <w:r>
        <w:rPr>
          <w:rFonts w:ascii="Arial" w:cs="Arial" w:eastAsia="Arial" w:hAnsi="Arial"/>
          <w:sz w:val="16"/>
          <w:szCs w:val="16"/>
          <w:color w:val="auto"/>
        </w:rPr>
        <w:t>Succession planning is a top priority for the Board and our management team, with the objective of having a pipeline of leaders for the immediate future and long term. The Board and management proactively address succession planning and the Board has delegated the responsibility for CEO and senior management succession planning to the Nominating and Corporate Governance Committee. The Board tasked the Nominating and Corporate Governance Committee with doing so in the context of the challenges and opportunities facing us, of the skills and expertise likely to be required by us in the future and to achieve the benefits of diversity in its widest sense.</w:t>
      </w:r>
    </w:p>
    <w:p>
      <w:pPr>
        <w:spacing w:after="0" w:line="70" w:lineRule="exact"/>
        <w:rPr>
          <w:sz w:val="20"/>
          <w:szCs w:val="20"/>
          <w:color w:val="auto"/>
        </w:rPr>
      </w:pPr>
    </w:p>
    <w:p>
      <w:pPr>
        <w:ind w:left="760" w:right="280"/>
        <w:spacing w:after="0" w:line="253" w:lineRule="auto"/>
        <w:rPr>
          <w:sz w:val="20"/>
          <w:szCs w:val="20"/>
          <w:color w:val="auto"/>
        </w:rPr>
      </w:pPr>
      <w:r>
        <w:rPr>
          <w:rFonts w:ascii="Arial" w:cs="Arial" w:eastAsia="Arial" w:hAnsi="Arial"/>
          <w:sz w:val="16"/>
          <w:szCs w:val="16"/>
          <w:color w:val="auto"/>
        </w:rPr>
        <w:t>These processes enable the Board to address both long-term, planned occurrences, such as retirement or change in roles, as well as short-term unexpected events. Similar processes, led by the relevant management team, occur within each of our franchises and functions.</w:t>
      </w:r>
    </w:p>
    <w:p>
      <w:pPr>
        <w:spacing w:after="0" w:line="257" w:lineRule="exact"/>
        <w:rPr>
          <w:sz w:val="20"/>
          <w:szCs w:val="20"/>
          <w:color w:val="auto"/>
        </w:rPr>
      </w:pPr>
    </w:p>
    <w:p>
      <w:pPr>
        <w:ind w:left="760"/>
        <w:spacing w:after="0"/>
        <w:rPr>
          <w:sz w:val="20"/>
          <w:szCs w:val="20"/>
          <w:color w:val="auto"/>
        </w:rPr>
      </w:pPr>
      <w:r>
        <w:rPr>
          <w:rFonts w:ascii="Arial" w:cs="Arial" w:eastAsia="Arial" w:hAnsi="Arial"/>
          <w:sz w:val="23"/>
          <w:szCs w:val="23"/>
          <w:b w:val="1"/>
          <w:bCs w:val="1"/>
          <w:color w:val="auto"/>
        </w:rPr>
        <w:t>Environmental, Sustainability and Corporate Social Responsibility</w:t>
      </w:r>
    </w:p>
    <w:p>
      <w:pPr>
        <w:spacing w:after="0" w:line="126" w:lineRule="exact"/>
        <w:rPr>
          <w:sz w:val="20"/>
          <w:szCs w:val="20"/>
          <w:color w:val="auto"/>
        </w:rPr>
      </w:pPr>
    </w:p>
    <w:p>
      <w:pPr>
        <w:ind w:left="760" w:right="240"/>
        <w:spacing w:after="0" w:line="248" w:lineRule="auto"/>
        <w:rPr>
          <w:sz w:val="20"/>
          <w:szCs w:val="20"/>
          <w:color w:val="auto"/>
        </w:rPr>
      </w:pPr>
      <w:r>
        <w:rPr>
          <w:rFonts w:ascii="Arial" w:cs="Arial" w:eastAsia="Arial" w:hAnsi="Arial"/>
          <w:sz w:val="16"/>
          <w:szCs w:val="16"/>
          <w:color w:val="auto"/>
        </w:rPr>
        <w:t>Corporate responsibility and sustainability are integral to LivaNova and guide our actions as a company. We have always focused on delivering strong financial results, but we are committed to doing so in a way that respects the communities and environments in which we operate. In 2017, we initiated an engagement in a dialogue with investors around their growing interest in environmental, social and governance (“ESG”) performance and the impact on financial results, and we continued this dialogue in 2019. The Board has increased its own involvement in the ESG arena by enshrining such matters in the charter of the Nominating and Corporate Governance Committee which now formally maintains oversight for these issues. The Company is required to, and does, report on its greenhouse gas emissions and on certain other environmental and social (including employee) matters in our UK Annual Report which is available on the Company’s website.</w:t>
      </w:r>
    </w:p>
    <w:p>
      <w:pPr>
        <w:spacing w:after="0" w:line="262" w:lineRule="exact"/>
        <w:rPr>
          <w:sz w:val="20"/>
          <w:szCs w:val="20"/>
          <w:color w:val="auto"/>
        </w:rPr>
      </w:pPr>
    </w:p>
    <w:p>
      <w:pPr>
        <w:ind w:left="760"/>
        <w:spacing w:after="0"/>
        <w:rPr>
          <w:sz w:val="20"/>
          <w:szCs w:val="20"/>
          <w:color w:val="auto"/>
        </w:rPr>
      </w:pPr>
      <w:r>
        <w:rPr>
          <w:rFonts w:ascii="Arial" w:cs="Arial" w:eastAsia="Arial" w:hAnsi="Arial"/>
          <w:sz w:val="23"/>
          <w:szCs w:val="23"/>
          <w:b w:val="1"/>
          <w:bCs w:val="1"/>
          <w:color w:val="auto"/>
        </w:rPr>
        <w:t>Availability of Governance Documents</w:t>
      </w:r>
    </w:p>
    <w:p>
      <w:pPr>
        <w:spacing w:after="0" w:line="126" w:lineRule="exact"/>
        <w:rPr>
          <w:sz w:val="20"/>
          <w:szCs w:val="20"/>
          <w:color w:val="auto"/>
        </w:rPr>
      </w:pPr>
    </w:p>
    <w:p>
      <w:pPr>
        <w:ind w:left="760" w:right="340"/>
        <w:spacing w:after="0" w:line="250" w:lineRule="auto"/>
        <w:rPr>
          <w:sz w:val="20"/>
          <w:szCs w:val="20"/>
          <w:color w:val="auto"/>
        </w:rPr>
      </w:pPr>
      <w:r>
        <w:rPr>
          <w:rFonts w:ascii="Arial" w:cs="Arial" w:eastAsia="Arial" w:hAnsi="Arial"/>
          <w:sz w:val="16"/>
          <w:szCs w:val="16"/>
          <w:color w:val="auto"/>
        </w:rPr>
        <w:t xml:space="preserve">Our Corporate Governance Guidelines, charters of the committees of the Board and Code of Business Conduct and Ethics are available on our website and in print to any shareholder who requests any of these. To access these documents from our website, go to </w:t>
      </w:r>
      <w:r>
        <w:rPr>
          <w:rFonts w:ascii="Arial" w:cs="Arial" w:eastAsia="Arial" w:hAnsi="Arial"/>
          <w:sz w:val="16"/>
          <w:szCs w:val="16"/>
          <w:i w:val="1"/>
          <w:iCs w:val="1"/>
          <w:u w:val="single" w:color="auto"/>
          <w:color w:val="auto"/>
        </w:rPr>
        <w:t>www.livanova.com</w:t>
      </w:r>
      <w:r>
        <w:rPr>
          <w:rFonts w:ascii="Arial" w:cs="Arial" w:eastAsia="Arial" w:hAnsi="Arial"/>
          <w:sz w:val="16"/>
          <w:szCs w:val="16"/>
          <w:color w:val="auto"/>
        </w:rPr>
        <w:t>, select “Investor Relations” from the drop-down menu, and then click on the “Corporate Governance” link located in a horizontal list in the middle of the screen. Requests for a printed copy should be addressed to LivaNova Plc, 20 Eastbourne Terrace, London, England W2 6LG, Attention: Company Secretary.</w:t>
      </w:r>
    </w:p>
    <w:p>
      <w:pPr>
        <w:sectPr>
          <w:pgSz w:w="11900" w:h="16838" w:orient="portrait"/>
          <w:cols w:equalWidth="0" w:num="1">
            <w:col w:w="10180"/>
          </w:cols>
          <w:pgMar w:left="320" w:top="131" w:right="139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ind w:left="4340"/>
        <w:spacing w:after="0"/>
        <w:tabs>
          <w:tab w:leader="none" w:pos="10000" w:val="left"/>
        </w:tabs>
        <w:rPr>
          <w:sz w:val="20"/>
          <w:szCs w:val="20"/>
          <w:color w:val="auto"/>
        </w:rPr>
      </w:pPr>
      <w:r>
        <w:rPr>
          <w:rFonts w:ascii="Arial" w:cs="Arial" w:eastAsia="Arial" w:hAnsi="Arial"/>
          <w:sz w:val="13"/>
          <w:szCs w:val="13"/>
          <w:b w:val="1"/>
          <w:bCs w:val="1"/>
          <w:color w:val="4800E6"/>
        </w:rPr>
        <w:t xml:space="preserve">LIVANOVA </w:t>
      </w:r>
      <w:r>
        <w:rPr>
          <w:rFonts w:ascii="Arial" w:cs="Arial" w:eastAsia="Arial" w:hAnsi="Arial"/>
          <w:sz w:val="13"/>
          <w:szCs w:val="13"/>
          <w:color w:val="000000"/>
        </w:rPr>
        <w:t>|</w:t>
      </w:r>
      <w:r>
        <w:rPr>
          <w:rFonts w:ascii="Arial" w:cs="Arial" w:eastAsia="Arial" w:hAnsi="Arial"/>
          <w:sz w:val="13"/>
          <w:szCs w:val="13"/>
          <w:b w:val="1"/>
          <w:bCs w:val="1"/>
          <w:color w:val="4800E6"/>
        </w:rPr>
        <w:t xml:space="preserve"> </w:t>
      </w:r>
      <w:r>
        <w:rPr>
          <w:rFonts w:ascii="Arial" w:cs="Arial" w:eastAsia="Arial" w:hAnsi="Arial"/>
          <w:sz w:val="13"/>
          <w:szCs w:val="13"/>
          <w:color w:val="4800E6"/>
        </w:rPr>
        <w:t>2020</w:t>
      </w:r>
      <w:r>
        <w:rPr>
          <w:rFonts w:ascii="Arial" w:cs="Arial" w:eastAsia="Arial" w:hAnsi="Arial"/>
          <w:sz w:val="13"/>
          <w:szCs w:val="13"/>
          <w:b w:val="1"/>
          <w:bCs w:val="1"/>
          <w:color w:val="4800E6"/>
        </w:rPr>
        <w:t xml:space="preserve"> </w:t>
      </w:r>
      <w:r>
        <w:rPr>
          <w:rFonts w:ascii="Arial" w:cs="Arial" w:eastAsia="Arial" w:hAnsi="Arial"/>
          <w:sz w:val="13"/>
          <w:szCs w:val="13"/>
          <w:color w:val="000000"/>
        </w:rPr>
        <w:t>Proxy Statement</w:t>
      </w:r>
      <w:r>
        <w:rPr>
          <w:sz w:val="20"/>
          <w:szCs w:val="20"/>
          <w:color w:val="auto"/>
        </w:rPr>
        <w:tab/>
      </w:r>
      <w:r>
        <w:rPr>
          <w:rFonts w:ascii="Arial" w:cs="Arial" w:eastAsia="Arial" w:hAnsi="Arial"/>
          <w:sz w:val="21"/>
          <w:szCs w:val="21"/>
          <w:b w:val="1"/>
          <w:bCs w:val="1"/>
          <w:color w:val="auto"/>
          <w:vertAlign w:val="subscript"/>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519430</wp:posOffset>
            </wp:positionH>
            <wp:positionV relativeFrom="paragraph">
              <wp:posOffset>47625</wp:posOffset>
            </wp:positionV>
            <wp:extent cx="1954530" cy="825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1954530" cy="8255"/>
                    </a:xfrm>
                    <a:prstGeom prst="rect">
                      <a:avLst/>
                    </a:prstGeom>
                    <a:noFill/>
                  </pic:spPr>
                </pic:pic>
              </a:graphicData>
            </a:graphic>
          </wp:anchor>
        </w:drawing>
        <w:drawing>
          <wp:anchor simplePos="0" relativeHeight="251657728" behindDoc="1" locked="0" layoutInCell="0" allowOverlap="1">
            <wp:simplePos x="0" y="0"/>
            <wp:positionH relativeFrom="column">
              <wp:posOffset>4257040</wp:posOffset>
            </wp:positionH>
            <wp:positionV relativeFrom="paragraph">
              <wp:posOffset>47625</wp:posOffset>
            </wp:positionV>
            <wp:extent cx="1954530" cy="825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195453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184785</wp:posOffset>
            </wp:positionV>
            <wp:extent cx="6806565" cy="1714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10180"/>
          </w:cols>
          <w:pgMar w:left="320" w:top="131" w:right="1399" w:bottom="1440" w:gutter="0" w:footer="0" w:header="0"/>
          <w:type w:val="continuous"/>
        </w:sectPr>
      </w:pPr>
    </w:p>
    <w:bookmarkStart w:id="26" w:name="page27"/>
    <w:bookmarkEnd w:id="26"/>
    <w:p>
      <w:pPr>
        <w:spacing w:after="0"/>
        <w:rPr>
          <w:rFonts w:ascii="Arial" w:cs="Arial" w:eastAsia="Arial" w:hAnsi="Arial"/>
          <w:sz w:val="14"/>
          <w:szCs w:val="14"/>
          <w:color w:val="003366"/>
        </w:rPr>
      </w:pPr>
      <w:hyperlink w:anchor="page4">
        <w:r>
          <w:rPr>
            <w:rFonts w:ascii="Arial" w:cs="Arial" w:eastAsia="Arial" w:hAnsi="Arial"/>
            <w:sz w:val="14"/>
            <w:szCs w:val="14"/>
            <w:color w:val="003366"/>
          </w:rPr>
          <w:t>TABLE OF CONTENTS</w:t>
        </w:r>
      </w:hyperlink>
    </w:p>
    <w:p>
      <w:pPr>
        <w:spacing w:after="0" w:line="338" w:lineRule="exact"/>
        <w:rPr>
          <w:sz w:val="20"/>
          <w:szCs w:val="20"/>
          <w:color w:val="auto"/>
        </w:rPr>
      </w:pPr>
    </w:p>
    <w:p>
      <w:pPr>
        <w:ind w:left="760"/>
        <w:spacing w:after="0"/>
        <w:rPr>
          <w:sz w:val="20"/>
          <w:szCs w:val="20"/>
          <w:color w:val="auto"/>
        </w:rPr>
      </w:pPr>
      <w:r>
        <w:rPr>
          <w:rFonts w:ascii="Arial" w:cs="Arial" w:eastAsia="Arial" w:hAnsi="Arial"/>
          <w:sz w:val="13"/>
          <w:szCs w:val="13"/>
          <w:b w:val="1"/>
          <w:bCs w:val="1"/>
          <w:color w:val="auto"/>
        </w:rPr>
        <w:t xml:space="preserve">Corporate </w:t>
      </w:r>
      <w:r>
        <w:rPr>
          <w:rFonts w:ascii="Arial" w:cs="Arial" w:eastAsia="Arial" w:hAnsi="Arial"/>
          <w:sz w:val="13"/>
          <w:szCs w:val="13"/>
          <w:b w:val="1"/>
          <w:bCs w:val="1"/>
          <w:color w:val="666666"/>
        </w:rPr>
        <w:t>Governance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485140</wp:posOffset>
            </wp:positionH>
            <wp:positionV relativeFrom="paragraph">
              <wp:posOffset>30480</wp:posOffset>
            </wp:positionV>
            <wp:extent cx="5829300" cy="825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5829300" cy="8255"/>
                    </a:xfrm>
                    <a:prstGeom prst="rect">
                      <a:avLst/>
                    </a:prstGeom>
                    <a:noFill/>
                  </pic:spPr>
                </pic:pic>
              </a:graphicData>
            </a:graphic>
          </wp:anchor>
        </w:drawing>
      </w:r>
    </w:p>
    <w:p>
      <w:pPr>
        <w:spacing w:after="0" w:line="60" w:lineRule="exact"/>
        <w:rPr>
          <w:sz w:val="20"/>
          <w:szCs w:val="20"/>
          <w:color w:val="auto"/>
        </w:rPr>
      </w:pPr>
    </w:p>
    <w:p>
      <w:pPr>
        <w:ind w:left="760"/>
        <w:spacing w:after="0"/>
        <w:rPr>
          <w:sz w:val="20"/>
          <w:szCs w:val="20"/>
          <w:color w:val="auto"/>
        </w:rPr>
      </w:pPr>
      <w:r>
        <w:rPr>
          <w:rFonts w:ascii="Arial" w:cs="Arial" w:eastAsia="Arial" w:hAnsi="Arial"/>
          <w:sz w:val="13"/>
          <w:szCs w:val="13"/>
          <w:b w:val="1"/>
          <w:bCs w:val="1"/>
          <w:color w:val="4800E6"/>
        </w:rPr>
        <w:t>Executive Officers</w:t>
      </w:r>
    </w:p>
    <w:p>
      <w:pPr>
        <w:spacing w:after="0" w:line="200" w:lineRule="exact"/>
        <w:rPr>
          <w:sz w:val="20"/>
          <w:szCs w:val="20"/>
          <w:color w:val="auto"/>
        </w:rPr>
      </w:pPr>
    </w:p>
    <w:p>
      <w:pPr>
        <w:spacing w:after="0" w:line="387" w:lineRule="exact"/>
        <w:rPr>
          <w:sz w:val="20"/>
          <w:szCs w:val="20"/>
          <w:color w:val="auto"/>
        </w:rPr>
      </w:pPr>
    </w:p>
    <w:p>
      <w:pPr>
        <w:ind w:left="760"/>
        <w:spacing w:after="0"/>
        <w:rPr>
          <w:sz w:val="20"/>
          <w:szCs w:val="20"/>
          <w:color w:val="auto"/>
        </w:rPr>
      </w:pPr>
      <w:r>
        <w:rPr>
          <w:rFonts w:ascii="Arial" w:cs="Arial" w:eastAsia="Arial" w:hAnsi="Arial"/>
          <w:sz w:val="31"/>
          <w:szCs w:val="31"/>
          <w:b w:val="1"/>
          <w:bCs w:val="1"/>
          <w:color w:val="4800E6"/>
        </w:rPr>
        <w:t>Executive Officers</w:t>
      </w:r>
    </w:p>
    <w:p>
      <w:pPr>
        <w:spacing w:after="0" w:line="225" w:lineRule="exact"/>
        <w:rPr>
          <w:sz w:val="20"/>
          <w:szCs w:val="20"/>
          <w:color w:val="auto"/>
        </w:rPr>
      </w:pPr>
    </w:p>
    <w:tbl>
      <w:tblPr>
        <w:tblLayout w:type="fixed"/>
        <w:tblInd w:w="760" w:type="dxa"/>
        <w:tblCellMar>
          <w:top w:w="0" w:type="dxa"/>
          <w:left w:w="0" w:type="dxa"/>
          <w:bottom w:w="0" w:type="dxa"/>
          <w:right w:w="0" w:type="dxa"/>
        </w:tblCellMar>
      </w:tblPr>
      <w:tr>
        <w:trPr>
          <w:trHeight w:val="196"/>
        </w:trPr>
        <w:tc>
          <w:tcPr>
            <w:tcW w:w="2280" w:type="dxa"/>
            <w:vAlign w:val="bottom"/>
            <w:tcBorders>
              <w:bottom w:val="single" w:sz="8" w:color="4800E6"/>
            </w:tcBorders>
          </w:tcPr>
          <w:p>
            <w:pPr>
              <w:ind w:left="60"/>
              <w:spacing w:after="0"/>
              <w:rPr>
                <w:sz w:val="20"/>
                <w:szCs w:val="20"/>
                <w:color w:val="auto"/>
              </w:rPr>
            </w:pPr>
            <w:r>
              <w:rPr>
                <w:rFonts w:ascii="Arial" w:cs="Arial" w:eastAsia="Arial" w:hAnsi="Arial"/>
                <w:sz w:val="14"/>
                <w:szCs w:val="14"/>
                <w:b w:val="1"/>
                <w:bCs w:val="1"/>
                <w:color w:val="4800E6"/>
              </w:rPr>
              <w:t>Name</w:t>
            </w:r>
          </w:p>
        </w:tc>
        <w:tc>
          <w:tcPr>
            <w:tcW w:w="1460" w:type="dxa"/>
            <w:vAlign w:val="bottom"/>
            <w:tcBorders>
              <w:bottom w:val="single" w:sz="8" w:color="4800E6"/>
            </w:tcBorders>
          </w:tcPr>
          <w:p>
            <w:pPr>
              <w:jc w:val="center"/>
              <w:ind w:left="724"/>
              <w:spacing w:after="0"/>
              <w:rPr>
                <w:sz w:val="20"/>
                <w:szCs w:val="20"/>
                <w:color w:val="auto"/>
              </w:rPr>
            </w:pPr>
            <w:r>
              <w:rPr>
                <w:rFonts w:ascii="Arial" w:cs="Arial" w:eastAsia="Arial" w:hAnsi="Arial"/>
                <w:sz w:val="14"/>
                <w:szCs w:val="14"/>
                <w:b w:val="1"/>
                <w:bCs w:val="1"/>
                <w:color w:val="4800E6"/>
                <w:w w:val="98"/>
              </w:rPr>
              <w:t>Age</w:t>
            </w:r>
          </w:p>
        </w:tc>
        <w:tc>
          <w:tcPr>
            <w:tcW w:w="5440" w:type="dxa"/>
            <w:vAlign w:val="bottom"/>
            <w:tcBorders>
              <w:bottom w:val="single" w:sz="8" w:color="4800E6"/>
            </w:tcBorders>
          </w:tcPr>
          <w:p>
            <w:pPr>
              <w:ind w:left="200"/>
              <w:spacing w:after="0"/>
              <w:rPr>
                <w:sz w:val="20"/>
                <w:szCs w:val="20"/>
                <w:color w:val="auto"/>
              </w:rPr>
            </w:pPr>
            <w:r>
              <w:rPr>
                <w:rFonts w:ascii="Arial" w:cs="Arial" w:eastAsia="Arial" w:hAnsi="Arial"/>
                <w:sz w:val="14"/>
                <w:szCs w:val="14"/>
                <w:b w:val="1"/>
                <w:bCs w:val="1"/>
                <w:color w:val="4800E6"/>
              </w:rPr>
              <w:t>Position</w:t>
            </w:r>
          </w:p>
        </w:tc>
      </w:tr>
      <w:tr>
        <w:trPr>
          <w:trHeight w:val="221"/>
        </w:trPr>
        <w:tc>
          <w:tcPr>
            <w:tcW w:w="2280" w:type="dxa"/>
            <w:vAlign w:val="bottom"/>
          </w:tcPr>
          <w:p>
            <w:pPr>
              <w:ind w:left="60"/>
              <w:spacing w:after="0"/>
              <w:rPr>
                <w:sz w:val="20"/>
                <w:szCs w:val="20"/>
                <w:color w:val="auto"/>
              </w:rPr>
            </w:pPr>
            <w:r>
              <w:rPr>
                <w:rFonts w:ascii="Arial" w:cs="Arial" w:eastAsia="Arial" w:hAnsi="Arial"/>
                <w:sz w:val="15"/>
                <w:szCs w:val="15"/>
                <w:color w:val="auto"/>
              </w:rPr>
              <w:t>Damien McDonald</w:t>
            </w:r>
          </w:p>
        </w:tc>
        <w:tc>
          <w:tcPr>
            <w:tcW w:w="1460" w:type="dxa"/>
            <w:vAlign w:val="bottom"/>
          </w:tcPr>
          <w:p>
            <w:pPr>
              <w:jc w:val="center"/>
              <w:ind w:left="724"/>
              <w:spacing w:after="0"/>
              <w:rPr>
                <w:sz w:val="20"/>
                <w:szCs w:val="20"/>
                <w:color w:val="auto"/>
              </w:rPr>
            </w:pPr>
            <w:r>
              <w:rPr>
                <w:rFonts w:ascii="Arial" w:cs="Arial" w:eastAsia="Arial" w:hAnsi="Arial"/>
                <w:sz w:val="15"/>
                <w:szCs w:val="15"/>
                <w:color w:val="auto"/>
              </w:rPr>
              <w:t>55</w:t>
            </w:r>
          </w:p>
        </w:tc>
        <w:tc>
          <w:tcPr>
            <w:tcW w:w="5440" w:type="dxa"/>
            <w:vAlign w:val="bottom"/>
          </w:tcPr>
          <w:p>
            <w:pPr>
              <w:ind w:left="200"/>
              <w:spacing w:after="0"/>
              <w:rPr>
                <w:sz w:val="20"/>
                <w:szCs w:val="20"/>
                <w:color w:val="auto"/>
              </w:rPr>
            </w:pPr>
            <w:r>
              <w:rPr>
                <w:rFonts w:ascii="Arial" w:cs="Arial" w:eastAsia="Arial" w:hAnsi="Arial"/>
                <w:sz w:val="15"/>
                <w:szCs w:val="15"/>
                <w:color w:val="auto"/>
              </w:rPr>
              <w:t>Chief Executive Officer</w:t>
            </w:r>
          </w:p>
        </w:tc>
      </w:tr>
      <w:tr>
        <w:trPr>
          <w:trHeight w:val="35"/>
        </w:trPr>
        <w:tc>
          <w:tcPr>
            <w:tcW w:w="2280" w:type="dxa"/>
            <w:vAlign w:val="bottom"/>
          </w:tcPr>
          <w:p>
            <w:pPr>
              <w:spacing w:after="0"/>
              <w:rPr>
                <w:sz w:val="3"/>
                <w:szCs w:val="3"/>
                <w:color w:val="auto"/>
              </w:rPr>
            </w:pPr>
          </w:p>
        </w:tc>
        <w:tc>
          <w:tcPr>
            <w:tcW w:w="1460" w:type="dxa"/>
            <w:vAlign w:val="bottom"/>
          </w:tcPr>
          <w:p>
            <w:pPr>
              <w:spacing w:after="0"/>
              <w:rPr>
                <w:sz w:val="3"/>
                <w:szCs w:val="3"/>
                <w:color w:val="auto"/>
              </w:rPr>
            </w:pPr>
          </w:p>
        </w:tc>
        <w:tc>
          <w:tcPr>
            <w:tcW w:w="5440" w:type="dxa"/>
            <w:vAlign w:val="bottom"/>
          </w:tcPr>
          <w:p>
            <w:pPr>
              <w:spacing w:after="0"/>
              <w:rPr>
                <w:sz w:val="3"/>
                <w:szCs w:val="3"/>
                <w:color w:val="auto"/>
              </w:rPr>
            </w:pPr>
          </w:p>
        </w:tc>
      </w:tr>
      <w:tr>
        <w:trPr>
          <w:trHeight w:val="263"/>
        </w:trPr>
        <w:tc>
          <w:tcPr>
            <w:tcW w:w="2280" w:type="dxa"/>
            <w:vAlign w:val="bottom"/>
            <w:tcBorders>
              <w:bottom w:val="single" w:sz="8" w:color="EFE9FC"/>
            </w:tcBorders>
            <w:shd w:val="clear" w:color="auto" w:fill="EFE9FC"/>
          </w:tcPr>
          <w:p>
            <w:pPr>
              <w:ind w:left="60"/>
              <w:spacing w:after="0"/>
              <w:rPr>
                <w:sz w:val="20"/>
                <w:szCs w:val="20"/>
                <w:color w:val="auto"/>
              </w:rPr>
            </w:pPr>
            <w:r>
              <w:rPr>
                <w:rFonts w:ascii="Arial" w:cs="Arial" w:eastAsia="Arial" w:hAnsi="Arial"/>
                <w:sz w:val="15"/>
                <w:szCs w:val="15"/>
                <w:color w:val="auto"/>
              </w:rPr>
              <w:t>Thad Huston</w:t>
            </w:r>
          </w:p>
        </w:tc>
        <w:tc>
          <w:tcPr>
            <w:tcW w:w="1460" w:type="dxa"/>
            <w:vAlign w:val="bottom"/>
            <w:tcBorders>
              <w:bottom w:val="single" w:sz="8" w:color="EFE9FC"/>
            </w:tcBorders>
            <w:shd w:val="clear" w:color="auto" w:fill="EFE9FC"/>
          </w:tcPr>
          <w:p>
            <w:pPr>
              <w:jc w:val="center"/>
              <w:ind w:left="724"/>
              <w:spacing w:after="0"/>
              <w:rPr>
                <w:sz w:val="20"/>
                <w:szCs w:val="20"/>
                <w:color w:val="auto"/>
              </w:rPr>
            </w:pPr>
            <w:r>
              <w:rPr>
                <w:rFonts w:ascii="Arial" w:cs="Arial" w:eastAsia="Arial" w:hAnsi="Arial"/>
                <w:sz w:val="15"/>
                <w:szCs w:val="15"/>
                <w:color w:val="auto"/>
              </w:rPr>
              <w:t>50</w:t>
            </w:r>
          </w:p>
        </w:tc>
        <w:tc>
          <w:tcPr>
            <w:tcW w:w="5440" w:type="dxa"/>
            <w:vAlign w:val="bottom"/>
            <w:tcBorders>
              <w:bottom w:val="single" w:sz="8" w:color="EFE9FC"/>
            </w:tcBorders>
            <w:shd w:val="clear" w:color="auto" w:fill="EFE9FC"/>
          </w:tcPr>
          <w:p>
            <w:pPr>
              <w:ind w:left="200"/>
              <w:spacing w:after="0"/>
              <w:rPr>
                <w:sz w:val="20"/>
                <w:szCs w:val="20"/>
                <w:color w:val="auto"/>
              </w:rPr>
            </w:pPr>
            <w:r>
              <w:rPr>
                <w:rFonts w:ascii="Arial" w:cs="Arial" w:eastAsia="Arial" w:hAnsi="Arial"/>
                <w:sz w:val="15"/>
                <w:szCs w:val="15"/>
                <w:color w:val="auto"/>
              </w:rPr>
              <w:t>Chief Financial Officer</w:t>
            </w:r>
          </w:p>
        </w:tc>
      </w:tr>
      <w:tr>
        <w:trPr>
          <w:trHeight w:val="222"/>
        </w:trPr>
        <w:tc>
          <w:tcPr>
            <w:tcW w:w="2280" w:type="dxa"/>
            <w:vAlign w:val="bottom"/>
          </w:tcPr>
          <w:p>
            <w:pPr>
              <w:ind w:left="60"/>
              <w:spacing w:after="0"/>
              <w:rPr>
                <w:sz w:val="20"/>
                <w:szCs w:val="20"/>
                <w:color w:val="auto"/>
              </w:rPr>
            </w:pPr>
            <w:r>
              <w:rPr>
                <w:rFonts w:ascii="Arial" w:cs="Arial" w:eastAsia="Arial" w:hAnsi="Arial"/>
                <w:sz w:val="15"/>
                <w:szCs w:val="15"/>
                <w:color w:val="auto"/>
              </w:rPr>
              <w:t>Keyna Skeffington</w:t>
            </w:r>
          </w:p>
        </w:tc>
        <w:tc>
          <w:tcPr>
            <w:tcW w:w="1460" w:type="dxa"/>
            <w:vAlign w:val="bottom"/>
          </w:tcPr>
          <w:p>
            <w:pPr>
              <w:jc w:val="center"/>
              <w:ind w:left="724"/>
              <w:spacing w:after="0"/>
              <w:rPr>
                <w:sz w:val="20"/>
                <w:szCs w:val="20"/>
                <w:color w:val="auto"/>
              </w:rPr>
            </w:pPr>
            <w:r>
              <w:rPr>
                <w:rFonts w:ascii="Arial" w:cs="Arial" w:eastAsia="Arial" w:hAnsi="Arial"/>
                <w:sz w:val="15"/>
                <w:szCs w:val="15"/>
                <w:color w:val="auto"/>
              </w:rPr>
              <w:t>58</w:t>
            </w:r>
          </w:p>
        </w:tc>
        <w:tc>
          <w:tcPr>
            <w:tcW w:w="5440" w:type="dxa"/>
            <w:vAlign w:val="bottom"/>
          </w:tcPr>
          <w:p>
            <w:pPr>
              <w:ind w:left="200"/>
              <w:spacing w:after="0"/>
              <w:rPr>
                <w:sz w:val="20"/>
                <w:szCs w:val="20"/>
                <w:color w:val="auto"/>
              </w:rPr>
            </w:pPr>
            <w:r>
              <w:rPr>
                <w:rFonts w:ascii="Arial" w:cs="Arial" w:eastAsia="Arial" w:hAnsi="Arial"/>
                <w:sz w:val="15"/>
                <w:szCs w:val="15"/>
                <w:color w:val="auto"/>
              </w:rPr>
              <w:t>Senior Vice President, General Counsel and Company Secretary</w:t>
            </w:r>
          </w:p>
        </w:tc>
      </w:tr>
      <w:tr>
        <w:trPr>
          <w:trHeight w:val="35"/>
        </w:trPr>
        <w:tc>
          <w:tcPr>
            <w:tcW w:w="2280" w:type="dxa"/>
            <w:vAlign w:val="bottom"/>
          </w:tcPr>
          <w:p>
            <w:pPr>
              <w:spacing w:after="0"/>
              <w:rPr>
                <w:sz w:val="3"/>
                <w:szCs w:val="3"/>
                <w:color w:val="auto"/>
              </w:rPr>
            </w:pPr>
          </w:p>
        </w:tc>
        <w:tc>
          <w:tcPr>
            <w:tcW w:w="1460" w:type="dxa"/>
            <w:vAlign w:val="bottom"/>
          </w:tcPr>
          <w:p>
            <w:pPr>
              <w:spacing w:after="0"/>
              <w:rPr>
                <w:sz w:val="3"/>
                <w:szCs w:val="3"/>
                <w:color w:val="auto"/>
              </w:rPr>
            </w:pPr>
          </w:p>
        </w:tc>
        <w:tc>
          <w:tcPr>
            <w:tcW w:w="5440" w:type="dxa"/>
            <w:vAlign w:val="bottom"/>
          </w:tcPr>
          <w:p>
            <w:pPr>
              <w:spacing w:after="0"/>
              <w:rPr>
                <w:sz w:val="3"/>
                <w:szCs w:val="3"/>
                <w:color w:val="auto"/>
              </w:rPr>
            </w:pPr>
          </w:p>
        </w:tc>
      </w:tr>
      <w:tr>
        <w:trPr>
          <w:trHeight w:val="263"/>
        </w:trPr>
        <w:tc>
          <w:tcPr>
            <w:tcW w:w="2280" w:type="dxa"/>
            <w:vAlign w:val="bottom"/>
            <w:tcBorders>
              <w:bottom w:val="single" w:sz="8" w:color="EFE9FC"/>
            </w:tcBorders>
            <w:shd w:val="clear" w:color="auto" w:fill="EFE9FC"/>
          </w:tcPr>
          <w:p>
            <w:pPr>
              <w:ind w:left="60"/>
              <w:spacing w:after="0"/>
              <w:rPr>
                <w:sz w:val="20"/>
                <w:szCs w:val="20"/>
                <w:color w:val="auto"/>
              </w:rPr>
            </w:pPr>
            <w:r>
              <w:rPr>
                <w:rFonts w:ascii="Arial" w:cs="Arial" w:eastAsia="Arial" w:hAnsi="Arial"/>
                <w:sz w:val="15"/>
                <w:szCs w:val="15"/>
                <w:color w:val="auto"/>
              </w:rPr>
              <w:t>Edward Andrle</w:t>
            </w:r>
          </w:p>
        </w:tc>
        <w:tc>
          <w:tcPr>
            <w:tcW w:w="1460" w:type="dxa"/>
            <w:vAlign w:val="bottom"/>
            <w:tcBorders>
              <w:bottom w:val="single" w:sz="8" w:color="EFE9FC"/>
            </w:tcBorders>
            <w:shd w:val="clear" w:color="auto" w:fill="EFE9FC"/>
          </w:tcPr>
          <w:p>
            <w:pPr>
              <w:jc w:val="center"/>
              <w:ind w:left="724"/>
              <w:spacing w:after="0"/>
              <w:rPr>
                <w:sz w:val="20"/>
                <w:szCs w:val="20"/>
                <w:color w:val="auto"/>
              </w:rPr>
            </w:pPr>
            <w:r>
              <w:rPr>
                <w:rFonts w:ascii="Arial" w:cs="Arial" w:eastAsia="Arial" w:hAnsi="Arial"/>
                <w:sz w:val="15"/>
                <w:szCs w:val="15"/>
                <w:color w:val="auto"/>
              </w:rPr>
              <w:t>62</w:t>
            </w:r>
          </w:p>
        </w:tc>
        <w:tc>
          <w:tcPr>
            <w:tcW w:w="5440" w:type="dxa"/>
            <w:vAlign w:val="bottom"/>
            <w:tcBorders>
              <w:bottom w:val="single" w:sz="8" w:color="EFE9FC"/>
            </w:tcBorders>
            <w:shd w:val="clear" w:color="auto" w:fill="EFE9FC"/>
          </w:tcPr>
          <w:p>
            <w:pPr>
              <w:ind w:left="200"/>
              <w:spacing w:after="0"/>
              <w:rPr>
                <w:sz w:val="20"/>
                <w:szCs w:val="20"/>
                <w:color w:val="auto"/>
              </w:rPr>
            </w:pPr>
            <w:r>
              <w:rPr>
                <w:rFonts w:ascii="Arial" w:cs="Arial" w:eastAsia="Arial" w:hAnsi="Arial"/>
                <w:sz w:val="15"/>
                <w:szCs w:val="15"/>
                <w:color w:val="auto"/>
              </w:rPr>
              <w:t>Former General Manager, Neuromodulation Franchise</w:t>
            </w:r>
          </w:p>
        </w:tc>
      </w:tr>
      <w:tr>
        <w:trPr>
          <w:trHeight w:val="222"/>
        </w:trPr>
        <w:tc>
          <w:tcPr>
            <w:tcW w:w="2280" w:type="dxa"/>
            <w:vAlign w:val="bottom"/>
          </w:tcPr>
          <w:p>
            <w:pPr>
              <w:ind w:left="60"/>
              <w:spacing w:after="0"/>
              <w:rPr>
                <w:sz w:val="20"/>
                <w:szCs w:val="20"/>
                <w:color w:val="auto"/>
              </w:rPr>
            </w:pPr>
            <w:r>
              <w:rPr>
                <w:rFonts w:ascii="Arial" w:cs="Arial" w:eastAsia="Arial" w:hAnsi="Arial"/>
                <w:sz w:val="15"/>
                <w:szCs w:val="15"/>
                <w:color w:val="auto"/>
              </w:rPr>
              <w:t>Alistair Simpson</w:t>
            </w:r>
          </w:p>
        </w:tc>
        <w:tc>
          <w:tcPr>
            <w:tcW w:w="1460" w:type="dxa"/>
            <w:vAlign w:val="bottom"/>
          </w:tcPr>
          <w:p>
            <w:pPr>
              <w:jc w:val="center"/>
              <w:ind w:left="724"/>
              <w:spacing w:after="0"/>
              <w:rPr>
                <w:sz w:val="20"/>
                <w:szCs w:val="20"/>
                <w:color w:val="auto"/>
              </w:rPr>
            </w:pPr>
            <w:r>
              <w:rPr>
                <w:rFonts w:ascii="Arial" w:cs="Arial" w:eastAsia="Arial" w:hAnsi="Arial"/>
                <w:sz w:val="15"/>
                <w:szCs w:val="15"/>
                <w:color w:val="auto"/>
              </w:rPr>
              <w:t>50</w:t>
            </w:r>
          </w:p>
        </w:tc>
        <w:tc>
          <w:tcPr>
            <w:tcW w:w="5440" w:type="dxa"/>
            <w:vAlign w:val="bottom"/>
          </w:tcPr>
          <w:p>
            <w:pPr>
              <w:ind w:left="200"/>
              <w:spacing w:after="0"/>
              <w:rPr>
                <w:sz w:val="20"/>
                <w:szCs w:val="20"/>
                <w:color w:val="auto"/>
              </w:rPr>
            </w:pPr>
            <w:r>
              <w:rPr>
                <w:rFonts w:ascii="Arial" w:cs="Arial" w:eastAsia="Arial" w:hAnsi="Arial"/>
                <w:sz w:val="15"/>
                <w:szCs w:val="15"/>
                <w:color w:val="auto"/>
              </w:rPr>
              <w:t>Former General Manager, Cardiovascular Franchise</w:t>
            </w:r>
          </w:p>
        </w:tc>
      </w:tr>
      <w:tr>
        <w:trPr>
          <w:trHeight w:val="35"/>
        </w:trPr>
        <w:tc>
          <w:tcPr>
            <w:tcW w:w="2280" w:type="dxa"/>
            <w:vAlign w:val="bottom"/>
          </w:tcPr>
          <w:p>
            <w:pPr>
              <w:spacing w:after="0"/>
              <w:rPr>
                <w:sz w:val="3"/>
                <w:szCs w:val="3"/>
                <w:color w:val="auto"/>
              </w:rPr>
            </w:pPr>
          </w:p>
        </w:tc>
        <w:tc>
          <w:tcPr>
            <w:tcW w:w="1460" w:type="dxa"/>
            <w:vAlign w:val="bottom"/>
          </w:tcPr>
          <w:p>
            <w:pPr>
              <w:spacing w:after="0"/>
              <w:rPr>
                <w:sz w:val="3"/>
                <w:szCs w:val="3"/>
                <w:color w:val="auto"/>
              </w:rPr>
            </w:pPr>
          </w:p>
        </w:tc>
        <w:tc>
          <w:tcPr>
            <w:tcW w:w="5440" w:type="dxa"/>
            <w:vAlign w:val="bottom"/>
          </w:tcPr>
          <w:p>
            <w:pPr>
              <w:spacing w:after="0"/>
              <w:rPr>
                <w:sz w:val="3"/>
                <w:szCs w:val="3"/>
                <w:color w:val="auto"/>
              </w:rPr>
            </w:pPr>
          </w:p>
        </w:tc>
      </w:tr>
      <w:tr>
        <w:trPr>
          <w:trHeight w:val="263"/>
        </w:trPr>
        <w:tc>
          <w:tcPr>
            <w:tcW w:w="2280" w:type="dxa"/>
            <w:vAlign w:val="bottom"/>
            <w:tcBorders>
              <w:bottom w:val="single" w:sz="8" w:color="EFE9FC"/>
            </w:tcBorders>
            <w:shd w:val="clear" w:color="auto" w:fill="EFE9FC"/>
          </w:tcPr>
          <w:p>
            <w:pPr>
              <w:ind w:left="60"/>
              <w:spacing w:after="0"/>
              <w:rPr>
                <w:sz w:val="20"/>
                <w:szCs w:val="20"/>
                <w:color w:val="auto"/>
              </w:rPr>
            </w:pPr>
            <w:r>
              <w:rPr>
                <w:rFonts w:ascii="Arial" w:cs="Arial" w:eastAsia="Arial" w:hAnsi="Arial"/>
                <w:sz w:val="15"/>
                <w:szCs w:val="15"/>
                <w:color w:val="auto"/>
              </w:rPr>
              <w:t>Marco Dolci</w:t>
            </w:r>
          </w:p>
        </w:tc>
        <w:tc>
          <w:tcPr>
            <w:tcW w:w="1460" w:type="dxa"/>
            <w:vAlign w:val="bottom"/>
            <w:tcBorders>
              <w:bottom w:val="single" w:sz="8" w:color="EFE9FC"/>
            </w:tcBorders>
            <w:shd w:val="clear" w:color="auto" w:fill="EFE9FC"/>
          </w:tcPr>
          <w:p>
            <w:pPr>
              <w:jc w:val="center"/>
              <w:ind w:left="724"/>
              <w:spacing w:after="0"/>
              <w:rPr>
                <w:sz w:val="20"/>
                <w:szCs w:val="20"/>
                <w:color w:val="auto"/>
              </w:rPr>
            </w:pPr>
            <w:r>
              <w:rPr>
                <w:rFonts w:ascii="Arial" w:cs="Arial" w:eastAsia="Arial" w:hAnsi="Arial"/>
                <w:sz w:val="15"/>
                <w:szCs w:val="15"/>
                <w:color w:val="auto"/>
              </w:rPr>
              <w:t>58</w:t>
            </w:r>
          </w:p>
        </w:tc>
        <w:tc>
          <w:tcPr>
            <w:tcW w:w="5440" w:type="dxa"/>
            <w:vAlign w:val="bottom"/>
            <w:tcBorders>
              <w:bottom w:val="single" w:sz="8" w:color="EFE9FC"/>
            </w:tcBorders>
            <w:shd w:val="clear" w:color="auto" w:fill="EFE9FC"/>
          </w:tcPr>
          <w:p>
            <w:pPr>
              <w:ind w:left="200"/>
              <w:spacing w:after="0"/>
              <w:rPr>
                <w:sz w:val="20"/>
                <w:szCs w:val="20"/>
                <w:color w:val="auto"/>
              </w:rPr>
            </w:pPr>
            <w:r>
              <w:rPr>
                <w:rFonts w:ascii="Arial" w:cs="Arial" w:eastAsia="Arial" w:hAnsi="Arial"/>
                <w:sz w:val="15"/>
                <w:szCs w:val="15"/>
                <w:color w:val="auto"/>
              </w:rPr>
              <w:t>Head of Global Operations and R&amp;D</w:t>
            </w:r>
          </w:p>
        </w:tc>
      </w:tr>
      <w:tr>
        <w:trPr>
          <w:trHeight w:val="222"/>
        </w:trPr>
        <w:tc>
          <w:tcPr>
            <w:tcW w:w="2280" w:type="dxa"/>
            <w:vAlign w:val="bottom"/>
          </w:tcPr>
          <w:p>
            <w:pPr>
              <w:ind w:left="60"/>
              <w:spacing w:after="0"/>
              <w:rPr>
                <w:sz w:val="20"/>
                <w:szCs w:val="20"/>
                <w:color w:val="auto"/>
              </w:rPr>
            </w:pPr>
            <w:r>
              <w:rPr>
                <w:rFonts w:ascii="Arial" w:cs="Arial" w:eastAsia="Arial" w:hAnsi="Arial"/>
                <w:sz w:val="15"/>
                <w:szCs w:val="15"/>
                <w:color w:val="auto"/>
              </w:rPr>
              <w:t>Trui Hebbelinck</w:t>
            </w:r>
          </w:p>
        </w:tc>
        <w:tc>
          <w:tcPr>
            <w:tcW w:w="1460" w:type="dxa"/>
            <w:vAlign w:val="bottom"/>
          </w:tcPr>
          <w:p>
            <w:pPr>
              <w:jc w:val="center"/>
              <w:ind w:left="724"/>
              <w:spacing w:after="0"/>
              <w:rPr>
                <w:sz w:val="20"/>
                <w:szCs w:val="20"/>
                <w:color w:val="auto"/>
              </w:rPr>
            </w:pPr>
            <w:r>
              <w:rPr>
                <w:rFonts w:ascii="Arial" w:cs="Arial" w:eastAsia="Arial" w:hAnsi="Arial"/>
                <w:sz w:val="15"/>
                <w:szCs w:val="15"/>
                <w:color w:val="auto"/>
              </w:rPr>
              <w:t>48</w:t>
            </w:r>
          </w:p>
        </w:tc>
        <w:tc>
          <w:tcPr>
            <w:tcW w:w="5440" w:type="dxa"/>
            <w:vAlign w:val="bottom"/>
          </w:tcPr>
          <w:p>
            <w:pPr>
              <w:ind w:left="200"/>
              <w:spacing w:after="0"/>
              <w:rPr>
                <w:sz w:val="20"/>
                <w:szCs w:val="20"/>
                <w:color w:val="auto"/>
              </w:rPr>
            </w:pPr>
            <w:r>
              <w:rPr>
                <w:rFonts w:ascii="Arial" w:cs="Arial" w:eastAsia="Arial" w:hAnsi="Arial"/>
                <w:sz w:val="15"/>
                <w:szCs w:val="15"/>
                <w:color w:val="auto"/>
              </w:rPr>
              <w:t>Chief Human Resources Officer</w:t>
            </w:r>
          </w:p>
        </w:tc>
      </w:tr>
      <w:tr>
        <w:trPr>
          <w:trHeight w:val="35"/>
        </w:trPr>
        <w:tc>
          <w:tcPr>
            <w:tcW w:w="2280" w:type="dxa"/>
            <w:vAlign w:val="bottom"/>
          </w:tcPr>
          <w:p>
            <w:pPr>
              <w:spacing w:after="0"/>
              <w:rPr>
                <w:sz w:val="3"/>
                <w:szCs w:val="3"/>
                <w:color w:val="auto"/>
              </w:rPr>
            </w:pPr>
          </w:p>
        </w:tc>
        <w:tc>
          <w:tcPr>
            <w:tcW w:w="1460" w:type="dxa"/>
            <w:vAlign w:val="bottom"/>
          </w:tcPr>
          <w:p>
            <w:pPr>
              <w:spacing w:after="0"/>
              <w:rPr>
                <w:sz w:val="3"/>
                <w:szCs w:val="3"/>
                <w:color w:val="auto"/>
              </w:rPr>
            </w:pPr>
          </w:p>
        </w:tc>
        <w:tc>
          <w:tcPr>
            <w:tcW w:w="5440" w:type="dxa"/>
            <w:vAlign w:val="bottom"/>
          </w:tcPr>
          <w:p>
            <w:pPr>
              <w:spacing w:after="0"/>
              <w:rPr>
                <w:sz w:val="3"/>
                <w:szCs w:val="3"/>
                <w:color w:val="auto"/>
              </w:rPr>
            </w:pPr>
          </w:p>
        </w:tc>
      </w:tr>
      <w:tr>
        <w:trPr>
          <w:trHeight w:val="250"/>
        </w:trPr>
        <w:tc>
          <w:tcPr>
            <w:tcW w:w="2280" w:type="dxa"/>
            <w:vAlign w:val="bottom"/>
            <w:tcBorders>
              <w:bottom w:val="single" w:sz="8" w:color="EFE9FC"/>
            </w:tcBorders>
            <w:shd w:val="clear" w:color="auto" w:fill="EFE9FC"/>
          </w:tcPr>
          <w:p>
            <w:pPr>
              <w:ind w:left="60"/>
              <w:spacing w:after="0"/>
              <w:rPr>
                <w:sz w:val="20"/>
                <w:szCs w:val="20"/>
                <w:color w:val="auto"/>
              </w:rPr>
            </w:pPr>
            <w:r>
              <w:rPr>
                <w:rFonts w:ascii="Arial" w:cs="Arial" w:eastAsia="Arial" w:hAnsi="Arial"/>
                <w:sz w:val="15"/>
                <w:szCs w:val="15"/>
                <w:color w:val="auto"/>
              </w:rPr>
              <w:t>Roy Khoury</w:t>
            </w:r>
          </w:p>
        </w:tc>
        <w:tc>
          <w:tcPr>
            <w:tcW w:w="1460" w:type="dxa"/>
            <w:vAlign w:val="bottom"/>
            <w:tcBorders>
              <w:bottom w:val="single" w:sz="8" w:color="EFE9FC"/>
            </w:tcBorders>
            <w:shd w:val="clear" w:color="auto" w:fill="EFE9FC"/>
          </w:tcPr>
          <w:p>
            <w:pPr>
              <w:jc w:val="center"/>
              <w:ind w:left="724"/>
              <w:spacing w:after="0"/>
              <w:rPr>
                <w:sz w:val="20"/>
                <w:szCs w:val="20"/>
                <w:color w:val="auto"/>
              </w:rPr>
            </w:pPr>
            <w:r>
              <w:rPr>
                <w:rFonts w:ascii="Arial" w:cs="Arial" w:eastAsia="Arial" w:hAnsi="Arial"/>
                <w:sz w:val="15"/>
                <w:szCs w:val="15"/>
                <w:color w:val="auto"/>
              </w:rPr>
              <w:t>46</w:t>
            </w:r>
          </w:p>
        </w:tc>
        <w:tc>
          <w:tcPr>
            <w:tcW w:w="5440" w:type="dxa"/>
            <w:vAlign w:val="bottom"/>
            <w:tcBorders>
              <w:bottom w:val="single" w:sz="8" w:color="EFE9FC"/>
            </w:tcBorders>
            <w:shd w:val="clear" w:color="auto" w:fill="EFE9FC"/>
          </w:tcPr>
          <w:p>
            <w:pPr>
              <w:ind w:left="200"/>
              <w:spacing w:after="0"/>
              <w:rPr>
                <w:sz w:val="20"/>
                <w:szCs w:val="20"/>
                <w:color w:val="auto"/>
              </w:rPr>
            </w:pPr>
            <w:r>
              <w:rPr>
                <w:rFonts w:ascii="Arial" w:cs="Arial" w:eastAsia="Arial" w:hAnsi="Arial"/>
                <w:sz w:val="15"/>
                <w:szCs w:val="15"/>
                <w:color w:val="auto"/>
              </w:rPr>
              <w:t>President, International, Senior Vice President, Global Strategic Marketing</w:t>
            </w:r>
          </w:p>
        </w:tc>
      </w:tr>
      <w:tr>
        <w:trPr>
          <w:trHeight w:val="20"/>
        </w:trPr>
        <w:tc>
          <w:tcPr>
            <w:tcW w:w="2280" w:type="dxa"/>
            <w:vAlign w:val="bottom"/>
            <w:shd w:val="clear" w:color="auto" w:fill="4800E6"/>
          </w:tcPr>
          <w:p>
            <w:pPr>
              <w:spacing w:after="0" w:line="20" w:lineRule="exact"/>
              <w:rPr>
                <w:sz w:val="1"/>
                <w:szCs w:val="1"/>
                <w:color w:val="auto"/>
              </w:rPr>
            </w:pPr>
          </w:p>
        </w:tc>
        <w:tc>
          <w:tcPr>
            <w:tcW w:w="1460" w:type="dxa"/>
            <w:vAlign w:val="bottom"/>
            <w:shd w:val="clear" w:color="auto" w:fill="4800E6"/>
          </w:tcPr>
          <w:p>
            <w:pPr>
              <w:spacing w:after="0" w:line="20" w:lineRule="exact"/>
              <w:rPr>
                <w:sz w:val="1"/>
                <w:szCs w:val="1"/>
                <w:color w:val="auto"/>
              </w:rPr>
            </w:pPr>
          </w:p>
        </w:tc>
        <w:tc>
          <w:tcPr>
            <w:tcW w:w="5440" w:type="dxa"/>
            <w:vAlign w:val="bottom"/>
            <w:shd w:val="clear" w:color="auto" w:fill="4800E6"/>
          </w:tcPr>
          <w:p>
            <w:pPr>
              <w:spacing w:after="0" w:line="20" w:lineRule="exact"/>
              <w:rPr>
                <w:sz w:val="1"/>
                <w:szCs w:val="1"/>
                <w:color w:val="auto"/>
              </w:rPr>
            </w:pPr>
          </w:p>
        </w:tc>
      </w:tr>
    </w:tbl>
    <w:p>
      <w:pPr>
        <w:spacing w:after="0" w:line="63" w:lineRule="exact"/>
        <w:rPr>
          <w:sz w:val="20"/>
          <w:szCs w:val="20"/>
          <w:color w:val="auto"/>
        </w:rPr>
      </w:pPr>
    </w:p>
    <w:p>
      <w:pPr>
        <w:ind w:left="760" w:right="799"/>
        <w:spacing w:after="0" w:line="286" w:lineRule="auto"/>
        <w:rPr>
          <w:sz w:val="20"/>
          <w:szCs w:val="20"/>
          <w:color w:val="auto"/>
        </w:rPr>
      </w:pPr>
      <w:r>
        <w:rPr>
          <w:rFonts w:ascii="Arial" w:cs="Arial" w:eastAsia="Arial" w:hAnsi="Arial"/>
          <w:sz w:val="16"/>
          <w:szCs w:val="16"/>
          <w:b w:val="1"/>
          <w:bCs w:val="1"/>
          <w:color w:val="auto"/>
        </w:rPr>
        <w:t>Damien McDonald</w:t>
      </w:r>
      <w:r>
        <w:rPr>
          <w:rFonts w:ascii="Arial" w:cs="Arial" w:eastAsia="Arial" w:hAnsi="Arial"/>
          <w:sz w:val="16"/>
          <w:szCs w:val="16"/>
          <w:color w:val="auto"/>
        </w:rPr>
        <w:t>’s biographical information is set forth under “</w:t>
      </w:r>
      <w:r>
        <w:rPr>
          <w:rFonts w:ascii="Arial" w:cs="Arial" w:eastAsia="Arial" w:hAnsi="Arial"/>
          <w:sz w:val="16"/>
          <w:szCs w:val="16"/>
          <w:i w:val="1"/>
          <w:iCs w:val="1"/>
          <w:color w:val="auto"/>
        </w:rPr>
        <w:t>Background Information Regarding Directors and Director</w:t>
      </w:r>
      <w:r>
        <w:rPr>
          <w:rFonts w:ascii="Arial" w:cs="Arial" w:eastAsia="Arial" w:hAnsi="Arial"/>
          <w:sz w:val="16"/>
          <w:szCs w:val="16"/>
          <w:b w:val="1"/>
          <w:bCs w:val="1"/>
          <w:color w:val="auto"/>
        </w:rPr>
        <w:t xml:space="preserve"> </w:t>
      </w:r>
      <w:r>
        <w:rPr>
          <w:rFonts w:ascii="Arial" w:cs="Arial" w:eastAsia="Arial" w:hAnsi="Arial"/>
          <w:sz w:val="16"/>
          <w:szCs w:val="16"/>
          <w:i w:val="1"/>
          <w:iCs w:val="1"/>
          <w:color w:val="auto"/>
        </w:rPr>
        <w:t>Nominees.”</w:t>
      </w:r>
    </w:p>
    <w:p>
      <w:pPr>
        <w:spacing w:after="0" w:line="21" w:lineRule="exact"/>
        <w:rPr>
          <w:sz w:val="20"/>
          <w:szCs w:val="20"/>
          <w:color w:val="auto"/>
        </w:rPr>
      </w:pPr>
    </w:p>
    <w:p>
      <w:pPr>
        <w:ind w:left="760" w:right="239"/>
        <w:spacing w:after="0" w:line="252" w:lineRule="auto"/>
        <w:rPr>
          <w:sz w:val="20"/>
          <w:szCs w:val="20"/>
          <w:color w:val="auto"/>
        </w:rPr>
      </w:pPr>
      <w:r>
        <w:rPr>
          <w:rFonts w:ascii="Arial" w:cs="Arial" w:eastAsia="Arial" w:hAnsi="Arial"/>
          <w:sz w:val="16"/>
          <w:szCs w:val="16"/>
          <w:b w:val="1"/>
          <w:bCs w:val="1"/>
          <w:color w:val="auto"/>
        </w:rPr>
        <w:t xml:space="preserve">Thad Huston </w:t>
      </w:r>
      <w:r>
        <w:rPr>
          <w:rFonts w:ascii="Arial" w:cs="Arial" w:eastAsia="Arial" w:hAnsi="Arial"/>
          <w:sz w:val="16"/>
          <w:szCs w:val="16"/>
          <w:color w:val="auto"/>
        </w:rPr>
        <w:t>joined LivaNova in May 2017 as Chief Financial Officer. Mr. Huston served as Group Chief Financial Officer, Medical</w:t>
      </w:r>
      <w:r>
        <w:rPr>
          <w:rFonts w:ascii="Arial" w:cs="Arial" w:eastAsia="Arial" w:hAnsi="Arial"/>
          <w:sz w:val="16"/>
          <w:szCs w:val="16"/>
          <w:b w:val="1"/>
          <w:bCs w:val="1"/>
          <w:color w:val="auto"/>
        </w:rPr>
        <w:t xml:space="preserve"> </w:t>
      </w:r>
      <w:r>
        <w:rPr>
          <w:rFonts w:ascii="Arial" w:cs="Arial" w:eastAsia="Arial" w:hAnsi="Arial"/>
          <w:sz w:val="16"/>
          <w:szCs w:val="16"/>
          <w:color w:val="auto"/>
        </w:rPr>
        <w:t>Devices &amp; Global Surgery Group at Johnson &amp; Johnson, a global consumer health products company, from 2013 to 2017. From 2010 to 2013, Mr. Huston served as President of Johnson &amp; Johnson’s Xian-Janssen Pharmaceuticals division in China. Prior to this, Mr. Huston served as Vice President, Finance, Chief Financial Officer and Chief Operations Officer in Johnson &amp; Johnson’s Pharmaceutical Research and Development division and as Vice President, Finance and Chief Financial Officer at Ortho-McNeil Pharmaceuticals. Prior to this, he held senior financial roles at various Johnson &amp; Johnson locations in the US, China, Belgium, Russia and Hungary. Mr. Huston holds a bachelor’s degree in Finance from Pennsylvania State University. He is a Certified Management Accountant.</w:t>
      </w:r>
    </w:p>
    <w:p>
      <w:pPr>
        <w:spacing w:after="0" w:line="61" w:lineRule="exact"/>
        <w:rPr>
          <w:sz w:val="20"/>
          <w:szCs w:val="20"/>
          <w:color w:val="auto"/>
        </w:rPr>
      </w:pPr>
    </w:p>
    <w:p>
      <w:pPr>
        <w:ind w:left="760" w:right="379"/>
        <w:spacing w:after="0" w:line="254" w:lineRule="auto"/>
        <w:rPr>
          <w:sz w:val="20"/>
          <w:szCs w:val="20"/>
          <w:color w:val="auto"/>
        </w:rPr>
      </w:pPr>
      <w:r>
        <w:rPr>
          <w:rFonts w:ascii="Arial" w:cs="Arial" w:eastAsia="Arial" w:hAnsi="Arial"/>
          <w:sz w:val="16"/>
          <w:szCs w:val="16"/>
          <w:b w:val="1"/>
          <w:bCs w:val="1"/>
          <w:color w:val="auto"/>
        </w:rPr>
        <w:t xml:space="preserve">Keyna Skeffington </w:t>
      </w:r>
      <w:r>
        <w:rPr>
          <w:rFonts w:ascii="Arial" w:cs="Arial" w:eastAsia="Arial" w:hAnsi="Arial"/>
          <w:sz w:val="16"/>
          <w:szCs w:val="16"/>
          <w:color w:val="auto"/>
        </w:rPr>
        <w:t>joined LivaNova in June 2017 in the role of Senior Vice President and General Counsel and became</w:t>
      </w:r>
      <w:r>
        <w:rPr>
          <w:rFonts w:ascii="Arial" w:cs="Arial" w:eastAsia="Arial" w:hAnsi="Arial"/>
          <w:sz w:val="16"/>
          <w:szCs w:val="16"/>
          <w:b w:val="1"/>
          <w:bCs w:val="1"/>
          <w:color w:val="auto"/>
        </w:rPr>
        <w:t xml:space="preserve"> </w:t>
      </w:r>
      <w:r>
        <w:rPr>
          <w:rFonts w:ascii="Arial" w:cs="Arial" w:eastAsia="Arial" w:hAnsi="Arial"/>
          <w:sz w:val="16"/>
          <w:szCs w:val="16"/>
          <w:color w:val="auto"/>
        </w:rPr>
        <w:t>Company Secretary in October 2019. Prior to joining the Company, Ms. Skeffington served in various roles at Medtronic Plc from 2004 to 2017, most recently as Vice President of Legal – Corporate and Securities and Assistant Secretary (2006 to 2017). She also served as Senior Legal Counsel for Medtronic’s Cardiac Surgery Business from 2005 to 2006. Before joining Medtronic, Ms. Skeffington was a Partner at the firm now known as Faegre Drinker Biddle &amp; Reath LLP. Ms. Skeffington holds a BA in International Relations and Russian from Mount Holyoke College and a JD from Tulane University Law School.</w:t>
      </w:r>
    </w:p>
    <w:p>
      <w:pPr>
        <w:spacing w:after="0" w:line="60" w:lineRule="exact"/>
        <w:rPr>
          <w:sz w:val="20"/>
          <w:szCs w:val="20"/>
          <w:color w:val="auto"/>
        </w:rPr>
      </w:pPr>
    </w:p>
    <w:p>
      <w:pPr>
        <w:ind w:left="760" w:right="279"/>
        <w:spacing w:after="0" w:line="252" w:lineRule="auto"/>
        <w:rPr>
          <w:sz w:val="20"/>
          <w:szCs w:val="20"/>
          <w:color w:val="auto"/>
        </w:rPr>
      </w:pPr>
      <w:r>
        <w:rPr>
          <w:rFonts w:ascii="Arial" w:cs="Arial" w:eastAsia="Arial" w:hAnsi="Arial"/>
          <w:sz w:val="16"/>
          <w:szCs w:val="16"/>
          <w:b w:val="1"/>
          <w:bCs w:val="1"/>
          <w:color w:val="auto"/>
        </w:rPr>
        <w:t xml:space="preserve">Edward Andrle </w:t>
      </w:r>
      <w:r>
        <w:rPr>
          <w:rFonts w:ascii="Arial" w:cs="Arial" w:eastAsia="Arial" w:hAnsi="Arial"/>
          <w:sz w:val="16"/>
          <w:szCs w:val="16"/>
          <w:color w:val="auto"/>
        </w:rPr>
        <w:t>joined LivaNova in 2015 when Cyberonics merged with Sorin to form the Company. Mr. Andrle now serves as a</w:t>
      </w:r>
      <w:r>
        <w:rPr>
          <w:rFonts w:ascii="Arial" w:cs="Arial" w:eastAsia="Arial" w:hAnsi="Arial"/>
          <w:sz w:val="16"/>
          <w:szCs w:val="16"/>
          <w:b w:val="1"/>
          <w:bCs w:val="1"/>
          <w:color w:val="auto"/>
        </w:rPr>
        <w:t xml:space="preserve"> </w:t>
      </w:r>
      <w:r>
        <w:rPr>
          <w:rFonts w:ascii="Arial" w:cs="Arial" w:eastAsia="Arial" w:hAnsi="Arial"/>
          <w:sz w:val="16"/>
          <w:szCs w:val="16"/>
          <w:color w:val="auto"/>
        </w:rPr>
        <w:t>special advisor to the Company, a role he has had since January 1, 2020. Mr. Andrle’s initial role with the Company was as General Manager of the Neuromodulation franchise. At Sorin, Mr. Andrle served as Vice-President of Strategy &amp; Business Development. Prior to joining Sorin, he co-founded, developed and sold three medical device companies:TERAMED focused on an endovascular system to treat abdominal aortic aneurysms and was acquired by Johnson &amp; Johnson; Myocor developed an implantable device to treat mitral valve regurgitation and was acquired by Edwards; and StarFire Medical developed technology to treat brain aneurysms and was acquired by NFocus Neuromedical (Covidien). Mr. Andrle holds a B.S. in Chemical Engineering from the University of Notre Dame and an M.B.A. from the Stanford Graduate School of Business.</w:t>
      </w:r>
    </w:p>
    <w:p>
      <w:pPr>
        <w:spacing w:after="0" w:line="48" w:lineRule="exact"/>
        <w:rPr>
          <w:sz w:val="20"/>
          <w:szCs w:val="20"/>
          <w:color w:val="auto"/>
        </w:rPr>
      </w:pPr>
    </w:p>
    <w:p>
      <w:pPr>
        <w:ind w:left="760" w:right="379"/>
        <w:spacing w:after="0" w:line="253" w:lineRule="auto"/>
        <w:rPr>
          <w:sz w:val="20"/>
          <w:szCs w:val="20"/>
          <w:color w:val="auto"/>
        </w:rPr>
      </w:pPr>
      <w:r>
        <w:rPr>
          <w:rFonts w:ascii="Arial" w:cs="Arial" w:eastAsia="Arial" w:hAnsi="Arial"/>
          <w:sz w:val="16"/>
          <w:szCs w:val="16"/>
          <w:b w:val="1"/>
          <w:bCs w:val="1"/>
          <w:color w:val="auto"/>
        </w:rPr>
        <w:t xml:space="preserve">Alistair Simpson </w:t>
      </w:r>
      <w:r>
        <w:rPr>
          <w:rFonts w:ascii="Arial" w:cs="Arial" w:eastAsia="Arial" w:hAnsi="Arial"/>
          <w:sz w:val="16"/>
          <w:szCs w:val="16"/>
          <w:color w:val="auto"/>
        </w:rPr>
        <w:t>joined LivaNova in April 2017 in the role of General Manager, Cardiovascular. Mr. Simpson now serves as a</w:t>
      </w:r>
      <w:r>
        <w:rPr>
          <w:rFonts w:ascii="Arial" w:cs="Arial" w:eastAsia="Arial" w:hAnsi="Arial"/>
          <w:sz w:val="16"/>
          <w:szCs w:val="16"/>
          <w:b w:val="1"/>
          <w:bCs w:val="1"/>
          <w:color w:val="auto"/>
        </w:rPr>
        <w:t xml:space="preserve"> </w:t>
      </w:r>
      <w:r>
        <w:rPr>
          <w:rFonts w:ascii="Arial" w:cs="Arial" w:eastAsia="Arial" w:hAnsi="Arial"/>
          <w:sz w:val="16"/>
          <w:szCs w:val="16"/>
          <w:color w:val="auto"/>
        </w:rPr>
        <w:t>special advisor to the Company, a role he has had since January 1, 2020. Prior to joining the Company, Mr. Simpson was Vice President Global Marketing at Kerr Corporation, a subsidiary of Danaher Corporation, where he was responsible for strategy and product development for the consumable franchise. Earlier in his career he spent 16 years with Johnson &amp; Johnson in various strategic and commercial roles both in Europe and North America, within the Ethicon and Cordis franchises where he held marketing leadership roles in the suture business and the interventional cardiology business. Mr. Simpson holds a B.S. in Geography from the University of Glasgow, Scotland and an M.B.A. from the University of Pittsburgh.</w:t>
      </w:r>
    </w:p>
    <w:p>
      <w:pPr>
        <w:spacing w:after="0" w:line="60" w:lineRule="exact"/>
        <w:rPr>
          <w:sz w:val="20"/>
          <w:szCs w:val="20"/>
          <w:color w:val="auto"/>
        </w:rPr>
      </w:pPr>
    </w:p>
    <w:p>
      <w:pPr>
        <w:ind w:left="760" w:right="299"/>
        <w:spacing w:after="0" w:line="270" w:lineRule="auto"/>
        <w:rPr>
          <w:sz w:val="20"/>
          <w:szCs w:val="20"/>
          <w:color w:val="auto"/>
        </w:rPr>
      </w:pPr>
      <w:r>
        <w:rPr>
          <w:rFonts w:ascii="Arial" w:cs="Arial" w:eastAsia="Arial" w:hAnsi="Arial"/>
          <w:sz w:val="15"/>
          <w:szCs w:val="15"/>
          <w:b w:val="1"/>
          <w:bCs w:val="1"/>
          <w:color w:val="auto"/>
        </w:rPr>
        <w:t xml:space="preserve">Marco Dolci </w:t>
      </w:r>
      <w:r>
        <w:rPr>
          <w:rFonts w:ascii="Arial" w:cs="Arial" w:eastAsia="Arial" w:hAnsi="Arial"/>
          <w:sz w:val="15"/>
          <w:szCs w:val="15"/>
          <w:color w:val="auto"/>
        </w:rPr>
        <w:t>joined LivaNova in March 2017 as President, Europe and subsequently became President, Europe and Head of</w:t>
      </w:r>
      <w:r>
        <w:rPr>
          <w:rFonts w:ascii="Arial" w:cs="Arial" w:eastAsia="Arial" w:hAnsi="Arial"/>
          <w:sz w:val="15"/>
          <w:szCs w:val="15"/>
          <w:b w:val="1"/>
          <w:bCs w:val="1"/>
          <w:color w:val="auto"/>
        </w:rPr>
        <w:t xml:space="preserve"> </w:t>
      </w:r>
      <w:r>
        <w:rPr>
          <w:rFonts w:ascii="Arial" w:cs="Arial" w:eastAsia="Arial" w:hAnsi="Arial"/>
          <w:sz w:val="15"/>
          <w:szCs w:val="15"/>
          <w:color w:val="auto"/>
        </w:rPr>
        <w:t>Global Manufacturing Operations (December 2018 to January 2020) and has been in his current role as Head of Global Operations and R&amp;D since January 2020. Prior to joining the Company, Mr. Dolci was with Danaher Corporation as its Vice President of Danaher Business System – Dental Consumable Platform (April 2016 to March 2017); President of Global Digital Dentistry (November 2014 to April 2016); President – Dental Consumable Platform – EMEA, Asia and Pacific Region (December 2012 to December 2014); and President, Kerr EMEA (October 2010 to December 2012). Prior to his tenure at Danaher, Mr. Dolci served as President and CEO, EMEA for Hitachi Medical System Europe Holding AG. Earlier in his career, he worked in various positions at Eastman Kodak S.A. – Health Care Division, GE Healthcare and Philips Medical Systems. Mr. Dolci holds a master’s degree in nuclear physics from University of Milan and an Executive M.B.A. from Polytechnic University of Milan.</w:t>
      </w:r>
    </w:p>
    <w:p>
      <w:pPr>
        <w:spacing w:after="0" w:line="49" w:lineRule="exact"/>
        <w:rPr>
          <w:sz w:val="20"/>
          <w:szCs w:val="20"/>
          <w:color w:val="auto"/>
        </w:rPr>
      </w:pPr>
    </w:p>
    <w:p>
      <w:pPr>
        <w:ind w:left="760" w:right="379"/>
        <w:spacing w:after="0" w:line="321" w:lineRule="auto"/>
        <w:rPr>
          <w:sz w:val="20"/>
          <w:szCs w:val="20"/>
          <w:color w:val="auto"/>
        </w:rPr>
      </w:pPr>
      <w:r>
        <w:rPr>
          <w:rFonts w:ascii="Arial" w:cs="Arial" w:eastAsia="Arial" w:hAnsi="Arial"/>
          <w:sz w:val="15"/>
          <w:szCs w:val="15"/>
          <w:b w:val="1"/>
          <w:bCs w:val="1"/>
          <w:color w:val="auto"/>
        </w:rPr>
        <w:t xml:space="preserve">Trui Hebbelinck </w:t>
      </w:r>
      <w:r>
        <w:rPr>
          <w:rFonts w:ascii="Arial" w:cs="Arial" w:eastAsia="Arial" w:hAnsi="Arial"/>
          <w:sz w:val="15"/>
          <w:szCs w:val="15"/>
          <w:color w:val="auto"/>
        </w:rPr>
        <w:t>joined LivaNova in March 2019 as the Company’s Chief Human Resources Officer and oversees global human</w:t>
      </w:r>
      <w:r>
        <w:rPr>
          <w:rFonts w:ascii="Arial" w:cs="Arial" w:eastAsia="Arial" w:hAnsi="Arial"/>
          <w:sz w:val="15"/>
          <w:szCs w:val="15"/>
          <w:b w:val="1"/>
          <w:bCs w:val="1"/>
          <w:color w:val="auto"/>
        </w:rPr>
        <w:t xml:space="preserve"> </w:t>
      </w:r>
      <w:r>
        <w:rPr>
          <w:rFonts w:ascii="Arial" w:cs="Arial" w:eastAsia="Arial" w:hAnsi="Arial"/>
          <w:sz w:val="15"/>
          <w:szCs w:val="15"/>
          <w:color w:val="auto"/>
        </w:rPr>
        <w:t>resources. Prior to joining LivaNova, Ms. Hebbelinck served as VP, Human Resources Trading &amp; Supply with Royal Dutch</w:t>
      </w:r>
    </w:p>
    <w:p>
      <w:pPr>
        <w:sectPr>
          <w:pgSz w:w="11900" w:h="16838" w:orient="portrait"/>
          <w:cols w:equalWidth="0" w:num="1">
            <w:col w:w="10139"/>
          </w:cols>
          <w:pgMar w:left="320" w:top="131" w:right="1440" w:bottom="1440" w:gutter="0" w:footer="0" w:header="0"/>
        </w:sectPr>
      </w:pPr>
    </w:p>
    <w:p>
      <w:pPr>
        <w:ind w:left="480"/>
        <w:spacing w:after="0"/>
        <w:tabs>
          <w:tab w:leader="none" w:pos="4400" w:val="left"/>
          <w:tab w:leader="none" w:pos="8760" w:val="left"/>
        </w:tabs>
        <w:rPr>
          <w:sz w:val="20"/>
          <w:szCs w:val="20"/>
          <w:color w:val="auto"/>
        </w:rPr>
      </w:pPr>
      <w:r>
        <w:rPr>
          <w:rFonts w:ascii="Arial" w:cs="Arial" w:eastAsia="Arial" w:hAnsi="Arial"/>
          <w:sz w:val="25"/>
          <w:szCs w:val="25"/>
          <w:b w:val="1"/>
          <w:bCs w:val="1"/>
          <w:color w:val="auto"/>
          <w:vertAlign w:val="subscript"/>
        </w:rPr>
        <w:t>23</w:t>
      </w:r>
      <w:r>
        <w:rPr>
          <w:sz w:val="20"/>
          <w:szCs w:val="20"/>
          <w:color w:val="auto"/>
        </w:rPr>
        <w:tab/>
      </w:r>
      <w:r>
        <w:rPr>
          <w:rFonts w:ascii="Arial" w:cs="Arial" w:eastAsia="Arial" w:hAnsi="Arial"/>
          <w:sz w:val="11"/>
          <w:szCs w:val="11"/>
          <w:b w:val="1"/>
          <w:bCs w:val="1"/>
          <w:color w:val="4800E6"/>
        </w:rPr>
        <w:t xml:space="preserve">LIVANOVA </w:t>
      </w:r>
      <w:r>
        <w:rPr>
          <w:rFonts w:ascii="Arial" w:cs="Arial" w:eastAsia="Arial" w:hAnsi="Arial"/>
          <w:sz w:val="11"/>
          <w:szCs w:val="11"/>
          <w:color w:val="000000"/>
        </w:rPr>
        <w:t>|</w:t>
      </w:r>
      <w:r>
        <w:rPr>
          <w:rFonts w:ascii="Arial" w:cs="Arial" w:eastAsia="Arial" w:hAnsi="Arial"/>
          <w:sz w:val="11"/>
          <w:szCs w:val="11"/>
          <w:b w:val="1"/>
          <w:bCs w:val="1"/>
          <w:color w:val="4800E6"/>
        </w:rPr>
        <w:t xml:space="preserve"> </w:t>
      </w:r>
      <w:r>
        <w:rPr>
          <w:rFonts w:ascii="Arial" w:cs="Arial" w:eastAsia="Arial" w:hAnsi="Arial"/>
          <w:sz w:val="11"/>
          <w:szCs w:val="11"/>
          <w:color w:val="4800E6"/>
        </w:rPr>
        <w:t>2020</w:t>
      </w:r>
      <w:r>
        <w:rPr>
          <w:rFonts w:ascii="Arial" w:cs="Arial" w:eastAsia="Arial" w:hAnsi="Arial"/>
          <w:sz w:val="11"/>
          <w:szCs w:val="11"/>
          <w:b w:val="1"/>
          <w:bCs w:val="1"/>
          <w:color w:val="4800E6"/>
        </w:rPr>
        <w:t xml:space="preserve"> </w:t>
      </w:r>
      <w:r>
        <w:rPr>
          <w:rFonts w:ascii="Arial" w:cs="Arial" w:eastAsia="Arial" w:hAnsi="Arial"/>
          <w:sz w:val="11"/>
          <w:szCs w:val="11"/>
          <w:color w:val="000000"/>
        </w:rPr>
        <w:t>Proxy Statement</w:t>
      </w:r>
      <w:r>
        <w:rPr>
          <w:sz w:val="20"/>
          <w:szCs w:val="20"/>
          <w:color w:val="auto"/>
        </w:rPr>
        <w:tab/>
      </w:r>
      <w:r>
        <w:rPr>
          <w:rFonts w:ascii="Arial" w:cs="Arial" w:eastAsia="Arial" w:hAnsi="Arial"/>
          <w:sz w:val="12"/>
          <w:szCs w:val="12"/>
          <w:b w:val="1"/>
          <w:bCs w:val="1"/>
          <w:color w:val="4800E6"/>
        </w:rPr>
        <w:t>www.livanova.com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561975</wp:posOffset>
            </wp:positionH>
            <wp:positionV relativeFrom="paragraph">
              <wp:posOffset>85725</wp:posOffset>
            </wp:positionV>
            <wp:extent cx="1954530" cy="8890"/>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1954530" cy="8890"/>
                    </a:xfrm>
                    <a:prstGeom prst="rect">
                      <a:avLst/>
                    </a:prstGeom>
                    <a:noFill/>
                  </pic:spPr>
                </pic:pic>
              </a:graphicData>
            </a:graphic>
          </wp:anchor>
        </w:drawing>
        <w:drawing>
          <wp:anchor simplePos="0" relativeHeight="251657728" behindDoc="1" locked="0" layoutInCell="0" allowOverlap="1">
            <wp:simplePos x="0" y="0"/>
            <wp:positionH relativeFrom="column">
              <wp:posOffset>4316730</wp:posOffset>
            </wp:positionH>
            <wp:positionV relativeFrom="paragraph">
              <wp:posOffset>85725</wp:posOffset>
            </wp:positionV>
            <wp:extent cx="1028700" cy="8890"/>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102870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222885</wp:posOffset>
            </wp:positionV>
            <wp:extent cx="6806565" cy="1714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10139"/>
          </w:cols>
          <w:pgMar w:left="320" w:top="131" w:right="1440" w:bottom="1440" w:gutter="0" w:footer="0" w:header="0"/>
          <w:type w:val="continuous"/>
        </w:sectPr>
      </w:pPr>
    </w:p>
    <w:bookmarkStart w:id="27" w:name="page28"/>
    <w:bookmarkEnd w:id="27"/>
    <w:p>
      <w:pPr>
        <w:spacing w:after="0"/>
        <w:rPr>
          <w:rFonts w:ascii="Arial" w:cs="Arial" w:eastAsia="Arial" w:hAnsi="Arial"/>
          <w:sz w:val="14"/>
          <w:szCs w:val="14"/>
          <w:color w:val="003366"/>
        </w:rPr>
      </w:pPr>
      <w:hyperlink w:anchor="page4">
        <w:r>
          <w:rPr>
            <w:rFonts w:ascii="Arial" w:cs="Arial" w:eastAsia="Arial" w:hAnsi="Arial"/>
            <w:sz w:val="14"/>
            <w:szCs w:val="14"/>
            <w:color w:val="003366"/>
          </w:rPr>
          <w:t>TABLE OF CONTENTS</w:t>
        </w:r>
      </w:hyperlink>
    </w:p>
    <w:p>
      <w:pPr>
        <w:spacing w:after="0" w:line="338" w:lineRule="exact"/>
        <w:rPr>
          <w:sz w:val="20"/>
          <w:szCs w:val="20"/>
          <w:color w:val="auto"/>
        </w:rPr>
      </w:pPr>
    </w:p>
    <w:p>
      <w:pPr>
        <w:jc w:val="right"/>
        <w:ind w:right="240"/>
        <w:spacing w:after="0"/>
        <w:rPr>
          <w:sz w:val="20"/>
          <w:szCs w:val="20"/>
          <w:color w:val="auto"/>
        </w:rPr>
      </w:pPr>
      <w:r>
        <w:rPr>
          <w:rFonts w:ascii="Arial" w:cs="Arial" w:eastAsia="Arial" w:hAnsi="Arial"/>
          <w:sz w:val="13"/>
          <w:szCs w:val="13"/>
          <w:b w:val="1"/>
          <w:bCs w:val="1"/>
          <w:color w:val="auto"/>
        </w:rPr>
        <w:t xml:space="preserve">Corporate </w:t>
      </w:r>
      <w:r>
        <w:rPr>
          <w:rFonts w:ascii="Arial" w:cs="Arial" w:eastAsia="Arial" w:hAnsi="Arial"/>
          <w:sz w:val="13"/>
          <w:szCs w:val="13"/>
          <w:b w:val="1"/>
          <w:bCs w:val="1"/>
          <w:color w:val="666666"/>
        </w:rPr>
        <w:t>Governance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485140</wp:posOffset>
            </wp:positionH>
            <wp:positionV relativeFrom="paragraph">
              <wp:posOffset>30480</wp:posOffset>
            </wp:positionV>
            <wp:extent cx="5829300" cy="825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5829300" cy="8255"/>
                    </a:xfrm>
                    <a:prstGeom prst="rect">
                      <a:avLst/>
                    </a:prstGeom>
                    <a:noFill/>
                  </pic:spPr>
                </pic:pic>
              </a:graphicData>
            </a:graphic>
          </wp:anchor>
        </w:drawing>
      </w:r>
    </w:p>
    <w:p>
      <w:pPr>
        <w:spacing w:after="0" w:line="60" w:lineRule="exact"/>
        <w:rPr>
          <w:sz w:val="20"/>
          <w:szCs w:val="20"/>
          <w:color w:val="auto"/>
        </w:rPr>
      </w:pPr>
    </w:p>
    <w:p>
      <w:pPr>
        <w:jc w:val="right"/>
        <w:ind w:right="240"/>
        <w:spacing w:after="0"/>
        <w:rPr>
          <w:sz w:val="20"/>
          <w:szCs w:val="20"/>
          <w:color w:val="auto"/>
        </w:rPr>
      </w:pPr>
      <w:r>
        <w:rPr>
          <w:rFonts w:ascii="Arial" w:cs="Arial" w:eastAsia="Arial" w:hAnsi="Arial"/>
          <w:sz w:val="13"/>
          <w:szCs w:val="13"/>
          <w:b w:val="1"/>
          <w:bCs w:val="1"/>
          <w:color w:val="4800E6"/>
        </w:rPr>
        <w:t>Executive Officers</w:t>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ind w:left="760" w:right="340"/>
        <w:spacing w:after="0" w:line="250" w:lineRule="auto"/>
        <w:rPr>
          <w:sz w:val="20"/>
          <w:szCs w:val="20"/>
          <w:color w:val="auto"/>
        </w:rPr>
      </w:pPr>
      <w:r>
        <w:rPr>
          <w:rFonts w:ascii="Arial" w:cs="Arial" w:eastAsia="Arial" w:hAnsi="Arial"/>
          <w:sz w:val="16"/>
          <w:szCs w:val="16"/>
          <w:color w:val="auto"/>
        </w:rPr>
        <w:t>Shell plc, a global petrochemical company, from September 2015 to March 2019 and as its VP HR Operations UK, Ireland, Nordics, South Africa from January 2014 to September 2015. Prior to Shell, Ms. Hebelinck served as VP, HR International with General Electric Corporation and in Human Resources with GE Capital Real Estate and GE Healthcare. Ms. Hebbelinck earned a Master of Science in Psychology from Ghent University and a post-graduate degree in Business Management &amp; Administration from the University of Leuven.</w:t>
      </w:r>
    </w:p>
    <w:p>
      <w:pPr>
        <w:spacing w:after="0" w:line="61" w:lineRule="exact"/>
        <w:rPr>
          <w:sz w:val="20"/>
          <w:szCs w:val="20"/>
          <w:color w:val="auto"/>
        </w:rPr>
      </w:pPr>
    </w:p>
    <w:p>
      <w:pPr>
        <w:ind w:left="760" w:right="300"/>
        <w:spacing w:after="0" w:line="253" w:lineRule="auto"/>
        <w:rPr>
          <w:sz w:val="20"/>
          <w:szCs w:val="20"/>
          <w:color w:val="auto"/>
        </w:rPr>
      </w:pPr>
      <w:r>
        <w:rPr>
          <w:rFonts w:ascii="Arial" w:cs="Arial" w:eastAsia="Arial" w:hAnsi="Arial"/>
          <w:sz w:val="16"/>
          <w:szCs w:val="16"/>
          <w:b w:val="1"/>
          <w:bCs w:val="1"/>
          <w:color w:val="auto"/>
        </w:rPr>
        <w:t xml:space="preserve">Roy Khoury </w:t>
      </w:r>
      <w:r>
        <w:rPr>
          <w:rFonts w:ascii="Arial" w:cs="Arial" w:eastAsia="Arial" w:hAnsi="Arial"/>
          <w:sz w:val="16"/>
          <w:szCs w:val="16"/>
          <w:color w:val="auto"/>
        </w:rPr>
        <w:t>joined LivaNova in June 2016 as President, International Markets and was promoted to his current role, Senior Vice</w:t>
      </w:r>
      <w:r>
        <w:rPr>
          <w:rFonts w:ascii="Arial" w:cs="Arial" w:eastAsia="Arial" w:hAnsi="Arial"/>
          <w:sz w:val="16"/>
          <w:szCs w:val="16"/>
          <w:b w:val="1"/>
          <w:bCs w:val="1"/>
          <w:color w:val="auto"/>
        </w:rPr>
        <w:t xml:space="preserve"> </w:t>
      </w:r>
      <w:r>
        <w:rPr>
          <w:rFonts w:ascii="Arial" w:cs="Arial" w:eastAsia="Arial" w:hAnsi="Arial"/>
          <w:sz w:val="16"/>
          <w:szCs w:val="16"/>
          <w:color w:val="auto"/>
        </w:rPr>
        <w:t>President, Global Strategic Marketing in January 2020. From August 2015 to July 2016, Mr. Khoury served as a Senior Healthcare Consultant. Prior to that, Mr. Khoury spent more than eight years in various roles at Allergan Pharmaceuticals, a global pharmaceutical company, including as Vice President Commercial Operations, International Markets (September 2014 to</w:t>
      </w:r>
    </w:p>
    <w:p>
      <w:pPr>
        <w:ind w:left="760" w:right="300"/>
        <w:spacing w:after="0" w:line="250" w:lineRule="auto"/>
        <w:rPr>
          <w:sz w:val="20"/>
          <w:szCs w:val="20"/>
          <w:color w:val="auto"/>
        </w:rPr>
      </w:pPr>
      <w:r>
        <w:rPr>
          <w:rFonts w:ascii="Arial" w:cs="Arial" w:eastAsia="Arial" w:hAnsi="Arial"/>
          <w:sz w:val="16"/>
          <w:szCs w:val="16"/>
          <w:color w:val="auto"/>
        </w:rPr>
        <w:t>July 2015); Senior Director, Marketing Neurosciences and Urology, EMEA (July 2012 to September 2014); Business Unit Head/ General Manager Ophthalmology Emerging Markets EMEA (November 2009 to September 2012); and Group Lead Marketing Manager Europe/Africa/Middle East (June 2008 to February 2010). Earlier in his career, he held manager and director positions with Novartis Pharmaceuticals Ltd. UK and ApotheCom Associates LLC. Mr. Khoury has a degree in Business Administration from LaSalle with minors in English literature and biology.</w:t>
      </w:r>
    </w:p>
    <w:p>
      <w:pPr>
        <w:sectPr>
          <w:pgSz w:w="11900" w:h="16838" w:orient="portrait"/>
          <w:cols w:equalWidth="0" w:num="1">
            <w:col w:w="10180"/>
          </w:cols>
          <w:pgMar w:left="320" w:top="131" w:right="139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ind w:left="4340"/>
        <w:spacing w:after="0"/>
        <w:tabs>
          <w:tab w:leader="none" w:pos="10000" w:val="left"/>
        </w:tabs>
        <w:rPr>
          <w:sz w:val="20"/>
          <w:szCs w:val="20"/>
          <w:color w:val="auto"/>
        </w:rPr>
      </w:pPr>
      <w:r>
        <w:rPr>
          <w:rFonts w:ascii="Arial" w:cs="Arial" w:eastAsia="Arial" w:hAnsi="Arial"/>
          <w:sz w:val="13"/>
          <w:szCs w:val="13"/>
          <w:b w:val="1"/>
          <w:bCs w:val="1"/>
          <w:color w:val="4800E6"/>
        </w:rPr>
        <w:t xml:space="preserve">LIVANOVA </w:t>
      </w:r>
      <w:r>
        <w:rPr>
          <w:rFonts w:ascii="Arial" w:cs="Arial" w:eastAsia="Arial" w:hAnsi="Arial"/>
          <w:sz w:val="13"/>
          <w:szCs w:val="13"/>
          <w:color w:val="000000"/>
        </w:rPr>
        <w:t>|</w:t>
      </w:r>
      <w:r>
        <w:rPr>
          <w:rFonts w:ascii="Arial" w:cs="Arial" w:eastAsia="Arial" w:hAnsi="Arial"/>
          <w:sz w:val="13"/>
          <w:szCs w:val="13"/>
          <w:b w:val="1"/>
          <w:bCs w:val="1"/>
          <w:color w:val="4800E6"/>
        </w:rPr>
        <w:t xml:space="preserve"> </w:t>
      </w:r>
      <w:r>
        <w:rPr>
          <w:rFonts w:ascii="Arial" w:cs="Arial" w:eastAsia="Arial" w:hAnsi="Arial"/>
          <w:sz w:val="13"/>
          <w:szCs w:val="13"/>
          <w:color w:val="4800E6"/>
        </w:rPr>
        <w:t>2020</w:t>
      </w:r>
      <w:r>
        <w:rPr>
          <w:rFonts w:ascii="Arial" w:cs="Arial" w:eastAsia="Arial" w:hAnsi="Arial"/>
          <w:sz w:val="13"/>
          <w:szCs w:val="13"/>
          <w:b w:val="1"/>
          <w:bCs w:val="1"/>
          <w:color w:val="4800E6"/>
        </w:rPr>
        <w:t xml:space="preserve"> </w:t>
      </w:r>
      <w:r>
        <w:rPr>
          <w:rFonts w:ascii="Arial" w:cs="Arial" w:eastAsia="Arial" w:hAnsi="Arial"/>
          <w:sz w:val="13"/>
          <w:szCs w:val="13"/>
          <w:color w:val="000000"/>
        </w:rPr>
        <w:t>Proxy Statement</w:t>
      </w:r>
      <w:r>
        <w:rPr>
          <w:sz w:val="20"/>
          <w:szCs w:val="20"/>
          <w:color w:val="auto"/>
        </w:rPr>
        <w:tab/>
      </w:r>
      <w:r>
        <w:rPr>
          <w:rFonts w:ascii="Arial" w:cs="Arial" w:eastAsia="Arial" w:hAnsi="Arial"/>
          <w:sz w:val="21"/>
          <w:szCs w:val="21"/>
          <w:b w:val="1"/>
          <w:bCs w:val="1"/>
          <w:color w:val="auto"/>
          <w:vertAlign w:val="subscript"/>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519430</wp:posOffset>
            </wp:positionH>
            <wp:positionV relativeFrom="paragraph">
              <wp:posOffset>47625</wp:posOffset>
            </wp:positionV>
            <wp:extent cx="1954530" cy="8890"/>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1954530" cy="8890"/>
                    </a:xfrm>
                    <a:prstGeom prst="rect">
                      <a:avLst/>
                    </a:prstGeom>
                    <a:noFill/>
                  </pic:spPr>
                </pic:pic>
              </a:graphicData>
            </a:graphic>
          </wp:anchor>
        </w:drawing>
        <w:drawing>
          <wp:anchor simplePos="0" relativeHeight="251657728" behindDoc="1" locked="0" layoutInCell="0" allowOverlap="1">
            <wp:simplePos x="0" y="0"/>
            <wp:positionH relativeFrom="column">
              <wp:posOffset>4257040</wp:posOffset>
            </wp:positionH>
            <wp:positionV relativeFrom="paragraph">
              <wp:posOffset>47625</wp:posOffset>
            </wp:positionV>
            <wp:extent cx="1954530" cy="8890"/>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195453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184785</wp:posOffset>
            </wp:positionV>
            <wp:extent cx="6806565" cy="1714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10180"/>
          </w:cols>
          <w:pgMar w:left="320" w:top="131" w:right="1399" w:bottom="1440" w:gutter="0" w:footer="0" w:header="0"/>
          <w:type w:val="continuous"/>
        </w:sectPr>
      </w:pPr>
    </w:p>
    <w:bookmarkStart w:id="28" w:name="page29"/>
    <w:bookmarkEnd w:id="28"/>
    <w:p>
      <w:pPr>
        <w:spacing w:after="0"/>
        <w:rPr>
          <w:rFonts w:ascii="Arial" w:cs="Arial" w:eastAsia="Arial" w:hAnsi="Arial"/>
          <w:sz w:val="14"/>
          <w:szCs w:val="14"/>
          <w:color w:val="003366"/>
        </w:rPr>
      </w:pPr>
      <w:hyperlink w:anchor="page4">
        <w:r>
          <w:rPr>
            <w:rFonts w:ascii="Arial" w:cs="Arial" w:eastAsia="Arial" w:hAnsi="Arial"/>
            <w:sz w:val="14"/>
            <w:szCs w:val="14"/>
            <w:color w:val="003366"/>
          </w:rPr>
          <w:t>TABLE OF CONTENTS</w:t>
        </w:r>
      </w:hyperlink>
    </w:p>
    <w:p>
      <w:pPr>
        <w:spacing w:after="0" w:line="338" w:lineRule="exact"/>
        <w:rPr>
          <w:sz w:val="20"/>
          <w:szCs w:val="20"/>
          <w:color w:val="auto"/>
        </w:rPr>
      </w:pPr>
    </w:p>
    <w:p>
      <w:pPr>
        <w:ind w:left="760"/>
        <w:spacing w:after="0"/>
        <w:rPr>
          <w:sz w:val="20"/>
          <w:szCs w:val="20"/>
          <w:color w:val="auto"/>
        </w:rPr>
      </w:pPr>
      <w:r>
        <w:rPr>
          <w:rFonts w:ascii="Arial" w:cs="Arial" w:eastAsia="Arial" w:hAnsi="Arial"/>
          <w:sz w:val="13"/>
          <w:szCs w:val="13"/>
          <w:b w:val="1"/>
          <w:bCs w:val="1"/>
          <w:color w:val="auto"/>
        </w:rPr>
        <w:t xml:space="preserve">Executive </w:t>
      </w:r>
      <w:r>
        <w:rPr>
          <w:rFonts w:ascii="Arial" w:cs="Arial" w:eastAsia="Arial" w:hAnsi="Arial"/>
          <w:sz w:val="13"/>
          <w:szCs w:val="13"/>
          <w:b w:val="1"/>
          <w:bCs w:val="1"/>
          <w:color w:val="666666"/>
        </w:rPr>
        <w:t>Compensation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485140</wp:posOffset>
            </wp:positionH>
            <wp:positionV relativeFrom="paragraph">
              <wp:posOffset>30480</wp:posOffset>
            </wp:positionV>
            <wp:extent cx="5829300" cy="825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5829300" cy="8255"/>
                    </a:xfrm>
                    <a:prstGeom prst="rect">
                      <a:avLst/>
                    </a:prstGeom>
                    <a:noFill/>
                  </pic:spPr>
                </pic:pic>
              </a:graphicData>
            </a:graphic>
          </wp:anchor>
        </w:drawing>
      </w:r>
    </w:p>
    <w:p>
      <w:pPr>
        <w:spacing w:after="0" w:line="60" w:lineRule="exact"/>
        <w:rPr>
          <w:sz w:val="20"/>
          <w:szCs w:val="20"/>
          <w:color w:val="auto"/>
        </w:rPr>
      </w:pPr>
    </w:p>
    <w:p>
      <w:pPr>
        <w:ind w:left="760"/>
        <w:spacing w:after="0"/>
        <w:rPr>
          <w:sz w:val="20"/>
          <w:szCs w:val="20"/>
          <w:color w:val="auto"/>
        </w:rPr>
      </w:pPr>
      <w:r>
        <w:rPr>
          <w:rFonts w:ascii="Arial" w:cs="Arial" w:eastAsia="Arial" w:hAnsi="Arial"/>
          <w:sz w:val="13"/>
          <w:szCs w:val="13"/>
          <w:b w:val="1"/>
          <w:bCs w:val="1"/>
          <w:color w:val="4800E6"/>
        </w:rPr>
        <w:t>Compensation Discussion &amp; Analysis</w:t>
      </w:r>
    </w:p>
    <w:p>
      <w:pPr>
        <w:spacing w:after="0" w:line="200" w:lineRule="exact"/>
        <w:rPr>
          <w:sz w:val="20"/>
          <w:szCs w:val="20"/>
          <w:color w:val="auto"/>
        </w:rPr>
      </w:pPr>
    </w:p>
    <w:p>
      <w:pPr>
        <w:spacing w:after="0" w:line="379" w:lineRule="exact"/>
        <w:rPr>
          <w:sz w:val="20"/>
          <w:szCs w:val="20"/>
          <w:color w:val="auto"/>
        </w:rPr>
      </w:pPr>
    </w:p>
    <w:p>
      <w:pPr>
        <w:ind w:left="760"/>
        <w:spacing w:after="0"/>
        <w:rPr>
          <w:sz w:val="20"/>
          <w:szCs w:val="20"/>
          <w:color w:val="auto"/>
        </w:rPr>
      </w:pPr>
      <w:r>
        <w:rPr>
          <w:rFonts w:ascii="Arial" w:cs="Arial" w:eastAsia="Arial" w:hAnsi="Arial"/>
          <w:sz w:val="47"/>
          <w:szCs w:val="47"/>
          <w:b w:val="1"/>
          <w:bCs w:val="1"/>
          <w:color w:val="4800E6"/>
        </w:rPr>
        <w:t xml:space="preserve">Executive </w:t>
      </w:r>
      <w:r>
        <w:rPr>
          <w:rFonts w:ascii="Arial" w:cs="Arial" w:eastAsia="Arial" w:hAnsi="Arial"/>
          <w:sz w:val="47"/>
          <w:szCs w:val="47"/>
          <w:b w:val="1"/>
          <w:bCs w:val="1"/>
          <w:color w:val="666666"/>
        </w:rPr>
        <w:t>Compensation</w:t>
      </w:r>
    </w:p>
    <w:p>
      <w:pPr>
        <w:spacing w:after="0" w:line="200" w:lineRule="exact"/>
        <w:rPr>
          <w:sz w:val="20"/>
          <w:szCs w:val="20"/>
          <w:color w:val="auto"/>
        </w:rPr>
      </w:pPr>
    </w:p>
    <w:p>
      <w:pPr>
        <w:spacing w:after="0" w:line="253" w:lineRule="exact"/>
        <w:rPr>
          <w:sz w:val="20"/>
          <w:szCs w:val="20"/>
          <w:color w:val="auto"/>
        </w:rPr>
      </w:pPr>
    </w:p>
    <w:p>
      <w:pPr>
        <w:ind w:left="760"/>
        <w:spacing w:after="0"/>
        <w:rPr>
          <w:sz w:val="20"/>
          <w:szCs w:val="20"/>
          <w:color w:val="auto"/>
        </w:rPr>
      </w:pPr>
      <w:r>
        <w:rPr>
          <w:rFonts w:ascii="Arial" w:cs="Arial" w:eastAsia="Arial" w:hAnsi="Arial"/>
          <w:sz w:val="31"/>
          <w:szCs w:val="31"/>
          <w:b w:val="1"/>
          <w:bCs w:val="1"/>
          <w:color w:val="4800E6"/>
        </w:rPr>
        <w:t>Compensation Committee Report</w:t>
      </w:r>
    </w:p>
    <w:p>
      <w:pPr>
        <w:spacing w:after="0" w:line="146" w:lineRule="exact"/>
        <w:rPr>
          <w:sz w:val="20"/>
          <w:szCs w:val="20"/>
          <w:color w:val="auto"/>
        </w:rPr>
      </w:pPr>
    </w:p>
    <w:p>
      <w:pPr>
        <w:ind w:left="760" w:right="199"/>
        <w:spacing w:after="0" w:line="247" w:lineRule="auto"/>
        <w:rPr>
          <w:sz w:val="20"/>
          <w:szCs w:val="20"/>
          <w:color w:val="auto"/>
        </w:rPr>
      </w:pPr>
      <w:r>
        <w:rPr>
          <w:rFonts w:ascii="Arial" w:cs="Arial" w:eastAsia="Arial" w:hAnsi="Arial"/>
          <w:sz w:val="16"/>
          <w:szCs w:val="16"/>
          <w:color w:val="auto"/>
        </w:rPr>
        <w:t>Set out below is the Compensation Discussion and Analysis, which is a discussion of our executive compensation programs and policies written from the perspective of how we and management view and use such programs and policies. Given the Compensation Committee’s role in providing oversight of the design of those programs and policies, and in making specific compensation decisions for senior executives using those policies and programs, the Compensation Committee participated in the preparation of the Compensation Discussion and Analysis, reviewing successive drafts of the document and discussing those with management. The Compensation Committee recommended to the Board that the Compensation Discussion and Analysis be included in the Form 10-K and proxy statement. We join with management in welcoming shareholders to examine our pay practices and in affirming the commitment of these pay practices to the long-term interests of shareholders. The Compensation Committee has reviewed and discussed the disclosure set forth below under the heading “Compensation Discussion and Analysis” with management and, based on the review and discussions, it has recommended to the Board that the “Compensation Discussion and Analysis” be included in a Form 10-K and our proxy statement for the 2020 AGM.</w:t>
      </w:r>
    </w:p>
    <w:p>
      <w:pPr>
        <w:spacing w:after="0" w:line="71" w:lineRule="exact"/>
        <w:rPr>
          <w:sz w:val="20"/>
          <w:szCs w:val="20"/>
          <w:color w:val="auto"/>
        </w:rPr>
      </w:pPr>
    </w:p>
    <w:p>
      <w:pPr>
        <w:ind w:left="760"/>
        <w:spacing w:after="0"/>
        <w:rPr>
          <w:sz w:val="20"/>
          <w:szCs w:val="20"/>
          <w:color w:val="auto"/>
        </w:rPr>
      </w:pPr>
      <w:r>
        <w:rPr>
          <w:rFonts w:ascii="Arial" w:cs="Arial" w:eastAsia="Arial" w:hAnsi="Arial"/>
          <w:sz w:val="16"/>
          <w:szCs w:val="16"/>
          <w:b w:val="1"/>
          <w:bCs w:val="1"/>
          <w:color w:val="auto"/>
        </w:rPr>
        <w:t>Francesco Bianchi</w:t>
      </w:r>
    </w:p>
    <w:p>
      <w:pPr>
        <w:spacing w:after="0" w:line="25" w:lineRule="exact"/>
        <w:rPr>
          <w:sz w:val="20"/>
          <w:szCs w:val="20"/>
          <w:color w:val="auto"/>
        </w:rPr>
      </w:pPr>
    </w:p>
    <w:p>
      <w:pPr>
        <w:ind w:left="760"/>
        <w:spacing w:after="0"/>
        <w:rPr>
          <w:sz w:val="20"/>
          <w:szCs w:val="20"/>
          <w:color w:val="auto"/>
        </w:rPr>
      </w:pPr>
      <w:r>
        <w:rPr>
          <w:rFonts w:ascii="Arial" w:cs="Arial" w:eastAsia="Arial" w:hAnsi="Arial"/>
          <w:sz w:val="16"/>
          <w:szCs w:val="16"/>
          <w:b w:val="1"/>
          <w:bCs w:val="1"/>
          <w:color w:val="auto"/>
        </w:rPr>
        <w:t>Stacy Enxing Seng</w:t>
      </w:r>
    </w:p>
    <w:p>
      <w:pPr>
        <w:spacing w:after="0" w:line="5" w:lineRule="exact"/>
        <w:rPr>
          <w:sz w:val="20"/>
          <w:szCs w:val="20"/>
          <w:color w:val="auto"/>
        </w:rPr>
      </w:pPr>
    </w:p>
    <w:p>
      <w:pPr>
        <w:ind w:left="760"/>
        <w:spacing w:after="0"/>
        <w:rPr>
          <w:sz w:val="20"/>
          <w:szCs w:val="20"/>
          <w:color w:val="auto"/>
        </w:rPr>
      </w:pPr>
      <w:r>
        <w:rPr>
          <w:rFonts w:ascii="Arial" w:cs="Arial" w:eastAsia="Arial" w:hAnsi="Arial"/>
          <w:sz w:val="16"/>
          <w:szCs w:val="16"/>
          <w:b w:val="1"/>
          <w:bCs w:val="1"/>
          <w:color w:val="auto"/>
        </w:rPr>
        <w:t>Alfred Novak</w:t>
      </w:r>
    </w:p>
    <w:p>
      <w:pPr>
        <w:spacing w:after="0" w:line="5" w:lineRule="exact"/>
        <w:rPr>
          <w:sz w:val="20"/>
          <w:szCs w:val="20"/>
          <w:color w:val="auto"/>
        </w:rPr>
      </w:pPr>
    </w:p>
    <w:p>
      <w:pPr>
        <w:ind w:left="760"/>
        <w:spacing w:after="0"/>
        <w:rPr>
          <w:sz w:val="20"/>
          <w:szCs w:val="20"/>
          <w:color w:val="auto"/>
        </w:rPr>
      </w:pPr>
      <w:r>
        <w:rPr>
          <w:rFonts w:ascii="Arial" w:cs="Arial" w:eastAsia="Arial" w:hAnsi="Arial"/>
          <w:sz w:val="16"/>
          <w:szCs w:val="16"/>
          <w:b w:val="1"/>
          <w:bCs w:val="1"/>
          <w:color w:val="auto"/>
        </w:rPr>
        <w:t>Arthur Rosenthal, Ph.D. (chair)</w:t>
      </w:r>
    </w:p>
    <w:p>
      <w:pPr>
        <w:spacing w:after="0" w:line="394" w:lineRule="exact"/>
        <w:rPr>
          <w:sz w:val="20"/>
          <w:szCs w:val="20"/>
          <w:color w:val="auto"/>
        </w:rPr>
      </w:pPr>
    </w:p>
    <w:p>
      <w:pPr>
        <w:ind w:left="760"/>
        <w:spacing w:after="0"/>
        <w:rPr>
          <w:sz w:val="20"/>
          <w:szCs w:val="20"/>
          <w:color w:val="auto"/>
        </w:rPr>
      </w:pPr>
      <w:r>
        <w:rPr>
          <w:rFonts w:ascii="Arial" w:cs="Arial" w:eastAsia="Arial" w:hAnsi="Arial"/>
          <w:sz w:val="31"/>
          <w:szCs w:val="31"/>
          <w:b w:val="1"/>
          <w:bCs w:val="1"/>
          <w:color w:val="4800E6"/>
        </w:rPr>
        <w:t>Compensation Discussion &amp; Analysis</w:t>
      </w:r>
    </w:p>
    <w:p>
      <w:pPr>
        <w:spacing w:after="0" w:line="132" w:lineRule="exact"/>
        <w:rPr>
          <w:sz w:val="20"/>
          <w:szCs w:val="20"/>
          <w:color w:val="auto"/>
        </w:rPr>
      </w:pPr>
    </w:p>
    <w:p>
      <w:pPr>
        <w:ind w:left="760" w:right="319"/>
        <w:spacing w:after="0" w:line="251" w:lineRule="auto"/>
        <w:rPr>
          <w:sz w:val="20"/>
          <w:szCs w:val="20"/>
          <w:color w:val="auto"/>
        </w:rPr>
      </w:pPr>
      <w:r>
        <w:rPr>
          <w:rFonts w:ascii="Arial" w:cs="Arial" w:eastAsia="Arial" w:hAnsi="Arial"/>
          <w:sz w:val="16"/>
          <w:szCs w:val="16"/>
          <w:color w:val="auto"/>
        </w:rPr>
        <w:t>This Compensation Discussion and Analysis (“CD&amp;A”) describes our executive compensation programs for our Named Executive Officers (“NEOs”) and the oversight by the Compensation Committee in setting executive compensation for the year ended December 31, 2019. This CD&amp;A supplements and should be read together with the compensation tables and related disclosure following this CD&amp;A.</w:t>
      </w:r>
    </w:p>
    <w:p>
      <w:pPr>
        <w:spacing w:after="0" w:line="258" w:lineRule="exact"/>
        <w:rPr>
          <w:sz w:val="20"/>
          <w:szCs w:val="20"/>
          <w:color w:val="auto"/>
        </w:rPr>
      </w:pPr>
    </w:p>
    <w:p>
      <w:pPr>
        <w:ind w:left="760"/>
        <w:spacing w:after="0"/>
        <w:rPr>
          <w:sz w:val="20"/>
          <w:szCs w:val="20"/>
          <w:color w:val="auto"/>
        </w:rPr>
      </w:pPr>
      <w:r>
        <w:rPr>
          <w:rFonts w:ascii="Arial" w:cs="Arial" w:eastAsia="Arial" w:hAnsi="Arial"/>
          <w:sz w:val="23"/>
          <w:szCs w:val="23"/>
          <w:b w:val="1"/>
          <w:bCs w:val="1"/>
          <w:color w:val="auto"/>
        </w:rPr>
        <w:t>Our Named Executive Officers</w:t>
      </w:r>
    </w:p>
    <w:p>
      <w:pPr>
        <w:spacing w:after="0" w:line="126" w:lineRule="exact"/>
        <w:rPr>
          <w:sz w:val="20"/>
          <w:szCs w:val="20"/>
          <w:color w:val="auto"/>
        </w:rPr>
      </w:pPr>
    </w:p>
    <w:p>
      <w:pPr>
        <w:ind w:left="760"/>
        <w:spacing w:after="0"/>
        <w:rPr>
          <w:sz w:val="20"/>
          <w:szCs w:val="20"/>
          <w:color w:val="auto"/>
        </w:rPr>
      </w:pPr>
      <w:r>
        <w:rPr>
          <w:rFonts w:ascii="Arial" w:cs="Arial" w:eastAsia="Arial" w:hAnsi="Arial"/>
          <w:sz w:val="16"/>
          <w:szCs w:val="16"/>
          <w:color w:val="auto"/>
        </w:rPr>
        <w:t>Our Named Executive Officers (“NEOs”) for the year ended December 31, 2019 are:</w:t>
      </w:r>
    </w:p>
    <w:p>
      <w:pPr>
        <w:spacing w:after="0" w:line="46" w:lineRule="exact"/>
        <w:rPr>
          <w:sz w:val="20"/>
          <w:szCs w:val="20"/>
          <w:color w:val="auto"/>
        </w:rPr>
      </w:pPr>
    </w:p>
    <w:p>
      <w:pPr>
        <w:ind w:left="920" w:hanging="156"/>
        <w:spacing w:after="0"/>
        <w:tabs>
          <w:tab w:leader="none" w:pos="920" w:val="left"/>
        </w:tabs>
        <w:numPr>
          <w:ilvl w:val="0"/>
          <w:numId w:val="43"/>
        </w:numPr>
        <w:rPr>
          <w:rFonts w:ascii="Arial" w:cs="Arial" w:eastAsia="Arial" w:hAnsi="Arial"/>
          <w:sz w:val="16"/>
          <w:szCs w:val="16"/>
          <w:color w:val="4800E6"/>
        </w:rPr>
      </w:pPr>
      <w:r>
        <w:rPr>
          <w:rFonts w:ascii="Arial" w:cs="Arial" w:eastAsia="Arial" w:hAnsi="Arial"/>
          <w:sz w:val="16"/>
          <w:szCs w:val="16"/>
          <w:color w:val="auto"/>
        </w:rPr>
        <w:t>Damien McDonald, CEO;</w:t>
      </w:r>
    </w:p>
    <w:p>
      <w:pPr>
        <w:spacing w:after="0" w:line="32" w:lineRule="exact"/>
        <w:rPr>
          <w:rFonts w:ascii="Arial" w:cs="Arial" w:eastAsia="Arial" w:hAnsi="Arial"/>
          <w:sz w:val="16"/>
          <w:szCs w:val="16"/>
          <w:color w:val="4800E6"/>
        </w:rPr>
      </w:pPr>
    </w:p>
    <w:p>
      <w:pPr>
        <w:ind w:left="920" w:hanging="156"/>
        <w:spacing w:after="0"/>
        <w:tabs>
          <w:tab w:leader="none" w:pos="920" w:val="left"/>
        </w:tabs>
        <w:numPr>
          <w:ilvl w:val="0"/>
          <w:numId w:val="43"/>
        </w:numPr>
        <w:rPr>
          <w:rFonts w:ascii="Arial" w:cs="Arial" w:eastAsia="Arial" w:hAnsi="Arial"/>
          <w:sz w:val="16"/>
          <w:szCs w:val="16"/>
          <w:color w:val="4800E6"/>
        </w:rPr>
      </w:pPr>
      <w:r>
        <w:rPr>
          <w:rFonts w:ascii="Arial" w:cs="Arial" w:eastAsia="Arial" w:hAnsi="Arial"/>
          <w:sz w:val="16"/>
          <w:szCs w:val="16"/>
          <w:color w:val="auto"/>
        </w:rPr>
        <w:t>Thad Huston, CFO;</w:t>
      </w:r>
    </w:p>
    <w:p>
      <w:pPr>
        <w:spacing w:after="0" w:line="32" w:lineRule="exact"/>
        <w:rPr>
          <w:rFonts w:ascii="Arial" w:cs="Arial" w:eastAsia="Arial" w:hAnsi="Arial"/>
          <w:sz w:val="16"/>
          <w:szCs w:val="16"/>
          <w:color w:val="4800E6"/>
        </w:rPr>
      </w:pPr>
    </w:p>
    <w:p>
      <w:pPr>
        <w:ind w:left="920" w:hanging="156"/>
        <w:spacing w:after="0"/>
        <w:tabs>
          <w:tab w:leader="none" w:pos="920" w:val="left"/>
        </w:tabs>
        <w:numPr>
          <w:ilvl w:val="0"/>
          <w:numId w:val="43"/>
        </w:numPr>
        <w:rPr>
          <w:rFonts w:ascii="Arial" w:cs="Arial" w:eastAsia="Arial" w:hAnsi="Arial"/>
          <w:sz w:val="16"/>
          <w:szCs w:val="16"/>
          <w:color w:val="4800E6"/>
        </w:rPr>
      </w:pPr>
      <w:r>
        <w:rPr>
          <w:rFonts w:ascii="Arial" w:cs="Arial" w:eastAsia="Arial" w:hAnsi="Arial"/>
          <w:sz w:val="16"/>
          <w:szCs w:val="16"/>
          <w:color w:val="auto"/>
        </w:rPr>
        <w:t>Keyna Skeffington, SVP, GC and Corporate Secretary;</w:t>
      </w:r>
    </w:p>
    <w:p>
      <w:pPr>
        <w:spacing w:after="0" w:line="45" w:lineRule="exact"/>
        <w:rPr>
          <w:rFonts w:ascii="Arial" w:cs="Arial" w:eastAsia="Arial" w:hAnsi="Arial"/>
          <w:sz w:val="16"/>
          <w:szCs w:val="16"/>
          <w:color w:val="4800E6"/>
        </w:rPr>
      </w:pPr>
    </w:p>
    <w:p>
      <w:pPr>
        <w:ind w:left="920" w:hanging="156"/>
        <w:spacing w:after="0"/>
        <w:tabs>
          <w:tab w:leader="none" w:pos="920" w:val="left"/>
        </w:tabs>
        <w:numPr>
          <w:ilvl w:val="0"/>
          <w:numId w:val="43"/>
        </w:numPr>
        <w:rPr>
          <w:rFonts w:ascii="Arial" w:cs="Arial" w:eastAsia="Arial" w:hAnsi="Arial"/>
          <w:sz w:val="16"/>
          <w:szCs w:val="16"/>
          <w:color w:val="4800E6"/>
        </w:rPr>
      </w:pPr>
      <w:r>
        <w:rPr>
          <w:rFonts w:ascii="Arial" w:cs="Arial" w:eastAsia="Arial" w:hAnsi="Arial"/>
          <w:sz w:val="16"/>
          <w:szCs w:val="16"/>
          <w:color w:val="auto"/>
        </w:rPr>
        <w:t>Edward Andrle, Former GM, Neuromodulation Franchise; and</w:t>
      </w:r>
    </w:p>
    <w:p>
      <w:pPr>
        <w:spacing w:after="0" w:line="32" w:lineRule="exact"/>
        <w:rPr>
          <w:rFonts w:ascii="Arial" w:cs="Arial" w:eastAsia="Arial" w:hAnsi="Arial"/>
          <w:sz w:val="16"/>
          <w:szCs w:val="16"/>
          <w:color w:val="4800E6"/>
        </w:rPr>
      </w:pPr>
    </w:p>
    <w:p>
      <w:pPr>
        <w:ind w:left="920" w:hanging="156"/>
        <w:spacing w:after="0"/>
        <w:tabs>
          <w:tab w:leader="none" w:pos="920" w:val="left"/>
        </w:tabs>
        <w:numPr>
          <w:ilvl w:val="0"/>
          <w:numId w:val="43"/>
        </w:numPr>
        <w:rPr>
          <w:rFonts w:ascii="Arial" w:cs="Arial" w:eastAsia="Arial" w:hAnsi="Arial"/>
          <w:sz w:val="16"/>
          <w:szCs w:val="16"/>
          <w:color w:val="4800E6"/>
        </w:rPr>
      </w:pPr>
      <w:r>
        <w:rPr>
          <w:rFonts w:ascii="Arial" w:cs="Arial" w:eastAsia="Arial" w:hAnsi="Arial"/>
          <w:sz w:val="16"/>
          <w:szCs w:val="16"/>
          <w:color w:val="auto"/>
        </w:rPr>
        <w:t>Alistair Simpson, Former GM, Cardiovascular Franchise.</w:t>
      </w:r>
    </w:p>
    <w:p>
      <w:pPr>
        <w:spacing w:after="0" w:line="276" w:lineRule="exact"/>
        <w:rPr>
          <w:sz w:val="20"/>
          <w:szCs w:val="20"/>
          <w:color w:val="auto"/>
        </w:rPr>
      </w:pPr>
    </w:p>
    <w:p>
      <w:pPr>
        <w:ind w:left="760"/>
        <w:spacing w:after="0"/>
        <w:rPr>
          <w:sz w:val="20"/>
          <w:szCs w:val="20"/>
          <w:color w:val="auto"/>
        </w:rPr>
      </w:pPr>
      <w:r>
        <w:rPr>
          <w:rFonts w:ascii="Arial" w:cs="Arial" w:eastAsia="Arial" w:hAnsi="Arial"/>
          <w:sz w:val="23"/>
          <w:szCs w:val="23"/>
          <w:b w:val="1"/>
          <w:bCs w:val="1"/>
          <w:color w:val="auto"/>
        </w:rPr>
        <w:t>CD&amp;A Executive Summary</w:t>
      </w:r>
    </w:p>
    <w:p>
      <w:pPr>
        <w:spacing w:after="0" w:line="126" w:lineRule="exact"/>
        <w:rPr>
          <w:sz w:val="20"/>
          <w:szCs w:val="20"/>
          <w:color w:val="auto"/>
        </w:rPr>
      </w:pPr>
    </w:p>
    <w:p>
      <w:pPr>
        <w:ind w:left="760" w:right="319"/>
        <w:spacing w:after="0" w:line="250" w:lineRule="auto"/>
        <w:rPr>
          <w:sz w:val="20"/>
          <w:szCs w:val="20"/>
          <w:color w:val="auto"/>
        </w:rPr>
      </w:pPr>
      <w:r>
        <w:rPr>
          <w:rFonts w:ascii="Arial" w:cs="Arial" w:eastAsia="Arial" w:hAnsi="Arial"/>
          <w:sz w:val="16"/>
          <w:szCs w:val="16"/>
          <w:color w:val="auto"/>
        </w:rPr>
        <w:t>Our market-competitive executive compensation program attracts and retains executives who perform at a high level and contribute to the success of the Company. It also provides strong financial incentives for the NEOs to increase shareholder value. To accomplish this, the Company pays its NEOs a base salary in cash; a bonus in cash in the event the metrics of the Short-Term Incentive Plan (“STIP”) are met; equity in the form of service-based awards and performance-based awards; and other employment benefits. All of these are more fully described in this CD&amp;A and in the narrative and tables included herein.</w:t>
      </w:r>
    </w:p>
    <w:p>
      <w:pPr>
        <w:spacing w:after="0" w:line="160" w:lineRule="exact"/>
        <w:rPr>
          <w:sz w:val="20"/>
          <w:szCs w:val="20"/>
          <w:color w:val="auto"/>
        </w:rPr>
      </w:pPr>
    </w:p>
    <w:p>
      <w:pPr>
        <w:ind w:left="760"/>
        <w:spacing w:after="0"/>
        <w:rPr>
          <w:sz w:val="20"/>
          <w:szCs w:val="20"/>
          <w:color w:val="auto"/>
        </w:rPr>
      </w:pPr>
      <w:r>
        <w:rPr>
          <w:rFonts w:ascii="Arial" w:cs="Arial" w:eastAsia="Arial" w:hAnsi="Arial"/>
          <w:sz w:val="20"/>
          <w:szCs w:val="20"/>
          <w:b w:val="1"/>
          <w:bCs w:val="1"/>
          <w:color w:val="FF4C4C"/>
        </w:rPr>
        <w:t>Company Performance in the Year Ended December 31, 2019</w:t>
      </w:r>
    </w:p>
    <w:p>
      <w:pPr>
        <w:spacing w:after="0" w:line="124" w:lineRule="exact"/>
        <w:rPr>
          <w:sz w:val="20"/>
          <w:szCs w:val="20"/>
          <w:color w:val="auto"/>
        </w:rPr>
      </w:pPr>
    </w:p>
    <w:p>
      <w:pPr>
        <w:ind w:left="760" w:right="439"/>
        <w:spacing w:after="0" w:line="248" w:lineRule="auto"/>
        <w:rPr>
          <w:sz w:val="20"/>
          <w:szCs w:val="20"/>
          <w:color w:val="auto"/>
        </w:rPr>
      </w:pPr>
      <w:r>
        <w:rPr>
          <w:rFonts w:ascii="Arial" w:cs="Arial" w:eastAsia="Arial" w:hAnsi="Arial"/>
          <w:sz w:val="16"/>
          <w:szCs w:val="16"/>
          <w:color w:val="auto"/>
        </w:rPr>
        <w:t>The year ended December 31, 2019 was a challenging one for the Company. Our 2019 Short-Term Incentive Plan (“STIP”) had financial objectives, non-financial objectives and, for most NEOs, leadership objectives. None of the financial objectives were achieved for the STIP and, consequently, the payout related to the financial objectives was zero for all our NEOs, other than Mr. Simpson. The Compensation Committee determined that the performance of the Cardiovascular segment warranted recognition because the threshold was missed by a very slight margin and awarded Mr. Simpson a discretionary payment at the threshold level. All the non-financial objectives were achieved with the exceptions of one Regulatory project and the Commercialization element, leading to a 30% achievement at Target. However, given the Company’s overall financial results,</w:t>
      </w:r>
    </w:p>
    <w:p>
      <w:pPr>
        <w:sectPr>
          <w:pgSz w:w="11900" w:h="16838" w:orient="portrait"/>
          <w:cols w:equalWidth="0" w:num="1">
            <w:col w:w="10139"/>
          </w:cols>
          <w:pgMar w:left="320" w:top="131" w:right="1440" w:bottom="1440" w:gutter="0" w:footer="0" w:header="0"/>
        </w:sectPr>
      </w:pPr>
    </w:p>
    <w:p>
      <w:pPr>
        <w:ind w:left="480"/>
        <w:spacing w:after="0"/>
        <w:tabs>
          <w:tab w:leader="none" w:pos="4400" w:val="left"/>
          <w:tab w:leader="none" w:pos="8760" w:val="left"/>
        </w:tabs>
        <w:rPr>
          <w:sz w:val="20"/>
          <w:szCs w:val="20"/>
          <w:color w:val="auto"/>
        </w:rPr>
      </w:pPr>
      <w:r>
        <w:rPr>
          <w:rFonts w:ascii="Arial" w:cs="Arial" w:eastAsia="Arial" w:hAnsi="Arial"/>
          <w:sz w:val="29"/>
          <w:szCs w:val="29"/>
          <w:b w:val="1"/>
          <w:bCs w:val="1"/>
          <w:color w:val="auto"/>
          <w:vertAlign w:val="subscript"/>
        </w:rPr>
        <w:t>25</w:t>
      </w:r>
      <w:r>
        <w:rPr>
          <w:sz w:val="20"/>
          <w:szCs w:val="20"/>
          <w:color w:val="auto"/>
        </w:rPr>
        <w:tab/>
      </w:r>
      <w:r>
        <w:rPr>
          <w:rFonts w:ascii="Arial" w:cs="Arial" w:eastAsia="Arial" w:hAnsi="Arial"/>
          <w:sz w:val="13"/>
          <w:szCs w:val="13"/>
          <w:b w:val="1"/>
          <w:bCs w:val="1"/>
          <w:color w:val="4800E6"/>
        </w:rPr>
        <w:t xml:space="preserve">LIVANOVA </w:t>
      </w:r>
      <w:r>
        <w:rPr>
          <w:rFonts w:ascii="Arial" w:cs="Arial" w:eastAsia="Arial" w:hAnsi="Arial"/>
          <w:sz w:val="13"/>
          <w:szCs w:val="13"/>
          <w:color w:val="000000"/>
        </w:rPr>
        <w:t>|</w:t>
      </w:r>
      <w:r>
        <w:rPr>
          <w:rFonts w:ascii="Arial" w:cs="Arial" w:eastAsia="Arial" w:hAnsi="Arial"/>
          <w:sz w:val="13"/>
          <w:szCs w:val="13"/>
          <w:b w:val="1"/>
          <w:bCs w:val="1"/>
          <w:color w:val="4800E6"/>
        </w:rPr>
        <w:t xml:space="preserve"> </w:t>
      </w:r>
      <w:r>
        <w:rPr>
          <w:rFonts w:ascii="Arial" w:cs="Arial" w:eastAsia="Arial" w:hAnsi="Arial"/>
          <w:sz w:val="13"/>
          <w:szCs w:val="13"/>
          <w:color w:val="4800E6"/>
        </w:rPr>
        <w:t>2020</w:t>
      </w:r>
      <w:r>
        <w:rPr>
          <w:rFonts w:ascii="Arial" w:cs="Arial" w:eastAsia="Arial" w:hAnsi="Arial"/>
          <w:sz w:val="13"/>
          <w:szCs w:val="13"/>
          <w:b w:val="1"/>
          <w:bCs w:val="1"/>
          <w:color w:val="4800E6"/>
        </w:rPr>
        <w:t xml:space="preserve"> </w:t>
      </w:r>
      <w:r>
        <w:rPr>
          <w:rFonts w:ascii="Arial" w:cs="Arial" w:eastAsia="Arial" w:hAnsi="Arial"/>
          <w:sz w:val="13"/>
          <w:szCs w:val="13"/>
          <w:color w:val="000000"/>
        </w:rPr>
        <w:t>Proxy Statement</w:t>
      </w:r>
      <w:r>
        <w:rPr>
          <w:sz w:val="20"/>
          <w:szCs w:val="20"/>
          <w:color w:val="auto"/>
        </w:rPr>
        <w:tab/>
      </w:r>
      <w:r>
        <w:rPr>
          <w:rFonts w:ascii="Arial" w:cs="Arial" w:eastAsia="Arial" w:hAnsi="Arial"/>
          <w:sz w:val="12"/>
          <w:szCs w:val="12"/>
          <w:b w:val="1"/>
          <w:bCs w:val="1"/>
          <w:color w:val="4800E6"/>
        </w:rPr>
        <w:t>www.livanova.com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561975</wp:posOffset>
            </wp:positionH>
            <wp:positionV relativeFrom="paragraph">
              <wp:posOffset>86360</wp:posOffset>
            </wp:positionV>
            <wp:extent cx="1954530" cy="8890"/>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1954530" cy="8890"/>
                    </a:xfrm>
                    <a:prstGeom prst="rect">
                      <a:avLst/>
                    </a:prstGeom>
                    <a:noFill/>
                  </pic:spPr>
                </pic:pic>
              </a:graphicData>
            </a:graphic>
          </wp:anchor>
        </w:drawing>
        <w:drawing>
          <wp:anchor simplePos="0" relativeHeight="251657728" behindDoc="1" locked="0" layoutInCell="0" allowOverlap="1">
            <wp:simplePos x="0" y="0"/>
            <wp:positionH relativeFrom="column">
              <wp:posOffset>4316730</wp:posOffset>
            </wp:positionH>
            <wp:positionV relativeFrom="paragraph">
              <wp:posOffset>86360</wp:posOffset>
            </wp:positionV>
            <wp:extent cx="1028700" cy="8890"/>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102870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223520</wp:posOffset>
            </wp:positionV>
            <wp:extent cx="6806565" cy="1714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10139"/>
          </w:cols>
          <w:pgMar w:left="320" w:top="131" w:right="1440" w:bottom="1440" w:gutter="0" w:footer="0" w:header="0"/>
          <w:type w:val="continuous"/>
        </w:sectPr>
      </w:pPr>
    </w:p>
    <w:bookmarkStart w:id="29" w:name="page30"/>
    <w:bookmarkEnd w:id="29"/>
    <w:p>
      <w:pPr>
        <w:spacing w:after="0"/>
        <w:rPr>
          <w:rFonts w:ascii="Arial" w:cs="Arial" w:eastAsia="Arial" w:hAnsi="Arial"/>
          <w:sz w:val="14"/>
          <w:szCs w:val="14"/>
          <w:color w:val="003366"/>
        </w:rPr>
      </w:pPr>
      <w:hyperlink w:anchor="page4">
        <w:r>
          <w:rPr>
            <w:rFonts w:ascii="Arial" w:cs="Arial" w:eastAsia="Arial" w:hAnsi="Arial"/>
            <w:sz w:val="14"/>
            <w:szCs w:val="14"/>
            <w:color w:val="003366"/>
          </w:rPr>
          <w:t>TABLE OF CONTENTS</w:t>
        </w:r>
      </w:hyperlink>
    </w:p>
    <w:p>
      <w:pPr>
        <w:spacing w:after="0" w:line="338" w:lineRule="exact"/>
        <w:rPr>
          <w:sz w:val="20"/>
          <w:szCs w:val="20"/>
          <w:color w:val="auto"/>
        </w:rPr>
      </w:pPr>
    </w:p>
    <w:p>
      <w:pPr>
        <w:jc w:val="right"/>
        <w:ind w:right="780"/>
        <w:spacing w:after="0"/>
        <w:rPr>
          <w:sz w:val="20"/>
          <w:szCs w:val="20"/>
          <w:color w:val="auto"/>
        </w:rPr>
      </w:pPr>
      <w:r>
        <w:rPr>
          <w:rFonts w:ascii="Arial" w:cs="Arial" w:eastAsia="Arial" w:hAnsi="Arial"/>
          <w:sz w:val="13"/>
          <w:szCs w:val="13"/>
          <w:b w:val="1"/>
          <w:bCs w:val="1"/>
          <w:color w:val="auto"/>
        </w:rPr>
        <w:t xml:space="preserve">Executive </w:t>
      </w:r>
      <w:r>
        <w:rPr>
          <w:rFonts w:ascii="Arial" w:cs="Arial" w:eastAsia="Arial" w:hAnsi="Arial"/>
          <w:sz w:val="13"/>
          <w:szCs w:val="13"/>
          <w:b w:val="1"/>
          <w:bCs w:val="1"/>
          <w:color w:val="666666"/>
        </w:rPr>
        <w:t>Compensation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485140</wp:posOffset>
            </wp:positionH>
            <wp:positionV relativeFrom="paragraph">
              <wp:posOffset>30480</wp:posOffset>
            </wp:positionV>
            <wp:extent cx="5829300" cy="825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5829300" cy="8255"/>
                    </a:xfrm>
                    <a:prstGeom prst="rect">
                      <a:avLst/>
                    </a:prstGeom>
                    <a:noFill/>
                  </pic:spPr>
                </pic:pic>
              </a:graphicData>
            </a:graphic>
          </wp:anchor>
        </w:drawing>
      </w:r>
    </w:p>
    <w:p>
      <w:pPr>
        <w:spacing w:after="0" w:line="60" w:lineRule="exact"/>
        <w:rPr>
          <w:sz w:val="20"/>
          <w:szCs w:val="20"/>
          <w:color w:val="auto"/>
        </w:rPr>
      </w:pPr>
    </w:p>
    <w:p>
      <w:pPr>
        <w:jc w:val="right"/>
        <w:ind w:right="780"/>
        <w:spacing w:after="0"/>
        <w:rPr>
          <w:sz w:val="20"/>
          <w:szCs w:val="20"/>
          <w:color w:val="auto"/>
        </w:rPr>
      </w:pPr>
      <w:r>
        <w:rPr>
          <w:rFonts w:ascii="Arial" w:cs="Arial" w:eastAsia="Arial" w:hAnsi="Arial"/>
          <w:sz w:val="13"/>
          <w:szCs w:val="13"/>
          <w:b w:val="1"/>
          <w:bCs w:val="1"/>
          <w:color w:val="4800E6"/>
        </w:rPr>
        <w:t>Compensation Discussion &amp; Analysis</w:t>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ind w:left="760" w:right="800"/>
        <w:spacing w:after="0" w:line="246" w:lineRule="auto"/>
        <w:rPr>
          <w:sz w:val="20"/>
          <w:szCs w:val="20"/>
          <w:color w:val="auto"/>
        </w:rPr>
      </w:pPr>
      <w:r>
        <w:rPr>
          <w:rFonts w:ascii="Arial" w:cs="Arial" w:eastAsia="Arial" w:hAnsi="Arial"/>
          <w:sz w:val="16"/>
          <w:szCs w:val="16"/>
          <w:color w:val="auto"/>
        </w:rPr>
        <w:t>the Compensation Committee reduced the payout under the STIP to 25% at Target. The Leadership objectives were achieved by each of the NEOs, but due to the Company’s performance, management recommended and the Compensation Committee approved, that payout of this portion be at 80% of target for Mr. Huston and Ms. Skeffington and at 70% of target for Mr. Andrle and Mr. Simpson. Achievements for Mr. Andrle and Mr. Simpson were considered at 70% given their departures from their roles within the Company. This resulted in the following payouts in relation to the leadership objective: Mr. Huston at 80% (resulting in a payment of 12% of Target (80% of 15%)); Ms. Skeffington at 80% (resulting in a payment of 12% of Target (80% of 15%));</w:t>
      </w:r>
    </w:p>
    <w:p>
      <w:pPr>
        <w:spacing w:after="0" w:line="2" w:lineRule="exact"/>
        <w:rPr>
          <w:sz w:val="20"/>
          <w:szCs w:val="20"/>
          <w:color w:val="auto"/>
        </w:rPr>
      </w:pPr>
    </w:p>
    <w:p>
      <w:pPr>
        <w:ind w:left="760" w:right="820"/>
        <w:spacing w:after="0" w:line="260" w:lineRule="auto"/>
        <w:rPr>
          <w:sz w:val="20"/>
          <w:szCs w:val="20"/>
          <w:color w:val="auto"/>
        </w:rPr>
      </w:pPr>
      <w:r>
        <w:rPr>
          <w:rFonts w:ascii="Arial" w:cs="Arial" w:eastAsia="Arial" w:hAnsi="Arial"/>
          <w:sz w:val="16"/>
          <w:szCs w:val="16"/>
          <w:color w:val="auto"/>
        </w:rPr>
        <w:t>Mr. Andrle at 70% (resulting in a payout of 14% of Target (70% of 20%); and Mr. Simpson at 70% (resulting in a payment of 14% of Target (70% of 20%)).</w:t>
      </w:r>
    </w:p>
    <w:p>
      <w:pPr>
        <w:spacing w:after="0" w:line="74" w:lineRule="exact"/>
        <w:rPr>
          <w:sz w:val="20"/>
          <w:szCs w:val="20"/>
          <w:color w:val="auto"/>
        </w:rPr>
      </w:pPr>
    </w:p>
    <w:p>
      <w:pPr>
        <w:ind w:left="760"/>
        <w:spacing w:after="0"/>
        <w:rPr>
          <w:sz w:val="20"/>
          <w:szCs w:val="20"/>
          <w:color w:val="auto"/>
        </w:rPr>
      </w:pPr>
      <w:r>
        <w:rPr>
          <w:rFonts w:ascii="Arial" w:cs="Arial" w:eastAsia="Arial" w:hAnsi="Arial"/>
          <w:sz w:val="16"/>
          <w:szCs w:val="16"/>
          <w:color w:val="auto"/>
        </w:rPr>
        <w:t>In the year ended December 31, 2019:</w:t>
      </w:r>
    </w:p>
    <w:p>
      <w:pPr>
        <w:spacing w:after="0" w:line="46" w:lineRule="exact"/>
        <w:rPr>
          <w:sz w:val="20"/>
          <w:szCs w:val="20"/>
          <w:color w:val="auto"/>
        </w:rPr>
      </w:pPr>
    </w:p>
    <w:p>
      <w:pPr>
        <w:ind w:left="920" w:hanging="156"/>
        <w:spacing w:after="0"/>
        <w:tabs>
          <w:tab w:leader="none" w:pos="920" w:val="left"/>
        </w:tabs>
        <w:numPr>
          <w:ilvl w:val="0"/>
          <w:numId w:val="44"/>
        </w:numPr>
        <w:rPr>
          <w:rFonts w:ascii="Arial" w:cs="Arial" w:eastAsia="Arial" w:hAnsi="Arial"/>
          <w:sz w:val="16"/>
          <w:szCs w:val="16"/>
          <w:color w:val="4800E6"/>
        </w:rPr>
      </w:pPr>
      <w:r>
        <w:rPr>
          <w:rFonts w:ascii="Arial" w:cs="Arial" w:eastAsia="Arial" w:hAnsi="Arial"/>
          <w:sz w:val="16"/>
          <w:szCs w:val="16"/>
          <w:color w:val="auto"/>
        </w:rPr>
        <w:t>The Company’s total net sales were $1,084.2 million versus $1,107.0 in 2018, a decrease of 2.1% from 2018;</w:t>
      </w:r>
    </w:p>
    <w:p>
      <w:pPr>
        <w:spacing w:after="0" w:line="45" w:lineRule="exact"/>
        <w:rPr>
          <w:rFonts w:ascii="Arial" w:cs="Arial" w:eastAsia="Arial" w:hAnsi="Arial"/>
          <w:sz w:val="16"/>
          <w:szCs w:val="16"/>
          <w:color w:val="4800E6"/>
        </w:rPr>
      </w:pPr>
    </w:p>
    <w:p>
      <w:pPr>
        <w:ind w:left="920" w:hanging="156"/>
        <w:spacing w:after="0"/>
        <w:tabs>
          <w:tab w:leader="none" w:pos="920" w:val="left"/>
        </w:tabs>
        <w:numPr>
          <w:ilvl w:val="0"/>
          <w:numId w:val="44"/>
        </w:numPr>
        <w:rPr>
          <w:rFonts w:ascii="Arial" w:cs="Arial" w:eastAsia="Arial" w:hAnsi="Arial"/>
          <w:sz w:val="16"/>
          <w:szCs w:val="16"/>
          <w:color w:val="4800E6"/>
        </w:rPr>
      </w:pPr>
      <w:r>
        <w:rPr>
          <w:rFonts w:ascii="Arial" w:cs="Arial" w:eastAsia="Arial" w:hAnsi="Arial"/>
          <w:sz w:val="16"/>
          <w:szCs w:val="16"/>
          <w:color w:val="auto"/>
        </w:rPr>
        <w:t>Cardiovascular sales were $656.6 million, a 0.7% decrease from 2018;</w:t>
      </w:r>
    </w:p>
    <w:p>
      <w:pPr>
        <w:spacing w:after="0" w:line="32" w:lineRule="exact"/>
        <w:rPr>
          <w:rFonts w:ascii="Arial" w:cs="Arial" w:eastAsia="Arial" w:hAnsi="Arial"/>
          <w:sz w:val="16"/>
          <w:szCs w:val="16"/>
          <w:color w:val="4800E6"/>
        </w:rPr>
      </w:pPr>
    </w:p>
    <w:p>
      <w:pPr>
        <w:ind w:left="1140" w:right="940" w:hanging="160"/>
        <w:spacing w:after="0" w:line="260" w:lineRule="auto"/>
        <w:tabs>
          <w:tab w:leader="none" w:pos="1140" w:val="left"/>
        </w:tabs>
        <w:numPr>
          <w:ilvl w:val="1"/>
          <w:numId w:val="44"/>
        </w:numPr>
        <w:rPr>
          <w:rFonts w:ascii="Arial" w:cs="Arial" w:eastAsia="Arial" w:hAnsi="Arial"/>
          <w:sz w:val="16"/>
          <w:szCs w:val="16"/>
          <w:color w:val="4800E6"/>
        </w:rPr>
      </w:pPr>
      <w:r>
        <w:rPr>
          <w:rFonts w:ascii="Arial" w:cs="Arial" w:eastAsia="Arial" w:hAnsi="Arial"/>
          <w:sz w:val="16"/>
          <w:szCs w:val="16"/>
          <w:color w:val="auto"/>
        </w:rPr>
        <w:t>Sales in cardiopulmonary products were $504.7 million, a 3.1% decrease from 2018, primarily due to the impact of exiting a Canadian distribution agreement and a component supplier issue related to the Inspire oxygenator;</w:t>
      </w:r>
    </w:p>
    <w:p>
      <w:pPr>
        <w:spacing w:after="0" w:line="19" w:lineRule="exact"/>
        <w:rPr>
          <w:rFonts w:ascii="Arial" w:cs="Arial" w:eastAsia="Arial" w:hAnsi="Arial"/>
          <w:sz w:val="16"/>
          <w:szCs w:val="16"/>
          <w:color w:val="4800E6"/>
        </w:rPr>
      </w:pPr>
    </w:p>
    <w:p>
      <w:pPr>
        <w:ind w:left="1140" w:right="860" w:hanging="160"/>
        <w:spacing w:after="0" w:line="260" w:lineRule="auto"/>
        <w:tabs>
          <w:tab w:leader="none" w:pos="1140" w:val="left"/>
        </w:tabs>
        <w:numPr>
          <w:ilvl w:val="1"/>
          <w:numId w:val="44"/>
        </w:numPr>
        <w:rPr>
          <w:rFonts w:ascii="Arial" w:cs="Arial" w:eastAsia="Arial" w:hAnsi="Arial"/>
          <w:sz w:val="16"/>
          <w:szCs w:val="16"/>
          <w:color w:val="4800E6"/>
        </w:rPr>
      </w:pPr>
      <w:r>
        <w:rPr>
          <w:rFonts w:ascii="Arial" w:cs="Arial" w:eastAsia="Arial" w:hAnsi="Arial"/>
          <w:sz w:val="16"/>
          <w:szCs w:val="16"/>
          <w:color w:val="auto"/>
        </w:rPr>
        <w:t>Heart valve sales, including tissue and mechanical heart valves, were $120.0 million, a decrease of 0.7% compared to 2018; and</w:t>
      </w:r>
    </w:p>
    <w:p>
      <w:pPr>
        <w:spacing w:after="0" w:line="19" w:lineRule="exact"/>
        <w:rPr>
          <w:rFonts w:ascii="Arial" w:cs="Arial" w:eastAsia="Arial" w:hAnsi="Arial"/>
          <w:sz w:val="16"/>
          <w:szCs w:val="16"/>
          <w:color w:val="4800E6"/>
        </w:rPr>
      </w:pPr>
    </w:p>
    <w:p>
      <w:pPr>
        <w:ind w:left="1140" w:right="1400" w:hanging="160"/>
        <w:spacing w:after="0" w:line="291" w:lineRule="auto"/>
        <w:tabs>
          <w:tab w:leader="none" w:pos="1140" w:val="left"/>
        </w:tabs>
        <w:numPr>
          <w:ilvl w:val="1"/>
          <w:numId w:val="44"/>
        </w:numPr>
        <w:rPr>
          <w:rFonts w:ascii="Arial" w:cs="Arial" w:eastAsia="Arial" w:hAnsi="Arial"/>
          <w:sz w:val="15"/>
          <w:szCs w:val="15"/>
          <w:color w:val="4800E6"/>
        </w:rPr>
      </w:pPr>
      <w:r>
        <w:rPr>
          <w:rFonts w:ascii="Arial" w:cs="Arial" w:eastAsia="Arial" w:hAnsi="Arial"/>
          <w:sz w:val="15"/>
          <w:szCs w:val="15"/>
          <w:color w:val="auto"/>
        </w:rPr>
        <w:t>Advanced Circulatory Support (“ACS”) sales were $31.9 million, an increase of 64.1%, primarily related to growth in ProtekDuo and one additional quarter of sales in 2019 versus 2018 since the acquisition of TandemLife in April 2018;</w:t>
      </w:r>
    </w:p>
    <w:p>
      <w:pPr>
        <w:ind w:left="920" w:right="1140" w:hanging="156"/>
        <w:spacing w:after="0" w:line="260" w:lineRule="auto"/>
        <w:tabs>
          <w:tab w:leader="none" w:pos="920" w:val="left"/>
        </w:tabs>
        <w:numPr>
          <w:ilvl w:val="0"/>
          <w:numId w:val="44"/>
        </w:numPr>
        <w:rPr>
          <w:rFonts w:ascii="Arial" w:cs="Arial" w:eastAsia="Arial" w:hAnsi="Arial"/>
          <w:sz w:val="16"/>
          <w:szCs w:val="16"/>
          <w:color w:val="4800E6"/>
        </w:rPr>
      </w:pPr>
      <w:r>
        <w:rPr>
          <w:rFonts w:ascii="Arial" w:cs="Arial" w:eastAsia="Arial" w:hAnsi="Arial"/>
          <w:sz w:val="16"/>
          <w:szCs w:val="16"/>
          <w:color w:val="auto"/>
        </w:rPr>
        <w:t>Neuromodulation sales were $424.5 million, a 1.2% increase compared to 2018, primarily driven by adoption of the SenTiva VNS Therapy System and very strong growth in the Europe and Rest of World regions; and</w:t>
      </w:r>
    </w:p>
    <w:p>
      <w:pPr>
        <w:spacing w:after="0" w:line="19" w:lineRule="exact"/>
        <w:rPr>
          <w:rFonts w:ascii="Arial" w:cs="Arial" w:eastAsia="Arial" w:hAnsi="Arial"/>
          <w:sz w:val="16"/>
          <w:szCs w:val="16"/>
          <w:color w:val="4800E6"/>
        </w:rPr>
      </w:pPr>
    </w:p>
    <w:p>
      <w:pPr>
        <w:ind w:left="920" w:right="860" w:hanging="156"/>
        <w:spacing w:after="0" w:line="251" w:lineRule="auto"/>
        <w:tabs>
          <w:tab w:leader="none" w:pos="920" w:val="left"/>
        </w:tabs>
        <w:numPr>
          <w:ilvl w:val="0"/>
          <w:numId w:val="44"/>
        </w:numPr>
        <w:rPr>
          <w:rFonts w:ascii="Arial" w:cs="Arial" w:eastAsia="Arial" w:hAnsi="Arial"/>
          <w:sz w:val="16"/>
          <w:szCs w:val="16"/>
          <w:color w:val="4800E6"/>
        </w:rPr>
      </w:pPr>
      <w:r>
        <w:rPr>
          <w:rFonts w:ascii="Arial" w:cs="Arial" w:eastAsia="Arial" w:hAnsi="Arial"/>
          <w:sz w:val="16"/>
          <w:szCs w:val="16"/>
          <w:color w:val="auto"/>
        </w:rPr>
        <w:t>The full year operating loss from continuing operations was $168.9 million and adjusted operating income from continuing operations was $179.7 million, a decrease of 16.9% as compared to 2018, primarily impacted by performance in Neuromodulation, investments in research and development to support Strategic Portfolio Initiatives, commercial investments in ACS and the Rest of World region, offset somewhat by favorable product mix and gross margin improvements.</w:t>
      </w:r>
    </w:p>
    <w:p>
      <w:pPr>
        <w:spacing w:after="0" w:line="146" w:lineRule="exact"/>
        <w:rPr>
          <w:sz w:val="20"/>
          <w:szCs w:val="20"/>
          <w:color w:val="auto"/>
        </w:rPr>
      </w:pPr>
    </w:p>
    <w:p>
      <w:pPr>
        <w:ind w:left="760"/>
        <w:spacing w:after="0"/>
        <w:rPr>
          <w:sz w:val="20"/>
          <w:szCs w:val="20"/>
          <w:color w:val="auto"/>
        </w:rPr>
      </w:pPr>
      <w:r>
        <w:rPr>
          <w:rFonts w:ascii="Arial" w:cs="Arial" w:eastAsia="Arial" w:hAnsi="Arial"/>
          <w:sz w:val="20"/>
          <w:szCs w:val="20"/>
          <w:b w:val="1"/>
          <w:bCs w:val="1"/>
          <w:color w:val="FF4C4C"/>
        </w:rPr>
        <w:t>Actions in 2019 to Contribute to Future Revenue</w:t>
      </w:r>
    </w:p>
    <w:p>
      <w:pPr>
        <w:spacing w:after="0" w:line="124" w:lineRule="exact"/>
        <w:rPr>
          <w:sz w:val="20"/>
          <w:szCs w:val="20"/>
          <w:color w:val="auto"/>
        </w:rPr>
      </w:pPr>
    </w:p>
    <w:p>
      <w:pPr>
        <w:ind w:left="760" w:right="960"/>
        <w:spacing w:after="0" w:line="260" w:lineRule="auto"/>
        <w:rPr>
          <w:sz w:val="20"/>
          <w:szCs w:val="20"/>
          <w:color w:val="auto"/>
        </w:rPr>
      </w:pPr>
      <w:r>
        <w:rPr>
          <w:rFonts w:ascii="Arial" w:cs="Arial" w:eastAsia="Arial" w:hAnsi="Arial"/>
          <w:sz w:val="16"/>
          <w:szCs w:val="16"/>
          <w:color w:val="auto"/>
        </w:rPr>
        <w:t>While LivaNova’s 2019 financial results were disappointing, numerous management actions and other prior-year efforts bore fruit that will contribute to the Company’s success in the future.</w:t>
      </w:r>
    </w:p>
    <w:p>
      <w:pPr>
        <w:spacing w:after="0" w:line="20" w:lineRule="exact"/>
        <w:rPr>
          <w:sz w:val="20"/>
          <w:szCs w:val="20"/>
          <w:color w:val="auto"/>
        </w:rPr>
      </w:pPr>
    </w:p>
    <w:p>
      <w:pPr>
        <w:ind w:left="920" w:right="960" w:hanging="156"/>
        <w:spacing w:after="0" w:line="250" w:lineRule="auto"/>
        <w:tabs>
          <w:tab w:leader="none" w:pos="920" w:val="left"/>
        </w:tabs>
        <w:numPr>
          <w:ilvl w:val="0"/>
          <w:numId w:val="45"/>
        </w:numPr>
        <w:rPr>
          <w:rFonts w:ascii="Arial" w:cs="Arial" w:eastAsia="Arial" w:hAnsi="Arial"/>
          <w:sz w:val="16"/>
          <w:szCs w:val="16"/>
          <w:color w:val="4800E6"/>
        </w:rPr>
      </w:pPr>
      <w:r>
        <w:rPr>
          <w:rFonts w:ascii="Arial" w:cs="Arial" w:eastAsia="Arial" w:hAnsi="Arial"/>
          <w:sz w:val="16"/>
          <w:szCs w:val="16"/>
          <w:color w:val="auto"/>
        </w:rPr>
        <w:t>In February 2019, the US Centers for Medicare &amp; Medicaid Services (“CMS”) finalized its National Coverage Determination for the Vagus Nerve Stimulation (“VNS”) Therapy System for difficult to treat depression (“DTD”) which initiates coverage for Medicare beneficiaries through Coverage with Evidence Development when offered in a CMS-approved, double-blind, randomized placebo-controlled trial with a follow-up duration of one year, as well as coverage for VNS Therapy device replacement.</w:t>
      </w:r>
    </w:p>
    <w:p>
      <w:pPr>
        <w:spacing w:after="0" w:line="13" w:lineRule="exact"/>
        <w:rPr>
          <w:rFonts w:ascii="Arial" w:cs="Arial" w:eastAsia="Arial" w:hAnsi="Arial"/>
          <w:sz w:val="16"/>
          <w:szCs w:val="16"/>
          <w:color w:val="4800E6"/>
        </w:rPr>
      </w:pPr>
    </w:p>
    <w:p>
      <w:pPr>
        <w:ind w:left="920" w:right="820" w:hanging="156"/>
        <w:spacing w:after="0" w:line="253" w:lineRule="auto"/>
        <w:tabs>
          <w:tab w:leader="none" w:pos="920" w:val="left"/>
        </w:tabs>
        <w:numPr>
          <w:ilvl w:val="0"/>
          <w:numId w:val="45"/>
        </w:numPr>
        <w:rPr>
          <w:rFonts w:ascii="Arial" w:cs="Arial" w:eastAsia="Arial" w:hAnsi="Arial"/>
          <w:sz w:val="16"/>
          <w:szCs w:val="16"/>
          <w:color w:val="4800E6"/>
        </w:rPr>
      </w:pPr>
      <w:r>
        <w:rPr>
          <w:rFonts w:ascii="Arial" w:cs="Arial" w:eastAsia="Arial" w:hAnsi="Arial"/>
          <w:sz w:val="16"/>
          <w:szCs w:val="16"/>
          <w:color w:val="auto"/>
        </w:rPr>
        <w:t>In July 2019, we launched Bi-Flow, our innovative arterial femoral cannula, which received CE Mark in early 2019 and is the only bidirectional arterial cannula designed to prevent leg ischemia during cardiac surgery procedures requiring femoral artery cannulation.</w:t>
      </w:r>
    </w:p>
    <w:p>
      <w:pPr>
        <w:spacing w:after="0" w:line="25" w:lineRule="exact"/>
        <w:rPr>
          <w:rFonts w:ascii="Arial" w:cs="Arial" w:eastAsia="Arial" w:hAnsi="Arial"/>
          <w:sz w:val="16"/>
          <w:szCs w:val="16"/>
          <w:color w:val="4800E6"/>
        </w:rPr>
      </w:pPr>
    </w:p>
    <w:p>
      <w:pPr>
        <w:ind w:left="920" w:right="1580" w:hanging="156"/>
        <w:spacing w:after="0" w:line="260" w:lineRule="auto"/>
        <w:tabs>
          <w:tab w:leader="none" w:pos="920" w:val="left"/>
        </w:tabs>
        <w:numPr>
          <w:ilvl w:val="0"/>
          <w:numId w:val="45"/>
        </w:numPr>
        <w:rPr>
          <w:rFonts w:ascii="Arial" w:cs="Arial" w:eastAsia="Arial" w:hAnsi="Arial"/>
          <w:sz w:val="16"/>
          <w:szCs w:val="16"/>
          <w:color w:val="4800E6"/>
        </w:rPr>
      </w:pPr>
      <w:r>
        <w:rPr>
          <w:rFonts w:ascii="Arial" w:cs="Arial" w:eastAsia="Arial" w:hAnsi="Arial"/>
          <w:sz w:val="16"/>
          <w:szCs w:val="16"/>
          <w:color w:val="auto"/>
        </w:rPr>
        <w:t>In July 2019, we acquired Miami Instruments, LLC’s minimally invasive cardiac surgery instruments business for cash consideration of up to $17.0 million.</w:t>
      </w:r>
    </w:p>
    <w:p>
      <w:pPr>
        <w:spacing w:after="0" w:line="19" w:lineRule="exact"/>
        <w:rPr>
          <w:rFonts w:ascii="Arial" w:cs="Arial" w:eastAsia="Arial" w:hAnsi="Arial"/>
          <w:sz w:val="16"/>
          <w:szCs w:val="16"/>
          <w:color w:val="4800E6"/>
        </w:rPr>
      </w:pPr>
    </w:p>
    <w:p>
      <w:pPr>
        <w:ind w:left="920" w:right="980" w:hanging="156"/>
        <w:spacing w:after="0" w:line="260" w:lineRule="auto"/>
        <w:tabs>
          <w:tab w:leader="none" w:pos="920" w:val="left"/>
        </w:tabs>
        <w:numPr>
          <w:ilvl w:val="0"/>
          <w:numId w:val="45"/>
        </w:numPr>
        <w:rPr>
          <w:rFonts w:ascii="Arial" w:cs="Arial" w:eastAsia="Arial" w:hAnsi="Arial"/>
          <w:sz w:val="16"/>
          <w:szCs w:val="16"/>
          <w:color w:val="4800E6"/>
        </w:rPr>
      </w:pPr>
      <w:r>
        <w:rPr>
          <w:rFonts w:ascii="Arial" w:cs="Arial" w:eastAsia="Arial" w:hAnsi="Arial"/>
          <w:sz w:val="16"/>
          <w:szCs w:val="16"/>
          <w:color w:val="auto"/>
        </w:rPr>
        <w:t>In July 2019, the US Food and Drug Administration approved our LifeSPARC system, a new generation of the ACS pump and controller and we began a limited commercial release in the US.</w:t>
      </w:r>
    </w:p>
    <w:p>
      <w:pPr>
        <w:spacing w:after="0" w:line="6" w:lineRule="exact"/>
        <w:rPr>
          <w:rFonts w:ascii="Arial" w:cs="Arial" w:eastAsia="Arial" w:hAnsi="Arial"/>
          <w:sz w:val="16"/>
          <w:szCs w:val="16"/>
          <w:color w:val="4800E6"/>
        </w:rPr>
      </w:pPr>
    </w:p>
    <w:p>
      <w:pPr>
        <w:jc w:val="both"/>
        <w:ind w:left="920" w:right="900" w:hanging="156"/>
        <w:spacing w:after="0" w:line="253" w:lineRule="auto"/>
        <w:tabs>
          <w:tab w:leader="none" w:pos="920" w:val="left"/>
        </w:tabs>
        <w:numPr>
          <w:ilvl w:val="0"/>
          <w:numId w:val="45"/>
        </w:numPr>
        <w:rPr>
          <w:rFonts w:ascii="Arial" w:cs="Arial" w:eastAsia="Arial" w:hAnsi="Arial"/>
          <w:sz w:val="16"/>
          <w:szCs w:val="16"/>
          <w:color w:val="4800E6"/>
        </w:rPr>
      </w:pPr>
      <w:r>
        <w:rPr>
          <w:rFonts w:ascii="Arial" w:cs="Arial" w:eastAsia="Arial" w:hAnsi="Arial"/>
          <w:sz w:val="16"/>
          <w:szCs w:val="16"/>
          <w:color w:val="auto"/>
        </w:rPr>
        <w:t>In September 2019, CMS accepted the protocol for our RECOVER clinical study, evaluating VNS Therapy for DTD. RECOVER is a double-blind randomized, placebo-controlled study with a follow-up duration of at least one year. RECOVER will include up to 500 unipolar and up to 500 bipolar patents at a maximum of 100 sites in the US.</w:t>
      </w:r>
    </w:p>
    <w:p>
      <w:pPr>
        <w:spacing w:after="0" w:line="257" w:lineRule="exact"/>
        <w:rPr>
          <w:sz w:val="20"/>
          <w:szCs w:val="20"/>
          <w:color w:val="auto"/>
        </w:rPr>
      </w:pPr>
    </w:p>
    <w:p>
      <w:pPr>
        <w:ind w:left="760"/>
        <w:spacing w:after="0"/>
        <w:rPr>
          <w:sz w:val="20"/>
          <w:szCs w:val="20"/>
          <w:color w:val="auto"/>
        </w:rPr>
      </w:pPr>
      <w:r>
        <w:rPr>
          <w:rFonts w:ascii="Arial" w:cs="Arial" w:eastAsia="Arial" w:hAnsi="Arial"/>
          <w:sz w:val="23"/>
          <w:szCs w:val="23"/>
          <w:b w:val="1"/>
          <w:bCs w:val="1"/>
          <w:color w:val="auto"/>
        </w:rPr>
        <w:t>Shareholder Engagement and Consideration of Prior Year’s Say on Pay Vote</w:t>
      </w:r>
    </w:p>
    <w:p>
      <w:pPr>
        <w:spacing w:after="0" w:line="126" w:lineRule="exact"/>
        <w:rPr>
          <w:sz w:val="20"/>
          <w:szCs w:val="20"/>
          <w:color w:val="auto"/>
        </w:rPr>
      </w:pPr>
    </w:p>
    <w:p>
      <w:pPr>
        <w:ind w:left="760" w:right="1260"/>
        <w:spacing w:after="0" w:line="260" w:lineRule="auto"/>
        <w:rPr>
          <w:sz w:val="20"/>
          <w:szCs w:val="20"/>
          <w:color w:val="auto"/>
        </w:rPr>
      </w:pPr>
      <w:r>
        <w:rPr>
          <w:rFonts w:ascii="Arial" w:cs="Arial" w:eastAsia="Arial" w:hAnsi="Arial"/>
          <w:sz w:val="16"/>
          <w:szCs w:val="16"/>
          <w:color w:val="auto"/>
        </w:rPr>
        <w:t>We are committed to engagement with our shareholders on executive compensation and corporate governance matters and review all shareholder input and feedback.</w:t>
      </w:r>
    </w:p>
    <w:p>
      <w:pPr>
        <w:spacing w:after="0" w:line="74" w:lineRule="exact"/>
        <w:rPr>
          <w:sz w:val="20"/>
          <w:szCs w:val="20"/>
          <w:color w:val="auto"/>
        </w:rPr>
      </w:pPr>
    </w:p>
    <w:p>
      <w:pPr>
        <w:ind w:left="760" w:right="780"/>
        <w:spacing w:after="0" w:line="251" w:lineRule="auto"/>
        <w:rPr>
          <w:sz w:val="20"/>
          <w:szCs w:val="20"/>
          <w:color w:val="auto"/>
        </w:rPr>
      </w:pPr>
      <w:r>
        <w:rPr>
          <w:rFonts w:ascii="Arial" w:cs="Arial" w:eastAsia="Arial" w:hAnsi="Arial"/>
          <w:sz w:val="16"/>
          <w:szCs w:val="16"/>
          <w:color w:val="auto"/>
        </w:rPr>
        <w:t>At the 2019 AGM, the vote on “Say on Pay” regarding NEO compensation garnered shareholder support of 95.40%. The advisory vote on the UK directors’ remuneration report regarding executive and non-executive director remuneration also showed strong support with 95.55% approval. The Compensation Committee reviewed shareholder and other stakeholder feedback along with the results of each of these votes and incorporated it when making compensation decisions.</w:t>
      </w:r>
    </w:p>
    <w:p>
      <w:pPr>
        <w:spacing w:after="0" w:line="81" w:lineRule="exact"/>
        <w:rPr>
          <w:sz w:val="20"/>
          <w:szCs w:val="20"/>
          <w:color w:val="auto"/>
        </w:rPr>
      </w:pPr>
    </w:p>
    <w:p>
      <w:pPr>
        <w:ind w:left="760" w:right="800"/>
        <w:spacing w:after="0" w:line="253" w:lineRule="auto"/>
        <w:rPr>
          <w:sz w:val="20"/>
          <w:szCs w:val="20"/>
          <w:color w:val="auto"/>
        </w:rPr>
      </w:pPr>
      <w:r>
        <w:rPr>
          <w:rFonts w:ascii="Arial" w:cs="Arial" w:eastAsia="Arial" w:hAnsi="Arial"/>
          <w:sz w:val="16"/>
          <w:szCs w:val="16"/>
          <w:color w:val="auto"/>
        </w:rPr>
        <w:t>Under English company law, we are obliged to adopt a remuneration policy for our directors, including our CEO, who is also our sole executive director. The remuneration policy received the support of 96.05% of the shareholders in 2019. This policy remains in force until the 2022 AGM when a new remuneration policy will be presented to shareholders for their approval.</w:t>
      </w:r>
    </w:p>
    <w:p>
      <w:pPr>
        <w:spacing w:after="0" w:line="285" w:lineRule="exact"/>
        <w:rPr>
          <w:sz w:val="20"/>
          <w:szCs w:val="20"/>
          <w:color w:val="auto"/>
        </w:rPr>
      </w:pPr>
    </w:p>
    <w:tbl>
      <w:tblPr>
        <w:tblLayout w:type="fixed"/>
        <w:tblInd w:w="0" w:type="dxa"/>
        <w:tblCellMar>
          <w:top w:w="0" w:type="dxa"/>
          <w:left w:w="0" w:type="dxa"/>
          <w:bottom w:w="0" w:type="dxa"/>
          <w:right w:w="0" w:type="dxa"/>
        </w:tblCellMar>
      </w:tblPr>
      <w:tr>
        <w:trPr>
          <w:trHeight w:val="116"/>
        </w:trPr>
        <w:tc>
          <w:tcPr>
            <w:tcW w:w="820" w:type="dxa"/>
            <w:vAlign w:val="bottom"/>
            <w:vMerge w:val="restart"/>
          </w:tcPr>
          <w:p>
            <w:pPr>
              <w:spacing w:after="0"/>
              <w:rPr>
                <w:sz w:val="10"/>
                <w:szCs w:val="10"/>
                <w:color w:val="auto"/>
              </w:rPr>
            </w:pPr>
          </w:p>
        </w:tc>
        <w:tc>
          <w:tcPr>
            <w:tcW w:w="3080" w:type="dxa"/>
            <w:vAlign w:val="bottom"/>
            <w:tcBorders>
              <w:bottom w:val="single" w:sz="8" w:color="auto"/>
            </w:tcBorders>
          </w:tcPr>
          <w:p>
            <w:pPr>
              <w:spacing w:after="0"/>
              <w:rPr>
                <w:sz w:val="10"/>
                <w:szCs w:val="10"/>
                <w:color w:val="auto"/>
              </w:rPr>
            </w:pPr>
          </w:p>
        </w:tc>
        <w:tc>
          <w:tcPr>
            <w:tcW w:w="2800" w:type="dxa"/>
            <w:vAlign w:val="bottom"/>
            <w:vMerge w:val="restart"/>
          </w:tcPr>
          <w:p>
            <w:pPr>
              <w:ind w:left="440"/>
              <w:spacing w:after="0"/>
              <w:rPr>
                <w:sz w:val="20"/>
                <w:szCs w:val="20"/>
                <w:color w:val="auto"/>
              </w:rPr>
            </w:pPr>
            <w:r>
              <w:rPr>
                <w:rFonts w:ascii="Arial" w:cs="Arial" w:eastAsia="Arial" w:hAnsi="Arial"/>
                <w:sz w:val="13"/>
                <w:szCs w:val="13"/>
                <w:b w:val="1"/>
                <w:bCs w:val="1"/>
                <w:color w:val="4800E6"/>
              </w:rPr>
              <w:t xml:space="preserve">LIVANOVA </w:t>
            </w:r>
            <w:r>
              <w:rPr>
                <w:rFonts w:ascii="Arial" w:cs="Arial" w:eastAsia="Arial" w:hAnsi="Arial"/>
                <w:sz w:val="13"/>
                <w:szCs w:val="13"/>
                <w:color w:val="000000"/>
              </w:rPr>
              <w:t>|</w:t>
            </w:r>
            <w:r>
              <w:rPr>
                <w:rFonts w:ascii="Arial" w:cs="Arial" w:eastAsia="Arial" w:hAnsi="Arial"/>
                <w:sz w:val="13"/>
                <w:szCs w:val="13"/>
                <w:b w:val="1"/>
                <w:bCs w:val="1"/>
                <w:color w:val="4800E6"/>
              </w:rPr>
              <w:t xml:space="preserve"> </w:t>
            </w:r>
            <w:r>
              <w:rPr>
                <w:rFonts w:ascii="Arial" w:cs="Arial" w:eastAsia="Arial" w:hAnsi="Arial"/>
                <w:sz w:val="13"/>
                <w:szCs w:val="13"/>
                <w:color w:val="4800E6"/>
              </w:rPr>
              <w:t>2020</w:t>
            </w:r>
            <w:r>
              <w:rPr>
                <w:rFonts w:ascii="Arial" w:cs="Arial" w:eastAsia="Arial" w:hAnsi="Arial"/>
                <w:sz w:val="13"/>
                <w:szCs w:val="13"/>
                <w:b w:val="1"/>
                <w:bCs w:val="1"/>
                <w:color w:val="4800E6"/>
              </w:rPr>
              <w:t xml:space="preserve"> </w:t>
            </w:r>
            <w:r>
              <w:rPr>
                <w:rFonts w:ascii="Arial" w:cs="Arial" w:eastAsia="Arial" w:hAnsi="Arial"/>
                <w:sz w:val="13"/>
                <w:szCs w:val="13"/>
                <w:color w:val="000000"/>
              </w:rPr>
              <w:t>Proxy Statement</w:t>
            </w:r>
          </w:p>
        </w:tc>
        <w:tc>
          <w:tcPr>
            <w:tcW w:w="3080" w:type="dxa"/>
            <w:vAlign w:val="bottom"/>
            <w:tcBorders>
              <w:bottom w:val="single" w:sz="8" w:color="auto"/>
            </w:tcBorders>
          </w:tcPr>
          <w:p>
            <w:pPr>
              <w:spacing w:after="0"/>
              <w:rPr>
                <w:sz w:val="10"/>
                <w:szCs w:val="10"/>
                <w:color w:val="auto"/>
              </w:rPr>
            </w:pPr>
          </w:p>
        </w:tc>
        <w:tc>
          <w:tcPr>
            <w:tcW w:w="940" w:type="dxa"/>
            <w:vAlign w:val="bottom"/>
            <w:vMerge w:val="restart"/>
          </w:tcPr>
          <w:p>
            <w:pPr>
              <w:jc w:val="right"/>
              <w:ind w:right="468"/>
              <w:spacing w:after="0"/>
              <w:rPr>
                <w:sz w:val="20"/>
                <w:szCs w:val="20"/>
                <w:color w:val="auto"/>
              </w:rPr>
            </w:pPr>
            <w:r>
              <w:rPr>
                <w:rFonts w:ascii="Arial" w:cs="Arial" w:eastAsia="Arial" w:hAnsi="Arial"/>
                <w:sz w:val="14"/>
                <w:szCs w:val="14"/>
                <w:b w:val="1"/>
                <w:bCs w:val="1"/>
                <w:color w:val="auto"/>
              </w:rPr>
              <w:t>26</w:t>
            </w:r>
          </w:p>
        </w:tc>
        <w:tc>
          <w:tcPr>
            <w:tcW w:w="0" w:type="dxa"/>
            <w:vAlign w:val="bottom"/>
          </w:tcPr>
          <w:p>
            <w:pPr>
              <w:spacing w:after="0"/>
              <w:rPr>
                <w:sz w:val="1"/>
                <w:szCs w:val="1"/>
                <w:color w:val="auto"/>
              </w:rPr>
            </w:pPr>
          </w:p>
        </w:tc>
      </w:tr>
      <w:tr>
        <w:trPr>
          <w:trHeight w:val="63"/>
        </w:trPr>
        <w:tc>
          <w:tcPr>
            <w:tcW w:w="820" w:type="dxa"/>
            <w:vAlign w:val="bottom"/>
            <w:vMerge w:val="continue"/>
          </w:tcPr>
          <w:p>
            <w:pPr>
              <w:spacing w:after="0"/>
              <w:rPr>
                <w:sz w:val="5"/>
                <w:szCs w:val="5"/>
                <w:color w:val="auto"/>
              </w:rPr>
            </w:pPr>
          </w:p>
        </w:tc>
        <w:tc>
          <w:tcPr>
            <w:tcW w:w="3080" w:type="dxa"/>
            <w:vAlign w:val="bottom"/>
          </w:tcPr>
          <w:p>
            <w:pPr>
              <w:spacing w:after="0"/>
              <w:rPr>
                <w:sz w:val="5"/>
                <w:szCs w:val="5"/>
                <w:color w:val="auto"/>
              </w:rPr>
            </w:pPr>
          </w:p>
        </w:tc>
        <w:tc>
          <w:tcPr>
            <w:tcW w:w="2800" w:type="dxa"/>
            <w:vAlign w:val="bottom"/>
            <w:vMerge w:val="continue"/>
          </w:tcPr>
          <w:p>
            <w:pPr>
              <w:spacing w:after="0"/>
              <w:rPr>
                <w:sz w:val="5"/>
                <w:szCs w:val="5"/>
                <w:color w:val="auto"/>
              </w:rPr>
            </w:pPr>
          </w:p>
        </w:tc>
        <w:tc>
          <w:tcPr>
            <w:tcW w:w="3080" w:type="dxa"/>
            <w:vAlign w:val="bottom"/>
          </w:tcPr>
          <w:p>
            <w:pPr>
              <w:spacing w:after="0"/>
              <w:rPr>
                <w:sz w:val="5"/>
                <w:szCs w:val="5"/>
                <w:color w:val="auto"/>
              </w:rPr>
            </w:pPr>
          </w:p>
        </w:tc>
        <w:tc>
          <w:tcPr>
            <w:tcW w:w="94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40"/>
        </w:trPr>
        <w:tc>
          <w:tcPr>
            <w:tcW w:w="820" w:type="dxa"/>
            <w:vAlign w:val="bottom"/>
            <w:tcBorders>
              <w:bottom w:val="single" w:sz="8" w:color="9A9A9A"/>
            </w:tcBorders>
          </w:tcPr>
          <w:p>
            <w:pPr>
              <w:spacing w:after="0"/>
              <w:rPr>
                <w:sz w:val="12"/>
                <w:szCs w:val="12"/>
                <w:color w:val="auto"/>
              </w:rPr>
            </w:pPr>
          </w:p>
        </w:tc>
        <w:tc>
          <w:tcPr>
            <w:tcW w:w="3080" w:type="dxa"/>
            <w:vAlign w:val="bottom"/>
            <w:tcBorders>
              <w:bottom w:val="single" w:sz="8" w:color="9A9A9A"/>
            </w:tcBorders>
          </w:tcPr>
          <w:p>
            <w:pPr>
              <w:spacing w:after="0"/>
              <w:rPr>
                <w:sz w:val="12"/>
                <w:szCs w:val="12"/>
                <w:color w:val="auto"/>
              </w:rPr>
            </w:pPr>
          </w:p>
        </w:tc>
        <w:tc>
          <w:tcPr>
            <w:tcW w:w="2800" w:type="dxa"/>
            <w:vAlign w:val="bottom"/>
            <w:tcBorders>
              <w:bottom w:val="single" w:sz="8" w:color="9A9A9A"/>
            </w:tcBorders>
          </w:tcPr>
          <w:p>
            <w:pPr>
              <w:spacing w:after="0"/>
              <w:rPr>
                <w:sz w:val="12"/>
                <w:szCs w:val="12"/>
                <w:color w:val="auto"/>
              </w:rPr>
            </w:pPr>
          </w:p>
        </w:tc>
        <w:tc>
          <w:tcPr>
            <w:tcW w:w="3080" w:type="dxa"/>
            <w:vAlign w:val="bottom"/>
            <w:tcBorders>
              <w:bottom w:val="single" w:sz="8" w:color="9A9A9A"/>
            </w:tcBorders>
          </w:tcPr>
          <w:p>
            <w:pPr>
              <w:spacing w:after="0"/>
              <w:rPr>
                <w:sz w:val="12"/>
                <w:szCs w:val="12"/>
                <w:color w:val="auto"/>
              </w:rPr>
            </w:pPr>
          </w:p>
        </w:tc>
        <w:tc>
          <w:tcPr>
            <w:tcW w:w="940" w:type="dxa"/>
            <w:vAlign w:val="bottom"/>
            <w:tcBorders>
              <w:bottom w:val="single" w:sz="8" w:color="9A9A9A"/>
            </w:tcBorders>
          </w:tcPr>
          <w:p>
            <w:pPr>
              <w:spacing w:after="0"/>
              <w:rPr>
                <w:sz w:val="12"/>
                <w:szCs w:val="12"/>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6802755</wp:posOffset>
            </wp:positionH>
            <wp:positionV relativeFrom="paragraph">
              <wp:posOffset>-8255</wp:posOffset>
            </wp:positionV>
            <wp:extent cx="8255" cy="8890"/>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wp:posOffset>
            </wp:positionV>
            <wp:extent cx="8890" cy="1714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sectPr>
          <w:pgSz w:w="11900" w:h="16838" w:orient="portrait"/>
          <w:cols w:equalWidth="0" w:num="1">
            <w:col w:w="10720"/>
          </w:cols>
          <w:pgMar w:left="320" w:top="131" w:right="859" w:bottom="1440" w:gutter="0" w:footer="0" w:header="0"/>
        </w:sectPr>
      </w:pPr>
    </w:p>
    <w:bookmarkStart w:id="30" w:name="page31"/>
    <w:bookmarkEnd w:id="30"/>
    <w:p>
      <w:pPr>
        <w:spacing w:after="0"/>
        <w:rPr>
          <w:rFonts w:ascii="Arial" w:cs="Arial" w:eastAsia="Arial" w:hAnsi="Arial"/>
          <w:sz w:val="14"/>
          <w:szCs w:val="14"/>
          <w:color w:val="003366"/>
        </w:rPr>
      </w:pPr>
      <w:hyperlink w:anchor="page4">
        <w:r>
          <w:rPr>
            <w:rFonts w:ascii="Arial" w:cs="Arial" w:eastAsia="Arial" w:hAnsi="Arial"/>
            <w:sz w:val="14"/>
            <w:szCs w:val="14"/>
            <w:color w:val="003366"/>
          </w:rPr>
          <w:t>TABLE OF CONTENTS</w:t>
        </w:r>
      </w:hyperlink>
    </w:p>
    <w:p>
      <w:pPr>
        <w:spacing w:after="0" w:line="338" w:lineRule="exact"/>
        <w:rPr>
          <w:sz w:val="20"/>
          <w:szCs w:val="20"/>
          <w:color w:val="auto"/>
        </w:rPr>
      </w:pPr>
    </w:p>
    <w:p>
      <w:pPr>
        <w:ind w:left="760"/>
        <w:spacing w:after="0"/>
        <w:rPr>
          <w:sz w:val="20"/>
          <w:szCs w:val="20"/>
          <w:color w:val="auto"/>
        </w:rPr>
      </w:pPr>
      <w:r>
        <w:rPr>
          <w:rFonts w:ascii="Arial" w:cs="Arial" w:eastAsia="Arial" w:hAnsi="Arial"/>
          <w:sz w:val="13"/>
          <w:szCs w:val="13"/>
          <w:b w:val="1"/>
          <w:bCs w:val="1"/>
          <w:color w:val="auto"/>
        </w:rPr>
        <w:t xml:space="preserve">Executive </w:t>
      </w:r>
      <w:r>
        <w:rPr>
          <w:rFonts w:ascii="Arial" w:cs="Arial" w:eastAsia="Arial" w:hAnsi="Arial"/>
          <w:sz w:val="13"/>
          <w:szCs w:val="13"/>
          <w:b w:val="1"/>
          <w:bCs w:val="1"/>
          <w:color w:val="666666"/>
        </w:rPr>
        <w:t>Compensation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485140</wp:posOffset>
            </wp:positionH>
            <wp:positionV relativeFrom="paragraph">
              <wp:posOffset>30480</wp:posOffset>
            </wp:positionV>
            <wp:extent cx="5829300" cy="825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5829300" cy="8255"/>
                    </a:xfrm>
                    <a:prstGeom prst="rect">
                      <a:avLst/>
                    </a:prstGeom>
                    <a:noFill/>
                  </pic:spPr>
                </pic:pic>
              </a:graphicData>
            </a:graphic>
          </wp:anchor>
        </w:drawing>
      </w:r>
    </w:p>
    <w:p>
      <w:pPr>
        <w:spacing w:after="0" w:line="60" w:lineRule="exact"/>
        <w:rPr>
          <w:sz w:val="20"/>
          <w:szCs w:val="20"/>
          <w:color w:val="auto"/>
        </w:rPr>
      </w:pPr>
    </w:p>
    <w:p>
      <w:pPr>
        <w:ind w:left="760"/>
        <w:spacing w:after="0"/>
        <w:rPr>
          <w:sz w:val="20"/>
          <w:szCs w:val="20"/>
          <w:color w:val="auto"/>
        </w:rPr>
      </w:pPr>
      <w:r>
        <w:rPr>
          <w:rFonts w:ascii="Arial" w:cs="Arial" w:eastAsia="Arial" w:hAnsi="Arial"/>
          <w:sz w:val="13"/>
          <w:szCs w:val="13"/>
          <w:b w:val="1"/>
          <w:bCs w:val="1"/>
          <w:color w:val="4800E6"/>
        </w:rPr>
        <w:t>Compensation Discussion &amp; Analysis</w:t>
      </w: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ind w:left="760"/>
        <w:spacing w:after="0"/>
        <w:rPr>
          <w:sz w:val="20"/>
          <w:szCs w:val="20"/>
          <w:color w:val="auto"/>
        </w:rPr>
      </w:pPr>
      <w:r>
        <w:rPr>
          <w:rFonts w:ascii="Arial" w:cs="Arial" w:eastAsia="Arial" w:hAnsi="Arial"/>
          <w:sz w:val="23"/>
          <w:szCs w:val="23"/>
          <w:b w:val="1"/>
          <w:bCs w:val="1"/>
          <w:color w:val="auto"/>
        </w:rPr>
        <w:t>Executive Compensation Philosophy</w:t>
      </w:r>
    </w:p>
    <w:p>
      <w:pPr>
        <w:spacing w:after="0" w:line="139" w:lineRule="exact"/>
        <w:rPr>
          <w:sz w:val="20"/>
          <w:szCs w:val="20"/>
          <w:color w:val="auto"/>
        </w:rPr>
      </w:pPr>
    </w:p>
    <w:p>
      <w:pPr>
        <w:ind w:left="760" w:right="239"/>
        <w:spacing w:after="0" w:line="251" w:lineRule="auto"/>
        <w:rPr>
          <w:sz w:val="20"/>
          <w:szCs w:val="20"/>
          <w:color w:val="auto"/>
        </w:rPr>
      </w:pPr>
      <w:r>
        <w:rPr>
          <w:rFonts w:ascii="Arial" w:cs="Arial" w:eastAsia="Arial" w:hAnsi="Arial"/>
          <w:sz w:val="16"/>
          <w:szCs w:val="16"/>
          <w:color w:val="auto"/>
        </w:rPr>
        <w:t>The Compensation Committee has structured the Company’s executive compensation program to be an incentive for our NEOs to perform at their highest level, take appropriate risks and drive shareholder return in the short and long term. We determine the compensation strategy for our NEOs and oversee its operation to ensure our goals – shareholder alignment, rewarding appropriate performance and competitive pay – are achieved in practice.</w:t>
      </w:r>
    </w:p>
    <w:p>
      <w:pPr>
        <w:spacing w:after="0" w:line="81" w:lineRule="exact"/>
        <w:rPr>
          <w:sz w:val="20"/>
          <w:szCs w:val="20"/>
          <w:color w:val="auto"/>
        </w:rPr>
      </w:pPr>
    </w:p>
    <w:p>
      <w:pPr>
        <w:jc w:val="both"/>
        <w:ind w:left="760" w:right="299"/>
        <w:spacing w:after="0" w:line="253" w:lineRule="auto"/>
        <w:rPr>
          <w:sz w:val="20"/>
          <w:szCs w:val="20"/>
          <w:color w:val="auto"/>
        </w:rPr>
      </w:pPr>
      <w:r>
        <w:rPr>
          <w:rFonts w:ascii="Arial" w:cs="Arial" w:eastAsia="Arial" w:hAnsi="Arial"/>
          <w:sz w:val="16"/>
          <w:szCs w:val="16"/>
          <w:color w:val="auto"/>
        </w:rPr>
        <w:t>Our executive compensation program aims to ensure that we recruit and retain key executive officers responsible for our success and align the interests of our executive officers, including our NEOs, with shareholders. To achieve these ends, the Compensation Committee structures the executive compensation program to:</w:t>
      </w:r>
    </w:p>
    <w:p>
      <w:pPr>
        <w:spacing w:after="0" w:line="12" w:lineRule="exact"/>
        <w:rPr>
          <w:sz w:val="20"/>
          <w:szCs w:val="20"/>
          <w:color w:val="auto"/>
        </w:rPr>
      </w:pPr>
    </w:p>
    <w:p>
      <w:pPr>
        <w:ind w:left="920" w:right="939" w:hanging="156"/>
        <w:spacing w:after="0" w:line="260" w:lineRule="auto"/>
        <w:tabs>
          <w:tab w:leader="none" w:pos="920" w:val="left"/>
        </w:tabs>
        <w:numPr>
          <w:ilvl w:val="0"/>
          <w:numId w:val="46"/>
        </w:numPr>
        <w:rPr>
          <w:rFonts w:ascii="Arial" w:cs="Arial" w:eastAsia="Arial" w:hAnsi="Arial"/>
          <w:sz w:val="16"/>
          <w:szCs w:val="16"/>
          <w:color w:val="4800E6"/>
        </w:rPr>
      </w:pPr>
      <w:r>
        <w:rPr>
          <w:rFonts w:ascii="Arial" w:cs="Arial" w:eastAsia="Arial" w:hAnsi="Arial"/>
          <w:sz w:val="16"/>
          <w:szCs w:val="16"/>
          <w:color w:val="auto"/>
        </w:rPr>
        <w:t>Target NEO pay around the market median to attract, motivate and retain talented executive officers with the skills and experience to ensure our long-term success;</w:t>
      </w:r>
    </w:p>
    <w:p>
      <w:pPr>
        <w:spacing w:after="0" w:line="6" w:lineRule="exact"/>
        <w:rPr>
          <w:rFonts w:ascii="Arial" w:cs="Arial" w:eastAsia="Arial" w:hAnsi="Arial"/>
          <w:sz w:val="16"/>
          <w:szCs w:val="16"/>
          <w:color w:val="4800E6"/>
        </w:rPr>
      </w:pPr>
    </w:p>
    <w:p>
      <w:pPr>
        <w:ind w:left="920" w:right="479" w:hanging="156"/>
        <w:spacing w:after="0" w:line="260" w:lineRule="auto"/>
        <w:tabs>
          <w:tab w:leader="none" w:pos="920" w:val="left"/>
        </w:tabs>
        <w:numPr>
          <w:ilvl w:val="0"/>
          <w:numId w:val="46"/>
        </w:numPr>
        <w:rPr>
          <w:rFonts w:ascii="Arial" w:cs="Arial" w:eastAsia="Arial" w:hAnsi="Arial"/>
          <w:sz w:val="16"/>
          <w:szCs w:val="16"/>
          <w:color w:val="4800E6"/>
        </w:rPr>
      </w:pPr>
      <w:r>
        <w:rPr>
          <w:rFonts w:ascii="Arial" w:cs="Arial" w:eastAsia="Arial" w:hAnsi="Arial"/>
          <w:sz w:val="16"/>
          <w:szCs w:val="16"/>
          <w:color w:val="auto"/>
        </w:rPr>
        <w:t>Use multiple pay and award vehicles that work together to reward performance and retain talent, while maintaining alignment with shareholder interests;</w:t>
      </w:r>
    </w:p>
    <w:p>
      <w:pPr>
        <w:spacing w:after="0" w:line="19" w:lineRule="exact"/>
        <w:rPr>
          <w:rFonts w:ascii="Arial" w:cs="Arial" w:eastAsia="Arial" w:hAnsi="Arial"/>
          <w:sz w:val="16"/>
          <w:szCs w:val="16"/>
          <w:color w:val="4800E6"/>
        </w:rPr>
      </w:pPr>
    </w:p>
    <w:p>
      <w:pPr>
        <w:ind w:left="920" w:right="559" w:hanging="156"/>
        <w:spacing w:after="0" w:line="260" w:lineRule="auto"/>
        <w:tabs>
          <w:tab w:leader="none" w:pos="920" w:val="left"/>
        </w:tabs>
        <w:numPr>
          <w:ilvl w:val="0"/>
          <w:numId w:val="46"/>
        </w:numPr>
        <w:rPr>
          <w:rFonts w:ascii="Arial" w:cs="Arial" w:eastAsia="Arial" w:hAnsi="Arial"/>
          <w:sz w:val="16"/>
          <w:szCs w:val="16"/>
          <w:color w:val="4800E6"/>
        </w:rPr>
      </w:pPr>
      <w:r>
        <w:rPr>
          <w:rFonts w:ascii="Arial" w:cs="Arial" w:eastAsia="Arial" w:hAnsi="Arial"/>
          <w:sz w:val="16"/>
          <w:szCs w:val="16"/>
          <w:color w:val="auto"/>
        </w:rPr>
        <w:t>Reward individual performance with base salary and a cash-based short-term bonus while ensuring a meaningful link to our operational performance and shareholder interests;</w:t>
      </w:r>
    </w:p>
    <w:p>
      <w:pPr>
        <w:spacing w:after="0" w:line="6" w:lineRule="exact"/>
        <w:rPr>
          <w:rFonts w:ascii="Arial" w:cs="Arial" w:eastAsia="Arial" w:hAnsi="Arial"/>
          <w:sz w:val="16"/>
          <w:szCs w:val="16"/>
          <w:color w:val="4800E6"/>
        </w:rPr>
      </w:pPr>
    </w:p>
    <w:p>
      <w:pPr>
        <w:ind w:left="920" w:right="779" w:hanging="156"/>
        <w:spacing w:after="0" w:line="260" w:lineRule="auto"/>
        <w:tabs>
          <w:tab w:leader="none" w:pos="920" w:val="left"/>
        </w:tabs>
        <w:numPr>
          <w:ilvl w:val="0"/>
          <w:numId w:val="46"/>
        </w:numPr>
        <w:rPr>
          <w:rFonts w:ascii="Arial" w:cs="Arial" w:eastAsia="Arial" w:hAnsi="Arial"/>
          <w:sz w:val="16"/>
          <w:szCs w:val="16"/>
          <w:color w:val="4800E6"/>
        </w:rPr>
      </w:pPr>
      <w:r>
        <w:rPr>
          <w:rFonts w:ascii="Arial" w:cs="Arial" w:eastAsia="Arial" w:hAnsi="Arial"/>
          <w:sz w:val="16"/>
          <w:szCs w:val="16"/>
          <w:color w:val="auto"/>
        </w:rPr>
        <w:t>Pay a substantial portion of each NEO’s compensation as variable pay contingent upon the achievement of our business objectives;</w:t>
      </w:r>
    </w:p>
    <w:p>
      <w:pPr>
        <w:spacing w:after="0" w:line="6" w:lineRule="exact"/>
        <w:rPr>
          <w:rFonts w:ascii="Arial" w:cs="Arial" w:eastAsia="Arial" w:hAnsi="Arial"/>
          <w:sz w:val="16"/>
          <w:szCs w:val="16"/>
          <w:color w:val="4800E6"/>
        </w:rPr>
      </w:pPr>
    </w:p>
    <w:p>
      <w:pPr>
        <w:jc w:val="both"/>
        <w:ind w:left="920" w:right="499" w:hanging="156"/>
        <w:spacing w:after="0" w:line="253" w:lineRule="auto"/>
        <w:tabs>
          <w:tab w:leader="none" w:pos="920" w:val="left"/>
        </w:tabs>
        <w:numPr>
          <w:ilvl w:val="0"/>
          <w:numId w:val="46"/>
        </w:numPr>
        <w:rPr>
          <w:rFonts w:ascii="Arial" w:cs="Arial" w:eastAsia="Arial" w:hAnsi="Arial"/>
          <w:sz w:val="16"/>
          <w:szCs w:val="16"/>
          <w:color w:val="4800E6"/>
        </w:rPr>
      </w:pPr>
      <w:r>
        <w:rPr>
          <w:rFonts w:ascii="Arial" w:cs="Arial" w:eastAsia="Arial" w:hAnsi="Arial"/>
          <w:sz w:val="16"/>
          <w:szCs w:val="16"/>
          <w:color w:val="auto"/>
        </w:rPr>
        <w:t>Balance the components of compensation so that short-term (annual) and long-term performance objectives are recognized because our success depends on our executive officers being focused on critical strategic and tactical objectives, both short-term and long-term;</w:t>
      </w:r>
    </w:p>
    <w:p>
      <w:pPr>
        <w:spacing w:after="0" w:line="12" w:lineRule="exact"/>
        <w:rPr>
          <w:rFonts w:ascii="Arial" w:cs="Arial" w:eastAsia="Arial" w:hAnsi="Arial"/>
          <w:sz w:val="16"/>
          <w:szCs w:val="16"/>
          <w:color w:val="4800E6"/>
        </w:rPr>
      </w:pPr>
    </w:p>
    <w:p>
      <w:pPr>
        <w:ind w:left="920" w:hanging="156"/>
        <w:spacing w:after="0"/>
        <w:tabs>
          <w:tab w:leader="none" w:pos="920" w:val="left"/>
        </w:tabs>
        <w:numPr>
          <w:ilvl w:val="0"/>
          <w:numId w:val="46"/>
        </w:numPr>
        <w:rPr>
          <w:rFonts w:ascii="Arial" w:cs="Arial" w:eastAsia="Arial" w:hAnsi="Arial"/>
          <w:sz w:val="16"/>
          <w:szCs w:val="16"/>
          <w:color w:val="4800E6"/>
        </w:rPr>
      </w:pPr>
      <w:r>
        <w:rPr>
          <w:rFonts w:ascii="Arial" w:cs="Arial" w:eastAsia="Arial" w:hAnsi="Arial"/>
          <w:sz w:val="16"/>
          <w:szCs w:val="16"/>
          <w:color w:val="auto"/>
        </w:rPr>
        <w:t>Encourage NEOs to have a meaningful ownership interest in the Company with stock ownership guidelines;</w:t>
      </w:r>
    </w:p>
    <w:p>
      <w:pPr>
        <w:spacing w:after="0" w:line="45" w:lineRule="exact"/>
        <w:rPr>
          <w:rFonts w:ascii="Arial" w:cs="Arial" w:eastAsia="Arial" w:hAnsi="Arial"/>
          <w:sz w:val="16"/>
          <w:szCs w:val="16"/>
          <w:color w:val="4800E6"/>
        </w:rPr>
      </w:pPr>
    </w:p>
    <w:p>
      <w:pPr>
        <w:ind w:left="920" w:hanging="156"/>
        <w:spacing w:after="0"/>
        <w:tabs>
          <w:tab w:leader="none" w:pos="920" w:val="left"/>
        </w:tabs>
        <w:numPr>
          <w:ilvl w:val="0"/>
          <w:numId w:val="46"/>
        </w:numPr>
        <w:rPr>
          <w:rFonts w:ascii="Arial" w:cs="Arial" w:eastAsia="Arial" w:hAnsi="Arial"/>
          <w:sz w:val="16"/>
          <w:szCs w:val="16"/>
          <w:color w:val="4800E6"/>
        </w:rPr>
      </w:pPr>
      <w:r>
        <w:rPr>
          <w:rFonts w:ascii="Arial" w:cs="Arial" w:eastAsia="Arial" w:hAnsi="Arial"/>
          <w:sz w:val="16"/>
          <w:szCs w:val="16"/>
          <w:color w:val="auto"/>
        </w:rPr>
        <w:t>Vest equity awards over time to promote retention and mitigate risks;</w:t>
      </w:r>
    </w:p>
    <w:p>
      <w:pPr>
        <w:spacing w:after="0" w:line="32" w:lineRule="exact"/>
        <w:rPr>
          <w:rFonts w:ascii="Arial" w:cs="Arial" w:eastAsia="Arial" w:hAnsi="Arial"/>
          <w:sz w:val="16"/>
          <w:szCs w:val="16"/>
          <w:color w:val="4800E6"/>
        </w:rPr>
      </w:pPr>
    </w:p>
    <w:p>
      <w:pPr>
        <w:ind w:left="920" w:hanging="156"/>
        <w:spacing w:after="0"/>
        <w:tabs>
          <w:tab w:leader="none" w:pos="920" w:val="left"/>
        </w:tabs>
        <w:numPr>
          <w:ilvl w:val="0"/>
          <w:numId w:val="46"/>
        </w:numPr>
        <w:rPr>
          <w:rFonts w:ascii="Arial" w:cs="Arial" w:eastAsia="Arial" w:hAnsi="Arial"/>
          <w:sz w:val="16"/>
          <w:szCs w:val="16"/>
          <w:color w:val="4800E6"/>
        </w:rPr>
      </w:pPr>
      <w:r>
        <w:rPr>
          <w:rFonts w:ascii="Arial" w:cs="Arial" w:eastAsia="Arial" w:hAnsi="Arial"/>
          <w:sz w:val="16"/>
          <w:szCs w:val="16"/>
          <w:color w:val="auto"/>
        </w:rPr>
        <w:t>Have clawback provisions in our plans to mitigate risks; and</w:t>
      </w:r>
    </w:p>
    <w:p>
      <w:pPr>
        <w:spacing w:after="0" w:line="32" w:lineRule="exact"/>
        <w:rPr>
          <w:rFonts w:ascii="Arial" w:cs="Arial" w:eastAsia="Arial" w:hAnsi="Arial"/>
          <w:sz w:val="16"/>
          <w:szCs w:val="16"/>
          <w:color w:val="4800E6"/>
        </w:rPr>
      </w:pPr>
    </w:p>
    <w:p>
      <w:pPr>
        <w:ind w:left="920" w:hanging="156"/>
        <w:spacing w:after="0"/>
        <w:tabs>
          <w:tab w:leader="none" w:pos="920" w:val="left"/>
        </w:tabs>
        <w:numPr>
          <w:ilvl w:val="0"/>
          <w:numId w:val="46"/>
        </w:numPr>
        <w:rPr>
          <w:rFonts w:ascii="Arial" w:cs="Arial" w:eastAsia="Arial" w:hAnsi="Arial"/>
          <w:sz w:val="16"/>
          <w:szCs w:val="16"/>
          <w:color w:val="4800E6"/>
        </w:rPr>
      </w:pPr>
      <w:r>
        <w:rPr>
          <w:rFonts w:ascii="Arial" w:cs="Arial" w:eastAsia="Arial" w:hAnsi="Arial"/>
          <w:sz w:val="16"/>
          <w:szCs w:val="16"/>
          <w:color w:val="auto"/>
        </w:rPr>
        <w:t>Work with an independent compensation consultant to ensure our program is meeting its goals.</w:t>
      </w:r>
    </w:p>
    <w:p>
      <w:pPr>
        <w:spacing w:after="0" w:line="100" w:lineRule="exact"/>
        <w:rPr>
          <w:sz w:val="20"/>
          <w:szCs w:val="20"/>
          <w:color w:val="auto"/>
        </w:rPr>
      </w:pPr>
    </w:p>
    <w:p>
      <w:pPr>
        <w:ind w:left="760"/>
        <w:spacing w:after="0"/>
        <w:rPr>
          <w:sz w:val="20"/>
          <w:szCs w:val="20"/>
          <w:color w:val="auto"/>
        </w:rPr>
      </w:pPr>
      <w:r>
        <w:rPr>
          <w:rFonts w:ascii="Arial" w:cs="Arial" w:eastAsia="Arial" w:hAnsi="Arial"/>
          <w:sz w:val="16"/>
          <w:szCs w:val="16"/>
          <w:color w:val="auto"/>
        </w:rPr>
        <w:t>The Compensation Committee further aligns the executive compensation program with shareholder interests by:</w:t>
      </w:r>
    </w:p>
    <w:p>
      <w:pPr>
        <w:spacing w:after="0" w:line="32" w:lineRule="exact"/>
        <w:rPr>
          <w:sz w:val="20"/>
          <w:szCs w:val="20"/>
          <w:color w:val="auto"/>
        </w:rPr>
      </w:pPr>
    </w:p>
    <w:p>
      <w:pPr>
        <w:ind w:left="920" w:hanging="156"/>
        <w:spacing w:after="0"/>
        <w:tabs>
          <w:tab w:leader="none" w:pos="920" w:val="left"/>
        </w:tabs>
        <w:numPr>
          <w:ilvl w:val="0"/>
          <w:numId w:val="47"/>
        </w:numPr>
        <w:rPr>
          <w:rFonts w:ascii="Arial" w:cs="Arial" w:eastAsia="Arial" w:hAnsi="Arial"/>
          <w:sz w:val="16"/>
          <w:szCs w:val="16"/>
          <w:color w:val="4800E6"/>
        </w:rPr>
      </w:pPr>
      <w:r>
        <w:rPr>
          <w:rFonts w:ascii="Arial" w:cs="Arial" w:eastAsia="Arial" w:hAnsi="Arial"/>
          <w:sz w:val="16"/>
          <w:szCs w:val="16"/>
          <w:color w:val="auto"/>
        </w:rPr>
        <w:t>Having a double trigger change in control provision before cash severance may be paid;</w:t>
      </w:r>
    </w:p>
    <w:p>
      <w:pPr>
        <w:spacing w:after="0" w:line="32" w:lineRule="exact"/>
        <w:rPr>
          <w:rFonts w:ascii="Arial" w:cs="Arial" w:eastAsia="Arial" w:hAnsi="Arial"/>
          <w:sz w:val="16"/>
          <w:szCs w:val="16"/>
          <w:color w:val="4800E6"/>
        </w:rPr>
      </w:pPr>
    </w:p>
    <w:p>
      <w:pPr>
        <w:ind w:left="920" w:hanging="156"/>
        <w:spacing w:after="0"/>
        <w:tabs>
          <w:tab w:leader="none" w:pos="920" w:val="left"/>
        </w:tabs>
        <w:numPr>
          <w:ilvl w:val="0"/>
          <w:numId w:val="47"/>
        </w:numPr>
        <w:rPr>
          <w:rFonts w:ascii="Arial" w:cs="Arial" w:eastAsia="Arial" w:hAnsi="Arial"/>
          <w:sz w:val="16"/>
          <w:szCs w:val="16"/>
          <w:color w:val="4800E6"/>
        </w:rPr>
      </w:pPr>
      <w:r>
        <w:rPr>
          <w:rFonts w:ascii="Arial" w:cs="Arial" w:eastAsia="Arial" w:hAnsi="Arial"/>
          <w:sz w:val="16"/>
          <w:szCs w:val="16"/>
          <w:color w:val="auto"/>
        </w:rPr>
        <w:t>Prohibiting excise tax gross-up payments;</w:t>
      </w:r>
    </w:p>
    <w:p>
      <w:pPr>
        <w:spacing w:after="0" w:line="45" w:lineRule="exact"/>
        <w:rPr>
          <w:rFonts w:ascii="Arial" w:cs="Arial" w:eastAsia="Arial" w:hAnsi="Arial"/>
          <w:sz w:val="16"/>
          <w:szCs w:val="16"/>
          <w:color w:val="4800E6"/>
        </w:rPr>
      </w:pPr>
    </w:p>
    <w:p>
      <w:pPr>
        <w:ind w:left="920" w:hanging="156"/>
        <w:spacing w:after="0"/>
        <w:tabs>
          <w:tab w:leader="none" w:pos="920" w:val="left"/>
        </w:tabs>
        <w:numPr>
          <w:ilvl w:val="0"/>
          <w:numId w:val="47"/>
        </w:numPr>
        <w:rPr>
          <w:rFonts w:ascii="Arial" w:cs="Arial" w:eastAsia="Arial" w:hAnsi="Arial"/>
          <w:sz w:val="16"/>
          <w:szCs w:val="16"/>
          <w:color w:val="4800E6"/>
        </w:rPr>
      </w:pPr>
      <w:r>
        <w:rPr>
          <w:rFonts w:ascii="Arial" w:cs="Arial" w:eastAsia="Arial" w:hAnsi="Arial"/>
          <w:sz w:val="16"/>
          <w:szCs w:val="16"/>
          <w:color w:val="auto"/>
        </w:rPr>
        <w:t>Prohibiting stock option repricing and discounted stock option grants;</w:t>
      </w:r>
    </w:p>
    <w:p>
      <w:pPr>
        <w:spacing w:after="0" w:line="32" w:lineRule="exact"/>
        <w:rPr>
          <w:rFonts w:ascii="Arial" w:cs="Arial" w:eastAsia="Arial" w:hAnsi="Arial"/>
          <w:sz w:val="16"/>
          <w:szCs w:val="16"/>
          <w:color w:val="4800E6"/>
        </w:rPr>
      </w:pPr>
    </w:p>
    <w:p>
      <w:pPr>
        <w:ind w:left="920" w:right="419" w:hanging="156"/>
        <w:spacing w:after="0" w:line="260" w:lineRule="auto"/>
        <w:tabs>
          <w:tab w:leader="none" w:pos="920" w:val="left"/>
        </w:tabs>
        <w:numPr>
          <w:ilvl w:val="0"/>
          <w:numId w:val="47"/>
        </w:numPr>
        <w:rPr>
          <w:rFonts w:ascii="Arial" w:cs="Arial" w:eastAsia="Arial" w:hAnsi="Arial"/>
          <w:sz w:val="16"/>
          <w:szCs w:val="16"/>
          <w:color w:val="4800E6"/>
        </w:rPr>
      </w:pPr>
      <w:r>
        <w:rPr>
          <w:rFonts w:ascii="Arial" w:cs="Arial" w:eastAsia="Arial" w:hAnsi="Arial"/>
          <w:sz w:val="16"/>
          <w:szCs w:val="16"/>
          <w:color w:val="auto"/>
        </w:rPr>
        <w:t>Not allowing our officers or directors to pledge their LivaNova stock, subject to a transition period for one director to unwind an existing obligation;</w:t>
      </w:r>
    </w:p>
    <w:p>
      <w:pPr>
        <w:spacing w:after="0" w:line="6" w:lineRule="exact"/>
        <w:rPr>
          <w:rFonts w:ascii="Arial" w:cs="Arial" w:eastAsia="Arial" w:hAnsi="Arial"/>
          <w:sz w:val="16"/>
          <w:szCs w:val="16"/>
          <w:color w:val="4800E6"/>
        </w:rPr>
      </w:pPr>
    </w:p>
    <w:p>
      <w:pPr>
        <w:ind w:left="920" w:right="399" w:hanging="156"/>
        <w:spacing w:after="0" w:line="260" w:lineRule="auto"/>
        <w:tabs>
          <w:tab w:leader="none" w:pos="920" w:val="left"/>
        </w:tabs>
        <w:numPr>
          <w:ilvl w:val="0"/>
          <w:numId w:val="47"/>
        </w:numPr>
        <w:rPr>
          <w:rFonts w:ascii="Arial" w:cs="Arial" w:eastAsia="Arial" w:hAnsi="Arial"/>
          <w:sz w:val="16"/>
          <w:szCs w:val="16"/>
          <w:color w:val="4800E6"/>
        </w:rPr>
      </w:pPr>
      <w:r>
        <w:rPr>
          <w:rFonts w:ascii="Arial" w:cs="Arial" w:eastAsia="Arial" w:hAnsi="Arial"/>
          <w:sz w:val="16"/>
          <w:szCs w:val="16"/>
          <w:color w:val="auto"/>
        </w:rPr>
        <w:t>Prohibiting hedging transactions of any type of Company security, including without limitation puts, calls, equity swaps, collars, exchange funds, prepaid variable forwards or other financial instruments or derivative securities; and</w:t>
      </w:r>
    </w:p>
    <w:p>
      <w:pPr>
        <w:spacing w:after="0" w:line="19" w:lineRule="exact"/>
        <w:rPr>
          <w:rFonts w:ascii="Arial" w:cs="Arial" w:eastAsia="Arial" w:hAnsi="Arial"/>
          <w:sz w:val="16"/>
          <w:szCs w:val="16"/>
          <w:color w:val="4800E6"/>
        </w:rPr>
      </w:pPr>
    </w:p>
    <w:p>
      <w:pPr>
        <w:ind w:left="920" w:hanging="156"/>
        <w:spacing w:after="0"/>
        <w:tabs>
          <w:tab w:leader="none" w:pos="920" w:val="left"/>
        </w:tabs>
        <w:numPr>
          <w:ilvl w:val="0"/>
          <w:numId w:val="47"/>
        </w:numPr>
        <w:rPr>
          <w:rFonts w:ascii="Arial" w:cs="Arial" w:eastAsia="Arial" w:hAnsi="Arial"/>
          <w:sz w:val="16"/>
          <w:szCs w:val="16"/>
          <w:color w:val="4800E6"/>
        </w:rPr>
      </w:pPr>
      <w:r>
        <w:rPr>
          <w:rFonts w:ascii="Arial" w:cs="Arial" w:eastAsia="Arial" w:hAnsi="Arial"/>
          <w:sz w:val="16"/>
          <w:szCs w:val="16"/>
          <w:color w:val="auto"/>
        </w:rPr>
        <w:t>Allocating 50% of NEO long-term incentives to performance-based awards.</w:t>
      </w:r>
    </w:p>
    <w:p>
      <w:pPr>
        <w:spacing w:after="0" w:line="249" w:lineRule="exact"/>
        <w:rPr>
          <w:sz w:val="20"/>
          <w:szCs w:val="20"/>
          <w:color w:val="auto"/>
        </w:rPr>
      </w:pPr>
    </w:p>
    <w:p>
      <w:pPr>
        <w:ind w:left="760"/>
        <w:spacing w:after="0"/>
        <w:rPr>
          <w:sz w:val="20"/>
          <w:szCs w:val="20"/>
          <w:color w:val="auto"/>
        </w:rPr>
      </w:pPr>
      <w:r>
        <w:rPr>
          <w:rFonts w:ascii="Arial" w:cs="Arial" w:eastAsia="Arial" w:hAnsi="Arial"/>
          <w:sz w:val="23"/>
          <w:szCs w:val="23"/>
          <w:b w:val="1"/>
          <w:bCs w:val="1"/>
          <w:color w:val="auto"/>
        </w:rPr>
        <w:t>Participants in Executive Compensation Design and Decision-Making Process</w:t>
      </w:r>
    </w:p>
    <w:p>
      <w:pPr>
        <w:spacing w:after="0" w:line="218" w:lineRule="exact"/>
        <w:rPr>
          <w:sz w:val="20"/>
          <w:szCs w:val="20"/>
          <w:color w:val="auto"/>
        </w:rPr>
      </w:pPr>
    </w:p>
    <w:p>
      <w:pPr>
        <w:ind w:left="760"/>
        <w:spacing w:after="0"/>
        <w:rPr>
          <w:sz w:val="20"/>
          <w:szCs w:val="20"/>
          <w:color w:val="auto"/>
        </w:rPr>
      </w:pPr>
      <w:r>
        <w:rPr>
          <w:rFonts w:ascii="Arial" w:cs="Arial" w:eastAsia="Arial" w:hAnsi="Arial"/>
          <w:sz w:val="20"/>
          <w:szCs w:val="20"/>
          <w:b w:val="1"/>
          <w:bCs w:val="1"/>
          <w:color w:val="FF4C4C"/>
        </w:rPr>
        <w:t>Role of the Compensation Committee</w:t>
      </w:r>
    </w:p>
    <w:p>
      <w:pPr>
        <w:spacing w:after="0" w:line="110" w:lineRule="exact"/>
        <w:rPr>
          <w:sz w:val="20"/>
          <w:szCs w:val="20"/>
          <w:color w:val="auto"/>
        </w:rPr>
      </w:pPr>
    </w:p>
    <w:p>
      <w:pPr>
        <w:ind w:left="760" w:right="259"/>
        <w:spacing w:after="0" w:line="249" w:lineRule="auto"/>
        <w:rPr>
          <w:rFonts w:ascii="Arial" w:cs="Arial" w:eastAsia="Arial" w:hAnsi="Arial"/>
          <w:sz w:val="16"/>
          <w:szCs w:val="16"/>
          <w:color w:val="auto"/>
        </w:rPr>
      </w:pPr>
      <w:r>
        <w:rPr>
          <w:rFonts w:ascii="Arial" w:cs="Arial" w:eastAsia="Arial" w:hAnsi="Arial"/>
          <w:sz w:val="16"/>
          <w:szCs w:val="16"/>
          <w:color w:val="auto"/>
        </w:rPr>
        <w:t xml:space="preserve">The Compensation Committee determines our compensation philosophy, program design and is the decision-making body on all matters relating to the compensation paid to our NEOs. The Compensation Committee has the sole authority to retain and terminate a compensation consultant to assist with its responsibilities as well as the sole authority to approve the compensation consultant’s fees, which the Company pays. For more information about the Compensation Committee, its members and its duties as set forth in its charter, please refer to the section entitled “Board, Committee and Shareholders Meetings – Compensation Committee” beginning on page </w:t>
      </w:r>
      <w:hyperlink w:anchor="page22">
        <w:r>
          <w:rPr>
            <w:rFonts w:ascii="Arial" w:cs="Arial" w:eastAsia="Arial" w:hAnsi="Arial"/>
            <w:sz w:val="16"/>
            <w:szCs w:val="16"/>
            <w:u w:val="single" w:color="auto"/>
            <w:color w:val="0000EE"/>
          </w:rPr>
          <w:t>19</w:t>
        </w:r>
        <w:r>
          <w:rPr>
            <w:rFonts w:ascii="Arial" w:cs="Arial" w:eastAsia="Arial" w:hAnsi="Arial"/>
            <w:sz w:val="16"/>
            <w:szCs w:val="16"/>
            <w:u w:val="single" w:color="auto"/>
            <w:color w:val="auto"/>
          </w:rPr>
          <w:t xml:space="preserve"> </w:t>
        </w:r>
      </w:hyperlink>
      <w:r>
        <w:rPr>
          <w:rFonts w:ascii="Arial" w:cs="Arial" w:eastAsia="Arial" w:hAnsi="Arial"/>
          <w:sz w:val="16"/>
          <w:szCs w:val="16"/>
          <w:color w:val="auto"/>
        </w:rPr>
        <w:t>of this proxy statement.</w:t>
      </w:r>
    </w:p>
    <w:p>
      <w:pPr>
        <w:spacing w:after="0" w:line="162" w:lineRule="exact"/>
        <w:rPr>
          <w:sz w:val="20"/>
          <w:szCs w:val="20"/>
          <w:color w:val="auto"/>
        </w:rPr>
      </w:pPr>
    </w:p>
    <w:p>
      <w:pPr>
        <w:ind w:left="760"/>
        <w:spacing w:after="0"/>
        <w:rPr>
          <w:sz w:val="20"/>
          <w:szCs w:val="20"/>
          <w:color w:val="auto"/>
        </w:rPr>
      </w:pPr>
      <w:r>
        <w:rPr>
          <w:rFonts w:ascii="Arial" w:cs="Arial" w:eastAsia="Arial" w:hAnsi="Arial"/>
          <w:sz w:val="20"/>
          <w:szCs w:val="20"/>
          <w:b w:val="1"/>
          <w:bCs w:val="1"/>
          <w:color w:val="FF4C4C"/>
        </w:rPr>
        <w:t>Role of the Compensation Consultant</w:t>
      </w:r>
    </w:p>
    <w:p>
      <w:pPr>
        <w:spacing w:after="0" w:line="124" w:lineRule="exact"/>
        <w:rPr>
          <w:sz w:val="20"/>
          <w:szCs w:val="20"/>
          <w:color w:val="auto"/>
        </w:rPr>
      </w:pPr>
    </w:p>
    <w:p>
      <w:pPr>
        <w:ind w:left="760" w:right="239"/>
        <w:spacing w:after="0" w:line="251" w:lineRule="auto"/>
        <w:rPr>
          <w:sz w:val="20"/>
          <w:szCs w:val="20"/>
          <w:color w:val="auto"/>
        </w:rPr>
      </w:pPr>
      <w:r>
        <w:rPr>
          <w:rFonts w:ascii="Arial" w:cs="Arial" w:eastAsia="Arial" w:hAnsi="Arial"/>
          <w:sz w:val="16"/>
          <w:szCs w:val="16"/>
          <w:color w:val="auto"/>
        </w:rPr>
        <w:t>The Compensation Committee directly engages a compensation consultant, Pearl Meyer &amp; Partners, LLC (“Pearl Meyer”), to advise it on competitive pay practices, determine our peers for compensation purposes, provide market data and assist us in the analysis of that data. Pearl Meyer is independent of the Company and does not perform any services for the Company or any of its executive officers or other employees.</w:t>
      </w:r>
    </w:p>
    <w:p>
      <w:pPr>
        <w:spacing w:after="0" w:line="146" w:lineRule="exact"/>
        <w:rPr>
          <w:sz w:val="20"/>
          <w:szCs w:val="20"/>
          <w:color w:val="auto"/>
        </w:rPr>
      </w:pPr>
    </w:p>
    <w:p>
      <w:pPr>
        <w:ind w:left="760"/>
        <w:spacing w:after="0"/>
        <w:rPr>
          <w:sz w:val="20"/>
          <w:szCs w:val="20"/>
          <w:color w:val="auto"/>
        </w:rPr>
      </w:pPr>
      <w:r>
        <w:rPr>
          <w:rFonts w:ascii="Arial" w:cs="Arial" w:eastAsia="Arial" w:hAnsi="Arial"/>
          <w:sz w:val="20"/>
          <w:szCs w:val="20"/>
          <w:b w:val="1"/>
          <w:bCs w:val="1"/>
          <w:color w:val="FF4C4C"/>
        </w:rPr>
        <w:t>Role of the CEO</w:t>
      </w:r>
    </w:p>
    <w:p>
      <w:pPr>
        <w:spacing w:after="0" w:line="124" w:lineRule="exact"/>
        <w:rPr>
          <w:sz w:val="20"/>
          <w:szCs w:val="20"/>
          <w:color w:val="auto"/>
        </w:rPr>
      </w:pPr>
    </w:p>
    <w:p>
      <w:pPr>
        <w:ind w:left="760" w:right="259"/>
        <w:spacing w:after="0" w:line="253" w:lineRule="auto"/>
        <w:rPr>
          <w:sz w:val="20"/>
          <w:szCs w:val="20"/>
          <w:color w:val="auto"/>
        </w:rPr>
      </w:pPr>
      <w:r>
        <w:rPr>
          <w:rFonts w:ascii="Arial" w:cs="Arial" w:eastAsia="Arial" w:hAnsi="Arial"/>
          <w:sz w:val="16"/>
          <w:szCs w:val="16"/>
          <w:color w:val="auto"/>
        </w:rPr>
        <w:t>Our Compensation Committee works with our executive management, including our CEO, to oversee our executive compensation program. Our CEO plays a key role in the process as it relates to executive officers other than himself. For the NEOs other than himself, our CEO:</w:t>
      </w:r>
    </w:p>
    <w:p>
      <w:pPr>
        <w:sectPr>
          <w:pgSz w:w="11900" w:h="16838" w:orient="portrait"/>
          <w:cols w:equalWidth="0" w:num="1">
            <w:col w:w="10139"/>
          </w:cols>
          <w:pgMar w:left="320" w:top="131" w:right="1440" w:bottom="1440" w:gutter="0" w:footer="0" w:header="0"/>
        </w:sectPr>
      </w:pPr>
    </w:p>
    <w:p>
      <w:pPr>
        <w:ind w:left="480"/>
        <w:spacing w:after="0"/>
        <w:tabs>
          <w:tab w:leader="none" w:pos="4400" w:val="left"/>
          <w:tab w:leader="none" w:pos="8760" w:val="left"/>
        </w:tabs>
        <w:rPr>
          <w:sz w:val="20"/>
          <w:szCs w:val="20"/>
          <w:color w:val="auto"/>
        </w:rPr>
      </w:pPr>
      <w:r>
        <w:rPr>
          <w:rFonts w:ascii="Arial" w:cs="Arial" w:eastAsia="Arial" w:hAnsi="Arial"/>
          <w:sz w:val="29"/>
          <w:szCs w:val="29"/>
          <w:b w:val="1"/>
          <w:bCs w:val="1"/>
          <w:color w:val="auto"/>
          <w:vertAlign w:val="subscript"/>
        </w:rPr>
        <w:t>27</w:t>
      </w:r>
      <w:r>
        <w:rPr>
          <w:sz w:val="20"/>
          <w:szCs w:val="20"/>
          <w:color w:val="auto"/>
        </w:rPr>
        <w:tab/>
      </w:r>
      <w:r>
        <w:rPr>
          <w:rFonts w:ascii="Arial" w:cs="Arial" w:eastAsia="Arial" w:hAnsi="Arial"/>
          <w:sz w:val="13"/>
          <w:szCs w:val="13"/>
          <w:b w:val="1"/>
          <w:bCs w:val="1"/>
          <w:color w:val="4800E6"/>
        </w:rPr>
        <w:t xml:space="preserve">LIVANOVA </w:t>
      </w:r>
      <w:r>
        <w:rPr>
          <w:rFonts w:ascii="Arial" w:cs="Arial" w:eastAsia="Arial" w:hAnsi="Arial"/>
          <w:sz w:val="13"/>
          <w:szCs w:val="13"/>
          <w:color w:val="000000"/>
        </w:rPr>
        <w:t>|</w:t>
      </w:r>
      <w:r>
        <w:rPr>
          <w:rFonts w:ascii="Arial" w:cs="Arial" w:eastAsia="Arial" w:hAnsi="Arial"/>
          <w:sz w:val="13"/>
          <w:szCs w:val="13"/>
          <w:b w:val="1"/>
          <w:bCs w:val="1"/>
          <w:color w:val="4800E6"/>
        </w:rPr>
        <w:t xml:space="preserve"> </w:t>
      </w:r>
      <w:r>
        <w:rPr>
          <w:rFonts w:ascii="Arial" w:cs="Arial" w:eastAsia="Arial" w:hAnsi="Arial"/>
          <w:sz w:val="13"/>
          <w:szCs w:val="13"/>
          <w:color w:val="4800E6"/>
        </w:rPr>
        <w:t>2020</w:t>
      </w:r>
      <w:r>
        <w:rPr>
          <w:rFonts w:ascii="Arial" w:cs="Arial" w:eastAsia="Arial" w:hAnsi="Arial"/>
          <w:sz w:val="13"/>
          <w:szCs w:val="13"/>
          <w:b w:val="1"/>
          <w:bCs w:val="1"/>
          <w:color w:val="4800E6"/>
        </w:rPr>
        <w:t xml:space="preserve"> </w:t>
      </w:r>
      <w:r>
        <w:rPr>
          <w:rFonts w:ascii="Arial" w:cs="Arial" w:eastAsia="Arial" w:hAnsi="Arial"/>
          <w:sz w:val="13"/>
          <w:szCs w:val="13"/>
          <w:color w:val="000000"/>
        </w:rPr>
        <w:t>Proxy Statement</w:t>
      </w:r>
      <w:r>
        <w:rPr>
          <w:sz w:val="20"/>
          <w:szCs w:val="20"/>
          <w:color w:val="auto"/>
        </w:rPr>
        <w:tab/>
      </w:r>
      <w:r>
        <w:rPr>
          <w:rFonts w:ascii="Arial" w:cs="Arial" w:eastAsia="Arial" w:hAnsi="Arial"/>
          <w:sz w:val="12"/>
          <w:szCs w:val="12"/>
          <w:b w:val="1"/>
          <w:bCs w:val="1"/>
          <w:color w:val="4800E6"/>
        </w:rPr>
        <w:t>www.livanova.com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561975</wp:posOffset>
            </wp:positionH>
            <wp:positionV relativeFrom="paragraph">
              <wp:posOffset>95250</wp:posOffset>
            </wp:positionV>
            <wp:extent cx="1954530" cy="8890"/>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1954530" cy="8890"/>
                    </a:xfrm>
                    <a:prstGeom prst="rect">
                      <a:avLst/>
                    </a:prstGeom>
                    <a:noFill/>
                  </pic:spPr>
                </pic:pic>
              </a:graphicData>
            </a:graphic>
          </wp:anchor>
        </w:drawing>
        <w:drawing>
          <wp:anchor simplePos="0" relativeHeight="251657728" behindDoc="1" locked="0" layoutInCell="0" allowOverlap="1">
            <wp:simplePos x="0" y="0"/>
            <wp:positionH relativeFrom="column">
              <wp:posOffset>4316730</wp:posOffset>
            </wp:positionH>
            <wp:positionV relativeFrom="paragraph">
              <wp:posOffset>95250</wp:posOffset>
            </wp:positionV>
            <wp:extent cx="1028700" cy="8890"/>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102870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223520</wp:posOffset>
            </wp:positionV>
            <wp:extent cx="6806565" cy="1714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10139"/>
          </w:cols>
          <w:pgMar w:left="320" w:top="131" w:right="1440" w:bottom="1440" w:gutter="0" w:footer="0" w:header="0"/>
          <w:type w:val="continuous"/>
        </w:sectPr>
      </w:pPr>
    </w:p>
    <w:bookmarkStart w:id="31" w:name="page32"/>
    <w:bookmarkEnd w:id="31"/>
    <w:p>
      <w:pPr>
        <w:spacing w:after="0"/>
        <w:rPr>
          <w:rFonts w:ascii="Arial" w:cs="Arial" w:eastAsia="Arial" w:hAnsi="Arial"/>
          <w:sz w:val="14"/>
          <w:szCs w:val="14"/>
          <w:color w:val="003366"/>
        </w:rPr>
      </w:pPr>
      <w:hyperlink w:anchor="page4">
        <w:r>
          <w:rPr>
            <w:rFonts w:ascii="Arial" w:cs="Arial" w:eastAsia="Arial" w:hAnsi="Arial"/>
            <w:sz w:val="14"/>
            <w:szCs w:val="14"/>
            <w:color w:val="003366"/>
          </w:rPr>
          <w:t>TABLE OF CONTENTS</w:t>
        </w:r>
      </w:hyperlink>
    </w:p>
    <w:p>
      <w:pPr>
        <w:spacing w:after="0" w:line="338" w:lineRule="exact"/>
        <w:rPr>
          <w:sz w:val="20"/>
          <w:szCs w:val="20"/>
          <w:color w:val="auto"/>
        </w:rPr>
      </w:pPr>
    </w:p>
    <w:p>
      <w:pPr>
        <w:jc w:val="right"/>
        <w:ind w:right="240"/>
        <w:spacing w:after="0"/>
        <w:rPr>
          <w:sz w:val="20"/>
          <w:szCs w:val="20"/>
          <w:color w:val="auto"/>
        </w:rPr>
      </w:pPr>
      <w:r>
        <w:rPr>
          <w:rFonts w:ascii="Arial" w:cs="Arial" w:eastAsia="Arial" w:hAnsi="Arial"/>
          <w:sz w:val="13"/>
          <w:szCs w:val="13"/>
          <w:b w:val="1"/>
          <w:bCs w:val="1"/>
          <w:color w:val="auto"/>
        </w:rPr>
        <w:t xml:space="preserve">Executive </w:t>
      </w:r>
      <w:r>
        <w:rPr>
          <w:rFonts w:ascii="Arial" w:cs="Arial" w:eastAsia="Arial" w:hAnsi="Arial"/>
          <w:sz w:val="13"/>
          <w:szCs w:val="13"/>
          <w:b w:val="1"/>
          <w:bCs w:val="1"/>
          <w:color w:val="666666"/>
        </w:rPr>
        <w:t>Compensation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485140</wp:posOffset>
            </wp:positionH>
            <wp:positionV relativeFrom="paragraph">
              <wp:posOffset>30480</wp:posOffset>
            </wp:positionV>
            <wp:extent cx="5829300" cy="825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5829300" cy="8255"/>
                    </a:xfrm>
                    <a:prstGeom prst="rect">
                      <a:avLst/>
                    </a:prstGeom>
                    <a:noFill/>
                  </pic:spPr>
                </pic:pic>
              </a:graphicData>
            </a:graphic>
          </wp:anchor>
        </w:drawing>
      </w:r>
    </w:p>
    <w:p>
      <w:pPr>
        <w:spacing w:after="0" w:line="60" w:lineRule="exact"/>
        <w:rPr>
          <w:sz w:val="20"/>
          <w:szCs w:val="20"/>
          <w:color w:val="auto"/>
        </w:rPr>
      </w:pPr>
    </w:p>
    <w:p>
      <w:pPr>
        <w:jc w:val="right"/>
        <w:ind w:right="240"/>
        <w:spacing w:after="0"/>
        <w:rPr>
          <w:sz w:val="20"/>
          <w:szCs w:val="20"/>
          <w:color w:val="auto"/>
        </w:rPr>
      </w:pPr>
      <w:r>
        <w:rPr>
          <w:rFonts w:ascii="Arial" w:cs="Arial" w:eastAsia="Arial" w:hAnsi="Arial"/>
          <w:sz w:val="13"/>
          <w:szCs w:val="13"/>
          <w:b w:val="1"/>
          <w:bCs w:val="1"/>
          <w:color w:val="4800E6"/>
        </w:rPr>
        <w:t>Compensation Discussion &amp; Analysis</w:t>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ind w:left="920" w:hanging="156"/>
        <w:spacing w:after="0"/>
        <w:tabs>
          <w:tab w:leader="none" w:pos="920" w:val="left"/>
        </w:tabs>
        <w:numPr>
          <w:ilvl w:val="0"/>
          <w:numId w:val="48"/>
        </w:numPr>
        <w:rPr>
          <w:rFonts w:ascii="Arial" w:cs="Arial" w:eastAsia="Arial" w:hAnsi="Arial"/>
          <w:sz w:val="16"/>
          <w:szCs w:val="16"/>
          <w:color w:val="4800E6"/>
        </w:rPr>
      </w:pPr>
      <w:r>
        <w:rPr>
          <w:rFonts w:ascii="Arial" w:cs="Arial" w:eastAsia="Arial" w:hAnsi="Arial"/>
          <w:sz w:val="16"/>
          <w:szCs w:val="16"/>
          <w:color w:val="auto"/>
        </w:rPr>
        <w:t>recommends performance objectives for our annual STIP;</w:t>
      </w:r>
    </w:p>
    <w:p>
      <w:pPr>
        <w:spacing w:after="0" w:line="45" w:lineRule="exact"/>
        <w:rPr>
          <w:rFonts w:ascii="Arial" w:cs="Arial" w:eastAsia="Arial" w:hAnsi="Arial"/>
          <w:sz w:val="16"/>
          <w:szCs w:val="16"/>
          <w:color w:val="4800E6"/>
        </w:rPr>
      </w:pPr>
    </w:p>
    <w:p>
      <w:pPr>
        <w:ind w:left="920" w:hanging="156"/>
        <w:spacing w:after="0"/>
        <w:tabs>
          <w:tab w:leader="none" w:pos="920" w:val="left"/>
        </w:tabs>
        <w:numPr>
          <w:ilvl w:val="0"/>
          <w:numId w:val="48"/>
        </w:numPr>
        <w:rPr>
          <w:rFonts w:ascii="Arial" w:cs="Arial" w:eastAsia="Arial" w:hAnsi="Arial"/>
          <w:sz w:val="16"/>
          <w:szCs w:val="16"/>
          <w:color w:val="4800E6"/>
        </w:rPr>
      </w:pPr>
      <w:r>
        <w:rPr>
          <w:rFonts w:ascii="Arial" w:cs="Arial" w:eastAsia="Arial" w:hAnsi="Arial"/>
          <w:sz w:val="16"/>
          <w:szCs w:val="16"/>
          <w:color w:val="auto"/>
        </w:rPr>
        <w:t>recommends adjustments to annual base salaries and target amounts under our STIP;</w:t>
      </w:r>
    </w:p>
    <w:p>
      <w:pPr>
        <w:spacing w:after="0" w:line="32" w:lineRule="exact"/>
        <w:rPr>
          <w:rFonts w:ascii="Arial" w:cs="Arial" w:eastAsia="Arial" w:hAnsi="Arial"/>
          <w:sz w:val="16"/>
          <w:szCs w:val="16"/>
          <w:color w:val="4800E6"/>
        </w:rPr>
      </w:pPr>
    </w:p>
    <w:p>
      <w:pPr>
        <w:ind w:left="920" w:hanging="156"/>
        <w:spacing w:after="0"/>
        <w:tabs>
          <w:tab w:leader="none" w:pos="920" w:val="left"/>
        </w:tabs>
        <w:numPr>
          <w:ilvl w:val="0"/>
          <w:numId w:val="48"/>
        </w:numPr>
        <w:rPr>
          <w:rFonts w:ascii="Arial" w:cs="Arial" w:eastAsia="Arial" w:hAnsi="Arial"/>
          <w:sz w:val="16"/>
          <w:szCs w:val="16"/>
          <w:color w:val="4800E6"/>
        </w:rPr>
      </w:pPr>
      <w:r>
        <w:rPr>
          <w:rFonts w:ascii="Arial" w:cs="Arial" w:eastAsia="Arial" w:hAnsi="Arial"/>
          <w:sz w:val="16"/>
          <w:szCs w:val="16"/>
          <w:color w:val="auto"/>
        </w:rPr>
        <w:t>recommends equity incentive awards under our long-term incentive plan (“LTIP”);</w:t>
      </w:r>
    </w:p>
    <w:p>
      <w:pPr>
        <w:spacing w:after="0" w:line="45" w:lineRule="exact"/>
        <w:rPr>
          <w:rFonts w:ascii="Arial" w:cs="Arial" w:eastAsia="Arial" w:hAnsi="Arial"/>
          <w:sz w:val="16"/>
          <w:szCs w:val="16"/>
          <w:color w:val="4800E6"/>
        </w:rPr>
      </w:pPr>
    </w:p>
    <w:p>
      <w:pPr>
        <w:ind w:left="920" w:hanging="156"/>
        <w:spacing w:after="0"/>
        <w:tabs>
          <w:tab w:leader="none" w:pos="920" w:val="left"/>
        </w:tabs>
        <w:numPr>
          <w:ilvl w:val="0"/>
          <w:numId w:val="48"/>
        </w:numPr>
        <w:rPr>
          <w:rFonts w:ascii="Arial" w:cs="Arial" w:eastAsia="Arial" w:hAnsi="Arial"/>
          <w:sz w:val="16"/>
          <w:szCs w:val="16"/>
          <w:color w:val="4800E6"/>
        </w:rPr>
      </w:pPr>
      <w:r>
        <w:rPr>
          <w:rFonts w:ascii="Arial" w:cs="Arial" w:eastAsia="Arial" w:hAnsi="Arial"/>
          <w:sz w:val="16"/>
          <w:szCs w:val="16"/>
          <w:color w:val="auto"/>
        </w:rPr>
        <w:t>prepares an evaluation of each executive officer; and</w:t>
      </w:r>
    </w:p>
    <w:p>
      <w:pPr>
        <w:spacing w:after="0" w:line="32" w:lineRule="exact"/>
        <w:rPr>
          <w:rFonts w:ascii="Arial" w:cs="Arial" w:eastAsia="Arial" w:hAnsi="Arial"/>
          <w:sz w:val="16"/>
          <w:szCs w:val="16"/>
          <w:color w:val="4800E6"/>
        </w:rPr>
      </w:pPr>
    </w:p>
    <w:p>
      <w:pPr>
        <w:ind w:left="920" w:hanging="156"/>
        <w:spacing w:after="0"/>
        <w:tabs>
          <w:tab w:leader="none" w:pos="920" w:val="left"/>
        </w:tabs>
        <w:numPr>
          <w:ilvl w:val="0"/>
          <w:numId w:val="48"/>
        </w:numPr>
        <w:rPr>
          <w:rFonts w:ascii="Arial" w:cs="Arial" w:eastAsia="Arial" w:hAnsi="Arial"/>
          <w:sz w:val="16"/>
          <w:szCs w:val="16"/>
          <w:color w:val="4800E6"/>
        </w:rPr>
      </w:pPr>
      <w:r>
        <w:rPr>
          <w:rFonts w:ascii="Arial" w:cs="Arial" w:eastAsia="Arial" w:hAnsi="Arial"/>
          <w:sz w:val="16"/>
          <w:szCs w:val="16"/>
          <w:color w:val="auto"/>
        </w:rPr>
        <w:t>prepares an analysis of performance objective achievements and recommends annual bonus amounts.</w:t>
      </w:r>
    </w:p>
    <w:p>
      <w:pPr>
        <w:spacing w:after="0" w:line="100" w:lineRule="exact"/>
        <w:rPr>
          <w:sz w:val="20"/>
          <w:szCs w:val="20"/>
          <w:color w:val="auto"/>
        </w:rPr>
      </w:pPr>
    </w:p>
    <w:p>
      <w:pPr>
        <w:ind w:left="760" w:right="580"/>
        <w:spacing w:after="0" w:line="260" w:lineRule="auto"/>
        <w:rPr>
          <w:sz w:val="20"/>
          <w:szCs w:val="20"/>
          <w:color w:val="auto"/>
        </w:rPr>
      </w:pPr>
      <w:r>
        <w:rPr>
          <w:rFonts w:ascii="Arial" w:cs="Arial" w:eastAsia="Arial" w:hAnsi="Arial"/>
          <w:sz w:val="16"/>
          <w:szCs w:val="16"/>
          <w:color w:val="auto"/>
        </w:rPr>
        <w:t>With respect to himself, our CEO prepares a self-evaluation that is reviewed by the Compensation Committee and used by the Compensation Committee in setting his compensation.</w:t>
      </w:r>
    </w:p>
    <w:p>
      <w:pPr>
        <w:spacing w:after="0" w:line="237" w:lineRule="exact"/>
        <w:rPr>
          <w:sz w:val="20"/>
          <w:szCs w:val="20"/>
          <w:color w:val="auto"/>
        </w:rPr>
      </w:pPr>
    </w:p>
    <w:p>
      <w:pPr>
        <w:ind w:left="760"/>
        <w:spacing w:after="0"/>
        <w:rPr>
          <w:sz w:val="20"/>
          <w:szCs w:val="20"/>
          <w:color w:val="auto"/>
        </w:rPr>
      </w:pPr>
      <w:r>
        <w:rPr>
          <w:rFonts w:ascii="Arial" w:cs="Arial" w:eastAsia="Arial" w:hAnsi="Arial"/>
          <w:sz w:val="23"/>
          <w:szCs w:val="23"/>
          <w:b w:val="1"/>
          <w:bCs w:val="1"/>
          <w:color w:val="auto"/>
        </w:rPr>
        <w:t>How We Establish Executive Compensation Levels</w:t>
      </w:r>
    </w:p>
    <w:p>
      <w:pPr>
        <w:spacing w:after="0" w:line="139" w:lineRule="exact"/>
        <w:rPr>
          <w:sz w:val="20"/>
          <w:szCs w:val="20"/>
          <w:color w:val="auto"/>
        </w:rPr>
      </w:pPr>
    </w:p>
    <w:p>
      <w:pPr>
        <w:ind w:left="760" w:right="540"/>
        <w:spacing w:after="0" w:line="267" w:lineRule="auto"/>
        <w:rPr>
          <w:sz w:val="20"/>
          <w:szCs w:val="20"/>
          <w:color w:val="auto"/>
        </w:rPr>
      </w:pPr>
      <w:r>
        <w:rPr>
          <w:rFonts w:ascii="Arial" w:cs="Arial" w:eastAsia="Arial" w:hAnsi="Arial"/>
          <w:sz w:val="15"/>
          <w:szCs w:val="15"/>
          <w:color w:val="auto"/>
        </w:rPr>
        <w:t>In making executive compensation determinations, the Compensation Committee relies on several factors to set compensation elements and compensation targets consistent with our executive compensation program objectives. These factors include:</w:t>
      </w:r>
    </w:p>
    <w:p>
      <w:pPr>
        <w:spacing w:after="0" w:line="1" w:lineRule="exact"/>
        <w:rPr>
          <w:sz w:val="20"/>
          <w:szCs w:val="20"/>
          <w:color w:val="auto"/>
        </w:rPr>
      </w:pPr>
    </w:p>
    <w:p>
      <w:pPr>
        <w:ind w:left="920" w:right="560" w:hanging="156"/>
        <w:spacing w:after="0" w:line="253" w:lineRule="auto"/>
        <w:tabs>
          <w:tab w:leader="none" w:pos="920" w:val="left"/>
        </w:tabs>
        <w:numPr>
          <w:ilvl w:val="0"/>
          <w:numId w:val="49"/>
        </w:numPr>
        <w:rPr>
          <w:rFonts w:ascii="Arial" w:cs="Arial" w:eastAsia="Arial" w:hAnsi="Arial"/>
          <w:sz w:val="16"/>
          <w:szCs w:val="16"/>
          <w:color w:val="4800E6"/>
        </w:rPr>
      </w:pPr>
      <w:r>
        <w:rPr>
          <w:rFonts w:ascii="Arial" w:cs="Arial" w:eastAsia="Arial" w:hAnsi="Arial"/>
          <w:sz w:val="16"/>
          <w:szCs w:val="16"/>
          <w:b w:val="1"/>
          <w:bCs w:val="1"/>
          <w:i w:val="1"/>
          <w:iCs w:val="1"/>
          <w:color w:val="auto"/>
        </w:rPr>
        <w:t xml:space="preserve">Assessment of Company Performance. </w:t>
      </w:r>
      <w:r>
        <w:rPr>
          <w:rFonts w:ascii="Arial" w:cs="Arial" w:eastAsia="Arial" w:hAnsi="Arial"/>
          <w:sz w:val="16"/>
          <w:szCs w:val="16"/>
          <w:color w:val="auto"/>
        </w:rPr>
        <w:t>The Compensation Committee establishes specific, measurable company</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performance objectives that the Board, the Compensation Committee and management believe will drive shareholder value. Achievement or failure to achieve those performance objectives determines substantially all of the pay-outs under the STIP (individual objectives may also be relevant depending on the year) and the lapsing or not of forfeiture restrictions on performance-based equity incentive awards under the LTIP.</w:t>
      </w:r>
    </w:p>
    <w:p>
      <w:pPr>
        <w:spacing w:after="0" w:line="2" w:lineRule="exact"/>
        <w:rPr>
          <w:rFonts w:ascii="Arial" w:cs="Arial" w:eastAsia="Arial" w:hAnsi="Arial"/>
          <w:sz w:val="16"/>
          <w:szCs w:val="16"/>
          <w:color w:val="4800E6"/>
        </w:rPr>
      </w:pPr>
    </w:p>
    <w:p>
      <w:pPr>
        <w:ind w:left="920" w:hanging="156"/>
        <w:spacing w:after="0"/>
        <w:tabs>
          <w:tab w:leader="none" w:pos="920" w:val="left"/>
        </w:tabs>
        <w:numPr>
          <w:ilvl w:val="0"/>
          <w:numId w:val="49"/>
        </w:numPr>
        <w:rPr>
          <w:rFonts w:ascii="Arial" w:cs="Arial" w:eastAsia="Arial" w:hAnsi="Arial"/>
          <w:sz w:val="16"/>
          <w:szCs w:val="16"/>
          <w:color w:val="4800E6"/>
        </w:rPr>
      </w:pPr>
      <w:r>
        <w:rPr>
          <w:rFonts w:ascii="Arial" w:cs="Arial" w:eastAsia="Arial" w:hAnsi="Arial"/>
          <w:sz w:val="16"/>
          <w:szCs w:val="16"/>
          <w:b w:val="1"/>
          <w:bCs w:val="1"/>
          <w:i w:val="1"/>
          <w:iCs w:val="1"/>
          <w:color w:val="auto"/>
        </w:rPr>
        <w:t xml:space="preserve">Assessment of Individual Performance. </w:t>
      </w:r>
      <w:r>
        <w:rPr>
          <w:rFonts w:ascii="Arial" w:cs="Arial" w:eastAsia="Arial" w:hAnsi="Arial"/>
          <w:sz w:val="16"/>
          <w:szCs w:val="16"/>
          <w:color w:val="auto"/>
        </w:rPr>
        <w:t>Individual performance has a strong impact on compensation.</w:t>
      </w:r>
    </w:p>
    <w:p>
      <w:pPr>
        <w:spacing w:after="0" w:line="45" w:lineRule="exact"/>
        <w:rPr>
          <w:rFonts w:ascii="Arial" w:cs="Arial" w:eastAsia="Arial" w:hAnsi="Arial"/>
          <w:sz w:val="16"/>
          <w:szCs w:val="16"/>
          <w:color w:val="4800E6"/>
        </w:rPr>
      </w:pPr>
    </w:p>
    <w:p>
      <w:pPr>
        <w:ind w:left="1140" w:right="260" w:hanging="160"/>
        <w:spacing w:after="0" w:line="255" w:lineRule="auto"/>
        <w:tabs>
          <w:tab w:leader="none" w:pos="1140" w:val="left"/>
        </w:tabs>
        <w:numPr>
          <w:ilvl w:val="1"/>
          <w:numId w:val="49"/>
        </w:numPr>
        <w:rPr>
          <w:rFonts w:ascii="Arial" w:cs="Arial" w:eastAsia="Arial" w:hAnsi="Arial"/>
          <w:sz w:val="16"/>
          <w:szCs w:val="16"/>
          <w:color w:val="4800E6"/>
        </w:rPr>
      </w:pPr>
      <w:r>
        <w:rPr>
          <w:rFonts w:ascii="Arial" w:cs="Arial" w:eastAsia="Arial" w:hAnsi="Arial"/>
          <w:sz w:val="16"/>
          <w:szCs w:val="16"/>
          <w:b w:val="1"/>
          <w:bCs w:val="1"/>
          <w:color w:val="auto"/>
        </w:rPr>
        <w:t>CEO</w:t>
      </w:r>
      <w:r>
        <w:rPr>
          <w:rFonts w:ascii="Arial" w:cs="Arial" w:eastAsia="Arial" w:hAnsi="Arial"/>
          <w:sz w:val="16"/>
          <w:szCs w:val="16"/>
          <w:color w:val="auto"/>
        </w:rPr>
        <w:t>. The Compensation Committee meets with our CEO at the beginning of the year to agree on the CEO’s performance</w:t>
      </w:r>
      <w:r>
        <w:rPr>
          <w:rFonts w:ascii="Arial" w:cs="Arial" w:eastAsia="Arial" w:hAnsi="Arial"/>
          <w:sz w:val="16"/>
          <w:szCs w:val="16"/>
          <w:b w:val="1"/>
          <w:bCs w:val="1"/>
          <w:color w:val="auto"/>
        </w:rPr>
        <w:t xml:space="preserve"> </w:t>
      </w:r>
      <w:r>
        <w:rPr>
          <w:rFonts w:ascii="Arial" w:cs="Arial" w:eastAsia="Arial" w:hAnsi="Arial"/>
          <w:sz w:val="16"/>
          <w:szCs w:val="16"/>
          <w:color w:val="auto"/>
        </w:rPr>
        <w:t>objectives for the year. At the end of the year, the Compensation Committee and the chairman of the Board meet in executive session to assess the CEO’s performance against his performance objectives, his contribution to our performance, his ethics and integrity and other leadership attributes.</w:t>
      </w:r>
    </w:p>
    <w:p>
      <w:pPr>
        <w:spacing w:after="0" w:line="1" w:lineRule="exact"/>
        <w:rPr>
          <w:rFonts w:ascii="Arial" w:cs="Arial" w:eastAsia="Arial" w:hAnsi="Arial"/>
          <w:sz w:val="16"/>
          <w:szCs w:val="16"/>
          <w:color w:val="4800E6"/>
        </w:rPr>
      </w:pPr>
    </w:p>
    <w:p>
      <w:pPr>
        <w:ind w:left="1140" w:right="480" w:hanging="160"/>
        <w:spacing w:after="0" w:line="255" w:lineRule="auto"/>
        <w:tabs>
          <w:tab w:leader="none" w:pos="1140" w:val="left"/>
        </w:tabs>
        <w:numPr>
          <w:ilvl w:val="1"/>
          <w:numId w:val="49"/>
        </w:numPr>
        <w:rPr>
          <w:rFonts w:ascii="Arial" w:cs="Arial" w:eastAsia="Arial" w:hAnsi="Arial"/>
          <w:sz w:val="16"/>
          <w:szCs w:val="16"/>
          <w:color w:val="4800E6"/>
        </w:rPr>
      </w:pPr>
      <w:r>
        <w:rPr>
          <w:rFonts w:ascii="Arial" w:cs="Arial" w:eastAsia="Arial" w:hAnsi="Arial"/>
          <w:sz w:val="16"/>
          <w:szCs w:val="16"/>
          <w:b w:val="1"/>
          <w:bCs w:val="1"/>
          <w:color w:val="auto"/>
        </w:rPr>
        <w:t>Other NEOs</w:t>
      </w:r>
      <w:r>
        <w:rPr>
          <w:rFonts w:ascii="Arial" w:cs="Arial" w:eastAsia="Arial" w:hAnsi="Arial"/>
          <w:sz w:val="16"/>
          <w:szCs w:val="16"/>
          <w:color w:val="auto"/>
        </w:rPr>
        <w:t>. For all other NEOs, the Compensation Committee receives performance assessments and compensation</w:t>
      </w:r>
      <w:r>
        <w:rPr>
          <w:rFonts w:ascii="Arial" w:cs="Arial" w:eastAsia="Arial" w:hAnsi="Arial"/>
          <w:sz w:val="16"/>
          <w:szCs w:val="16"/>
          <w:b w:val="1"/>
          <w:bCs w:val="1"/>
          <w:color w:val="auto"/>
        </w:rPr>
        <w:t xml:space="preserve"> </w:t>
      </w:r>
      <w:r>
        <w:rPr>
          <w:rFonts w:ascii="Arial" w:cs="Arial" w:eastAsia="Arial" w:hAnsi="Arial"/>
          <w:sz w:val="16"/>
          <w:szCs w:val="16"/>
          <w:color w:val="auto"/>
        </w:rPr>
        <w:t>recommendations from the CEO and also exercises its judgment based on the Board’s interactions with the individuals. As with the CEO, an executive officer’s performance assessment is based on individual achievements and contributions, contribution to our company’s performance, ethics and integrity and other leadership accomplishments.</w:t>
      </w:r>
    </w:p>
    <w:p>
      <w:pPr>
        <w:spacing w:after="0" w:line="1" w:lineRule="exact"/>
        <w:rPr>
          <w:rFonts w:ascii="Arial" w:cs="Arial" w:eastAsia="Arial" w:hAnsi="Arial"/>
          <w:sz w:val="16"/>
          <w:szCs w:val="16"/>
          <w:color w:val="4800E6"/>
        </w:rPr>
      </w:pPr>
    </w:p>
    <w:p>
      <w:pPr>
        <w:ind w:left="920" w:right="260" w:hanging="156"/>
        <w:spacing w:after="0" w:line="251" w:lineRule="auto"/>
        <w:tabs>
          <w:tab w:leader="none" w:pos="920" w:val="left"/>
        </w:tabs>
        <w:numPr>
          <w:ilvl w:val="0"/>
          <w:numId w:val="49"/>
        </w:numPr>
        <w:rPr>
          <w:rFonts w:ascii="Arial" w:cs="Arial" w:eastAsia="Arial" w:hAnsi="Arial"/>
          <w:sz w:val="16"/>
          <w:szCs w:val="16"/>
          <w:color w:val="4800E6"/>
        </w:rPr>
      </w:pPr>
      <w:r>
        <w:rPr>
          <w:rFonts w:ascii="Arial" w:cs="Arial" w:eastAsia="Arial" w:hAnsi="Arial"/>
          <w:sz w:val="16"/>
          <w:szCs w:val="16"/>
          <w:b w:val="1"/>
          <w:bCs w:val="1"/>
          <w:i w:val="1"/>
          <w:iCs w:val="1"/>
          <w:color w:val="auto"/>
        </w:rPr>
        <w:t xml:space="preserve">Benchmarking Analysis. </w:t>
      </w:r>
      <w:r>
        <w:rPr>
          <w:rFonts w:ascii="Arial" w:cs="Arial" w:eastAsia="Arial" w:hAnsi="Arial"/>
          <w:sz w:val="16"/>
          <w:szCs w:val="16"/>
          <w:color w:val="auto"/>
        </w:rPr>
        <w:t>The Compensation Committee reviews peer-group data as a market check for compensation</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decisions, but does not base compensation targets on peer-group data alone. The Compensation Committee compares the overall pay of individual NEOs to the most relevant benchmarking data available from its independent advisor, Pearl Meyer. The NEO’s pay is driven primarily by individual and Company performance, as well as internal pay equity; peer group data is used as a market check to compare individual pay to the broad middle range (25th to 75th percentile) of peer group pay. The Compensation Committee typically seeks to maintain base salary toward the middle of peer group pay, but will permit annual bonus opportunities and long-term equity incentive awards to approach the upper end of the broad middle range when justified by individual and Company performance. Pearl Meyer uses the peer group companies as well as survey data from Radford to perform the benchmark analysis.</w:t>
      </w:r>
    </w:p>
    <w:p>
      <w:pPr>
        <w:spacing w:after="0" w:line="84" w:lineRule="exact"/>
        <w:rPr>
          <w:sz w:val="20"/>
          <w:szCs w:val="20"/>
          <w:color w:val="auto"/>
        </w:rPr>
      </w:pPr>
    </w:p>
    <w:p>
      <w:pPr>
        <w:jc w:val="both"/>
        <w:ind w:left="760" w:right="500"/>
        <w:spacing w:after="0" w:line="253" w:lineRule="auto"/>
        <w:rPr>
          <w:sz w:val="20"/>
          <w:szCs w:val="20"/>
          <w:color w:val="auto"/>
        </w:rPr>
      </w:pPr>
      <w:r>
        <w:rPr>
          <w:rFonts w:ascii="Arial" w:cs="Arial" w:eastAsia="Arial" w:hAnsi="Arial"/>
          <w:sz w:val="16"/>
          <w:szCs w:val="16"/>
          <w:color w:val="auto"/>
        </w:rPr>
        <w:t>The peer group used to benchmark executive compensation for the year ended December 31, 2019 consisted of 20 companies (the “2019 Peer Group”) selected by the Compensation Committee with advice from its independent compensation consultant, Pearl Meyer, as follows:</w:t>
      </w:r>
    </w:p>
    <w:p>
      <w:pPr>
        <w:spacing w:after="0" w:line="93" w:lineRule="exact"/>
        <w:rPr>
          <w:sz w:val="20"/>
          <w:szCs w:val="20"/>
          <w:color w:val="auto"/>
        </w:rPr>
      </w:pPr>
    </w:p>
    <w:p>
      <w:pPr>
        <w:ind w:left="1120"/>
        <w:spacing w:after="0"/>
        <w:tabs>
          <w:tab w:leader="none" w:pos="5440" w:val="left"/>
        </w:tabs>
        <w:rPr>
          <w:sz w:val="20"/>
          <w:szCs w:val="20"/>
          <w:color w:val="auto"/>
        </w:rPr>
      </w:pPr>
      <w:r>
        <w:rPr>
          <w:rFonts w:ascii="Arial" w:cs="Arial" w:eastAsia="Arial" w:hAnsi="Arial"/>
          <w:sz w:val="16"/>
          <w:szCs w:val="16"/>
          <w:color w:val="auto"/>
        </w:rPr>
        <w:t>Abiomed, Inc.</w:t>
      </w:r>
      <w:r>
        <w:rPr>
          <w:sz w:val="20"/>
          <w:szCs w:val="20"/>
          <w:color w:val="auto"/>
        </w:rPr>
        <w:tab/>
      </w:r>
      <w:r>
        <w:rPr>
          <w:rFonts w:ascii="Arial" w:cs="Arial" w:eastAsia="Arial" w:hAnsi="Arial"/>
          <w:sz w:val="15"/>
          <w:szCs w:val="15"/>
          <w:color w:val="auto"/>
        </w:rPr>
        <w:t>Masimo Corporation</w:t>
      </w:r>
    </w:p>
    <w:p>
      <w:pPr>
        <w:spacing w:after="0" w:line="46" w:lineRule="exact"/>
        <w:rPr>
          <w:sz w:val="20"/>
          <w:szCs w:val="20"/>
          <w:color w:val="auto"/>
        </w:rPr>
      </w:pPr>
    </w:p>
    <w:p>
      <w:pPr>
        <w:ind w:left="1120"/>
        <w:spacing w:after="0"/>
        <w:tabs>
          <w:tab w:leader="none" w:pos="5440" w:val="left"/>
        </w:tabs>
        <w:rPr>
          <w:sz w:val="20"/>
          <w:szCs w:val="20"/>
          <w:color w:val="auto"/>
        </w:rPr>
      </w:pPr>
      <w:r>
        <w:rPr>
          <w:rFonts w:ascii="Arial" w:cs="Arial" w:eastAsia="Arial" w:hAnsi="Arial"/>
          <w:sz w:val="16"/>
          <w:szCs w:val="16"/>
          <w:color w:val="auto"/>
        </w:rPr>
        <w:t>Cantel Medical Corp.</w:t>
      </w:r>
      <w:r>
        <w:rPr>
          <w:sz w:val="20"/>
          <w:szCs w:val="20"/>
          <w:color w:val="auto"/>
        </w:rPr>
        <w:tab/>
      </w:r>
      <w:r>
        <w:rPr>
          <w:rFonts w:ascii="Arial" w:cs="Arial" w:eastAsia="Arial" w:hAnsi="Arial"/>
          <w:sz w:val="15"/>
          <w:szCs w:val="15"/>
          <w:color w:val="auto"/>
        </w:rPr>
        <w:t>Merit Medical Systems, Inc.</w:t>
      </w:r>
    </w:p>
    <w:p>
      <w:pPr>
        <w:spacing w:after="0" w:line="59" w:lineRule="exact"/>
        <w:rPr>
          <w:sz w:val="20"/>
          <w:szCs w:val="20"/>
          <w:color w:val="auto"/>
        </w:rPr>
      </w:pPr>
    </w:p>
    <w:p>
      <w:pPr>
        <w:ind w:left="1120"/>
        <w:spacing w:after="0"/>
        <w:tabs>
          <w:tab w:leader="none" w:pos="5440" w:val="left"/>
        </w:tabs>
        <w:rPr>
          <w:sz w:val="20"/>
          <w:szCs w:val="20"/>
          <w:color w:val="auto"/>
        </w:rPr>
      </w:pPr>
      <w:r>
        <w:rPr>
          <w:rFonts w:ascii="Arial" w:cs="Arial" w:eastAsia="Arial" w:hAnsi="Arial"/>
          <w:sz w:val="16"/>
          <w:szCs w:val="16"/>
          <w:color w:val="auto"/>
        </w:rPr>
        <w:t>CONMED Corporation</w:t>
      </w:r>
      <w:r>
        <w:rPr>
          <w:sz w:val="20"/>
          <w:szCs w:val="20"/>
          <w:color w:val="auto"/>
        </w:rPr>
        <w:tab/>
      </w:r>
      <w:r>
        <w:rPr>
          <w:rFonts w:ascii="Arial" w:cs="Arial" w:eastAsia="Arial" w:hAnsi="Arial"/>
          <w:sz w:val="15"/>
          <w:szCs w:val="15"/>
          <w:color w:val="auto"/>
        </w:rPr>
        <w:t>Nuvasive, Inc.</w:t>
      </w:r>
    </w:p>
    <w:p>
      <w:pPr>
        <w:spacing w:after="0" w:line="59" w:lineRule="exact"/>
        <w:rPr>
          <w:sz w:val="20"/>
          <w:szCs w:val="20"/>
          <w:color w:val="auto"/>
        </w:rPr>
      </w:pPr>
    </w:p>
    <w:p>
      <w:pPr>
        <w:ind w:left="1120"/>
        <w:spacing w:after="0"/>
        <w:tabs>
          <w:tab w:leader="none" w:pos="5440" w:val="left"/>
        </w:tabs>
        <w:rPr>
          <w:sz w:val="20"/>
          <w:szCs w:val="20"/>
          <w:color w:val="auto"/>
        </w:rPr>
      </w:pPr>
      <w:r>
        <w:rPr>
          <w:rFonts w:ascii="Arial" w:cs="Arial" w:eastAsia="Arial" w:hAnsi="Arial"/>
          <w:sz w:val="16"/>
          <w:szCs w:val="16"/>
          <w:color w:val="auto"/>
        </w:rPr>
        <w:t>DexCom, Inc.</w:t>
      </w:r>
      <w:r>
        <w:rPr>
          <w:sz w:val="20"/>
          <w:szCs w:val="20"/>
          <w:color w:val="auto"/>
        </w:rPr>
        <w:tab/>
      </w:r>
      <w:r>
        <w:rPr>
          <w:rFonts w:ascii="Arial" w:cs="Arial" w:eastAsia="Arial" w:hAnsi="Arial"/>
          <w:sz w:val="16"/>
          <w:szCs w:val="16"/>
          <w:color w:val="auto"/>
        </w:rPr>
        <w:t>ResMed Inc.</w:t>
      </w:r>
    </w:p>
    <w:p>
      <w:pPr>
        <w:spacing w:after="0" w:line="59" w:lineRule="exact"/>
        <w:rPr>
          <w:sz w:val="20"/>
          <w:szCs w:val="20"/>
          <w:color w:val="auto"/>
        </w:rPr>
      </w:pPr>
    </w:p>
    <w:p>
      <w:pPr>
        <w:ind w:left="1120"/>
        <w:spacing w:after="0"/>
        <w:tabs>
          <w:tab w:leader="none" w:pos="5440" w:val="left"/>
        </w:tabs>
        <w:rPr>
          <w:sz w:val="20"/>
          <w:szCs w:val="20"/>
          <w:color w:val="auto"/>
        </w:rPr>
      </w:pPr>
      <w:r>
        <w:rPr>
          <w:rFonts w:ascii="Arial" w:cs="Arial" w:eastAsia="Arial" w:hAnsi="Arial"/>
          <w:sz w:val="16"/>
          <w:szCs w:val="16"/>
          <w:color w:val="auto"/>
        </w:rPr>
        <w:t>Globus Medical, Inc.</w:t>
      </w:r>
      <w:r>
        <w:rPr>
          <w:sz w:val="20"/>
          <w:szCs w:val="20"/>
          <w:color w:val="auto"/>
        </w:rPr>
        <w:tab/>
      </w:r>
      <w:r>
        <w:rPr>
          <w:rFonts w:ascii="Arial" w:cs="Arial" w:eastAsia="Arial" w:hAnsi="Arial"/>
          <w:sz w:val="15"/>
          <w:szCs w:val="15"/>
          <w:color w:val="auto"/>
        </w:rPr>
        <w:t>STERIS plc</w:t>
      </w:r>
    </w:p>
    <w:p>
      <w:pPr>
        <w:spacing w:after="0" w:line="59" w:lineRule="exact"/>
        <w:rPr>
          <w:sz w:val="20"/>
          <w:szCs w:val="20"/>
          <w:color w:val="auto"/>
        </w:rPr>
      </w:pPr>
    </w:p>
    <w:p>
      <w:pPr>
        <w:ind w:left="1120"/>
        <w:spacing w:after="0"/>
        <w:tabs>
          <w:tab w:leader="none" w:pos="5440" w:val="left"/>
        </w:tabs>
        <w:rPr>
          <w:sz w:val="20"/>
          <w:szCs w:val="20"/>
          <w:color w:val="auto"/>
        </w:rPr>
      </w:pPr>
      <w:r>
        <w:rPr>
          <w:rFonts w:ascii="Arial" w:cs="Arial" w:eastAsia="Arial" w:hAnsi="Arial"/>
          <w:sz w:val="16"/>
          <w:szCs w:val="16"/>
          <w:color w:val="auto"/>
        </w:rPr>
        <w:t>Hill-Rom Holdings, Inc.</w:t>
      </w:r>
      <w:r>
        <w:rPr>
          <w:sz w:val="20"/>
          <w:szCs w:val="20"/>
          <w:color w:val="auto"/>
        </w:rPr>
        <w:tab/>
      </w:r>
      <w:r>
        <w:rPr>
          <w:rFonts w:ascii="Arial" w:cs="Arial" w:eastAsia="Arial" w:hAnsi="Arial"/>
          <w:sz w:val="15"/>
          <w:szCs w:val="15"/>
          <w:color w:val="auto"/>
        </w:rPr>
        <w:t>Teleflex Incorporated</w:t>
      </w:r>
    </w:p>
    <w:p>
      <w:pPr>
        <w:spacing w:after="0" w:line="73" w:lineRule="exact"/>
        <w:rPr>
          <w:sz w:val="20"/>
          <w:szCs w:val="20"/>
          <w:color w:val="auto"/>
        </w:rPr>
      </w:pPr>
    </w:p>
    <w:p>
      <w:pPr>
        <w:ind w:left="1120"/>
        <w:spacing w:after="0"/>
        <w:tabs>
          <w:tab w:leader="none" w:pos="5440" w:val="left"/>
        </w:tabs>
        <w:rPr>
          <w:sz w:val="20"/>
          <w:szCs w:val="20"/>
          <w:color w:val="auto"/>
        </w:rPr>
      </w:pPr>
      <w:r>
        <w:rPr>
          <w:rFonts w:ascii="Arial" w:cs="Arial" w:eastAsia="Arial" w:hAnsi="Arial"/>
          <w:sz w:val="16"/>
          <w:szCs w:val="16"/>
          <w:color w:val="auto"/>
        </w:rPr>
        <w:t>Hologic, Inc.</w:t>
      </w:r>
      <w:r>
        <w:rPr>
          <w:sz w:val="20"/>
          <w:szCs w:val="20"/>
          <w:color w:val="auto"/>
        </w:rPr>
        <w:tab/>
      </w:r>
      <w:r>
        <w:rPr>
          <w:rFonts w:ascii="Arial" w:cs="Arial" w:eastAsia="Arial" w:hAnsi="Arial"/>
          <w:sz w:val="15"/>
          <w:szCs w:val="15"/>
          <w:color w:val="auto"/>
        </w:rPr>
        <w:t>The Cooper Companies, Inc.</w:t>
      </w:r>
    </w:p>
    <w:p>
      <w:pPr>
        <w:spacing w:after="0" w:line="73" w:lineRule="exact"/>
        <w:rPr>
          <w:sz w:val="20"/>
          <w:szCs w:val="20"/>
          <w:color w:val="auto"/>
        </w:rPr>
      </w:pPr>
    </w:p>
    <w:p>
      <w:pPr>
        <w:ind w:left="1120"/>
        <w:spacing w:after="0"/>
        <w:tabs>
          <w:tab w:leader="none" w:pos="5440" w:val="left"/>
        </w:tabs>
        <w:rPr>
          <w:sz w:val="20"/>
          <w:szCs w:val="20"/>
          <w:color w:val="auto"/>
        </w:rPr>
      </w:pPr>
      <w:r>
        <w:rPr>
          <w:rFonts w:ascii="Arial" w:cs="Arial" w:eastAsia="Arial" w:hAnsi="Arial"/>
          <w:sz w:val="16"/>
          <w:szCs w:val="16"/>
          <w:color w:val="auto"/>
        </w:rPr>
        <w:t>ICU Medical, Inc.</w:t>
      </w:r>
      <w:r>
        <w:rPr>
          <w:sz w:val="20"/>
          <w:szCs w:val="20"/>
          <w:color w:val="auto"/>
        </w:rPr>
        <w:tab/>
      </w:r>
      <w:r>
        <w:rPr>
          <w:rFonts w:ascii="Arial" w:cs="Arial" w:eastAsia="Arial" w:hAnsi="Arial"/>
          <w:sz w:val="15"/>
          <w:szCs w:val="15"/>
          <w:color w:val="auto"/>
        </w:rPr>
        <w:t>Varian Medical Systems, Inc.</w:t>
      </w:r>
    </w:p>
    <w:p>
      <w:pPr>
        <w:spacing w:after="0" w:line="73" w:lineRule="exact"/>
        <w:rPr>
          <w:sz w:val="20"/>
          <w:szCs w:val="20"/>
          <w:color w:val="auto"/>
        </w:rPr>
      </w:pPr>
    </w:p>
    <w:p>
      <w:pPr>
        <w:ind w:left="1120"/>
        <w:spacing w:after="0"/>
        <w:tabs>
          <w:tab w:leader="none" w:pos="5440" w:val="left"/>
        </w:tabs>
        <w:rPr>
          <w:sz w:val="20"/>
          <w:szCs w:val="20"/>
          <w:color w:val="auto"/>
        </w:rPr>
      </w:pPr>
      <w:r>
        <w:rPr>
          <w:rFonts w:ascii="Arial" w:cs="Arial" w:eastAsia="Arial" w:hAnsi="Arial"/>
          <w:sz w:val="16"/>
          <w:szCs w:val="16"/>
          <w:color w:val="auto"/>
        </w:rPr>
        <w:t>Integer Holdings, Corporation</w:t>
      </w:r>
      <w:r>
        <w:rPr>
          <w:sz w:val="20"/>
          <w:szCs w:val="20"/>
          <w:color w:val="auto"/>
        </w:rPr>
        <w:tab/>
      </w:r>
      <w:r>
        <w:rPr>
          <w:rFonts w:ascii="Arial" w:cs="Arial" w:eastAsia="Arial" w:hAnsi="Arial"/>
          <w:sz w:val="15"/>
          <w:szCs w:val="15"/>
          <w:color w:val="auto"/>
        </w:rPr>
        <w:t>West Pharmaceutical Services, Inc.</w:t>
      </w:r>
    </w:p>
    <w:p>
      <w:pPr>
        <w:spacing w:after="0" w:line="73" w:lineRule="exact"/>
        <w:rPr>
          <w:sz w:val="20"/>
          <w:szCs w:val="20"/>
          <w:color w:val="auto"/>
        </w:rPr>
      </w:pPr>
    </w:p>
    <w:p>
      <w:pPr>
        <w:ind w:left="1120"/>
        <w:spacing w:after="0"/>
        <w:tabs>
          <w:tab w:leader="none" w:pos="5440" w:val="left"/>
        </w:tabs>
        <w:rPr>
          <w:sz w:val="20"/>
          <w:szCs w:val="20"/>
          <w:color w:val="auto"/>
        </w:rPr>
      </w:pPr>
      <w:r>
        <w:rPr>
          <w:rFonts w:ascii="Arial" w:cs="Arial" w:eastAsia="Arial" w:hAnsi="Arial"/>
          <w:sz w:val="16"/>
          <w:szCs w:val="16"/>
          <w:color w:val="auto"/>
        </w:rPr>
        <w:t>Integra LifeSciences Holdings Corporation</w:t>
      </w:r>
      <w:r>
        <w:rPr>
          <w:sz w:val="20"/>
          <w:szCs w:val="20"/>
          <w:color w:val="auto"/>
        </w:rPr>
        <w:tab/>
      </w:r>
      <w:r>
        <w:rPr>
          <w:rFonts w:ascii="Arial" w:cs="Arial" w:eastAsia="Arial" w:hAnsi="Arial"/>
          <w:sz w:val="15"/>
          <w:szCs w:val="15"/>
          <w:color w:val="auto"/>
        </w:rPr>
        <w:t>Wright Medical Group, N.V.</w:t>
      </w:r>
    </w:p>
    <w:p>
      <w:pPr>
        <w:spacing w:after="0" w:line="161" w:lineRule="exact"/>
        <w:rPr>
          <w:sz w:val="20"/>
          <w:szCs w:val="20"/>
          <w:color w:val="auto"/>
        </w:rPr>
      </w:pPr>
    </w:p>
    <w:p>
      <w:pPr>
        <w:ind w:left="920" w:right="320" w:hanging="156"/>
        <w:spacing w:after="0" w:line="264" w:lineRule="auto"/>
        <w:tabs>
          <w:tab w:leader="none" w:pos="920" w:val="left"/>
        </w:tabs>
        <w:numPr>
          <w:ilvl w:val="0"/>
          <w:numId w:val="50"/>
        </w:numPr>
        <w:rPr>
          <w:rFonts w:ascii="Arial" w:cs="Arial" w:eastAsia="Arial" w:hAnsi="Arial"/>
          <w:sz w:val="16"/>
          <w:szCs w:val="16"/>
          <w:color w:val="4800E6"/>
        </w:rPr>
      </w:pPr>
      <w:r>
        <w:rPr>
          <w:rFonts w:ascii="Arial" w:cs="Arial" w:eastAsia="Arial" w:hAnsi="Arial"/>
          <w:sz w:val="16"/>
          <w:szCs w:val="16"/>
          <w:b w:val="1"/>
          <w:bCs w:val="1"/>
          <w:i w:val="1"/>
          <w:iCs w:val="1"/>
          <w:color w:val="auto"/>
        </w:rPr>
        <w:t>Overall Competitiveness</w:t>
      </w:r>
      <w:r>
        <w:rPr>
          <w:rFonts w:ascii="Arial" w:cs="Arial" w:eastAsia="Arial" w:hAnsi="Arial"/>
          <w:sz w:val="16"/>
          <w:szCs w:val="16"/>
          <w:color w:val="auto"/>
        </w:rPr>
        <w:t>. The Compensation Committee uses aggregated market data from the Radford survey data as well</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as the peer group as a reference point to ensure that executive compensation falls within the broad middle range of comparable pay at peer companies with which the Company competes for talent.</w:t>
      </w:r>
    </w:p>
    <w:p>
      <w:pPr>
        <w:ind w:left="920" w:right="700" w:hanging="156"/>
        <w:spacing w:after="0" w:line="321" w:lineRule="auto"/>
        <w:tabs>
          <w:tab w:leader="none" w:pos="920" w:val="left"/>
        </w:tabs>
        <w:numPr>
          <w:ilvl w:val="0"/>
          <w:numId w:val="50"/>
        </w:numPr>
        <w:rPr>
          <w:rFonts w:ascii="Arial" w:cs="Arial" w:eastAsia="Arial" w:hAnsi="Arial"/>
          <w:sz w:val="15"/>
          <w:szCs w:val="15"/>
          <w:color w:val="4800E6"/>
        </w:rPr>
      </w:pPr>
      <w:r>
        <w:rPr>
          <w:rFonts w:ascii="Arial" w:cs="Arial" w:eastAsia="Arial" w:hAnsi="Arial"/>
          <w:sz w:val="15"/>
          <w:szCs w:val="15"/>
          <w:b w:val="1"/>
          <w:bCs w:val="1"/>
          <w:i w:val="1"/>
          <w:iCs w:val="1"/>
          <w:color w:val="auto"/>
        </w:rPr>
        <w:t>UK Remuneration Policy</w:t>
      </w:r>
      <w:r>
        <w:rPr>
          <w:rFonts w:ascii="Arial" w:cs="Arial" w:eastAsia="Arial" w:hAnsi="Arial"/>
          <w:sz w:val="15"/>
          <w:szCs w:val="15"/>
          <w:color w:val="auto"/>
        </w:rPr>
        <w:t>. For our CEO, who is also a director, the Compensation Committee must ensure that any</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compensation plan it approves for him is consistent with our shareholder-approved UK remuneration policy. Under English</w:t>
      </w:r>
    </w:p>
    <w:p>
      <w:pPr>
        <w:sectPr>
          <w:pgSz w:w="11900" w:h="16838" w:orient="portrait"/>
          <w:cols w:equalWidth="0" w:num="1">
            <w:col w:w="10180"/>
          </w:cols>
          <w:pgMar w:left="320" w:top="131" w:right="1399" w:bottom="1440" w:gutter="0" w:footer="0" w:header="0"/>
        </w:sectPr>
      </w:pPr>
    </w:p>
    <w:p>
      <w:pPr>
        <w:spacing w:after="0" w:line="50" w:lineRule="exact"/>
        <w:rPr>
          <w:sz w:val="20"/>
          <w:szCs w:val="20"/>
          <w:color w:val="auto"/>
        </w:rPr>
      </w:pPr>
    </w:p>
    <w:p>
      <w:pPr>
        <w:ind w:left="4340"/>
        <w:spacing w:after="0"/>
        <w:tabs>
          <w:tab w:leader="none" w:pos="10000" w:val="left"/>
        </w:tabs>
        <w:rPr>
          <w:sz w:val="20"/>
          <w:szCs w:val="20"/>
          <w:color w:val="auto"/>
        </w:rPr>
      </w:pPr>
      <w:r>
        <w:rPr>
          <w:rFonts w:ascii="Arial" w:cs="Arial" w:eastAsia="Arial" w:hAnsi="Arial"/>
          <w:sz w:val="13"/>
          <w:szCs w:val="13"/>
          <w:b w:val="1"/>
          <w:bCs w:val="1"/>
          <w:color w:val="4800E6"/>
        </w:rPr>
        <w:t xml:space="preserve">LIVANOVA </w:t>
      </w:r>
      <w:r>
        <w:rPr>
          <w:rFonts w:ascii="Arial" w:cs="Arial" w:eastAsia="Arial" w:hAnsi="Arial"/>
          <w:sz w:val="13"/>
          <w:szCs w:val="13"/>
          <w:color w:val="000000"/>
        </w:rPr>
        <w:t>|</w:t>
      </w:r>
      <w:r>
        <w:rPr>
          <w:rFonts w:ascii="Arial" w:cs="Arial" w:eastAsia="Arial" w:hAnsi="Arial"/>
          <w:sz w:val="13"/>
          <w:szCs w:val="13"/>
          <w:b w:val="1"/>
          <w:bCs w:val="1"/>
          <w:color w:val="4800E6"/>
        </w:rPr>
        <w:t xml:space="preserve"> </w:t>
      </w:r>
      <w:r>
        <w:rPr>
          <w:rFonts w:ascii="Arial" w:cs="Arial" w:eastAsia="Arial" w:hAnsi="Arial"/>
          <w:sz w:val="13"/>
          <w:szCs w:val="13"/>
          <w:color w:val="4800E6"/>
        </w:rPr>
        <w:t>2020</w:t>
      </w:r>
      <w:r>
        <w:rPr>
          <w:rFonts w:ascii="Arial" w:cs="Arial" w:eastAsia="Arial" w:hAnsi="Arial"/>
          <w:sz w:val="13"/>
          <w:szCs w:val="13"/>
          <w:b w:val="1"/>
          <w:bCs w:val="1"/>
          <w:color w:val="4800E6"/>
        </w:rPr>
        <w:t xml:space="preserve"> </w:t>
      </w:r>
      <w:r>
        <w:rPr>
          <w:rFonts w:ascii="Arial" w:cs="Arial" w:eastAsia="Arial" w:hAnsi="Arial"/>
          <w:sz w:val="13"/>
          <w:szCs w:val="13"/>
          <w:color w:val="000000"/>
        </w:rPr>
        <w:t>Proxy Statement</w:t>
      </w:r>
      <w:r>
        <w:rPr>
          <w:sz w:val="20"/>
          <w:szCs w:val="20"/>
          <w:color w:val="auto"/>
        </w:rPr>
        <w:tab/>
      </w:r>
      <w:r>
        <w:rPr>
          <w:rFonts w:ascii="Arial" w:cs="Arial" w:eastAsia="Arial" w:hAnsi="Arial"/>
          <w:sz w:val="21"/>
          <w:szCs w:val="21"/>
          <w:b w:val="1"/>
          <w:bCs w:val="1"/>
          <w:color w:val="auto"/>
          <w:vertAlign w:val="subscript"/>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519430</wp:posOffset>
            </wp:positionH>
            <wp:positionV relativeFrom="paragraph">
              <wp:posOffset>39370</wp:posOffset>
            </wp:positionV>
            <wp:extent cx="1954530" cy="825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1954530" cy="8255"/>
                    </a:xfrm>
                    <a:prstGeom prst="rect">
                      <a:avLst/>
                    </a:prstGeom>
                    <a:noFill/>
                  </pic:spPr>
                </pic:pic>
              </a:graphicData>
            </a:graphic>
          </wp:anchor>
        </w:drawing>
        <w:drawing>
          <wp:anchor simplePos="0" relativeHeight="251657728" behindDoc="1" locked="0" layoutInCell="0" allowOverlap="1">
            <wp:simplePos x="0" y="0"/>
            <wp:positionH relativeFrom="column">
              <wp:posOffset>4257040</wp:posOffset>
            </wp:positionH>
            <wp:positionV relativeFrom="paragraph">
              <wp:posOffset>39370</wp:posOffset>
            </wp:positionV>
            <wp:extent cx="1954530" cy="825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195453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176530</wp:posOffset>
            </wp:positionV>
            <wp:extent cx="6806565" cy="1714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10180"/>
          </w:cols>
          <w:pgMar w:left="320" w:top="131" w:right="1399" w:bottom="1440" w:gutter="0" w:footer="0" w:header="0"/>
          <w:type w:val="continuous"/>
        </w:sectPr>
      </w:pPr>
    </w:p>
    <w:bookmarkStart w:id="32" w:name="page33"/>
    <w:bookmarkEnd w:id="32"/>
    <w:p>
      <w:pPr>
        <w:spacing w:after="0"/>
        <w:rPr>
          <w:rFonts w:ascii="Arial" w:cs="Arial" w:eastAsia="Arial" w:hAnsi="Arial"/>
          <w:sz w:val="14"/>
          <w:szCs w:val="14"/>
          <w:color w:val="003366"/>
        </w:rPr>
      </w:pPr>
      <w:hyperlink w:anchor="page4">
        <w:r>
          <w:rPr>
            <w:rFonts w:ascii="Arial" w:cs="Arial" w:eastAsia="Arial" w:hAnsi="Arial"/>
            <w:sz w:val="14"/>
            <w:szCs w:val="14"/>
            <w:color w:val="003366"/>
          </w:rPr>
          <w:t>TABLE OF CONTENTS</w:t>
        </w:r>
      </w:hyperlink>
    </w:p>
    <w:p>
      <w:pPr>
        <w:spacing w:after="0" w:line="338" w:lineRule="exact"/>
        <w:rPr>
          <w:sz w:val="20"/>
          <w:szCs w:val="20"/>
          <w:color w:val="auto"/>
        </w:rPr>
      </w:pPr>
    </w:p>
    <w:p>
      <w:pPr>
        <w:ind w:left="760"/>
        <w:spacing w:after="0"/>
        <w:rPr>
          <w:sz w:val="20"/>
          <w:szCs w:val="20"/>
          <w:color w:val="auto"/>
        </w:rPr>
      </w:pPr>
      <w:r>
        <w:rPr>
          <w:rFonts w:ascii="Arial" w:cs="Arial" w:eastAsia="Arial" w:hAnsi="Arial"/>
          <w:sz w:val="13"/>
          <w:szCs w:val="13"/>
          <w:b w:val="1"/>
          <w:bCs w:val="1"/>
          <w:color w:val="auto"/>
        </w:rPr>
        <w:t xml:space="preserve">Executive </w:t>
      </w:r>
      <w:r>
        <w:rPr>
          <w:rFonts w:ascii="Arial" w:cs="Arial" w:eastAsia="Arial" w:hAnsi="Arial"/>
          <w:sz w:val="13"/>
          <w:szCs w:val="13"/>
          <w:b w:val="1"/>
          <w:bCs w:val="1"/>
          <w:color w:val="666666"/>
        </w:rPr>
        <w:t>Compensation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485140</wp:posOffset>
            </wp:positionH>
            <wp:positionV relativeFrom="paragraph">
              <wp:posOffset>30480</wp:posOffset>
            </wp:positionV>
            <wp:extent cx="5829300" cy="825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5829300" cy="8255"/>
                    </a:xfrm>
                    <a:prstGeom prst="rect">
                      <a:avLst/>
                    </a:prstGeom>
                    <a:noFill/>
                  </pic:spPr>
                </pic:pic>
              </a:graphicData>
            </a:graphic>
          </wp:anchor>
        </w:drawing>
      </w:r>
    </w:p>
    <w:p>
      <w:pPr>
        <w:spacing w:after="0" w:line="60" w:lineRule="exact"/>
        <w:rPr>
          <w:sz w:val="20"/>
          <w:szCs w:val="20"/>
          <w:color w:val="auto"/>
        </w:rPr>
      </w:pPr>
    </w:p>
    <w:p>
      <w:pPr>
        <w:ind w:left="760"/>
        <w:spacing w:after="0"/>
        <w:rPr>
          <w:sz w:val="20"/>
          <w:szCs w:val="20"/>
          <w:color w:val="auto"/>
        </w:rPr>
      </w:pPr>
      <w:r>
        <w:rPr>
          <w:rFonts w:ascii="Arial" w:cs="Arial" w:eastAsia="Arial" w:hAnsi="Arial"/>
          <w:sz w:val="13"/>
          <w:szCs w:val="13"/>
          <w:b w:val="1"/>
          <w:bCs w:val="1"/>
          <w:color w:val="4800E6"/>
        </w:rPr>
        <w:t>Compensation Discussion &amp; Analysis</w:t>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ind w:left="920" w:right="279"/>
        <w:spacing w:after="0" w:line="251" w:lineRule="auto"/>
        <w:rPr>
          <w:sz w:val="20"/>
          <w:szCs w:val="20"/>
          <w:color w:val="auto"/>
        </w:rPr>
      </w:pPr>
      <w:r>
        <w:rPr>
          <w:rFonts w:ascii="Arial" w:cs="Arial" w:eastAsia="Arial" w:hAnsi="Arial"/>
          <w:sz w:val="16"/>
          <w:szCs w:val="16"/>
          <w:color w:val="auto"/>
        </w:rPr>
        <w:t>company law, we were obliged to adopt a remuneration policy for our directors, including our CEO, who is also a director. Under that shareholder-approved remuneration policy, our CEO’s maximum short-term incentive opportunity cannot exceed 200% of his base salary. In the case of a calculated payment higher than 200%, the Compensation Committee would affirmatively act to reduce the award to not exceed 200% of his base salary in compliance with the UK remuneration policy.</w:t>
      </w:r>
    </w:p>
    <w:p>
      <w:pPr>
        <w:spacing w:after="0" w:line="258" w:lineRule="exact"/>
        <w:rPr>
          <w:sz w:val="20"/>
          <w:szCs w:val="20"/>
          <w:color w:val="auto"/>
        </w:rPr>
      </w:pPr>
    </w:p>
    <w:p>
      <w:pPr>
        <w:ind w:left="760"/>
        <w:spacing w:after="0"/>
        <w:rPr>
          <w:sz w:val="20"/>
          <w:szCs w:val="20"/>
          <w:color w:val="auto"/>
        </w:rPr>
      </w:pPr>
      <w:r>
        <w:rPr>
          <w:rFonts w:ascii="Arial" w:cs="Arial" w:eastAsia="Arial" w:hAnsi="Arial"/>
          <w:sz w:val="23"/>
          <w:szCs w:val="23"/>
          <w:b w:val="1"/>
          <w:bCs w:val="1"/>
          <w:color w:val="auto"/>
        </w:rPr>
        <w:t>Executive Compensation Program Design</w:t>
      </w:r>
    </w:p>
    <w:p>
      <w:pPr>
        <w:spacing w:after="0" w:line="126" w:lineRule="exact"/>
        <w:rPr>
          <w:sz w:val="20"/>
          <w:szCs w:val="20"/>
          <w:color w:val="auto"/>
        </w:rPr>
      </w:pPr>
    </w:p>
    <w:p>
      <w:pPr>
        <w:ind w:left="760" w:right="299"/>
        <w:spacing w:after="0" w:line="251" w:lineRule="auto"/>
        <w:rPr>
          <w:sz w:val="20"/>
          <w:szCs w:val="20"/>
          <w:color w:val="auto"/>
        </w:rPr>
      </w:pPr>
      <w:r>
        <w:rPr>
          <w:rFonts w:ascii="Arial" w:cs="Arial" w:eastAsia="Arial" w:hAnsi="Arial"/>
          <w:sz w:val="16"/>
          <w:szCs w:val="16"/>
          <w:color w:val="auto"/>
        </w:rPr>
        <w:t>We do not currently have, and we do not expect to have, formal policies relating to the allocation of total compensation among the various elements of our compensation program (other than for our CEO who, as a director, is subject to the shareholder-approved remuneration policy). We intend to continue to evaluate the mix of base salary, short-term incentive compensation and long-term incentive compensation to appropriately align the interests of our NEOs with those of our shareholders.</w:t>
      </w:r>
    </w:p>
    <w:p>
      <w:pPr>
        <w:spacing w:after="0" w:line="81" w:lineRule="exact"/>
        <w:rPr>
          <w:sz w:val="20"/>
          <w:szCs w:val="20"/>
          <w:color w:val="auto"/>
        </w:rPr>
      </w:pPr>
    </w:p>
    <w:p>
      <w:pPr>
        <w:ind w:left="760"/>
        <w:spacing w:after="0"/>
        <w:rPr>
          <w:sz w:val="20"/>
          <w:szCs w:val="20"/>
          <w:color w:val="auto"/>
        </w:rPr>
      </w:pPr>
      <w:r>
        <w:rPr>
          <w:rFonts w:ascii="Arial" w:cs="Arial" w:eastAsia="Arial" w:hAnsi="Arial"/>
          <w:sz w:val="16"/>
          <w:szCs w:val="16"/>
          <w:color w:val="auto"/>
        </w:rPr>
        <w:t>The executive compensation program currently consists of the following:</w:t>
      </w:r>
    </w:p>
    <w:p>
      <w:pPr>
        <w:spacing w:after="0" w:line="152" w:lineRule="exact"/>
        <w:rPr>
          <w:sz w:val="20"/>
          <w:szCs w:val="20"/>
          <w:color w:val="auto"/>
        </w:rPr>
      </w:pPr>
    </w:p>
    <w:tbl>
      <w:tblPr>
        <w:tblLayout w:type="fixed"/>
        <w:tblInd w:w="760" w:type="dxa"/>
        <w:tblCellMar>
          <w:top w:w="0" w:type="dxa"/>
          <w:left w:w="0" w:type="dxa"/>
          <w:bottom w:w="0" w:type="dxa"/>
          <w:right w:w="0" w:type="dxa"/>
        </w:tblCellMar>
      </w:tblPr>
      <w:tr>
        <w:trPr>
          <w:trHeight w:val="196"/>
        </w:trPr>
        <w:tc>
          <w:tcPr>
            <w:tcW w:w="4500" w:type="dxa"/>
            <w:vAlign w:val="bottom"/>
            <w:tcBorders>
              <w:bottom w:val="single" w:sz="8" w:color="4800E6"/>
            </w:tcBorders>
          </w:tcPr>
          <w:p>
            <w:pPr>
              <w:ind w:left="60"/>
              <w:spacing w:after="0"/>
              <w:rPr>
                <w:sz w:val="20"/>
                <w:szCs w:val="20"/>
                <w:color w:val="auto"/>
              </w:rPr>
            </w:pPr>
            <w:r>
              <w:rPr>
                <w:rFonts w:ascii="Arial" w:cs="Arial" w:eastAsia="Arial" w:hAnsi="Arial"/>
                <w:sz w:val="14"/>
                <w:szCs w:val="14"/>
                <w:b w:val="1"/>
                <w:bCs w:val="1"/>
                <w:color w:val="4800E6"/>
              </w:rPr>
              <w:t>Element and Purpose</w:t>
            </w:r>
          </w:p>
        </w:tc>
        <w:tc>
          <w:tcPr>
            <w:tcW w:w="4680" w:type="dxa"/>
            <w:vAlign w:val="bottom"/>
            <w:tcBorders>
              <w:bottom w:val="single" w:sz="8" w:color="4800E6"/>
            </w:tcBorders>
          </w:tcPr>
          <w:p>
            <w:pPr>
              <w:ind w:left="200"/>
              <w:spacing w:after="0"/>
              <w:rPr>
                <w:sz w:val="20"/>
                <w:szCs w:val="20"/>
                <w:color w:val="auto"/>
              </w:rPr>
            </w:pPr>
            <w:r>
              <w:rPr>
                <w:rFonts w:ascii="Arial" w:cs="Arial" w:eastAsia="Arial" w:hAnsi="Arial"/>
                <w:sz w:val="14"/>
                <w:szCs w:val="14"/>
                <w:b w:val="1"/>
                <w:bCs w:val="1"/>
                <w:color w:val="4800E6"/>
              </w:rPr>
              <w:t>Key Features</w:t>
            </w:r>
          </w:p>
        </w:tc>
        <w:tc>
          <w:tcPr>
            <w:tcW w:w="0" w:type="dxa"/>
            <w:vAlign w:val="bottom"/>
          </w:tcPr>
          <w:p>
            <w:pPr>
              <w:spacing w:after="0"/>
              <w:rPr>
                <w:sz w:val="1"/>
                <w:szCs w:val="1"/>
                <w:color w:val="auto"/>
              </w:rPr>
            </w:pPr>
          </w:p>
        </w:tc>
      </w:tr>
      <w:tr>
        <w:trPr>
          <w:trHeight w:val="201"/>
        </w:trPr>
        <w:tc>
          <w:tcPr>
            <w:tcW w:w="4500" w:type="dxa"/>
            <w:vAlign w:val="bottom"/>
          </w:tcPr>
          <w:p>
            <w:pPr>
              <w:ind w:left="60"/>
              <w:spacing w:after="0"/>
              <w:rPr>
                <w:sz w:val="20"/>
                <w:szCs w:val="20"/>
                <w:color w:val="auto"/>
              </w:rPr>
            </w:pPr>
            <w:r>
              <w:rPr>
                <w:rFonts w:ascii="Arial" w:cs="Arial" w:eastAsia="Arial" w:hAnsi="Arial"/>
                <w:sz w:val="16"/>
                <w:szCs w:val="16"/>
                <w:b w:val="1"/>
                <w:bCs w:val="1"/>
                <w:color w:val="auto"/>
              </w:rPr>
              <w:t>Base Salary</w:t>
            </w:r>
          </w:p>
        </w:tc>
        <w:tc>
          <w:tcPr>
            <w:tcW w:w="4680" w:type="dxa"/>
            <w:vAlign w:val="bottom"/>
          </w:tcPr>
          <w:p>
            <w:pPr>
              <w:ind w:left="200"/>
              <w:spacing w:after="0"/>
              <w:rPr>
                <w:sz w:val="20"/>
                <w:szCs w:val="20"/>
                <w:color w:val="auto"/>
              </w:rPr>
            </w:pPr>
            <w:r>
              <w:rPr>
                <w:rFonts w:ascii="Arial" w:cs="Arial" w:eastAsia="Arial" w:hAnsi="Arial"/>
                <w:sz w:val="16"/>
                <w:szCs w:val="16"/>
                <w:color w:val="auto"/>
              </w:rPr>
              <w:t>Fixed annually at the beginning of the financial year by the</w:t>
            </w:r>
          </w:p>
        </w:tc>
        <w:tc>
          <w:tcPr>
            <w:tcW w:w="0" w:type="dxa"/>
            <w:vAlign w:val="bottom"/>
          </w:tcPr>
          <w:p>
            <w:pPr>
              <w:spacing w:after="0"/>
              <w:rPr>
                <w:sz w:val="1"/>
                <w:szCs w:val="1"/>
                <w:color w:val="auto"/>
              </w:rPr>
            </w:pPr>
          </w:p>
        </w:tc>
      </w:tr>
      <w:tr>
        <w:trPr>
          <w:trHeight w:val="189"/>
        </w:trPr>
        <w:tc>
          <w:tcPr>
            <w:tcW w:w="4500" w:type="dxa"/>
            <w:vAlign w:val="bottom"/>
          </w:tcPr>
          <w:p>
            <w:pPr>
              <w:ind w:left="60"/>
              <w:spacing w:after="0"/>
              <w:rPr>
                <w:sz w:val="20"/>
                <w:szCs w:val="20"/>
                <w:color w:val="auto"/>
              </w:rPr>
            </w:pPr>
            <w:r>
              <w:rPr>
                <w:rFonts w:ascii="Arial" w:cs="Arial" w:eastAsia="Arial" w:hAnsi="Arial"/>
                <w:sz w:val="16"/>
                <w:szCs w:val="16"/>
                <w:i w:val="1"/>
                <w:iCs w:val="1"/>
                <w:color w:val="auto"/>
              </w:rPr>
              <w:t>Purpose: Attract and retain NEOs; compensate for individual</w:t>
            </w:r>
          </w:p>
        </w:tc>
        <w:tc>
          <w:tcPr>
            <w:tcW w:w="4680" w:type="dxa"/>
            <w:vAlign w:val="bottom"/>
          </w:tcPr>
          <w:p>
            <w:pPr>
              <w:ind w:left="200"/>
              <w:spacing w:after="0"/>
              <w:rPr>
                <w:sz w:val="20"/>
                <w:szCs w:val="20"/>
                <w:color w:val="auto"/>
              </w:rPr>
            </w:pPr>
            <w:r>
              <w:rPr>
                <w:rFonts w:ascii="Arial" w:cs="Arial" w:eastAsia="Arial" w:hAnsi="Arial"/>
                <w:sz w:val="16"/>
                <w:szCs w:val="16"/>
                <w:color w:val="auto"/>
              </w:rPr>
              <w:t>Compensation Committee</w:t>
            </w:r>
          </w:p>
        </w:tc>
        <w:tc>
          <w:tcPr>
            <w:tcW w:w="0" w:type="dxa"/>
            <w:vAlign w:val="bottom"/>
          </w:tcPr>
          <w:p>
            <w:pPr>
              <w:spacing w:after="0"/>
              <w:rPr>
                <w:sz w:val="1"/>
                <w:szCs w:val="1"/>
                <w:color w:val="auto"/>
              </w:rPr>
            </w:pPr>
          </w:p>
        </w:tc>
      </w:tr>
      <w:tr>
        <w:trPr>
          <w:trHeight w:val="211"/>
        </w:trPr>
        <w:tc>
          <w:tcPr>
            <w:tcW w:w="4500" w:type="dxa"/>
            <w:vAlign w:val="bottom"/>
          </w:tcPr>
          <w:p>
            <w:pPr>
              <w:ind w:left="60"/>
              <w:spacing w:after="0"/>
              <w:rPr>
                <w:sz w:val="20"/>
                <w:szCs w:val="20"/>
                <w:color w:val="auto"/>
              </w:rPr>
            </w:pPr>
            <w:r>
              <w:rPr>
                <w:rFonts w:ascii="Arial" w:cs="Arial" w:eastAsia="Arial" w:hAnsi="Arial"/>
                <w:sz w:val="16"/>
                <w:szCs w:val="16"/>
                <w:i w:val="1"/>
                <w:iCs w:val="1"/>
                <w:color w:val="auto"/>
              </w:rPr>
              <w:t>performance</w:t>
            </w:r>
          </w:p>
        </w:tc>
        <w:tc>
          <w:tcPr>
            <w:tcW w:w="4680" w:type="dxa"/>
            <w:vAlign w:val="bottom"/>
            <w:vMerge w:val="restart"/>
          </w:tcPr>
          <w:p>
            <w:pPr>
              <w:ind w:left="200"/>
              <w:spacing w:after="0"/>
              <w:rPr>
                <w:sz w:val="20"/>
                <w:szCs w:val="20"/>
                <w:color w:val="auto"/>
              </w:rPr>
            </w:pPr>
            <w:r>
              <w:rPr>
                <w:rFonts w:ascii="Arial" w:cs="Arial" w:eastAsia="Arial" w:hAnsi="Arial"/>
                <w:sz w:val="16"/>
                <w:szCs w:val="16"/>
                <w:color w:val="auto"/>
              </w:rPr>
              <w:t>Measured against compensation peer group</w:t>
            </w:r>
          </w:p>
        </w:tc>
        <w:tc>
          <w:tcPr>
            <w:tcW w:w="0" w:type="dxa"/>
            <w:vAlign w:val="bottom"/>
          </w:tcPr>
          <w:p>
            <w:pPr>
              <w:spacing w:after="0"/>
              <w:rPr>
                <w:sz w:val="1"/>
                <w:szCs w:val="1"/>
                <w:color w:val="auto"/>
              </w:rPr>
            </w:pPr>
          </w:p>
        </w:tc>
      </w:tr>
      <w:tr>
        <w:trPr>
          <w:trHeight w:val="54"/>
        </w:trPr>
        <w:tc>
          <w:tcPr>
            <w:tcW w:w="4500" w:type="dxa"/>
            <w:vAlign w:val="bottom"/>
          </w:tcPr>
          <w:p>
            <w:pPr>
              <w:spacing w:after="0"/>
              <w:rPr>
                <w:sz w:val="4"/>
                <w:szCs w:val="4"/>
                <w:color w:val="auto"/>
              </w:rPr>
            </w:pPr>
          </w:p>
        </w:tc>
        <w:tc>
          <w:tcPr>
            <w:tcW w:w="468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237"/>
        </w:trPr>
        <w:tc>
          <w:tcPr>
            <w:tcW w:w="4500" w:type="dxa"/>
            <w:vAlign w:val="bottom"/>
          </w:tcPr>
          <w:p>
            <w:pPr>
              <w:spacing w:after="0"/>
              <w:rPr>
                <w:sz w:val="20"/>
                <w:szCs w:val="20"/>
                <w:color w:val="auto"/>
              </w:rPr>
            </w:pPr>
          </w:p>
        </w:tc>
        <w:tc>
          <w:tcPr>
            <w:tcW w:w="4680" w:type="dxa"/>
            <w:vAlign w:val="bottom"/>
          </w:tcPr>
          <w:p>
            <w:pPr>
              <w:ind w:left="200"/>
              <w:spacing w:after="0"/>
              <w:rPr>
                <w:sz w:val="20"/>
                <w:szCs w:val="20"/>
                <w:color w:val="auto"/>
              </w:rPr>
            </w:pPr>
            <w:r>
              <w:rPr>
                <w:rFonts w:ascii="Arial" w:cs="Arial" w:eastAsia="Arial" w:hAnsi="Arial"/>
                <w:sz w:val="16"/>
                <w:szCs w:val="16"/>
                <w:color w:val="auto"/>
              </w:rPr>
              <w:t>Serves as the baseline from which short-term incentives are</w:t>
            </w:r>
          </w:p>
        </w:tc>
        <w:tc>
          <w:tcPr>
            <w:tcW w:w="0" w:type="dxa"/>
            <w:vAlign w:val="bottom"/>
          </w:tcPr>
          <w:p>
            <w:pPr>
              <w:spacing w:after="0"/>
              <w:rPr>
                <w:sz w:val="1"/>
                <w:szCs w:val="1"/>
                <w:color w:val="auto"/>
              </w:rPr>
            </w:pPr>
          </w:p>
        </w:tc>
      </w:tr>
      <w:tr>
        <w:trPr>
          <w:trHeight w:val="195"/>
        </w:trPr>
        <w:tc>
          <w:tcPr>
            <w:tcW w:w="4500" w:type="dxa"/>
            <w:vAlign w:val="bottom"/>
          </w:tcPr>
          <w:p>
            <w:pPr>
              <w:spacing w:after="0"/>
              <w:rPr>
                <w:sz w:val="16"/>
                <w:szCs w:val="16"/>
                <w:color w:val="auto"/>
              </w:rPr>
            </w:pPr>
          </w:p>
        </w:tc>
        <w:tc>
          <w:tcPr>
            <w:tcW w:w="4680" w:type="dxa"/>
            <w:vAlign w:val="bottom"/>
          </w:tcPr>
          <w:p>
            <w:pPr>
              <w:ind w:left="200"/>
              <w:spacing w:after="0"/>
              <w:rPr>
                <w:sz w:val="20"/>
                <w:szCs w:val="20"/>
                <w:color w:val="auto"/>
              </w:rPr>
            </w:pPr>
            <w:r>
              <w:rPr>
                <w:rFonts w:ascii="Arial" w:cs="Arial" w:eastAsia="Arial" w:hAnsi="Arial"/>
                <w:sz w:val="16"/>
                <w:szCs w:val="16"/>
                <w:color w:val="auto"/>
              </w:rPr>
              <w:t>calculated</w:t>
            </w:r>
          </w:p>
        </w:tc>
        <w:tc>
          <w:tcPr>
            <w:tcW w:w="0" w:type="dxa"/>
            <w:vAlign w:val="bottom"/>
          </w:tcPr>
          <w:p>
            <w:pPr>
              <w:spacing w:after="0"/>
              <w:rPr>
                <w:sz w:val="1"/>
                <w:szCs w:val="1"/>
                <w:color w:val="auto"/>
              </w:rPr>
            </w:pPr>
          </w:p>
        </w:tc>
      </w:tr>
      <w:tr>
        <w:trPr>
          <w:trHeight w:val="60"/>
        </w:trPr>
        <w:tc>
          <w:tcPr>
            <w:tcW w:w="4500" w:type="dxa"/>
            <w:vAlign w:val="bottom"/>
          </w:tcPr>
          <w:p>
            <w:pPr>
              <w:spacing w:after="0"/>
              <w:rPr>
                <w:sz w:val="5"/>
                <w:szCs w:val="5"/>
                <w:color w:val="auto"/>
              </w:rPr>
            </w:pPr>
          </w:p>
        </w:tc>
        <w:tc>
          <w:tcPr>
            <w:tcW w:w="468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15"/>
        </w:trPr>
        <w:tc>
          <w:tcPr>
            <w:tcW w:w="4500" w:type="dxa"/>
            <w:vAlign w:val="bottom"/>
            <w:shd w:val="clear" w:color="auto" w:fill="EFE9FC"/>
          </w:tcPr>
          <w:p>
            <w:pPr>
              <w:ind w:left="60"/>
              <w:spacing w:after="0"/>
              <w:rPr>
                <w:sz w:val="20"/>
                <w:szCs w:val="20"/>
                <w:color w:val="auto"/>
              </w:rPr>
            </w:pPr>
            <w:r>
              <w:rPr>
                <w:rFonts w:ascii="Arial" w:cs="Arial" w:eastAsia="Arial" w:hAnsi="Arial"/>
                <w:sz w:val="16"/>
                <w:szCs w:val="16"/>
                <w:b w:val="1"/>
                <w:bCs w:val="1"/>
                <w:color w:val="auto"/>
              </w:rPr>
              <w:t>Short-Term Incentives</w:t>
            </w:r>
          </w:p>
        </w:tc>
        <w:tc>
          <w:tcPr>
            <w:tcW w:w="4680" w:type="dxa"/>
            <w:vAlign w:val="bottom"/>
            <w:shd w:val="clear" w:color="auto" w:fill="EFE9FC"/>
          </w:tcPr>
          <w:p>
            <w:pPr>
              <w:ind w:left="200"/>
              <w:spacing w:after="0"/>
              <w:rPr>
                <w:sz w:val="20"/>
                <w:szCs w:val="20"/>
                <w:color w:val="auto"/>
              </w:rPr>
            </w:pPr>
            <w:r>
              <w:rPr>
                <w:rFonts w:ascii="Arial" w:cs="Arial" w:eastAsia="Arial" w:hAnsi="Arial"/>
                <w:sz w:val="16"/>
                <w:szCs w:val="16"/>
                <w:color w:val="auto"/>
              </w:rPr>
              <w:t>Annual cash-based bonus plan expressed as a percentage of</w:t>
            </w:r>
          </w:p>
        </w:tc>
        <w:tc>
          <w:tcPr>
            <w:tcW w:w="0" w:type="dxa"/>
            <w:vAlign w:val="bottom"/>
          </w:tcPr>
          <w:p>
            <w:pPr>
              <w:spacing w:after="0"/>
              <w:rPr>
                <w:sz w:val="1"/>
                <w:szCs w:val="1"/>
                <w:color w:val="auto"/>
              </w:rPr>
            </w:pPr>
          </w:p>
        </w:tc>
      </w:tr>
      <w:tr>
        <w:trPr>
          <w:trHeight w:val="189"/>
        </w:trPr>
        <w:tc>
          <w:tcPr>
            <w:tcW w:w="4500" w:type="dxa"/>
            <w:vAlign w:val="bottom"/>
            <w:shd w:val="clear" w:color="auto" w:fill="EFE9FC"/>
          </w:tcPr>
          <w:p>
            <w:pPr>
              <w:ind w:left="60"/>
              <w:spacing w:after="0"/>
              <w:rPr>
                <w:sz w:val="20"/>
                <w:szCs w:val="20"/>
                <w:color w:val="auto"/>
              </w:rPr>
            </w:pPr>
            <w:r>
              <w:rPr>
                <w:rFonts w:ascii="Arial" w:cs="Arial" w:eastAsia="Arial" w:hAnsi="Arial"/>
                <w:sz w:val="16"/>
                <w:szCs w:val="16"/>
                <w:i w:val="1"/>
                <w:iCs w:val="1"/>
                <w:color w:val="auto"/>
              </w:rPr>
              <w:t>Purpose: Provide formulaic incentives to achieve or exceed</w:t>
            </w:r>
          </w:p>
        </w:tc>
        <w:tc>
          <w:tcPr>
            <w:tcW w:w="4680" w:type="dxa"/>
            <w:vAlign w:val="bottom"/>
            <w:shd w:val="clear" w:color="auto" w:fill="EFE9FC"/>
          </w:tcPr>
          <w:p>
            <w:pPr>
              <w:ind w:left="200"/>
              <w:spacing w:after="0"/>
              <w:rPr>
                <w:sz w:val="20"/>
                <w:szCs w:val="20"/>
                <w:color w:val="auto"/>
              </w:rPr>
            </w:pPr>
            <w:r>
              <w:rPr>
                <w:rFonts w:ascii="Arial" w:cs="Arial" w:eastAsia="Arial" w:hAnsi="Arial"/>
                <w:sz w:val="16"/>
                <w:szCs w:val="16"/>
                <w:color w:val="auto"/>
              </w:rPr>
              <w:t>the NEO’s weighted average base salary</w:t>
            </w:r>
          </w:p>
        </w:tc>
        <w:tc>
          <w:tcPr>
            <w:tcW w:w="0" w:type="dxa"/>
            <w:vAlign w:val="bottom"/>
          </w:tcPr>
          <w:p>
            <w:pPr>
              <w:spacing w:after="0"/>
              <w:rPr>
                <w:sz w:val="1"/>
                <w:szCs w:val="1"/>
                <w:color w:val="auto"/>
              </w:rPr>
            </w:pPr>
          </w:p>
        </w:tc>
      </w:tr>
      <w:tr>
        <w:trPr>
          <w:trHeight w:val="189"/>
        </w:trPr>
        <w:tc>
          <w:tcPr>
            <w:tcW w:w="4500" w:type="dxa"/>
            <w:vAlign w:val="bottom"/>
            <w:shd w:val="clear" w:color="auto" w:fill="EFE9FC"/>
          </w:tcPr>
          <w:p>
            <w:pPr>
              <w:ind w:left="60"/>
              <w:spacing w:after="0"/>
              <w:rPr>
                <w:sz w:val="20"/>
                <w:szCs w:val="20"/>
                <w:color w:val="auto"/>
              </w:rPr>
            </w:pPr>
            <w:r>
              <w:rPr>
                <w:rFonts w:ascii="Arial" w:cs="Arial" w:eastAsia="Arial" w:hAnsi="Arial"/>
                <w:sz w:val="16"/>
                <w:szCs w:val="16"/>
                <w:i w:val="1"/>
                <w:iCs w:val="1"/>
                <w:color w:val="auto"/>
              </w:rPr>
              <w:t>budgeted Adjusted Net Sales (1) and Adjusted Net Income</w:t>
            </w:r>
          </w:p>
        </w:tc>
        <w:tc>
          <w:tcPr>
            <w:tcW w:w="4680" w:type="dxa"/>
            <w:vAlign w:val="bottom"/>
            <w:vMerge w:val="restart"/>
            <w:shd w:val="clear" w:color="auto" w:fill="EFE9FC"/>
          </w:tcPr>
          <w:p>
            <w:pPr>
              <w:ind w:left="200"/>
              <w:spacing w:after="0"/>
              <w:rPr>
                <w:sz w:val="20"/>
                <w:szCs w:val="20"/>
                <w:color w:val="auto"/>
              </w:rPr>
            </w:pPr>
            <w:r>
              <w:rPr>
                <w:rFonts w:ascii="Arial" w:cs="Arial" w:eastAsia="Arial" w:hAnsi="Arial"/>
                <w:sz w:val="16"/>
                <w:szCs w:val="16"/>
                <w:color w:val="auto"/>
              </w:rPr>
              <w:t>Incentive payouts range from threshold to maximum levels,</w:t>
            </w:r>
          </w:p>
        </w:tc>
        <w:tc>
          <w:tcPr>
            <w:tcW w:w="0" w:type="dxa"/>
            <w:vAlign w:val="bottom"/>
          </w:tcPr>
          <w:p>
            <w:pPr>
              <w:spacing w:after="0"/>
              <w:rPr>
                <w:sz w:val="1"/>
                <w:szCs w:val="1"/>
                <w:color w:val="auto"/>
              </w:rPr>
            </w:pPr>
          </w:p>
        </w:tc>
      </w:tr>
      <w:tr>
        <w:trPr>
          <w:trHeight w:val="70"/>
        </w:trPr>
        <w:tc>
          <w:tcPr>
            <w:tcW w:w="4500" w:type="dxa"/>
            <w:vAlign w:val="bottom"/>
            <w:vMerge w:val="restart"/>
            <w:shd w:val="clear" w:color="auto" w:fill="EFE9FC"/>
          </w:tcPr>
          <w:p>
            <w:pPr>
              <w:ind w:left="60"/>
              <w:spacing w:after="0"/>
              <w:rPr>
                <w:sz w:val="20"/>
                <w:szCs w:val="20"/>
                <w:color w:val="auto"/>
              </w:rPr>
            </w:pPr>
            <w:r>
              <w:rPr>
                <w:rFonts w:ascii="Arial" w:cs="Arial" w:eastAsia="Arial" w:hAnsi="Arial"/>
                <w:sz w:val="16"/>
                <w:szCs w:val="16"/>
                <w:i w:val="1"/>
                <w:iCs w:val="1"/>
                <w:color w:val="auto"/>
              </w:rPr>
              <w:t>(2) and drive non-financial initiatives supporting our success</w:t>
            </w:r>
          </w:p>
        </w:tc>
        <w:tc>
          <w:tcPr>
            <w:tcW w:w="4680" w:type="dxa"/>
            <w:vAlign w:val="bottom"/>
            <w:vMerge w:val="continue"/>
            <w:shd w:val="clear" w:color="auto" w:fill="EFE9FC"/>
          </w:tcPr>
          <w:p>
            <w:pPr>
              <w:spacing w:after="0"/>
              <w:rPr>
                <w:sz w:val="6"/>
                <w:szCs w:val="6"/>
                <w:color w:val="auto"/>
              </w:rPr>
            </w:pPr>
          </w:p>
        </w:tc>
        <w:tc>
          <w:tcPr>
            <w:tcW w:w="0" w:type="dxa"/>
            <w:vAlign w:val="bottom"/>
          </w:tcPr>
          <w:p>
            <w:pPr>
              <w:spacing w:after="0"/>
              <w:rPr>
                <w:sz w:val="1"/>
                <w:szCs w:val="1"/>
                <w:color w:val="auto"/>
              </w:rPr>
            </w:pPr>
          </w:p>
        </w:tc>
      </w:tr>
      <w:tr>
        <w:trPr>
          <w:trHeight w:val="141"/>
        </w:trPr>
        <w:tc>
          <w:tcPr>
            <w:tcW w:w="4500" w:type="dxa"/>
            <w:vAlign w:val="bottom"/>
            <w:vMerge w:val="continue"/>
            <w:shd w:val="clear" w:color="auto" w:fill="EFE9FC"/>
          </w:tcPr>
          <w:p>
            <w:pPr>
              <w:spacing w:after="0"/>
              <w:rPr>
                <w:sz w:val="12"/>
                <w:szCs w:val="12"/>
                <w:color w:val="auto"/>
              </w:rPr>
            </w:pPr>
          </w:p>
        </w:tc>
        <w:tc>
          <w:tcPr>
            <w:tcW w:w="4680" w:type="dxa"/>
            <w:vAlign w:val="bottom"/>
            <w:vMerge w:val="restart"/>
            <w:shd w:val="clear" w:color="auto" w:fill="EFE9FC"/>
          </w:tcPr>
          <w:p>
            <w:pPr>
              <w:ind w:left="200"/>
              <w:spacing w:after="0"/>
              <w:rPr>
                <w:sz w:val="20"/>
                <w:szCs w:val="20"/>
                <w:color w:val="auto"/>
              </w:rPr>
            </w:pPr>
            <w:r>
              <w:rPr>
                <w:rFonts w:ascii="Arial" w:cs="Arial" w:eastAsia="Arial" w:hAnsi="Arial"/>
                <w:sz w:val="16"/>
                <w:szCs w:val="16"/>
                <w:color w:val="auto"/>
              </w:rPr>
              <w:t>depending on level of performance measured against</w:t>
            </w:r>
          </w:p>
        </w:tc>
        <w:tc>
          <w:tcPr>
            <w:tcW w:w="0" w:type="dxa"/>
            <w:vAlign w:val="bottom"/>
          </w:tcPr>
          <w:p>
            <w:pPr>
              <w:spacing w:after="0"/>
              <w:rPr>
                <w:sz w:val="1"/>
                <w:szCs w:val="1"/>
                <w:color w:val="auto"/>
              </w:rPr>
            </w:pPr>
          </w:p>
        </w:tc>
      </w:tr>
      <w:tr>
        <w:trPr>
          <w:trHeight w:val="48"/>
        </w:trPr>
        <w:tc>
          <w:tcPr>
            <w:tcW w:w="4500" w:type="dxa"/>
            <w:vAlign w:val="bottom"/>
            <w:shd w:val="clear" w:color="auto" w:fill="EFE9FC"/>
          </w:tcPr>
          <w:p>
            <w:pPr>
              <w:spacing w:after="0"/>
              <w:rPr>
                <w:sz w:val="4"/>
                <w:szCs w:val="4"/>
                <w:color w:val="auto"/>
              </w:rPr>
            </w:pPr>
          </w:p>
        </w:tc>
        <w:tc>
          <w:tcPr>
            <w:tcW w:w="4680" w:type="dxa"/>
            <w:vAlign w:val="bottom"/>
            <w:vMerge w:val="continue"/>
            <w:shd w:val="clear" w:color="auto" w:fill="EFE9FC"/>
          </w:tcPr>
          <w:p>
            <w:pPr>
              <w:spacing w:after="0"/>
              <w:rPr>
                <w:sz w:val="4"/>
                <w:szCs w:val="4"/>
                <w:color w:val="auto"/>
              </w:rPr>
            </w:pPr>
          </w:p>
        </w:tc>
        <w:tc>
          <w:tcPr>
            <w:tcW w:w="0" w:type="dxa"/>
            <w:vAlign w:val="bottom"/>
          </w:tcPr>
          <w:p>
            <w:pPr>
              <w:spacing w:after="0"/>
              <w:rPr>
                <w:sz w:val="1"/>
                <w:szCs w:val="1"/>
                <w:color w:val="auto"/>
              </w:rPr>
            </w:pPr>
          </w:p>
        </w:tc>
      </w:tr>
      <w:tr>
        <w:trPr>
          <w:trHeight w:val="195"/>
        </w:trPr>
        <w:tc>
          <w:tcPr>
            <w:tcW w:w="4500" w:type="dxa"/>
            <w:vAlign w:val="bottom"/>
            <w:shd w:val="clear" w:color="auto" w:fill="EFE9FC"/>
          </w:tcPr>
          <w:p>
            <w:pPr>
              <w:spacing w:after="0"/>
              <w:rPr>
                <w:sz w:val="16"/>
                <w:szCs w:val="16"/>
                <w:color w:val="auto"/>
              </w:rPr>
            </w:pPr>
          </w:p>
        </w:tc>
        <w:tc>
          <w:tcPr>
            <w:tcW w:w="4680" w:type="dxa"/>
            <w:vAlign w:val="bottom"/>
            <w:shd w:val="clear" w:color="auto" w:fill="EFE9FC"/>
          </w:tcPr>
          <w:p>
            <w:pPr>
              <w:ind w:left="200"/>
              <w:spacing w:after="0"/>
              <w:rPr>
                <w:sz w:val="20"/>
                <w:szCs w:val="20"/>
                <w:color w:val="auto"/>
              </w:rPr>
            </w:pPr>
            <w:r>
              <w:rPr>
                <w:rFonts w:ascii="Arial" w:cs="Arial" w:eastAsia="Arial" w:hAnsi="Arial"/>
                <w:sz w:val="16"/>
                <w:szCs w:val="16"/>
                <w:color w:val="auto"/>
              </w:rPr>
              <w:t>Compensation Committee determined metrics</w:t>
            </w:r>
          </w:p>
        </w:tc>
        <w:tc>
          <w:tcPr>
            <w:tcW w:w="0" w:type="dxa"/>
            <w:vAlign w:val="bottom"/>
          </w:tcPr>
          <w:p>
            <w:pPr>
              <w:spacing w:after="0"/>
              <w:rPr>
                <w:sz w:val="1"/>
                <w:szCs w:val="1"/>
                <w:color w:val="auto"/>
              </w:rPr>
            </w:pPr>
          </w:p>
        </w:tc>
      </w:tr>
      <w:tr>
        <w:trPr>
          <w:trHeight w:val="237"/>
        </w:trPr>
        <w:tc>
          <w:tcPr>
            <w:tcW w:w="4500" w:type="dxa"/>
            <w:vAlign w:val="bottom"/>
            <w:shd w:val="clear" w:color="auto" w:fill="EFE9FC"/>
          </w:tcPr>
          <w:p>
            <w:pPr>
              <w:spacing w:after="0"/>
              <w:rPr>
                <w:sz w:val="20"/>
                <w:szCs w:val="20"/>
                <w:color w:val="auto"/>
              </w:rPr>
            </w:pPr>
          </w:p>
        </w:tc>
        <w:tc>
          <w:tcPr>
            <w:tcW w:w="4680" w:type="dxa"/>
            <w:vAlign w:val="bottom"/>
            <w:shd w:val="clear" w:color="auto" w:fill="EFE9FC"/>
          </w:tcPr>
          <w:p>
            <w:pPr>
              <w:ind w:left="200"/>
              <w:spacing w:after="0"/>
              <w:rPr>
                <w:sz w:val="20"/>
                <w:szCs w:val="20"/>
                <w:color w:val="auto"/>
              </w:rPr>
            </w:pPr>
            <w:r>
              <w:rPr>
                <w:rFonts w:ascii="Arial" w:cs="Arial" w:eastAsia="Arial" w:hAnsi="Arial"/>
                <w:sz w:val="16"/>
                <w:szCs w:val="16"/>
                <w:color w:val="auto"/>
              </w:rPr>
              <w:t>Bonus payment based on the achievement of two financial</w:t>
            </w:r>
          </w:p>
        </w:tc>
        <w:tc>
          <w:tcPr>
            <w:tcW w:w="0" w:type="dxa"/>
            <w:vAlign w:val="bottom"/>
          </w:tcPr>
          <w:p>
            <w:pPr>
              <w:spacing w:after="0"/>
              <w:rPr>
                <w:sz w:val="1"/>
                <w:szCs w:val="1"/>
                <w:color w:val="auto"/>
              </w:rPr>
            </w:pPr>
          </w:p>
        </w:tc>
      </w:tr>
      <w:tr>
        <w:trPr>
          <w:trHeight w:val="189"/>
        </w:trPr>
        <w:tc>
          <w:tcPr>
            <w:tcW w:w="4500" w:type="dxa"/>
            <w:vAlign w:val="bottom"/>
            <w:shd w:val="clear" w:color="auto" w:fill="EFE9FC"/>
          </w:tcPr>
          <w:p>
            <w:pPr>
              <w:spacing w:after="0"/>
              <w:rPr>
                <w:sz w:val="16"/>
                <w:szCs w:val="16"/>
                <w:color w:val="auto"/>
              </w:rPr>
            </w:pPr>
          </w:p>
        </w:tc>
        <w:tc>
          <w:tcPr>
            <w:tcW w:w="4680" w:type="dxa"/>
            <w:vAlign w:val="bottom"/>
            <w:shd w:val="clear" w:color="auto" w:fill="EFE9FC"/>
          </w:tcPr>
          <w:p>
            <w:pPr>
              <w:ind w:left="200"/>
              <w:spacing w:after="0"/>
              <w:rPr>
                <w:sz w:val="20"/>
                <w:szCs w:val="20"/>
                <w:color w:val="auto"/>
              </w:rPr>
            </w:pPr>
            <w:r>
              <w:rPr>
                <w:rFonts w:ascii="Arial" w:cs="Arial" w:eastAsia="Arial" w:hAnsi="Arial"/>
                <w:sz w:val="16"/>
                <w:szCs w:val="16"/>
                <w:color w:val="auto"/>
              </w:rPr>
              <w:t>objectives – budgeted Adjusted Net Sales and Adjusted Net</w:t>
            </w:r>
          </w:p>
        </w:tc>
        <w:tc>
          <w:tcPr>
            <w:tcW w:w="0" w:type="dxa"/>
            <w:vAlign w:val="bottom"/>
          </w:tcPr>
          <w:p>
            <w:pPr>
              <w:spacing w:after="0"/>
              <w:rPr>
                <w:sz w:val="1"/>
                <w:szCs w:val="1"/>
                <w:color w:val="auto"/>
              </w:rPr>
            </w:pPr>
          </w:p>
        </w:tc>
      </w:tr>
      <w:tr>
        <w:trPr>
          <w:trHeight w:val="189"/>
        </w:trPr>
        <w:tc>
          <w:tcPr>
            <w:tcW w:w="4500" w:type="dxa"/>
            <w:vAlign w:val="bottom"/>
            <w:shd w:val="clear" w:color="auto" w:fill="EFE9FC"/>
          </w:tcPr>
          <w:p>
            <w:pPr>
              <w:spacing w:after="0"/>
              <w:rPr>
                <w:sz w:val="16"/>
                <w:szCs w:val="16"/>
                <w:color w:val="auto"/>
              </w:rPr>
            </w:pPr>
          </w:p>
        </w:tc>
        <w:tc>
          <w:tcPr>
            <w:tcW w:w="4680" w:type="dxa"/>
            <w:vAlign w:val="bottom"/>
            <w:shd w:val="clear" w:color="auto" w:fill="EFE9FC"/>
          </w:tcPr>
          <w:p>
            <w:pPr>
              <w:ind w:left="200"/>
              <w:spacing w:after="0"/>
              <w:rPr>
                <w:sz w:val="20"/>
                <w:szCs w:val="20"/>
                <w:color w:val="auto"/>
              </w:rPr>
            </w:pPr>
            <w:r>
              <w:rPr>
                <w:rFonts w:ascii="Arial" w:cs="Arial" w:eastAsia="Arial" w:hAnsi="Arial"/>
                <w:sz w:val="16"/>
                <w:szCs w:val="16"/>
                <w:color w:val="auto"/>
              </w:rPr>
              <w:t>Income – eight non-financial objectives relating to: design,</w:t>
            </w:r>
          </w:p>
        </w:tc>
        <w:tc>
          <w:tcPr>
            <w:tcW w:w="0" w:type="dxa"/>
            <w:vAlign w:val="bottom"/>
          </w:tcPr>
          <w:p>
            <w:pPr>
              <w:spacing w:after="0"/>
              <w:rPr>
                <w:sz w:val="1"/>
                <w:szCs w:val="1"/>
                <w:color w:val="auto"/>
              </w:rPr>
            </w:pPr>
          </w:p>
        </w:tc>
      </w:tr>
      <w:tr>
        <w:trPr>
          <w:trHeight w:val="189"/>
        </w:trPr>
        <w:tc>
          <w:tcPr>
            <w:tcW w:w="4500" w:type="dxa"/>
            <w:vAlign w:val="bottom"/>
            <w:shd w:val="clear" w:color="auto" w:fill="EFE9FC"/>
          </w:tcPr>
          <w:p>
            <w:pPr>
              <w:spacing w:after="0"/>
              <w:rPr>
                <w:sz w:val="16"/>
                <w:szCs w:val="16"/>
                <w:color w:val="auto"/>
              </w:rPr>
            </w:pPr>
          </w:p>
        </w:tc>
        <w:tc>
          <w:tcPr>
            <w:tcW w:w="4680" w:type="dxa"/>
            <w:vAlign w:val="bottom"/>
            <w:shd w:val="clear" w:color="auto" w:fill="EFE9FC"/>
          </w:tcPr>
          <w:p>
            <w:pPr>
              <w:ind w:left="200"/>
              <w:spacing w:after="0"/>
              <w:rPr>
                <w:sz w:val="20"/>
                <w:szCs w:val="20"/>
                <w:color w:val="auto"/>
              </w:rPr>
            </w:pPr>
            <w:r>
              <w:rPr>
                <w:rFonts w:ascii="Arial" w:cs="Arial" w:eastAsia="Arial" w:hAnsi="Arial"/>
                <w:sz w:val="16"/>
                <w:szCs w:val="16"/>
                <w:color w:val="auto"/>
              </w:rPr>
              <w:t>clinical, regulatory and commercialization projects; and, with</w:t>
            </w:r>
          </w:p>
        </w:tc>
        <w:tc>
          <w:tcPr>
            <w:tcW w:w="0" w:type="dxa"/>
            <w:vAlign w:val="bottom"/>
          </w:tcPr>
          <w:p>
            <w:pPr>
              <w:spacing w:after="0"/>
              <w:rPr>
                <w:sz w:val="1"/>
                <w:szCs w:val="1"/>
                <w:color w:val="auto"/>
              </w:rPr>
            </w:pPr>
          </w:p>
        </w:tc>
      </w:tr>
      <w:tr>
        <w:trPr>
          <w:trHeight w:val="195"/>
        </w:trPr>
        <w:tc>
          <w:tcPr>
            <w:tcW w:w="4500" w:type="dxa"/>
            <w:vAlign w:val="bottom"/>
            <w:shd w:val="clear" w:color="auto" w:fill="EFE9FC"/>
          </w:tcPr>
          <w:p>
            <w:pPr>
              <w:spacing w:after="0"/>
              <w:rPr>
                <w:sz w:val="16"/>
                <w:szCs w:val="16"/>
                <w:color w:val="auto"/>
              </w:rPr>
            </w:pPr>
          </w:p>
        </w:tc>
        <w:tc>
          <w:tcPr>
            <w:tcW w:w="4680" w:type="dxa"/>
            <w:vAlign w:val="bottom"/>
            <w:shd w:val="clear" w:color="auto" w:fill="EFE9FC"/>
          </w:tcPr>
          <w:p>
            <w:pPr>
              <w:ind w:left="200"/>
              <w:spacing w:after="0"/>
              <w:rPr>
                <w:sz w:val="20"/>
                <w:szCs w:val="20"/>
                <w:color w:val="auto"/>
              </w:rPr>
            </w:pPr>
            <w:r>
              <w:rPr>
                <w:rFonts w:ascii="Arial" w:cs="Arial" w:eastAsia="Arial" w:hAnsi="Arial"/>
                <w:sz w:val="16"/>
                <w:szCs w:val="16"/>
                <w:color w:val="auto"/>
              </w:rPr>
              <w:t>the exception of Mr. McDonald, leadership</w:t>
            </w:r>
          </w:p>
        </w:tc>
        <w:tc>
          <w:tcPr>
            <w:tcW w:w="0" w:type="dxa"/>
            <w:vAlign w:val="bottom"/>
          </w:tcPr>
          <w:p>
            <w:pPr>
              <w:spacing w:after="0"/>
              <w:rPr>
                <w:sz w:val="1"/>
                <w:szCs w:val="1"/>
                <w:color w:val="auto"/>
              </w:rPr>
            </w:pPr>
          </w:p>
        </w:tc>
      </w:tr>
      <w:tr>
        <w:trPr>
          <w:trHeight w:val="74"/>
        </w:trPr>
        <w:tc>
          <w:tcPr>
            <w:tcW w:w="4500" w:type="dxa"/>
            <w:vAlign w:val="bottom"/>
            <w:shd w:val="clear" w:color="auto" w:fill="EFE9FC"/>
          </w:tcPr>
          <w:p>
            <w:pPr>
              <w:spacing w:after="0"/>
              <w:rPr>
                <w:sz w:val="6"/>
                <w:szCs w:val="6"/>
                <w:color w:val="auto"/>
              </w:rPr>
            </w:pPr>
          </w:p>
        </w:tc>
        <w:tc>
          <w:tcPr>
            <w:tcW w:w="4680" w:type="dxa"/>
            <w:vAlign w:val="bottom"/>
            <w:shd w:val="clear" w:color="auto" w:fill="EFE9FC"/>
          </w:tcPr>
          <w:p>
            <w:pPr>
              <w:spacing w:after="0"/>
              <w:rPr>
                <w:sz w:val="6"/>
                <w:szCs w:val="6"/>
                <w:color w:val="auto"/>
              </w:rPr>
            </w:pPr>
          </w:p>
        </w:tc>
        <w:tc>
          <w:tcPr>
            <w:tcW w:w="0" w:type="dxa"/>
            <w:vAlign w:val="bottom"/>
          </w:tcPr>
          <w:p>
            <w:pPr>
              <w:spacing w:after="0"/>
              <w:rPr>
                <w:sz w:val="1"/>
                <w:szCs w:val="1"/>
                <w:color w:val="auto"/>
              </w:rPr>
            </w:pPr>
          </w:p>
        </w:tc>
      </w:tr>
      <w:tr>
        <w:trPr>
          <w:trHeight w:val="202"/>
        </w:trPr>
        <w:tc>
          <w:tcPr>
            <w:tcW w:w="4500" w:type="dxa"/>
            <w:vAlign w:val="bottom"/>
          </w:tcPr>
          <w:p>
            <w:pPr>
              <w:ind w:left="60"/>
              <w:spacing w:after="0"/>
              <w:rPr>
                <w:sz w:val="20"/>
                <w:szCs w:val="20"/>
                <w:color w:val="auto"/>
              </w:rPr>
            </w:pPr>
            <w:r>
              <w:rPr>
                <w:rFonts w:ascii="Arial" w:cs="Arial" w:eastAsia="Arial" w:hAnsi="Arial"/>
                <w:sz w:val="16"/>
                <w:szCs w:val="16"/>
                <w:b w:val="1"/>
                <w:bCs w:val="1"/>
                <w:color w:val="auto"/>
              </w:rPr>
              <w:t>Long-Term Incentives</w:t>
            </w:r>
          </w:p>
        </w:tc>
        <w:tc>
          <w:tcPr>
            <w:tcW w:w="4680" w:type="dxa"/>
            <w:vAlign w:val="bottom"/>
          </w:tcPr>
          <w:p>
            <w:pPr>
              <w:ind w:left="200"/>
              <w:spacing w:after="0"/>
              <w:rPr>
                <w:sz w:val="20"/>
                <w:szCs w:val="20"/>
                <w:color w:val="auto"/>
              </w:rPr>
            </w:pPr>
            <w:r>
              <w:rPr>
                <w:rFonts w:ascii="Arial" w:cs="Arial" w:eastAsia="Arial" w:hAnsi="Arial"/>
                <w:sz w:val="16"/>
                <w:szCs w:val="16"/>
                <w:b w:val="1"/>
                <w:bCs w:val="1"/>
                <w:color w:val="auto"/>
              </w:rPr>
              <w:t>Service-Based Awards</w:t>
            </w: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89"/>
        </w:trPr>
        <w:tc>
          <w:tcPr>
            <w:tcW w:w="4500" w:type="dxa"/>
            <w:vAlign w:val="bottom"/>
          </w:tcPr>
          <w:p>
            <w:pPr>
              <w:ind w:left="60"/>
              <w:spacing w:after="0"/>
              <w:rPr>
                <w:sz w:val="20"/>
                <w:szCs w:val="20"/>
                <w:color w:val="auto"/>
              </w:rPr>
            </w:pPr>
            <w:r>
              <w:rPr>
                <w:rFonts w:ascii="Arial" w:cs="Arial" w:eastAsia="Arial" w:hAnsi="Arial"/>
                <w:sz w:val="16"/>
                <w:szCs w:val="16"/>
                <w:i w:val="1"/>
                <w:iCs w:val="1"/>
                <w:color w:val="auto"/>
              </w:rPr>
              <w:t>Purpose: Create alignment with shareholder interests;</w:t>
            </w:r>
          </w:p>
        </w:tc>
        <w:tc>
          <w:tcPr>
            <w:tcW w:w="4680" w:type="dxa"/>
            <w:vAlign w:val="bottom"/>
            <w:vMerge w:val="restart"/>
          </w:tcPr>
          <w:p>
            <w:pPr>
              <w:ind w:left="200"/>
              <w:spacing w:after="0"/>
              <w:rPr>
                <w:sz w:val="20"/>
                <w:szCs w:val="20"/>
                <w:color w:val="auto"/>
              </w:rPr>
            </w:pPr>
            <w:r>
              <w:rPr>
                <w:rFonts w:ascii="Arial" w:cs="Arial" w:eastAsia="Arial" w:hAnsi="Arial"/>
                <w:sz w:val="16"/>
                <w:szCs w:val="16"/>
                <w:color w:val="auto"/>
              </w:rPr>
              <w:t>Restricted Stock Units vest in equal or substantially equal</w:t>
            </w:r>
          </w:p>
        </w:tc>
        <w:tc>
          <w:tcPr>
            <w:tcW w:w="0" w:type="dxa"/>
            <w:vAlign w:val="bottom"/>
          </w:tcPr>
          <w:p>
            <w:pPr>
              <w:spacing w:after="0"/>
              <w:rPr>
                <w:sz w:val="1"/>
                <w:szCs w:val="1"/>
                <w:color w:val="auto"/>
              </w:rPr>
            </w:pPr>
          </w:p>
        </w:tc>
      </w:tr>
      <w:tr>
        <w:trPr>
          <w:trHeight w:val="70"/>
        </w:trPr>
        <w:tc>
          <w:tcPr>
            <w:tcW w:w="4500" w:type="dxa"/>
            <w:vAlign w:val="bottom"/>
            <w:vMerge w:val="restart"/>
          </w:tcPr>
          <w:p>
            <w:pPr>
              <w:ind w:left="60"/>
              <w:spacing w:after="0"/>
              <w:rPr>
                <w:sz w:val="20"/>
                <w:szCs w:val="20"/>
                <w:color w:val="auto"/>
              </w:rPr>
            </w:pPr>
            <w:r>
              <w:rPr>
                <w:rFonts w:ascii="Arial" w:cs="Arial" w:eastAsia="Arial" w:hAnsi="Arial"/>
                <w:sz w:val="16"/>
                <w:szCs w:val="16"/>
                <w:i w:val="1"/>
                <w:iCs w:val="1"/>
                <w:color w:val="auto"/>
              </w:rPr>
              <w:t>motivate, attract and retain top talent</w:t>
            </w:r>
          </w:p>
        </w:tc>
        <w:tc>
          <w:tcPr>
            <w:tcW w:w="468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41"/>
        </w:trPr>
        <w:tc>
          <w:tcPr>
            <w:tcW w:w="4500" w:type="dxa"/>
            <w:vAlign w:val="bottom"/>
            <w:vMerge w:val="continue"/>
          </w:tcPr>
          <w:p>
            <w:pPr>
              <w:spacing w:after="0"/>
              <w:rPr>
                <w:sz w:val="12"/>
                <w:szCs w:val="12"/>
                <w:color w:val="auto"/>
              </w:rPr>
            </w:pPr>
          </w:p>
        </w:tc>
        <w:tc>
          <w:tcPr>
            <w:tcW w:w="4680" w:type="dxa"/>
            <w:vAlign w:val="bottom"/>
            <w:vMerge w:val="restart"/>
          </w:tcPr>
          <w:p>
            <w:pPr>
              <w:ind w:left="200"/>
              <w:spacing w:after="0"/>
              <w:rPr>
                <w:sz w:val="20"/>
                <w:szCs w:val="20"/>
                <w:color w:val="auto"/>
              </w:rPr>
            </w:pPr>
            <w:r>
              <w:rPr>
                <w:rFonts w:ascii="Arial" w:cs="Arial" w:eastAsia="Arial" w:hAnsi="Arial"/>
                <w:sz w:val="16"/>
                <w:szCs w:val="16"/>
                <w:color w:val="auto"/>
              </w:rPr>
              <w:t>amounts on each of the first four anniversaries of the grant</w:t>
            </w:r>
          </w:p>
        </w:tc>
        <w:tc>
          <w:tcPr>
            <w:tcW w:w="0" w:type="dxa"/>
            <w:vAlign w:val="bottom"/>
          </w:tcPr>
          <w:p>
            <w:pPr>
              <w:spacing w:after="0"/>
              <w:rPr>
                <w:sz w:val="1"/>
                <w:szCs w:val="1"/>
                <w:color w:val="auto"/>
              </w:rPr>
            </w:pPr>
          </w:p>
        </w:tc>
      </w:tr>
      <w:tr>
        <w:trPr>
          <w:trHeight w:val="48"/>
        </w:trPr>
        <w:tc>
          <w:tcPr>
            <w:tcW w:w="4500" w:type="dxa"/>
            <w:vAlign w:val="bottom"/>
          </w:tcPr>
          <w:p>
            <w:pPr>
              <w:spacing w:after="0"/>
              <w:rPr>
                <w:sz w:val="4"/>
                <w:szCs w:val="4"/>
                <w:color w:val="auto"/>
              </w:rPr>
            </w:pPr>
          </w:p>
        </w:tc>
        <w:tc>
          <w:tcPr>
            <w:tcW w:w="468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95"/>
        </w:trPr>
        <w:tc>
          <w:tcPr>
            <w:tcW w:w="4500" w:type="dxa"/>
            <w:vAlign w:val="bottom"/>
          </w:tcPr>
          <w:p>
            <w:pPr>
              <w:spacing w:after="0"/>
              <w:rPr>
                <w:sz w:val="16"/>
                <w:szCs w:val="16"/>
                <w:color w:val="auto"/>
              </w:rPr>
            </w:pPr>
          </w:p>
        </w:tc>
        <w:tc>
          <w:tcPr>
            <w:tcW w:w="4680" w:type="dxa"/>
            <w:vAlign w:val="bottom"/>
          </w:tcPr>
          <w:p>
            <w:pPr>
              <w:ind w:left="200"/>
              <w:spacing w:after="0"/>
              <w:rPr>
                <w:sz w:val="20"/>
                <w:szCs w:val="20"/>
                <w:color w:val="auto"/>
              </w:rPr>
            </w:pPr>
            <w:r>
              <w:rPr>
                <w:rFonts w:ascii="Arial" w:cs="Arial" w:eastAsia="Arial" w:hAnsi="Arial"/>
                <w:sz w:val="16"/>
                <w:szCs w:val="16"/>
                <w:color w:val="auto"/>
              </w:rPr>
              <w:t>date</w:t>
            </w:r>
          </w:p>
        </w:tc>
        <w:tc>
          <w:tcPr>
            <w:tcW w:w="0" w:type="dxa"/>
            <w:vAlign w:val="bottom"/>
          </w:tcPr>
          <w:p>
            <w:pPr>
              <w:spacing w:after="0"/>
              <w:rPr>
                <w:sz w:val="1"/>
                <w:szCs w:val="1"/>
                <w:color w:val="auto"/>
              </w:rPr>
            </w:pPr>
          </w:p>
        </w:tc>
      </w:tr>
      <w:tr>
        <w:trPr>
          <w:trHeight w:val="237"/>
        </w:trPr>
        <w:tc>
          <w:tcPr>
            <w:tcW w:w="4500" w:type="dxa"/>
            <w:vAlign w:val="bottom"/>
          </w:tcPr>
          <w:p>
            <w:pPr>
              <w:spacing w:after="0"/>
              <w:rPr>
                <w:sz w:val="20"/>
                <w:szCs w:val="20"/>
                <w:color w:val="auto"/>
              </w:rPr>
            </w:pPr>
          </w:p>
        </w:tc>
        <w:tc>
          <w:tcPr>
            <w:tcW w:w="4680" w:type="dxa"/>
            <w:vAlign w:val="bottom"/>
          </w:tcPr>
          <w:p>
            <w:pPr>
              <w:ind w:left="200"/>
              <w:spacing w:after="0"/>
              <w:rPr>
                <w:sz w:val="20"/>
                <w:szCs w:val="20"/>
                <w:color w:val="auto"/>
              </w:rPr>
            </w:pPr>
            <w:r>
              <w:rPr>
                <w:rFonts w:ascii="Arial" w:cs="Arial" w:eastAsia="Arial" w:hAnsi="Arial"/>
                <w:sz w:val="16"/>
                <w:szCs w:val="16"/>
                <w:color w:val="auto"/>
              </w:rPr>
              <w:t>Stock Appreciation Rights vest in equal or substantially equal</w:t>
            </w:r>
          </w:p>
        </w:tc>
        <w:tc>
          <w:tcPr>
            <w:tcW w:w="0" w:type="dxa"/>
            <w:vAlign w:val="bottom"/>
          </w:tcPr>
          <w:p>
            <w:pPr>
              <w:spacing w:after="0"/>
              <w:rPr>
                <w:sz w:val="1"/>
                <w:szCs w:val="1"/>
                <w:color w:val="auto"/>
              </w:rPr>
            </w:pPr>
          </w:p>
        </w:tc>
      </w:tr>
      <w:tr>
        <w:trPr>
          <w:trHeight w:val="189"/>
        </w:trPr>
        <w:tc>
          <w:tcPr>
            <w:tcW w:w="4500" w:type="dxa"/>
            <w:vAlign w:val="bottom"/>
          </w:tcPr>
          <w:p>
            <w:pPr>
              <w:spacing w:after="0"/>
              <w:rPr>
                <w:sz w:val="16"/>
                <w:szCs w:val="16"/>
                <w:color w:val="auto"/>
              </w:rPr>
            </w:pPr>
          </w:p>
        </w:tc>
        <w:tc>
          <w:tcPr>
            <w:tcW w:w="4680" w:type="dxa"/>
            <w:vAlign w:val="bottom"/>
          </w:tcPr>
          <w:p>
            <w:pPr>
              <w:ind w:left="200"/>
              <w:spacing w:after="0"/>
              <w:rPr>
                <w:sz w:val="20"/>
                <w:szCs w:val="20"/>
                <w:color w:val="auto"/>
              </w:rPr>
            </w:pPr>
            <w:r>
              <w:rPr>
                <w:rFonts w:ascii="Arial" w:cs="Arial" w:eastAsia="Arial" w:hAnsi="Arial"/>
                <w:sz w:val="16"/>
                <w:szCs w:val="16"/>
                <w:color w:val="auto"/>
              </w:rPr>
              <w:t>amounts on each of the first four anniversaries of the grant</w:t>
            </w:r>
          </w:p>
        </w:tc>
        <w:tc>
          <w:tcPr>
            <w:tcW w:w="0" w:type="dxa"/>
            <w:vAlign w:val="bottom"/>
          </w:tcPr>
          <w:p>
            <w:pPr>
              <w:spacing w:after="0"/>
              <w:rPr>
                <w:sz w:val="1"/>
                <w:szCs w:val="1"/>
                <w:color w:val="auto"/>
              </w:rPr>
            </w:pPr>
          </w:p>
        </w:tc>
      </w:tr>
      <w:tr>
        <w:trPr>
          <w:trHeight w:val="195"/>
        </w:trPr>
        <w:tc>
          <w:tcPr>
            <w:tcW w:w="4500" w:type="dxa"/>
            <w:vAlign w:val="bottom"/>
          </w:tcPr>
          <w:p>
            <w:pPr>
              <w:spacing w:after="0"/>
              <w:rPr>
                <w:sz w:val="16"/>
                <w:szCs w:val="16"/>
                <w:color w:val="auto"/>
              </w:rPr>
            </w:pPr>
          </w:p>
        </w:tc>
        <w:tc>
          <w:tcPr>
            <w:tcW w:w="4680" w:type="dxa"/>
            <w:vAlign w:val="bottom"/>
          </w:tcPr>
          <w:p>
            <w:pPr>
              <w:ind w:left="200"/>
              <w:spacing w:after="0"/>
              <w:rPr>
                <w:sz w:val="20"/>
                <w:szCs w:val="20"/>
                <w:color w:val="auto"/>
              </w:rPr>
            </w:pPr>
            <w:r>
              <w:rPr>
                <w:rFonts w:ascii="Arial" w:cs="Arial" w:eastAsia="Arial" w:hAnsi="Arial"/>
                <w:sz w:val="16"/>
                <w:szCs w:val="16"/>
                <w:color w:val="auto"/>
              </w:rPr>
              <w:t>date</w:t>
            </w:r>
          </w:p>
        </w:tc>
        <w:tc>
          <w:tcPr>
            <w:tcW w:w="0" w:type="dxa"/>
            <w:vAlign w:val="bottom"/>
          </w:tcPr>
          <w:p>
            <w:pPr>
              <w:spacing w:after="0"/>
              <w:rPr>
                <w:sz w:val="1"/>
                <w:szCs w:val="1"/>
                <w:color w:val="auto"/>
              </w:rPr>
            </w:pPr>
          </w:p>
        </w:tc>
      </w:tr>
      <w:tr>
        <w:trPr>
          <w:trHeight w:val="243"/>
        </w:trPr>
        <w:tc>
          <w:tcPr>
            <w:tcW w:w="4500" w:type="dxa"/>
            <w:vAlign w:val="bottom"/>
          </w:tcPr>
          <w:p>
            <w:pPr>
              <w:spacing w:after="0"/>
              <w:rPr>
                <w:sz w:val="21"/>
                <w:szCs w:val="21"/>
                <w:color w:val="auto"/>
              </w:rPr>
            </w:pPr>
          </w:p>
        </w:tc>
        <w:tc>
          <w:tcPr>
            <w:tcW w:w="4680" w:type="dxa"/>
            <w:vAlign w:val="bottom"/>
          </w:tcPr>
          <w:p>
            <w:pPr>
              <w:ind w:left="200"/>
              <w:spacing w:after="0"/>
              <w:rPr>
                <w:sz w:val="20"/>
                <w:szCs w:val="20"/>
                <w:color w:val="auto"/>
              </w:rPr>
            </w:pPr>
            <w:r>
              <w:rPr>
                <w:rFonts w:ascii="Arial" w:cs="Arial" w:eastAsia="Arial" w:hAnsi="Arial"/>
                <w:sz w:val="16"/>
                <w:szCs w:val="16"/>
                <w:b w:val="1"/>
                <w:bCs w:val="1"/>
                <w:color w:val="auto"/>
              </w:rPr>
              <w:t>Performance-Based Awards</w:t>
            </w: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37"/>
        </w:trPr>
        <w:tc>
          <w:tcPr>
            <w:tcW w:w="4500" w:type="dxa"/>
            <w:vAlign w:val="bottom"/>
          </w:tcPr>
          <w:p>
            <w:pPr>
              <w:spacing w:after="0"/>
              <w:rPr>
                <w:sz w:val="20"/>
                <w:szCs w:val="20"/>
                <w:color w:val="auto"/>
              </w:rPr>
            </w:pPr>
          </w:p>
        </w:tc>
        <w:tc>
          <w:tcPr>
            <w:tcW w:w="4680" w:type="dxa"/>
            <w:vAlign w:val="bottom"/>
          </w:tcPr>
          <w:p>
            <w:pPr>
              <w:ind w:left="200"/>
              <w:spacing w:after="0"/>
              <w:rPr>
                <w:sz w:val="20"/>
                <w:szCs w:val="20"/>
                <w:color w:val="auto"/>
              </w:rPr>
            </w:pPr>
            <w:r>
              <w:rPr>
                <w:rFonts w:ascii="Arial" w:cs="Arial" w:eastAsia="Arial" w:hAnsi="Arial"/>
                <w:sz w:val="16"/>
                <w:szCs w:val="16"/>
                <w:color w:val="auto"/>
              </w:rPr>
              <w:t>Relative Total Shareholder Return Performance Stock Units</w:t>
            </w:r>
          </w:p>
        </w:tc>
        <w:tc>
          <w:tcPr>
            <w:tcW w:w="0" w:type="dxa"/>
            <w:vAlign w:val="bottom"/>
          </w:tcPr>
          <w:p>
            <w:pPr>
              <w:spacing w:after="0"/>
              <w:rPr>
                <w:sz w:val="1"/>
                <w:szCs w:val="1"/>
                <w:color w:val="auto"/>
              </w:rPr>
            </w:pPr>
          </w:p>
        </w:tc>
      </w:tr>
      <w:tr>
        <w:trPr>
          <w:trHeight w:val="189"/>
        </w:trPr>
        <w:tc>
          <w:tcPr>
            <w:tcW w:w="4500" w:type="dxa"/>
            <w:vAlign w:val="bottom"/>
          </w:tcPr>
          <w:p>
            <w:pPr>
              <w:spacing w:after="0"/>
              <w:rPr>
                <w:sz w:val="16"/>
                <w:szCs w:val="16"/>
                <w:color w:val="auto"/>
              </w:rPr>
            </w:pPr>
          </w:p>
        </w:tc>
        <w:tc>
          <w:tcPr>
            <w:tcW w:w="4680" w:type="dxa"/>
            <w:vAlign w:val="bottom"/>
          </w:tcPr>
          <w:p>
            <w:pPr>
              <w:ind w:left="200"/>
              <w:spacing w:after="0"/>
              <w:rPr>
                <w:sz w:val="20"/>
                <w:szCs w:val="20"/>
                <w:color w:val="auto"/>
              </w:rPr>
            </w:pPr>
            <w:r>
              <w:rPr>
                <w:rFonts w:ascii="Arial" w:cs="Arial" w:eastAsia="Arial" w:hAnsi="Arial"/>
                <w:sz w:val="16"/>
                <w:szCs w:val="16"/>
                <w:color w:val="auto"/>
              </w:rPr>
              <w:t>are subject to a three-year relative total shareholder return</w:t>
            </w:r>
          </w:p>
        </w:tc>
        <w:tc>
          <w:tcPr>
            <w:tcW w:w="0" w:type="dxa"/>
            <w:vAlign w:val="bottom"/>
          </w:tcPr>
          <w:p>
            <w:pPr>
              <w:spacing w:after="0"/>
              <w:rPr>
                <w:sz w:val="1"/>
                <w:szCs w:val="1"/>
                <w:color w:val="auto"/>
              </w:rPr>
            </w:pPr>
          </w:p>
        </w:tc>
      </w:tr>
      <w:tr>
        <w:trPr>
          <w:trHeight w:val="195"/>
        </w:trPr>
        <w:tc>
          <w:tcPr>
            <w:tcW w:w="4500" w:type="dxa"/>
            <w:vAlign w:val="bottom"/>
          </w:tcPr>
          <w:p>
            <w:pPr>
              <w:spacing w:after="0"/>
              <w:rPr>
                <w:sz w:val="16"/>
                <w:szCs w:val="16"/>
                <w:color w:val="auto"/>
              </w:rPr>
            </w:pPr>
          </w:p>
        </w:tc>
        <w:tc>
          <w:tcPr>
            <w:tcW w:w="4680" w:type="dxa"/>
            <w:vAlign w:val="bottom"/>
          </w:tcPr>
          <w:p>
            <w:pPr>
              <w:ind w:left="200"/>
              <w:spacing w:after="0"/>
              <w:rPr>
                <w:sz w:val="20"/>
                <w:szCs w:val="20"/>
                <w:color w:val="auto"/>
              </w:rPr>
            </w:pPr>
            <w:r>
              <w:rPr>
                <w:rFonts w:ascii="Arial" w:cs="Arial" w:eastAsia="Arial" w:hAnsi="Arial"/>
                <w:sz w:val="16"/>
                <w:szCs w:val="16"/>
                <w:color w:val="auto"/>
              </w:rPr>
              <w:t>market condition</w:t>
            </w:r>
          </w:p>
        </w:tc>
        <w:tc>
          <w:tcPr>
            <w:tcW w:w="0" w:type="dxa"/>
            <w:vAlign w:val="bottom"/>
          </w:tcPr>
          <w:p>
            <w:pPr>
              <w:spacing w:after="0"/>
              <w:rPr>
                <w:sz w:val="1"/>
                <w:szCs w:val="1"/>
                <w:color w:val="auto"/>
              </w:rPr>
            </w:pPr>
          </w:p>
        </w:tc>
      </w:tr>
      <w:tr>
        <w:trPr>
          <w:trHeight w:val="237"/>
        </w:trPr>
        <w:tc>
          <w:tcPr>
            <w:tcW w:w="4500" w:type="dxa"/>
            <w:vAlign w:val="bottom"/>
          </w:tcPr>
          <w:p>
            <w:pPr>
              <w:spacing w:after="0"/>
              <w:rPr>
                <w:sz w:val="20"/>
                <w:szCs w:val="20"/>
                <w:color w:val="auto"/>
              </w:rPr>
            </w:pPr>
          </w:p>
        </w:tc>
        <w:tc>
          <w:tcPr>
            <w:tcW w:w="4680" w:type="dxa"/>
            <w:vAlign w:val="bottom"/>
          </w:tcPr>
          <w:p>
            <w:pPr>
              <w:ind w:left="200"/>
              <w:spacing w:after="0"/>
              <w:rPr>
                <w:sz w:val="20"/>
                <w:szCs w:val="20"/>
                <w:color w:val="auto"/>
              </w:rPr>
            </w:pPr>
            <w:r>
              <w:rPr>
                <w:rFonts w:ascii="Arial" w:cs="Arial" w:eastAsia="Arial" w:hAnsi="Arial"/>
                <w:sz w:val="16"/>
                <w:szCs w:val="16"/>
                <w:color w:val="auto"/>
              </w:rPr>
              <w:t>Adjusted Free Cash Flow Performance Stock Units are subject</w:t>
            </w:r>
          </w:p>
        </w:tc>
        <w:tc>
          <w:tcPr>
            <w:tcW w:w="0" w:type="dxa"/>
            <w:vAlign w:val="bottom"/>
          </w:tcPr>
          <w:p>
            <w:pPr>
              <w:spacing w:after="0"/>
              <w:rPr>
                <w:sz w:val="1"/>
                <w:szCs w:val="1"/>
                <w:color w:val="auto"/>
              </w:rPr>
            </w:pPr>
          </w:p>
        </w:tc>
      </w:tr>
      <w:tr>
        <w:trPr>
          <w:trHeight w:val="189"/>
        </w:trPr>
        <w:tc>
          <w:tcPr>
            <w:tcW w:w="4500" w:type="dxa"/>
            <w:vAlign w:val="bottom"/>
          </w:tcPr>
          <w:p>
            <w:pPr>
              <w:spacing w:after="0"/>
              <w:rPr>
                <w:sz w:val="16"/>
                <w:szCs w:val="16"/>
                <w:color w:val="auto"/>
              </w:rPr>
            </w:pPr>
          </w:p>
        </w:tc>
        <w:tc>
          <w:tcPr>
            <w:tcW w:w="4680" w:type="dxa"/>
            <w:vAlign w:val="bottom"/>
          </w:tcPr>
          <w:p>
            <w:pPr>
              <w:ind w:left="200"/>
              <w:spacing w:after="0"/>
              <w:rPr>
                <w:sz w:val="20"/>
                <w:szCs w:val="20"/>
                <w:color w:val="auto"/>
              </w:rPr>
            </w:pPr>
            <w:r>
              <w:rPr>
                <w:rFonts w:ascii="Arial" w:cs="Arial" w:eastAsia="Arial" w:hAnsi="Arial"/>
                <w:sz w:val="16"/>
                <w:szCs w:val="16"/>
                <w:color w:val="auto"/>
              </w:rPr>
              <w:t>to achievement of a three-year cumulative adjusted free cash</w:t>
            </w:r>
          </w:p>
        </w:tc>
        <w:tc>
          <w:tcPr>
            <w:tcW w:w="0" w:type="dxa"/>
            <w:vAlign w:val="bottom"/>
          </w:tcPr>
          <w:p>
            <w:pPr>
              <w:spacing w:after="0"/>
              <w:rPr>
                <w:sz w:val="1"/>
                <w:szCs w:val="1"/>
                <w:color w:val="auto"/>
              </w:rPr>
            </w:pPr>
          </w:p>
        </w:tc>
      </w:tr>
      <w:tr>
        <w:trPr>
          <w:trHeight w:val="195"/>
        </w:trPr>
        <w:tc>
          <w:tcPr>
            <w:tcW w:w="4500" w:type="dxa"/>
            <w:vAlign w:val="bottom"/>
          </w:tcPr>
          <w:p>
            <w:pPr>
              <w:spacing w:after="0"/>
              <w:rPr>
                <w:sz w:val="16"/>
                <w:szCs w:val="16"/>
                <w:color w:val="auto"/>
              </w:rPr>
            </w:pPr>
          </w:p>
        </w:tc>
        <w:tc>
          <w:tcPr>
            <w:tcW w:w="4680" w:type="dxa"/>
            <w:vAlign w:val="bottom"/>
          </w:tcPr>
          <w:p>
            <w:pPr>
              <w:ind w:left="200"/>
              <w:spacing w:after="0"/>
              <w:rPr>
                <w:sz w:val="20"/>
                <w:szCs w:val="20"/>
                <w:color w:val="auto"/>
              </w:rPr>
            </w:pPr>
            <w:r>
              <w:rPr>
                <w:rFonts w:ascii="Arial" w:cs="Arial" w:eastAsia="Arial" w:hAnsi="Arial"/>
                <w:sz w:val="16"/>
                <w:szCs w:val="16"/>
                <w:color w:val="auto"/>
              </w:rPr>
              <w:t>flow target</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485140</wp:posOffset>
            </wp:positionH>
            <wp:positionV relativeFrom="paragraph">
              <wp:posOffset>12700</wp:posOffset>
            </wp:positionV>
            <wp:extent cx="5829300" cy="825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5829300" cy="8255"/>
                    </a:xfrm>
                    <a:prstGeom prst="rect">
                      <a:avLst/>
                    </a:prstGeom>
                    <a:noFill/>
                  </pic:spPr>
                </pic:pic>
              </a:graphicData>
            </a:graphic>
          </wp:anchor>
        </w:drawing>
      </w:r>
    </w:p>
    <w:p>
      <w:pPr>
        <w:spacing w:after="0" w:line="12" w:lineRule="exact"/>
        <w:rPr>
          <w:sz w:val="20"/>
          <w:szCs w:val="20"/>
          <w:color w:val="auto"/>
        </w:rPr>
      </w:pPr>
    </w:p>
    <w:p>
      <w:pPr>
        <w:ind w:left="980" w:hanging="216"/>
        <w:spacing w:after="0"/>
        <w:tabs>
          <w:tab w:leader="none" w:pos="980" w:val="left"/>
        </w:tabs>
        <w:numPr>
          <w:ilvl w:val="0"/>
          <w:numId w:val="51"/>
        </w:numPr>
        <w:rPr>
          <w:rFonts w:ascii="Arial" w:cs="Arial" w:eastAsia="Arial" w:hAnsi="Arial"/>
          <w:sz w:val="13"/>
          <w:szCs w:val="13"/>
          <w:i w:val="1"/>
          <w:iCs w:val="1"/>
          <w:color w:val="auto"/>
        </w:rPr>
      </w:pPr>
      <w:r>
        <w:rPr>
          <w:rFonts w:ascii="Arial" w:cs="Arial" w:eastAsia="Arial" w:hAnsi="Arial"/>
          <w:sz w:val="13"/>
          <w:szCs w:val="13"/>
          <w:i w:val="1"/>
          <w:iCs w:val="1"/>
          <w:color w:val="auto"/>
        </w:rPr>
        <w:t>Adjusted Net Sales are our net sales at budgeted currency exchange rates, excluding net sales from acquisitions.</w:t>
      </w:r>
    </w:p>
    <w:p>
      <w:pPr>
        <w:spacing w:after="0" w:line="26" w:lineRule="exact"/>
        <w:rPr>
          <w:rFonts w:ascii="Arial" w:cs="Arial" w:eastAsia="Arial" w:hAnsi="Arial"/>
          <w:sz w:val="13"/>
          <w:szCs w:val="13"/>
          <w:i w:val="1"/>
          <w:iCs w:val="1"/>
          <w:color w:val="auto"/>
        </w:rPr>
      </w:pPr>
    </w:p>
    <w:p>
      <w:pPr>
        <w:ind w:left="980" w:right="259" w:hanging="216"/>
        <w:spacing w:after="0" w:line="259" w:lineRule="auto"/>
        <w:tabs>
          <w:tab w:leader="none" w:pos="980" w:val="left"/>
        </w:tabs>
        <w:numPr>
          <w:ilvl w:val="0"/>
          <w:numId w:val="51"/>
        </w:numPr>
        <w:rPr>
          <w:rFonts w:ascii="Arial" w:cs="Arial" w:eastAsia="Arial" w:hAnsi="Arial"/>
          <w:sz w:val="13"/>
          <w:szCs w:val="13"/>
          <w:i w:val="1"/>
          <w:iCs w:val="1"/>
          <w:color w:val="auto"/>
        </w:rPr>
      </w:pPr>
      <w:r>
        <w:rPr>
          <w:rFonts w:ascii="Arial" w:cs="Arial" w:eastAsia="Arial" w:hAnsi="Arial"/>
          <w:sz w:val="13"/>
          <w:szCs w:val="13"/>
          <w:i w:val="1"/>
          <w:iCs w:val="1"/>
          <w:color w:val="auto"/>
        </w:rPr>
        <w:t>Adjusted Net Income is our non-GAAP net income at reported currency exchange rates, after adjustments for the effects of acquisitions, divestitures, restructuring, integration, purchase price allocation and intangible amortization, special items, including 3T Heater Cooler remediation and significant and unusual litigation, including 3T Heater Cooler litigation, and equity compensation.</w:t>
      </w:r>
    </w:p>
    <w:p>
      <w:pPr>
        <w:spacing w:after="0" w:line="208" w:lineRule="exact"/>
        <w:rPr>
          <w:sz w:val="20"/>
          <w:szCs w:val="20"/>
          <w:color w:val="auto"/>
        </w:rPr>
      </w:pPr>
    </w:p>
    <w:p>
      <w:pPr>
        <w:ind w:left="760"/>
        <w:spacing w:after="0"/>
        <w:rPr>
          <w:sz w:val="20"/>
          <w:szCs w:val="20"/>
          <w:color w:val="auto"/>
        </w:rPr>
      </w:pPr>
      <w:r>
        <w:rPr>
          <w:rFonts w:ascii="Arial" w:cs="Arial" w:eastAsia="Arial" w:hAnsi="Arial"/>
          <w:sz w:val="23"/>
          <w:szCs w:val="23"/>
          <w:b w:val="1"/>
          <w:bCs w:val="1"/>
          <w:color w:val="auto"/>
        </w:rPr>
        <w:t>2019 Compensation</w:t>
      </w:r>
    </w:p>
    <w:p>
      <w:pPr>
        <w:spacing w:after="0" w:line="218" w:lineRule="exact"/>
        <w:rPr>
          <w:sz w:val="20"/>
          <w:szCs w:val="20"/>
          <w:color w:val="auto"/>
        </w:rPr>
      </w:pPr>
    </w:p>
    <w:p>
      <w:pPr>
        <w:ind w:left="760"/>
        <w:spacing w:after="0"/>
        <w:rPr>
          <w:sz w:val="20"/>
          <w:szCs w:val="20"/>
          <w:color w:val="auto"/>
        </w:rPr>
      </w:pPr>
      <w:r>
        <w:rPr>
          <w:rFonts w:ascii="Arial" w:cs="Arial" w:eastAsia="Arial" w:hAnsi="Arial"/>
          <w:sz w:val="20"/>
          <w:szCs w:val="20"/>
          <w:b w:val="1"/>
          <w:bCs w:val="1"/>
          <w:color w:val="FF4C4C"/>
        </w:rPr>
        <w:t>Compensation Committee Actions – 2019</w:t>
      </w:r>
    </w:p>
    <w:p>
      <w:pPr>
        <w:spacing w:after="0" w:line="124" w:lineRule="exact"/>
        <w:rPr>
          <w:sz w:val="20"/>
          <w:szCs w:val="20"/>
          <w:color w:val="auto"/>
        </w:rPr>
      </w:pPr>
    </w:p>
    <w:p>
      <w:pPr>
        <w:ind w:left="760"/>
        <w:spacing w:after="0"/>
        <w:rPr>
          <w:sz w:val="20"/>
          <w:szCs w:val="20"/>
          <w:color w:val="auto"/>
        </w:rPr>
      </w:pPr>
      <w:r>
        <w:rPr>
          <w:rFonts w:ascii="Arial" w:cs="Arial" w:eastAsia="Arial" w:hAnsi="Arial"/>
          <w:sz w:val="16"/>
          <w:szCs w:val="16"/>
          <w:color w:val="auto"/>
        </w:rPr>
        <w:t>The Compensation Committee took the following actions in 2019:</w:t>
      </w:r>
    </w:p>
    <w:p>
      <w:pPr>
        <w:spacing w:after="0" w:line="32" w:lineRule="exact"/>
        <w:rPr>
          <w:sz w:val="20"/>
          <w:szCs w:val="20"/>
          <w:color w:val="auto"/>
        </w:rPr>
      </w:pPr>
    </w:p>
    <w:p>
      <w:pPr>
        <w:ind w:left="920" w:hanging="156"/>
        <w:spacing w:after="0"/>
        <w:tabs>
          <w:tab w:leader="none" w:pos="920" w:val="left"/>
        </w:tabs>
        <w:numPr>
          <w:ilvl w:val="0"/>
          <w:numId w:val="52"/>
        </w:numPr>
        <w:rPr>
          <w:rFonts w:ascii="Arial" w:cs="Arial" w:eastAsia="Arial" w:hAnsi="Arial"/>
          <w:sz w:val="16"/>
          <w:szCs w:val="16"/>
          <w:color w:val="4800E6"/>
        </w:rPr>
      </w:pPr>
      <w:r>
        <w:rPr>
          <w:rFonts w:ascii="Arial" w:cs="Arial" w:eastAsia="Arial" w:hAnsi="Arial"/>
          <w:sz w:val="16"/>
          <w:szCs w:val="16"/>
          <w:color w:val="auto"/>
        </w:rPr>
        <w:t>Approved the 2019 STIP and the 2019 LTIP;</w:t>
      </w:r>
    </w:p>
    <w:p>
      <w:pPr>
        <w:spacing w:after="0" w:line="32" w:lineRule="exact"/>
        <w:rPr>
          <w:rFonts w:ascii="Arial" w:cs="Arial" w:eastAsia="Arial" w:hAnsi="Arial"/>
          <w:sz w:val="16"/>
          <w:szCs w:val="16"/>
          <w:color w:val="4800E6"/>
        </w:rPr>
      </w:pPr>
    </w:p>
    <w:p>
      <w:pPr>
        <w:ind w:left="920" w:hanging="156"/>
        <w:spacing w:after="0"/>
        <w:tabs>
          <w:tab w:leader="none" w:pos="920" w:val="left"/>
        </w:tabs>
        <w:numPr>
          <w:ilvl w:val="0"/>
          <w:numId w:val="52"/>
        </w:numPr>
        <w:rPr>
          <w:rFonts w:ascii="Arial" w:cs="Arial" w:eastAsia="Arial" w:hAnsi="Arial"/>
          <w:sz w:val="16"/>
          <w:szCs w:val="16"/>
          <w:color w:val="4800E6"/>
        </w:rPr>
      </w:pPr>
      <w:r>
        <w:rPr>
          <w:rFonts w:ascii="Arial" w:cs="Arial" w:eastAsia="Arial" w:hAnsi="Arial"/>
          <w:sz w:val="16"/>
          <w:szCs w:val="16"/>
          <w:color w:val="auto"/>
        </w:rPr>
        <w:t>Re-appointed Pearl Meyer as its compensation advisor for the 2019 financial year;</w:t>
      </w:r>
    </w:p>
    <w:p>
      <w:pPr>
        <w:sectPr>
          <w:pgSz w:w="11900" w:h="16838" w:orient="portrait"/>
          <w:cols w:equalWidth="0" w:num="1">
            <w:col w:w="10139"/>
          </w:cols>
          <w:pgMar w:left="320" w:top="131" w:right="1440" w:bottom="1440" w:gutter="0" w:footer="0" w:header="0"/>
        </w:sectPr>
      </w:pPr>
    </w:p>
    <w:p>
      <w:pPr>
        <w:ind w:left="480"/>
        <w:spacing w:after="0"/>
        <w:tabs>
          <w:tab w:leader="none" w:pos="4400" w:val="left"/>
          <w:tab w:leader="none" w:pos="8760" w:val="left"/>
        </w:tabs>
        <w:rPr>
          <w:sz w:val="20"/>
          <w:szCs w:val="20"/>
          <w:color w:val="auto"/>
        </w:rPr>
      </w:pPr>
      <w:r>
        <w:rPr>
          <w:rFonts w:ascii="Arial" w:cs="Arial" w:eastAsia="Arial" w:hAnsi="Arial"/>
          <w:sz w:val="29"/>
          <w:szCs w:val="29"/>
          <w:b w:val="1"/>
          <w:bCs w:val="1"/>
          <w:color w:val="auto"/>
          <w:vertAlign w:val="subscript"/>
        </w:rPr>
        <w:t>29</w:t>
      </w:r>
      <w:r>
        <w:rPr>
          <w:sz w:val="20"/>
          <w:szCs w:val="20"/>
          <w:color w:val="auto"/>
        </w:rPr>
        <w:tab/>
      </w:r>
      <w:r>
        <w:rPr>
          <w:rFonts w:ascii="Arial" w:cs="Arial" w:eastAsia="Arial" w:hAnsi="Arial"/>
          <w:sz w:val="13"/>
          <w:szCs w:val="13"/>
          <w:b w:val="1"/>
          <w:bCs w:val="1"/>
          <w:color w:val="4800E6"/>
        </w:rPr>
        <w:t xml:space="preserve">LIVANOVA </w:t>
      </w:r>
      <w:r>
        <w:rPr>
          <w:rFonts w:ascii="Arial" w:cs="Arial" w:eastAsia="Arial" w:hAnsi="Arial"/>
          <w:sz w:val="13"/>
          <w:szCs w:val="13"/>
          <w:color w:val="000000"/>
        </w:rPr>
        <w:t>|</w:t>
      </w:r>
      <w:r>
        <w:rPr>
          <w:rFonts w:ascii="Arial" w:cs="Arial" w:eastAsia="Arial" w:hAnsi="Arial"/>
          <w:sz w:val="13"/>
          <w:szCs w:val="13"/>
          <w:b w:val="1"/>
          <w:bCs w:val="1"/>
          <w:color w:val="4800E6"/>
        </w:rPr>
        <w:t xml:space="preserve"> </w:t>
      </w:r>
      <w:r>
        <w:rPr>
          <w:rFonts w:ascii="Arial" w:cs="Arial" w:eastAsia="Arial" w:hAnsi="Arial"/>
          <w:sz w:val="13"/>
          <w:szCs w:val="13"/>
          <w:color w:val="4800E6"/>
        </w:rPr>
        <w:t>2020</w:t>
      </w:r>
      <w:r>
        <w:rPr>
          <w:rFonts w:ascii="Arial" w:cs="Arial" w:eastAsia="Arial" w:hAnsi="Arial"/>
          <w:sz w:val="13"/>
          <w:szCs w:val="13"/>
          <w:b w:val="1"/>
          <w:bCs w:val="1"/>
          <w:color w:val="4800E6"/>
        </w:rPr>
        <w:t xml:space="preserve"> </w:t>
      </w:r>
      <w:r>
        <w:rPr>
          <w:rFonts w:ascii="Arial" w:cs="Arial" w:eastAsia="Arial" w:hAnsi="Arial"/>
          <w:sz w:val="13"/>
          <w:szCs w:val="13"/>
          <w:color w:val="000000"/>
        </w:rPr>
        <w:t>Proxy Statement</w:t>
      </w:r>
      <w:r>
        <w:rPr>
          <w:sz w:val="20"/>
          <w:szCs w:val="20"/>
          <w:color w:val="auto"/>
        </w:rPr>
        <w:tab/>
      </w:r>
      <w:r>
        <w:rPr>
          <w:rFonts w:ascii="Arial" w:cs="Arial" w:eastAsia="Arial" w:hAnsi="Arial"/>
          <w:sz w:val="12"/>
          <w:szCs w:val="12"/>
          <w:b w:val="1"/>
          <w:bCs w:val="1"/>
          <w:color w:val="4800E6"/>
        </w:rPr>
        <w:t>www.livanova.com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561975</wp:posOffset>
            </wp:positionH>
            <wp:positionV relativeFrom="paragraph">
              <wp:posOffset>94615</wp:posOffset>
            </wp:positionV>
            <wp:extent cx="1954530" cy="8890"/>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1954530" cy="8890"/>
                    </a:xfrm>
                    <a:prstGeom prst="rect">
                      <a:avLst/>
                    </a:prstGeom>
                    <a:noFill/>
                  </pic:spPr>
                </pic:pic>
              </a:graphicData>
            </a:graphic>
          </wp:anchor>
        </w:drawing>
        <w:drawing>
          <wp:anchor simplePos="0" relativeHeight="251657728" behindDoc="1" locked="0" layoutInCell="0" allowOverlap="1">
            <wp:simplePos x="0" y="0"/>
            <wp:positionH relativeFrom="column">
              <wp:posOffset>4316730</wp:posOffset>
            </wp:positionH>
            <wp:positionV relativeFrom="paragraph">
              <wp:posOffset>94615</wp:posOffset>
            </wp:positionV>
            <wp:extent cx="1028700" cy="8890"/>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102870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231775</wp:posOffset>
            </wp:positionV>
            <wp:extent cx="6806565" cy="1714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10139"/>
          </w:cols>
          <w:pgMar w:left="320" w:top="131" w:right="1440" w:bottom="1440" w:gutter="0" w:footer="0" w:header="0"/>
          <w:type w:val="continuous"/>
        </w:sectPr>
      </w:pPr>
    </w:p>
    <w:bookmarkStart w:id="33" w:name="page34"/>
    <w:bookmarkEnd w:id="33"/>
    <w:p>
      <w:pPr>
        <w:spacing w:after="0"/>
        <w:rPr>
          <w:rFonts w:ascii="Arial" w:cs="Arial" w:eastAsia="Arial" w:hAnsi="Arial"/>
          <w:sz w:val="14"/>
          <w:szCs w:val="14"/>
          <w:color w:val="003366"/>
        </w:rPr>
      </w:pPr>
      <w:hyperlink w:anchor="page4">
        <w:r>
          <w:rPr>
            <w:rFonts w:ascii="Arial" w:cs="Arial" w:eastAsia="Arial" w:hAnsi="Arial"/>
            <w:sz w:val="14"/>
            <w:szCs w:val="14"/>
            <w:color w:val="003366"/>
          </w:rPr>
          <w:t>TABLE OF CONTENTS</w:t>
        </w:r>
      </w:hyperlink>
    </w:p>
    <w:p>
      <w:pPr>
        <w:spacing w:after="0" w:line="338" w:lineRule="exact"/>
        <w:rPr>
          <w:sz w:val="20"/>
          <w:szCs w:val="20"/>
          <w:color w:val="auto"/>
        </w:rPr>
      </w:pPr>
    </w:p>
    <w:p>
      <w:pPr>
        <w:jc w:val="right"/>
        <w:ind w:right="780"/>
        <w:spacing w:after="0"/>
        <w:rPr>
          <w:sz w:val="20"/>
          <w:szCs w:val="20"/>
          <w:color w:val="auto"/>
        </w:rPr>
      </w:pPr>
      <w:r>
        <w:rPr>
          <w:rFonts w:ascii="Arial" w:cs="Arial" w:eastAsia="Arial" w:hAnsi="Arial"/>
          <w:sz w:val="13"/>
          <w:szCs w:val="13"/>
          <w:b w:val="1"/>
          <w:bCs w:val="1"/>
          <w:color w:val="auto"/>
        </w:rPr>
        <w:t xml:space="preserve">Executive </w:t>
      </w:r>
      <w:r>
        <w:rPr>
          <w:rFonts w:ascii="Arial" w:cs="Arial" w:eastAsia="Arial" w:hAnsi="Arial"/>
          <w:sz w:val="13"/>
          <w:szCs w:val="13"/>
          <w:b w:val="1"/>
          <w:bCs w:val="1"/>
          <w:color w:val="666666"/>
        </w:rPr>
        <w:t>Compensation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485140</wp:posOffset>
            </wp:positionH>
            <wp:positionV relativeFrom="paragraph">
              <wp:posOffset>30480</wp:posOffset>
            </wp:positionV>
            <wp:extent cx="5829300" cy="8255"/>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5829300" cy="8255"/>
                    </a:xfrm>
                    <a:prstGeom prst="rect">
                      <a:avLst/>
                    </a:prstGeom>
                    <a:noFill/>
                  </pic:spPr>
                </pic:pic>
              </a:graphicData>
            </a:graphic>
          </wp:anchor>
        </w:drawing>
      </w:r>
    </w:p>
    <w:p>
      <w:pPr>
        <w:spacing w:after="0" w:line="60" w:lineRule="exact"/>
        <w:rPr>
          <w:sz w:val="20"/>
          <w:szCs w:val="20"/>
          <w:color w:val="auto"/>
        </w:rPr>
      </w:pPr>
    </w:p>
    <w:p>
      <w:pPr>
        <w:jc w:val="right"/>
        <w:ind w:right="780"/>
        <w:spacing w:after="0"/>
        <w:rPr>
          <w:sz w:val="20"/>
          <w:szCs w:val="20"/>
          <w:color w:val="auto"/>
        </w:rPr>
      </w:pPr>
      <w:r>
        <w:rPr>
          <w:rFonts w:ascii="Arial" w:cs="Arial" w:eastAsia="Arial" w:hAnsi="Arial"/>
          <w:sz w:val="13"/>
          <w:szCs w:val="13"/>
          <w:b w:val="1"/>
          <w:bCs w:val="1"/>
          <w:color w:val="4800E6"/>
        </w:rPr>
        <w:t>Compensation Discussion &amp; Analysis</w:t>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ind w:left="920" w:hanging="156"/>
        <w:spacing w:after="0"/>
        <w:tabs>
          <w:tab w:leader="none" w:pos="920" w:val="left"/>
        </w:tabs>
        <w:numPr>
          <w:ilvl w:val="0"/>
          <w:numId w:val="53"/>
        </w:numPr>
        <w:rPr>
          <w:rFonts w:ascii="Arial" w:cs="Arial" w:eastAsia="Arial" w:hAnsi="Arial"/>
          <w:sz w:val="16"/>
          <w:szCs w:val="16"/>
          <w:color w:val="4800E6"/>
        </w:rPr>
      </w:pPr>
      <w:r>
        <w:rPr>
          <w:rFonts w:ascii="Arial" w:cs="Arial" w:eastAsia="Arial" w:hAnsi="Arial"/>
          <w:sz w:val="16"/>
          <w:szCs w:val="16"/>
          <w:color w:val="auto"/>
        </w:rPr>
        <w:t>Approved base salaries and STIP percentages for all NEOs; and</w:t>
      </w:r>
    </w:p>
    <w:p>
      <w:pPr>
        <w:spacing w:after="0" w:line="45" w:lineRule="exact"/>
        <w:rPr>
          <w:rFonts w:ascii="Arial" w:cs="Arial" w:eastAsia="Arial" w:hAnsi="Arial"/>
          <w:sz w:val="16"/>
          <w:szCs w:val="16"/>
          <w:color w:val="4800E6"/>
        </w:rPr>
      </w:pPr>
    </w:p>
    <w:p>
      <w:pPr>
        <w:ind w:left="920" w:hanging="156"/>
        <w:spacing w:after="0"/>
        <w:tabs>
          <w:tab w:leader="none" w:pos="920" w:val="left"/>
        </w:tabs>
        <w:numPr>
          <w:ilvl w:val="0"/>
          <w:numId w:val="53"/>
        </w:numPr>
        <w:rPr>
          <w:rFonts w:ascii="Arial" w:cs="Arial" w:eastAsia="Arial" w:hAnsi="Arial"/>
          <w:sz w:val="16"/>
          <w:szCs w:val="16"/>
          <w:color w:val="4800E6"/>
        </w:rPr>
      </w:pPr>
      <w:r>
        <w:rPr>
          <w:rFonts w:ascii="Arial" w:cs="Arial" w:eastAsia="Arial" w:hAnsi="Arial"/>
          <w:sz w:val="16"/>
          <w:szCs w:val="16"/>
          <w:color w:val="auto"/>
        </w:rPr>
        <w:t>Amended the Employee Stock Purchase Plan to eliminate open market purchases.</w:t>
      </w:r>
    </w:p>
    <w:p>
      <w:pPr>
        <w:spacing w:after="0" w:line="263" w:lineRule="exact"/>
        <w:rPr>
          <w:sz w:val="20"/>
          <w:szCs w:val="20"/>
          <w:color w:val="auto"/>
        </w:rPr>
      </w:pPr>
    </w:p>
    <w:p>
      <w:pPr>
        <w:ind w:left="760"/>
        <w:spacing w:after="0"/>
        <w:rPr>
          <w:sz w:val="20"/>
          <w:szCs w:val="20"/>
          <w:color w:val="auto"/>
        </w:rPr>
      </w:pPr>
      <w:r>
        <w:rPr>
          <w:rFonts w:ascii="Arial" w:cs="Arial" w:eastAsia="Arial" w:hAnsi="Arial"/>
          <w:sz w:val="23"/>
          <w:szCs w:val="23"/>
          <w:b w:val="1"/>
          <w:bCs w:val="1"/>
          <w:color w:val="auto"/>
        </w:rPr>
        <w:t>Compensation at Risk</w:t>
      </w:r>
    </w:p>
    <w:p>
      <w:pPr>
        <w:spacing w:after="0" w:line="139" w:lineRule="exact"/>
        <w:rPr>
          <w:sz w:val="20"/>
          <w:szCs w:val="20"/>
          <w:color w:val="auto"/>
        </w:rPr>
      </w:pPr>
    </w:p>
    <w:p>
      <w:pPr>
        <w:ind w:left="760" w:right="920"/>
        <w:spacing w:after="0" w:line="260" w:lineRule="auto"/>
        <w:rPr>
          <w:sz w:val="20"/>
          <w:szCs w:val="20"/>
          <w:color w:val="auto"/>
        </w:rPr>
      </w:pPr>
      <w:r>
        <w:rPr>
          <w:rFonts w:ascii="Arial" w:cs="Arial" w:eastAsia="Arial" w:hAnsi="Arial"/>
          <w:sz w:val="16"/>
          <w:szCs w:val="16"/>
          <w:color w:val="auto"/>
        </w:rPr>
        <w:t>The following pie charts show the relative weighting of Target pay for our CEO and the average for the other NEOs as a group for 2019:</w:t>
      </w:r>
    </w:p>
    <w:p>
      <w:pPr>
        <w:spacing w:after="0" w:line="76" w:lineRule="exact"/>
        <w:rPr>
          <w:sz w:val="20"/>
          <w:szCs w:val="20"/>
          <w:color w:val="auto"/>
        </w:rPr>
      </w:pPr>
    </w:p>
    <w:p>
      <w:pPr>
        <w:ind w:left="2140"/>
        <w:spacing w:after="0"/>
        <w:tabs>
          <w:tab w:leader="none" w:pos="6440" w:val="left"/>
        </w:tabs>
        <w:rPr>
          <w:sz w:val="20"/>
          <w:szCs w:val="20"/>
          <w:color w:val="auto"/>
        </w:rPr>
      </w:pPr>
      <w:r>
        <w:rPr>
          <w:rFonts w:ascii="Arial" w:cs="Arial" w:eastAsia="Arial" w:hAnsi="Arial"/>
          <w:sz w:val="18"/>
          <w:szCs w:val="18"/>
          <w:b w:val="1"/>
          <w:bCs w:val="1"/>
          <w:color w:val="auto"/>
        </w:rPr>
        <w:t>CEO Target Pay Mix</w:t>
      </w:r>
      <w:r>
        <w:rPr>
          <w:sz w:val="20"/>
          <w:szCs w:val="20"/>
          <w:color w:val="auto"/>
        </w:rPr>
        <w:tab/>
      </w:r>
      <w:r>
        <w:rPr>
          <w:rFonts w:ascii="Arial" w:cs="Arial" w:eastAsia="Arial" w:hAnsi="Arial"/>
          <w:sz w:val="17"/>
          <w:szCs w:val="17"/>
          <w:b w:val="1"/>
          <w:bCs w:val="1"/>
          <w:color w:val="auto"/>
        </w:rPr>
        <w:t>NEO’s Average Target Pay Mix</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561975</wp:posOffset>
            </wp:positionH>
            <wp:positionV relativeFrom="paragraph">
              <wp:posOffset>106045</wp:posOffset>
            </wp:positionV>
            <wp:extent cx="5743575" cy="1268730"/>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5743575" cy="12687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ind w:left="760"/>
        <w:spacing w:after="0"/>
        <w:rPr>
          <w:sz w:val="20"/>
          <w:szCs w:val="20"/>
          <w:color w:val="auto"/>
        </w:rPr>
      </w:pPr>
      <w:r>
        <w:rPr>
          <w:rFonts w:ascii="Arial" w:cs="Arial" w:eastAsia="Arial" w:hAnsi="Arial"/>
          <w:sz w:val="20"/>
          <w:szCs w:val="20"/>
          <w:b w:val="1"/>
          <w:bCs w:val="1"/>
          <w:color w:val="FF4C4C"/>
        </w:rPr>
        <w:t>Benchmarking of Cash Compensation</w:t>
      </w:r>
    </w:p>
    <w:p>
      <w:pPr>
        <w:spacing w:after="0" w:line="110" w:lineRule="exact"/>
        <w:rPr>
          <w:sz w:val="20"/>
          <w:szCs w:val="20"/>
          <w:color w:val="auto"/>
        </w:rPr>
      </w:pPr>
    </w:p>
    <w:p>
      <w:pPr>
        <w:ind w:left="760" w:right="800"/>
        <w:spacing w:after="0" w:line="268" w:lineRule="auto"/>
        <w:rPr>
          <w:sz w:val="20"/>
          <w:szCs w:val="20"/>
          <w:color w:val="auto"/>
        </w:rPr>
      </w:pPr>
      <w:r>
        <w:rPr>
          <w:rFonts w:ascii="Arial" w:cs="Arial" w:eastAsia="Arial" w:hAnsi="Arial"/>
          <w:sz w:val="15"/>
          <w:szCs w:val="15"/>
          <w:color w:val="auto"/>
        </w:rPr>
        <w:t>The table below shows the benchmarking data provided by the Committee’s independent consultant, Pearl Meyer, based on U.S. benchmarking data for target total cash (Base Salary and 2019 STIP at Target). Pearl Meyer reviews LivaNova’s compensation peer group to assess whether the roster remains appropriate for benchmarking executive compensation. The review is part of the annual process to maintain alignment between the Company and the companies with which the Company competes for talent. The Committee did not benchmark Messrs. Andrle and Simpson, as they became executive officers effective January 1, 2019. The Compensation Committee seeks to pay at the median but, as indicated below and in other benchmarking disclosure in this CD&amp;A, Mr. Huston’s compensation is above the median because we stretched to hire him from his former employer, Johnson &amp; Johnson.</w:t>
      </w:r>
    </w:p>
    <w:p>
      <w:pPr>
        <w:spacing w:after="0" w:line="135" w:lineRule="exact"/>
        <w:rPr>
          <w:sz w:val="20"/>
          <w:szCs w:val="20"/>
          <w:color w:val="auto"/>
        </w:rPr>
      </w:pPr>
    </w:p>
    <w:tbl>
      <w:tblPr>
        <w:tblLayout w:type="fixed"/>
        <w:tblInd w:w="760" w:type="dxa"/>
        <w:tblCellMar>
          <w:top w:w="0" w:type="dxa"/>
          <w:left w:w="0" w:type="dxa"/>
          <w:bottom w:w="0" w:type="dxa"/>
          <w:right w:w="0" w:type="dxa"/>
        </w:tblCellMar>
      </w:tblPr>
      <w:tr>
        <w:trPr>
          <w:trHeight w:val="162"/>
        </w:trPr>
        <w:tc>
          <w:tcPr>
            <w:tcW w:w="4600" w:type="dxa"/>
            <w:vAlign w:val="bottom"/>
          </w:tcPr>
          <w:p>
            <w:pPr>
              <w:spacing w:after="0"/>
              <w:rPr>
                <w:sz w:val="14"/>
                <w:szCs w:val="14"/>
                <w:color w:val="auto"/>
              </w:rPr>
            </w:pPr>
          </w:p>
        </w:tc>
        <w:tc>
          <w:tcPr>
            <w:tcW w:w="4580" w:type="dxa"/>
            <w:vAlign w:val="bottom"/>
          </w:tcPr>
          <w:p>
            <w:pPr>
              <w:jc w:val="right"/>
              <w:ind w:right="26"/>
              <w:spacing w:after="0"/>
              <w:rPr>
                <w:sz w:val="20"/>
                <w:szCs w:val="20"/>
                <w:color w:val="auto"/>
              </w:rPr>
            </w:pPr>
            <w:r>
              <w:rPr>
                <w:rFonts w:ascii="Arial" w:cs="Arial" w:eastAsia="Arial" w:hAnsi="Arial"/>
                <w:sz w:val="14"/>
                <w:szCs w:val="14"/>
                <w:b w:val="1"/>
                <w:bCs w:val="1"/>
                <w:color w:val="4800E6"/>
              </w:rPr>
              <w:t>U.S. Target Total</w:t>
            </w:r>
          </w:p>
        </w:tc>
      </w:tr>
      <w:tr>
        <w:trPr>
          <w:trHeight w:val="162"/>
        </w:trPr>
        <w:tc>
          <w:tcPr>
            <w:tcW w:w="4600" w:type="dxa"/>
            <w:vAlign w:val="bottom"/>
          </w:tcPr>
          <w:p>
            <w:pPr>
              <w:spacing w:after="0"/>
              <w:rPr>
                <w:sz w:val="14"/>
                <w:szCs w:val="14"/>
                <w:color w:val="auto"/>
              </w:rPr>
            </w:pPr>
          </w:p>
        </w:tc>
        <w:tc>
          <w:tcPr>
            <w:tcW w:w="4580" w:type="dxa"/>
            <w:vAlign w:val="bottom"/>
          </w:tcPr>
          <w:p>
            <w:pPr>
              <w:jc w:val="right"/>
              <w:ind w:right="26"/>
              <w:spacing w:after="0"/>
              <w:rPr>
                <w:sz w:val="20"/>
                <w:szCs w:val="20"/>
                <w:color w:val="auto"/>
              </w:rPr>
            </w:pPr>
            <w:r>
              <w:rPr>
                <w:rFonts w:ascii="Arial" w:cs="Arial" w:eastAsia="Arial" w:hAnsi="Arial"/>
                <w:sz w:val="14"/>
                <w:szCs w:val="14"/>
                <w:b w:val="1"/>
                <w:bCs w:val="1"/>
                <w:color w:val="4800E6"/>
              </w:rPr>
              <w:t>Cash Benchmark</w:t>
            </w:r>
          </w:p>
        </w:tc>
      </w:tr>
      <w:tr>
        <w:trPr>
          <w:trHeight w:val="196"/>
        </w:trPr>
        <w:tc>
          <w:tcPr>
            <w:tcW w:w="4600" w:type="dxa"/>
            <w:vAlign w:val="bottom"/>
            <w:tcBorders>
              <w:bottom w:val="single" w:sz="8" w:color="4800E6"/>
            </w:tcBorders>
          </w:tcPr>
          <w:p>
            <w:pPr>
              <w:spacing w:after="0"/>
              <w:rPr>
                <w:sz w:val="17"/>
                <w:szCs w:val="17"/>
                <w:color w:val="auto"/>
              </w:rPr>
            </w:pPr>
          </w:p>
        </w:tc>
        <w:tc>
          <w:tcPr>
            <w:tcW w:w="4580" w:type="dxa"/>
            <w:vAlign w:val="bottom"/>
            <w:tcBorders>
              <w:bottom w:val="single" w:sz="8" w:color="4800E6"/>
            </w:tcBorders>
          </w:tcPr>
          <w:p>
            <w:pPr>
              <w:jc w:val="right"/>
              <w:spacing w:after="0"/>
              <w:rPr>
                <w:sz w:val="20"/>
                <w:szCs w:val="20"/>
                <w:color w:val="auto"/>
              </w:rPr>
            </w:pPr>
            <w:r>
              <w:rPr>
                <w:rFonts w:ascii="Arial" w:cs="Arial" w:eastAsia="Arial" w:hAnsi="Arial"/>
                <w:sz w:val="14"/>
                <w:szCs w:val="14"/>
                <w:b w:val="1"/>
                <w:bCs w:val="1"/>
                <w:color w:val="4800E6"/>
              </w:rPr>
              <w:t>Percentile</w:t>
            </w:r>
          </w:p>
        </w:tc>
      </w:tr>
      <w:tr>
        <w:trPr>
          <w:trHeight w:val="256"/>
        </w:trPr>
        <w:tc>
          <w:tcPr>
            <w:tcW w:w="4600" w:type="dxa"/>
            <w:vAlign w:val="bottom"/>
          </w:tcPr>
          <w:p>
            <w:pPr>
              <w:ind w:left="40"/>
              <w:spacing w:after="0"/>
              <w:rPr>
                <w:sz w:val="20"/>
                <w:szCs w:val="20"/>
                <w:color w:val="auto"/>
              </w:rPr>
            </w:pPr>
            <w:r>
              <w:rPr>
                <w:rFonts w:ascii="Arial" w:cs="Arial" w:eastAsia="Arial" w:hAnsi="Arial"/>
                <w:sz w:val="15"/>
                <w:szCs w:val="15"/>
                <w:color w:val="auto"/>
              </w:rPr>
              <w:t>Damien McDonald</w:t>
            </w:r>
          </w:p>
        </w:tc>
        <w:tc>
          <w:tcPr>
            <w:tcW w:w="4580" w:type="dxa"/>
            <w:vAlign w:val="bottom"/>
          </w:tcPr>
          <w:p>
            <w:pPr>
              <w:jc w:val="right"/>
              <w:spacing w:after="0" w:line="256" w:lineRule="exact"/>
              <w:rPr>
                <w:sz w:val="20"/>
                <w:szCs w:val="20"/>
                <w:color w:val="auto"/>
              </w:rPr>
            </w:pPr>
            <w:r>
              <w:rPr>
                <w:rFonts w:ascii="Arial" w:cs="Arial" w:eastAsia="Arial" w:hAnsi="Arial"/>
                <w:sz w:val="15"/>
                <w:szCs w:val="15"/>
                <w:color w:val="auto"/>
              </w:rPr>
              <w:t>69</w:t>
            </w:r>
            <w:r>
              <w:rPr>
                <w:rFonts w:ascii="Arial" w:cs="Arial" w:eastAsia="Arial" w:hAnsi="Arial"/>
                <w:sz w:val="23"/>
                <w:szCs w:val="23"/>
                <w:color w:val="auto"/>
                <w:vertAlign w:val="superscript"/>
              </w:rPr>
              <w:t>th</w:t>
            </w:r>
          </w:p>
        </w:tc>
      </w:tr>
      <w:tr>
        <w:trPr>
          <w:trHeight w:val="283"/>
        </w:trPr>
        <w:tc>
          <w:tcPr>
            <w:tcW w:w="4600" w:type="dxa"/>
            <w:vAlign w:val="bottom"/>
            <w:shd w:val="clear" w:color="auto" w:fill="EFE9FC"/>
          </w:tcPr>
          <w:p>
            <w:pPr>
              <w:ind w:left="40"/>
              <w:spacing w:after="0"/>
              <w:rPr>
                <w:sz w:val="20"/>
                <w:szCs w:val="20"/>
                <w:color w:val="auto"/>
              </w:rPr>
            </w:pPr>
            <w:r>
              <w:rPr>
                <w:rFonts w:ascii="Arial" w:cs="Arial" w:eastAsia="Arial" w:hAnsi="Arial"/>
                <w:sz w:val="15"/>
                <w:szCs w:val="15"/>
                <w:color w:val="auto"/>
              </w:rPr>
              <w:t>Thad Huston</w:t>
            </w:r>
          </w:p>
        </w:tc>
        <w:tc>
          <w:tcPr>
            <w:tcW w:w="4580" w:type="dxa"/>
            <w:vAlign w:val="bottom"/>
            <w:shd w:val="clear" w:color="auto" w:fill="EFE9FC"/>
          </w:tcPr>
          <w:p>
            <w:pPr>
              <w:jc w:val="right"/>
              <w:spacing w:after="0"/>
              <w:rPr>
                <w:sz w:val="20"/>
                <w:szCs w:val="20"/>
                <w:color w:val="auto"/>
              </w:rPr>
            </w:pPr>
            <w:r>
              <w:rPr>
                <w:rFonts w:ascii="Arial" w:cs="Arial" w:eastAsia="Arial" w:hAnsi="Arial"/>
                <w:sz w:val="15"/>
                <w:szCs w:val="15"/>
                <w:color w:val="auto"/>
              </w:rPr>
              <w:t>&gt;75</w:t>
            </w:r>
            <w:r>
              <w:rPr>
                <w:rFonts w:ascii="Arial" w:cs="Arial" w:eastAsia="Arial" w:hAnsi="Arial"/>
                <w:sz w:val="23"/>
                <w:szCs w:val="23"/>
                <w:color w:val="auto"/>
                <w:vertAlign w:val="superscript"/>
              </w:rPr>
              <w:t>th</w:t>
            </w:r>
          </w:p>
        </w:tc>
      </w:tr>
      <w:tr>
        <w:trPr>
          <w:trHeight w:val="256"/>
        </w:trPr>
        <w:tc>
          <w:tcPr>
            <w:tcW w:w="4600" w:type="dxa"/>
            <w:vAlign w:val="bottom"/>
            <w:tcBorders>
              <w:bottom w:val="single" w:sz="8" w:color="4800E6"/>
            </w:tcBorders>
          </w:tcPr>
          <w:p>
            <w:pPr>
              <w:ind w:left="40"/>
              <w:spacing w:after="0"/>
              <w:rPr>
                <w:sz w:val="20"/>
                <w:szCs w:val="20"/>
                <w:color w:val="auto"/>
              </w:rPr>
            </w:pPr>
            <w:r>
              <w:rPr>
                <w:rFonts w:ascii="Arial" w:cs="Arial" w:eastAsia="Arial" w:hAnsi="Arial"/>
                <w:sz w:val="15"/>
                <w:szCs w:val="15"/>
                <w:color w:val="auto"/>
              </w:rPr>
              <w:t>Keyna Skeffington</w:t>
            </w:r>
          </w:p>
        </w:tc>
        <w:tc>
          <w:tcPr>
            <w:tcW w:w="4580" w:type="dxa"/>
            <w:vAlign w:val="bottom"/>
            <w:tcBorders>
              <w:bottom w:val="single" w:sz="8" w:color="4800E6"/>
            </w:tcBorders>
          </w:tcPr>
          <w:p>
            <w:pPr>
              <w:jc w:val="right"/>
              <w:spacing w:after="0" w:line="256" w:lineRule="exact"/>
              <w:rPr>
                <w:sz w:val="20"/>
                <w:szCs w:val="20"/>
                <w:color w:val="auto"/>
              </w:rPr>
            </w:pPr>
            <w:r>
              <w:rPr>
                <w:rFonts w:ascii="Arial" w:cs="Arial" w:eastAsia="Arial" w:hAnsi="Arial"/>
                <w:sz w:val="15"/>
                <w:szCs w:val="15"/>
                <w:color w:val="auto"/>
              </w:rPr>
              <w:t>51</w:t>
            </w:r>
            <w:r>
              <w:rPr>
                <w:rFonts w:ascii="Arial" w:cs="Arial" w:eastAsia="Arial" w:hAnsi="Arial"/>
                <w:sz w:val="23"/>
                <w:szCs w:val="23"/>
                <w:color w:val="auto"/>
                <w:vertAlign w:val="superscript"/>
              </w:rPr>
              <w:t>st</w:t>
            </w:r>
          </w:p>
        </w:tc>
      </w:tr>
    </w:tbl>
    <w:p>
      <w:pPr>
        <w:spacing w:after="0" w:line="260" w:lineRule="exact"/>
        <w:rPr>
          <w:sz w:val="20"/>
          <w:szCs w:val="20"/>
          <w:color w:val="auto"/>
        </w:rPr>
      </w:pPr>
    </w:p>
    <w:p>
      <w:pPr>
        <w:ind w:left="760"/>
        <w:spacing w:after="0"/>
        <w:rPr>
          <w:sz w:val="20"/>
          <w:szCs w:val="20"/>
          <w:color w:val="auto"/>
        </w:rPr>
      </w:pPr>
      <w:r>
        <w:rPr>
          <w:rFonts w:ascii="Arial" w:cs="Arial" w:eastAsia="Arial" w:hAnsi="Arial"/>
          <w:sz w:val="23"/>
          <w:szCs w:val="23"/>
          <w:b w:val="1"/>
          <w:bCs w:val="1"/>
          <w:color w:val="auto"/>
        </w:rPr>
        <w:t>2019 Base Salary</w:t>
      </w:r>
    </w:p>
    <w:p>
      <w:pPr>
        <w:spacing w:after="0" w:line="126" w:lineRule="exact"/>
        <w:rPr>
          <w:sz w:val="20"/>
          <w:szCs w:val="20"/>
          <w:color w:val="auto"/>
        </w:rPr>
      </w:pPr>
    </w:p>
    <w:p>
      <w:pPr>
        <w:ind w:left="760" w:right="980"/>
        <w:spacing w:after="0" w:line="251" w:lineRule="auto"/>
        <w:rPr>
          <w:sz w:val="20"/>
          <w:szCs w:val="20"/>
          <w:color w:val="auto"/>
        </w:rPr>
      </w:pPr>
      <w:r>
        <w:rPr>
          <w:rFonts w:ascii="Arial" w:cs="Arial" w:eastAsia="Arial" w:hAnsi="Arial"/>
          <w:sz w:val="16"/>
          <w:szCs w:val="16"/>
          <w:color w:val="auto"/>
        </w:rPr>
        <w:t>The annual base salaries of our NEOs are an important part of their total compensation package and are intended to reflect their respective positions, duties and responsibilities. Base salaries help balance the incentive portions of the compensation program and thereby provide stability and reduce the incentive for excessive risk-taking. The Compensation Committee reviews base salaries at the beginning of the year. In establishing base salaries, it considers the following factors:</w:t>
      </w:r>
    </w:p>
    <w:p>
      <w:pPr>
        <w:spacing w:after="0" w:line="27" w:lineRule="exact"/>
        <w:rPr>
          <w:sz w:val="20"/>
          <w:szCs w:val="20"/>
          <w:color w:val="auto"/>
        </w:rPr>
      </w:pPr>
    </w:p>
    <w:p>
      <w:pPr>
        <w:ind w:left="920" w:hanging="156"/>
        <w:spacing w:after="0"/>
        <w:tabs>
          <w:tab w:leader="none" w:pos="920" w:val="left"/>
        </w:tabs>
        <w:numPr>
          <w:ilvl w:val="0"/>
          <w:numId w:val="54"/>
        </w:numPr>
        <w:rPr>
          <w:rFonts w:ascii="Arial" w:cs="Arial" w:eastAsia="Arial" w:hAnsi="Arial"/>
          <w:sz w:val="16"/>
          <w:szCs w:val="16"/>
          <w:color w:val="4800E6"/>
        </w:rPr>
      </w:pPr>
      <w:r>
        <w:rPr>
          <w:rFonts w:ascii="Arial" w:cs="Arial" w:eastAsia="Arial" w:hAnsi="Arial"/>
          <w:sz w:val="16"/>
          <w:szCs w:val="16"/>
          <w:color w:val="auto"/>
        </w:rPr>
        <w:t>Individual performance during the recently concluded financial year and potential future contribution;</w:t>
      </w:r>
    </w:p>
    <w:p>
      <w:pPr>
        <w:spacing w:after="0" w:line="59" w:lineRule="exact"/>
        <w:rPr>
          <w:rFonts w:ascii="Arial" w:cs="Arial" w:eastAsia="Arial" w:hAnsi="Arial"/>
          <w:sz w:val="16"/>
          <w:szCs w:val="16"/>
          <w:color w:val="4800E6"/>
        </w:rPr>
      </w:pPr>
    </w:p>
    <w:p>
      <w:pPr>
        <w:ind w:left="920" w:hanging="156"/>
        <w:spacing w:after="0"/>
        <w:tabs>
          <w:tab w:leader="none" w:pos="920" w:val="left"/>
        </w:tabs>
        <w:numPr>
          <w:ilvl w:val="0"/>
          <w:numId w:val="54"/>
        </w:numPr>
        <w:rPr>
          <w:rFonts w:ascii="Arial" w:cs="Arial" w:eastAsia="Arial" w:hAnsi="Arial"/>
          <w:sz w:val="16"/>
          <w:szCs w:val="16"/>
          <w:color w:val="4800E6"/>
        </w:rPr>
      </w:pPr>
      <w:r>
        <w:rPr>
          <w:rFonts w:ascii="Arial" w:cs="Arial" w:eastAsia="Arial" w:hAnsi="Arial"/>
          <w:sz w:val="16"/>
          <w:szCs w:val="16"/>
          <w:color w:val="auto"/>
        </w:rPr>
        <w:t>Responsibilities, including any recent changes in those responsibilities;</w:t>
      </w:r>
    </w:p>
    <w:p>
      <w:pPr>
        <w:spacing w:after="0" w:line="59" w:lineRule="exact"/>
        <w:rPr>
          <w:rFonts w:ascii="Arial" w:cs="Arial" w:eastAsia="Arial" w:hAnsi="Arial"/>
          <w:sz w:val="16"/>
          <w:szCs w:val="16"/>
          <w:color w:val="4800E6"/>
        </w:rPr>
      </w:pPr>
    </w:p>
    <w:p>
      <w:pPr>
        <w:ind w:left="920" w:hanging="156"/>
        <w:spacing w:after="0"/>
        <w:tabs>
          <w:tab w:leader="none" w:pos="920" w:val="left"/>
        </w:tabs>
        <w:numPr>
          <w:ilvl w:val="0"/>
          <w:numId w:val="54"/>
        </w:numPr>
        <w:rPr>
          <w:rFonts w:ascii="Arial" w:cs="Arial" w:eastAsia="Arial" w:hAnsi="Arial"/>
          <w:sz w:val="16"/>
          <w:szCs w:val="16"/>
          <w:color w:val="4800E6"/>
        </w:rPr>
      </w:pPr>
      <w:r>
        <w:rPr>
          <w:rFonts w:ascii="Arial" w:cs="Arial" w:eastAsia="Arial" w:hAnsi="Arial"/>
          <w:sz w:val="16"/>
          <w:szCs w:val="16"/>
          <w:color w:val="auto"/>
        </w:rPr>
        <w:t>Level of expertise and experience of the NEO compared to that required for a position;</w:t>
      </w:r>
    </w:p>
    <w:p>
      <w:pPr>
        <w:spacing w:after="0" w:line="59" w:lineRule="exact"/>
        <w:rPr>
          <w:rFonts w:ascii="Arial" w:cs="Arial" w:eastAsia="Arial" w:hAnsi="Arial"/>
          <w:sz w:val="16"/>
          <w:szCs w:val="16"/>
          <w:color w:val="4800E6"/>
        </w:rPr>
      </w:pPr>
    </w:p>
    <w:p>
      <w:pPr>
        <w:ind w:left="920" w:hanging="156"/>
        <w:spacing w:after="0"/>
        <w:tabs>
          <w:tab w:leader="none" w:pos="920" w:val="left"/>
        </w:tabs>
        <w:numPr>
          <w:ilvl w:val="0"/>
          <w:numId w:val="54"/>
        </w:numPr>
        <w:rPr>
          <w:rFonts w:ascii="Arial" w:cs="Arial" w:eastAsia="Arial" w:hAnsi="Arial"/>
          <w:sz w:val="16"/>
          <w:szCs w:val="16"/>
          <w:color w:val="4800E6"/>
        </w:rPr>
      </w:pPr>
      <w:r>
        <w:rPr>
          <w:rFonts w:ascii="Arial" w:cs="Arial" w:eastAsia="Arial" w:hAnsi="Arial"/>
          <w:sz w:val="16"/>
          <w:szCs w:val="16"/>
          <w:color w:val="auto"/>
        </w:rPr>
        <w:t>Strategic importance of a position;</w:t>
      </w:r>
    </w:p>
    <w:p>
      <w:pPr>
        <w:spacing w:after="0" w:line="59" w:lineRule="exact"/>
        <w:rPr>
          <w:rFonts w:ascii="Arial" w:cs="Arial" w:eastAsia="Arial" w:hAnsi="Arial"/>
          <w:sz w:val="16"/>
          <w:szCs w:val="16"/>
          <w:color w:val="4800E6"/>
        </w:rPr>
      </w:pPr>
    </w:p>
    <w:p>
      <w:pPr>
        <w:ind w:left="920" w:hanging="156"/>
        <w:spacing w:after="0"/>
        <w:tabs>
          <w:tab w:leader="none" w:pos="920" w:val="left"/>
        </w:tabs>
        <w:numPr>
          <w:ilvl w:val="0"/>
          <w:numId w:val="54"/>
        </w:numPr>
        <w:rPr>
          <w:rFonts w:ascii="Arial" w:cs="Arial" w:eastAsia="Arial" w:hAnsi="Arial"/>
          <w:sz w:val="16"/>
          <w:szCs w:val="16"/>
          <w:color w:val="4800E6"/>
        </w:rPr>
      </w:pPr>
      <w:r>
        <w:rPr>
          <w:rFonts w:ascii="Arial" w:cs="Arial" w:eastAsia="Arial" w:hAnsi="Arial"/>
          <w:sz w:val="16"/>
          <w:szCs w:val="16"/>
          <w:color w:val="auto"/>
        </w:rPr>
        <w:t>Internal pay equity among positions; and</w:t>
      </w:r>
    </w:p>
    <w:p>
      <w:pPr>
        <w:spacing w:after="0" w:line="59" w:lineRule="exact"/>
        <w:rPr>
          <w:rFonts w:ascii="Arial" w:cs="Arial" w:eastAsia="Arial" w:hAnsi="Arial"/>
          <w:sz w:val="16"/>
          <w:szCs w:val="16"/>
          <w:color w:val="4800E6"/>
        </w:rPr>
      </w:pPr>
    </w:p>
    <w:p>
      <w:pPr>
        <w:ind w:left="920" w:hanging="156"/>
        <w:spacing w:after="0"/>
        <w:tabs>
          <w:tab w:leader="none" w:pos="920" w:val="left"/>
        </w:tabs>
        <w:numPr>
          <w:ilvl w:val="0"/>
          <w:numId w:val="54"/>
        </w:numPr>
        <w:rPr>
          <w:rFonts w:ascii="Arial" w:cs="Arial" w:eastAsia="Arial" w:hAnsi="Arial"/>
          <w:sz w:val="16"/>
          <w:szCs w:val="16"/>
          <w:color w:val="4800E6"/>
        </w:rPr>
      </w:pPr>
      <w:r>
        <w:rPr>
          <w:rFonts w:ascii="Arial" w:cs="Arial" w:eastAsia="Arial" w:hAnsi="Arial"/>
          <w:sz w:val="16"/>
          <w:szCs w:val="16"/>
          <w:color w:val="auto"/>
        </w:rPr>
        <w:t>Competitive benchmarking data.</w:t>
      </w:r>
    </w:p>
    <w:p>
      <w:pPr>
        <w:spacing w:after="0" w:line="100" w:lineRule="exact"/>
        <w:rPr>
          <w:sz w:val="20"/>
          <w:szCs w:val="20"/>
          <w:color w:val="auto"/>
        </w:rPr>
      </w:pPr>
    </w:p>
    <w:p>
      <w:pPr>
        <w:jc w:val="both"/>
        <w:ind w:left="760" w:right="1100"/>
        <w:spacing w:after="0" w:line="253" w:lineRule="auto"/>
        <w:rPr>
          <w:sz w:val="20"/>
          <w:szCs w:val="20"/>
          <w:color w:val="auto"/>
        </w:rPr>
      </w:pPr>
      <w:r>
        <w:rPr>
          <w:rFonts w:ascii="Arial" w:cs="Arial" w:eastAsia="Arial" w:hAnsi="Arial"/>
          <w:sz w:val="16"/>
          <w:szCs w:val="16"/>
          <w:color w:val="auto"/>
        </w:rPr>
        <w:t>Each of the NEOs is party to an employment agreement that provides for a specified base salary. That base salary is generally reviewed annually and serves as the baseline from which the calculations of certain other elements of compensation are made (e.g. under the STIP).</w:t>
      </w:r>
    </w:p>
    <w:p>
      <w:pPr>
        <w:spacing w:after="0" w:line="285" w:lineRule="exact"/>
        <w:rPr>
          <w:sz w:val="20"/>
          <w:szCs w:val="20"/>
          <w:color w:val="auto"/>
        </w:rPr>
      </w:pPr>
    </w:p>
    <w:tbl>
      <w:tblPr>
        <w:tblLayout w:type="fixed"/>
        <w:tblInd w:w="0" w:type="dxa"/>
        <w:tblCellMar>
          <w:top w:w="0" w:type="dxa"/>
          <w:left w:w="0" w:type="dxa"/>
          <w:bottom w:w="0" w:type="dxa"/>
          <w:right w:w="0" w:type="dxa"/>
        </w:tblCellMar>
      </w:tblPr>
      <w:tr>
        <w:trPr>
          <w:trHeight w:val="116"/>
        </w:trPr>
        <w:tc>
          <w:tcPr>
            <w:tcW w:w="820" w:type="dxa"/>
            <w:vAlign w:val="bottom"/>
            <w:vMerge w:val="restart"/>
          </w:tcPr>
          <w:p>
            <w:pPr>
              <w:spacing w:after="0"/>
              <w:rPr>
                <w:sz w:val="10"/>
                <w:szCs w:val="10"/>
                <w:color w:val="auto"/>
              </w:rPr>
            </w:pPr>
          </w:p>
        </w:tc>
        <w:tc>
          <w:tcPr>
            <w:tcW w:w="3080" w:type="dxa"/>
            <w:vAlign w:val="bottom"/>
            <w:tcBorders>
              <w:bottom w:val="single" w:sz="8" w:color="auto"/>
            </w:tcBorders>
          </w:tcPr>
          <w:p>
            <w:pPr>
              <w:spacing w:after="0"/>
              <w:rPr>
                <w:sz w:val="10"/>
                <w:szCs w:val="10"/>
                <w:color w:val="auto"/>
              </w:rPr>
            </w:pPr>
          </w:p>
        </w:tc>
        <w:tc>
          <w:tcPr>
            <w:tcW w:w="2800" w:type="dxa"/>
            <w:vAlign w:val="bottom"/>
            <w:vMerge w:val="restart"/>
          </w:tcPr>
          <w:p>
            <w:pPr>
              <w:ind w:left="440"/>
              <w:spacing w:after="0"/>
              <w:rPr>
                <w:sz w:val="20"/>
                <w:szCs w:val="20"/>
                <w:color w:val="auto"/>
              </w:rPr>
            </w:pPr>
            <w:r>
              <w:rPr>
                <w:rFonts w:ascii="Arial" w:cs="Arial" w:eastAsia="Arial" w:hAnsi="Arial"/>
                <w:sz w:val="13"/>
                <w:szCs w:val="13"/>
                <w:b w:val="1"/>
                <w:bCs w:val="1"/>
                <w:color w:val="4800E6"/>
              </w:rPr>
              <w:t xml:space="preserve">LIVANOVA </w:t>
            </w:r>
            <w:r>
              <w:rPr>
                <w:rFonts w:ascii="Arial" w:cs="Arial" w:eastAsia="Arial" w:hAnsi="Arial"/>
                <w:sz w:val="13"/>
                <w:szCs w:val="13"/>
                <w:color w:val="000000"/>
              </w:rPr>
              <w:t>|</w:t>
            </w:r>
            <w:r>
              <w:rPr>
                <w:rFonts w:ascii="Arial" w:cs="Arial" w:eastAsia="Arial" w:hAnsi="Arial"/>
                <w:sz w:val="13"/>
                <w:szCs w:val="13"/>
                <w:b w:val="1"/>
                <w:bCs w:val="1"/>
                <w:color w:val="4800E6"/>
              </w:rPr>
              <w:t xml:space="preserve"> </w:t>
            </w:r>
            <w:r>
              <w:rPr>
                <w:rFonts w:ascii="Arial" w:cs="Arial" w:eastAsia="Arial" w:hAnsi="Arial"/>
                <w:sz w:val="13"/>
                <w:szCs w:val="13"/>
                <w:color w:val="4800E6"/>
              </w:rPr>
              <w:t>2020</w:t>
            </w:r>
            <w:r>
              <w:rPr>
                <w:rFonts w:ascii="Arial" w:cs="Arial" w:eastAsia="Arial" w:hAnsi="Arial"/>
                <w:sz w:val="13"/>
                <w:szCs w:val="13"/>
                <w:b w:val="1"/>
                <w:bCs w:val="1"/>
                <w:color w:val="4800E6"/>
              </w:rPr>
              <w:t xml:space="preserve"> </w:t>
            </w:r>
            <w:r>
              <w:rPr>
                <w:rFonts w:ascii="Arial" w:cs="Arial" w:eastAsia="Arial" w:hAnsi="Arial"/>
                <w:sz w:val="13"/>
                <w:szCs w:val="13"/>
                <w:color w:val="000000"/>
              </w:rPr>
              <w:t>Proxy Statement</w:t>
            </w:r>
          </w:p>
        </w:tc>
        <w:tc>
          <w:tcPr>
            <w:tcW w:w="3080" w:type="dxa"/>
            <w:vAlign w:val="bottom"/>
            <w:tcBorders>
              <w:bottom w:val="single" w:sz="8" w:color="auto"/>
            </w:tcBorders>
          </w:tcPr>
          <w:p>
            <w:pPr>
              <w:spacing w:after="0"/>
              <w:rPr>
                <w:sz w:val="10"/>
                <w:szCs w:val="10"/>
                <w:color w:val="auto"/>
              </w:rPr>
            </w:pPr>
          </w:p>
        </w:tc>
        <w:tc>
          <w:tcPr>
            <w:tcW w:w="940" w:type="dxa"/>
            <w:vAlign w:val="bottom"/>
            <w:vMerge w:val="restart"/>
          </w:tcPr>
          <w:p>
            <w:pPr>
              <w:jc w:val="right"/>
              <w:ind w:right="468"/>
              <w:spacing w:after="0"/>
              <w:rPr>
                <w:sz w:val="20"/>
                <w:szCs w:val="20"/>
                <w:color w:val="auto"/>
              </w:rPr>
            </w:pPr>
            <w:r>
              <w:rPr>
                <w:rFonts w:ascii="Arial" w:cs="Arial" w:eastAsia="Arial" w:hAnsi="Arial"/>
                <w:sz w:val="14"/>
                <w:szCs w:val="14"/>
                <w:b w:val="1"/>
                <w:bCs w:val="1"/>
                <w:color w:val="auto"/>
              </w:rPr>
              <w:t>30</w:t>
            </w:r>
          </w:p>
        </w:tc>
        <w:tc>
          <w:tcPr>
            <w:tcW w:w="0" w:type="dxa"/>
            <w:vAlign w:val="bottom"/>
          </w:tcPr>
          <w:p>
            <w:pPr>
              <w:spacing w:after="0"/>
              <w:rPr>
                <w:sz w:val="1"/>
                <w:szCs w:val="1"/>
                <w:color w:val="auto"/>
              </w:rPr>
            </w:pPr>
          </w:p>
        </w:tc>
      </w:tr>
      <w:tr>
        <w:trPr>
          <w:trHeight w:val="63"/>
        </w:trPr>
        <w:tc>
          <w:tcPr>
            <w:tcW w:w="820" w:type="dxa"/>
            <w:vAlign w:val="bottom"/>
            <w:vMerge w:val="continue"/>
          </w:tcPr>
          <w:p>
            <w:pPr>
              <w:spacing w:after="0"/>
              <w:rPr>
                <w:sz w:val="5"/>
                <w:szCs w:val="5"/>
                <w:color w:val="auto"/>
              </w:rPr>
            </w:pPr>
          </w:p>
        </w:tc>
        <w:tc>
          <w:tcPr>
            <w:tcW w:w="3080" w:type="dxa"/>
            <w:vAlign w:val="bottom"/>
          </w:tcPr>
          <w:p>
            <w:pPr>
              <w:spacing w:after="0"/>
              <w:rPr>
                <w:sz w:val="5"/>
                <w:szCs w:val="5"/>
                <w:color w:val="auto"/>
              </w:rPr>
            </w:pPr>
          </w:p>
        </w:tc>
        <w:tc>
          <w:tcPr>
            <w:tcW w:w="2800" w:type="dxa"/>
            <w:vAlign w:val="bottom"/>
            <w:vMerge w:val="continue"/>
          </w:tcPr>
          <w:p>
            <w:pPr>
              <w:spacing w:after="0"/>
              <w:rPr>
                <w:sz w:val="5"/>
                <w:szCs w:val="5"/>
                <w:color w:val="auto"/>
              </w:rPr>
            </w:pPr>
          </w:p>
        </w:tc>
        <w:tc>
          <w:tcPr>
            <w:tcW w:w="3080" w:type="dxa"/>
            <w:vAlign w:val="bottom"/>
          </w:tcPr>
          <w:p>
            <w:pPr>
              <w:spacing w:after="0"/>
              <w:rPr>
                <w:sz w:val="5"/>
                <w:szCs w:val="5"/>
                <w:color w:val="auto"/>
              </w:rPr>
            </w:pPr>
          </w:p>
        </w:tc>
        <w:tc>
          <w:tcPr>
            <w:tcW w:w="94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40"/>
        </w:trPr>
        <w:tc>
          <w:tcPr>
            <w:tcW w:w="820" w:type="dxa"/>
            <w:vAlign w:val="bottom"/>
            <w:tcBorders>
              <w:bottom w:val="single" w:sz="8" w:color="9A9A9A"/>
            </w:tcBorders>
          </w:tcPr>
          <w:p>
            <w:pPr>
              <w:spacing w:after="0"/>
              <w:rPr>
                <w:sz w:val="12"/>
                <w:szCs w:val="12"/>
                <w:color w:val="auto"/>
              </w:rPr>
            </w:pPr>
          </w:p>
        </w:tc>
        <w:tc>
          <w:tcPr>
            <w:tcW w:w="3080" w:type="dxa"/>
            <w:vAlign w:val="bottom"/>
            <w:tcBorders>
              <w:bottom w:val="single" w:sz="8" w:color="9A9A9A"/>
            </w:tcBorders>
          </w:tcPr>
          <w:p>
            <w:pPr>
              <w:spacing w:after="0"/>
              <w:rPr>
                <w:sz w:val="12"/>
                <w:szCs w:val="12"/>
                <w:color w:val="auto"/>
              </w:rPr>
            </w:pPr>
          </w:p>
        </w:tc>
        <w:tc>
          <w:tcPr>
            <w:tcW w:w="2800" w:type="dxa"/>
            <w:vAlign w:val="bottom"/>
            <w:tcBorders>
              <w:bottom w:val="single" w:sz="8" w:color="9A9A9A"/>
            </w:tcBorders>
          </w:tcPr>
          <w:p>
            <w:pPr>
              <w:spacing w:after="0"/>
              <w:rPr>
                <w:sz w:val="12"/>
                <w:szCs w:val="12"/>
                <w:color w:val="auto"/>
              </w:rPr>
            </w:pPr>
          </w:p>
        </w:tc>
        <w:tc>
          <w:tcPr>
            <w:tcW w:w="3080" w:type="dxa"/>
            <w:vAlign w:val="bottom"/>
            <w:tcBorders>
              <w:bottom w:val="single" w:sz="8" w:color="9A9A9A"/>
            </w:tcBorders>
          </w:tcPr>
          <w:p>
            <w:pPr>
              <w:spacing w:after="0"/>
              <w:rPr>
                <w:sz w:val="12"/>
                <w:szCs w:val="12"/>
                <w:color w:val="auto"/>
              </w:rPr>
            </w:pPr>
          </w:p>
        </w:tc>
        <w:tc>
          <w:tcPr>
            <w:tcW w:w="940" w:type="dxa"/>
            <w:vAlign w:val="bottom"/>
            <w:tcBorders>
              <w:bottom w:val="single" w:sz="8" w:color="9A9A9A"/>
            </w:tcBorders>
          </w:tcPr>
          <w:p>
            <w:pPr>
              <w:spacing w:after="0"/>
              <w:rPr>
                <w:sz w:val="12"/>
                <w:szCs w:val="12"/>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6802755</wp:posOffset>
            </wp:positionH>
            <wp:positionV relativeFrom="paragraph">
              <wp:posOffset>-7620</wp:posOffset>
            </wp:positionV>
            <wp:extent cx="8255" cy="8255"/>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wp:posOffset>
            </wp:positionV>
            <wp:extent cx="8890" cy="17145"/>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sectPr>
          <w:pgSz w:w="11900" w:h="16838" w:orient="portrait"/>
          <w:cols w:equalWidth="0" w:num="1">
            <w:col w:w="10720"/>
          </w:cols>
          <w:pgMar w:left="320" w:top="131" w:right="859" w:bottom="1440" w:gutter="0" w:footer="0" w:header="0"/>
        </w:sectPr>
      </w:pPr>
    </w:p>
    <w:bookmarkStart w:id="34" w:name="page35"/>
    <w:bookmarkEnd w:id="34"/>
    <w:p>
      <w:pPr>
        <w:spacing w:after="0"/>
        <w:rPr>
          <w:rFonts w:ascii="Arial" w:cs="Arial" w:eastAsia="Arial" w:hAnsi="Arial"/>
          <w:sz w:val="14"/>
          <w:szCs w:val="14"/>
          <w:color w:val="003366"/>
        </w:rPr>
      </w:pPr>
      <w:hyperlink w:anchor="page4">
        <w:r>
          <w:rPr>
            <w:rFonts w:ascii="Arial" w:cs="Arial" w:eastAsia="Arial" w:hAnsi="Arial"/>
            <w:sz w:val="14"/>
            <w:szCs w:val="14"/>
            <w:color w:val="003366"/>
          </w:rPr>
          <w:t>TABLE OF CONTENTS</w:t>
        </w:r>
      </w:hyperlink>
    </w:p>
    <w:p>
      <w:pPr>
        <w:spacing w:after="0" w:line="338" w:lineRule="exact"/>
        <w:rPr>
          <w:sz w:val="20"/>
          <w:szCs w:val="20"/>
          <w:color w:val="auto"/>
        </w:rPr>
      </w:pPr>
    </w:p>
    <w:p>
      <w:pPr>
        <w:ind w:left="760"/>
        <w:spacing w:after="0"/>
        <w:rPr>
          <w:sz w:val="20"/>
          <w:szCs w:val="20"/>
          <w:color w:val="auto"/>
        </w:rPr>
      </w:pPr>
      <w:r>
        <w:rPr>
          <w:rFonts w:ascii="Arial" w:cs="Arial" w:eastAsia="Arial" w:hAnsi="Arial"/>
          <w:sz w:val="13"/>
          <w:szCs w:val="13"/>
          <w:b w:val="1"/>
          <w:bCs w:val="1"/>
          <w:color w:val="auto"/>
        </w:rPr>
        <w:t xml:space="preserve">Executive </w:t>
      </w:r>
      <w:r>
        <w:rPr>
          <w:rFonts w:ascii="Arial" w:cs="Arial" w:eastAsia="Arial" w:hAnsi="Arial"/>
          <w:sz w:val="13"/>
          <w:szCs w:val="13"/>
          <w:b w:val="1"/>
          <w:bCs w:val="1"/>
          <w:color w:val="666666"/>
        </w:rPr>
        <w:t>Compensation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485140</wp:posOffset>
            </wp:positionH>
            <wp:positionV relativeFrom="paragraph">
              <wp:posOffset>30480</wp:posOffset>
            </wp:positionV>
            <wp:extent cx="5829300" cy="8890"/>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5829300" cy="8890"/>
                    </a:xfrm>
                    <a:prstGeom prst="rect">
                      <a:avLst/>
                    </a:prstGeom>
                    <a:noFill/>
                  </pic:spPr>
                </pic:pic>
              </a:graphicData>
            </a:graphic>
          </wp:anchor>
        </w:drawing>
      </w:r>
    </w:p>
    <w:p>
      <w:pPr>
        <w:spacing w:after="0" w:line="60" w:lineRule="exact"/>
        <w:rPr>
          <w:sz w:val="20"/>
          <w:szCs w:val="20"/>
          <w:color w:val="auto"/>
        </w:rPr>
      </w:pPr>
    </w:p>
    <w:p>
      <w:pPr>
        <w:ind w:left="760"/>
        <w:spacing w:after="0"/>
        <w:rPr>
          <w:sz w:val="20"/>
          <w:szCs w:val="20"/>
          <w:color w:val="auto"/>
        </w:rPr>
      </w:pPr>
      <w:r>
        <w:rPr>
          <w:rFonts w:ascii="Arial" w:cs="Arial" w:eastAsia="Arial" w:hAnsi="Arial"/>
          <w:sz w:val="13"/>
          <w:szCs w:val="13"/>
          <w:b w:val="1"/>
          <w:bCs w:val="1"/>
          <w:color w:val="4800E6"/>
        </w:rPr>
        <w:t>Compensation Discussion &amp; Analysis</w:t>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ind w:left="760" w:right="679"/>
        <w:spacing w:after="0" w:line="278" w:lineRule="auto"/>
        <w:rPr>
          <w:sz w:val="20"/>
          <w:szCs w:val="20"/>
          <w:color w:val="auto"/>
        </w:rPr>
      </w:pPr>
      <w:r>
        <w:rPr>
          <w:rFonts w:ascii="Arial" w:cs="Arial" w:eastAsia="Arial" w:hAnsi="Arial"/>
          <w:sz w:val="16"/>
          <w:szCs w:val="16"/>
          <w:color w:val="auto"/>
        </w:rPr>
        <w:t>In February 2019, the Compensation Committee approved adjustments to the NEO’s base salaries effective April 1, 2019 as follows:</w:t>
      </w:r>
    </w:p>
    <w:p>
      <w:pPr>
        <w:spacing w:after="0" w:line="139" w:lineRule="exact"/>
        <w:rPr>
          <w:sz w:val="20"/>
          <w:szCs w:val="20"/>
          <w:color w:val="auto"/>
        </w:rPr>
      </w:pPr>
    </w:p>
    <w:tbl>
      <w:tblPr>
        <w:tblLayout w:type="fixed"/>
        <w:tblInd w:w="760" w:type="dxa"/>
        <w:tblCellMar>
          <w:top w:w="0" w:type="dxa"/>
          <w:left w:w="0" w:type="dxa"/>
          <w:bottom w:w="0" w:type="dxa"/>
          <w:right w:w="0" w:type="dxa"/>
        </w:tblCellMar>
      </w:tblPr>
      <w:tr>
        <w:trPr>
          <w:trHeight w:val="175"/>
        </w:trPr>
        <w:tc>
          <w:tcPr>
            <w:tcW w:w="3320" w:type="dxa"/>
            <w:vAlign w:val="bottom"/>
          </w:tcPr>
          <w:p>
            <w:pPr>
              <w:spacing w:after="0"/>
              <w:rPr>
                <w:sz w:val="15"/>
                <w:szCs w:val="15"/>
                <w:color w:val="auto"/>
              </w:rPr>
            </w:pPr>
          </w:p>
        </w:tc>
        <w:tc>
          <w:tcPr>
            <w:tcW w:w="3360" w:type="dxa"/>
            <w:vAlign w:val="bottom"/>
          </w:tcPr>
          <w:p>
            <w:pPr>
              <w:jc w:val="right"/>
              <w:ind w:right="85"/>
              <w:spacing w:after="0"/>
              <w:rPr>
                <w:sz w:val="20"/>
                <w:szCs w:val="20"/>
                <w:color w:val="auto"/>
              </w:rPr>
            </w:pPr>
            <w:r>
              <w:rPr>
                <w:rFonts w:ascii="Arial" w:cs="Arial" w:eastAsia="Arial" w:hAnsi="Arial"/>
                <w:sz w:val="14"/>
                <w:szCs w:val="14"/>
                <w:b w:val="1"/>
                <w:bCs w:val="1"/>
                <w:color w:val="4800E6"/>
              </w:rPr>
              <w:t>2019 Base Salary</w:t>
            </w:r>
          </w:p>
        </w:tc>
        <w:tc>
          <w:tcPr>
            <w:tcW w:w="1420" w:type="dxa"/>
            <w:vAlign w:val="bottom"/>
          </w:tcPr>
          <w:p>
            <w:pPr>
              <w:jc w:val="right"/>
              <w:ind w:right="85"/>
              <w:spacing w:after="0"/>
              <w:rPr>
                <w:sz w:val="20"/>
                <w:szCs w:val="20"/>
                <w:color w:val="auto"/>
              </w:rPr>
            </w:pPr>
            <w:r>
              <w:rPr>
                <w:rFonts w:ascii="Arial" w:cs="Arial" w:eastAsia="Arial" w:hAnsi="Arial"/>
                <w:sz w:val="14"/>
                <w:szCs w:val="14"/>
                <w:b w:val="1"/>
                <w:bCs w:val="1"/>
                <w:color w:val="4800E6"/>
              </w:rPr>
              <w:t>2018 Base Salary</w:t>
            </w:r>
          </w:p>
        </w:tc>
        <w:tc>
          <w:tcPr>
            <w:tcW w:w="1080" w:type="dxa"/>
            <w:vAlign w:val="bottom"/>
          </w:tcPr>
          <w:p>
            <w:pPr>
              <w:jc w:val="right"/>
              <w:ind w:right="25"/>
              <w:spacing w:after="0"/>
              <w:rPr>
                <w:sz w:val="20"/>
                <w:szCs w:val="20"/>
                <w:color w:val="auto"/>
              </w:rPr>
            </w:pPr>
            <w:r>
              <w:rPr>
                <w:rFonts w:ascii="Arial" w:cs="Arial" w:eastAsia="Arial" w:hAnsi="Arial"/>
                <w:sz w:val="14"/>
                <w:szCs w:val="14"/>
                <w:b w:val="1"/>
                <w:bCs w:val="1"/>
                <w:color w:val="4800E6"/>
              </w:rPr>
              <w:t>Change from</w:t>
            </w:r>
          </w:p>
        </w:tc>
      </w:tr>
      <w:tr>
        <w:trPr>
          <w:trHeight w:val="216"/>
        </w:trPr>
        <w:tc>
          <w:tcPr>
            <w:tcW w:w="3320" w:type="dxa"/>
            <w:vAlign w:val="bottom"/>
            <w:tcBorders>
              <w:bottom w:val="single" w:sz="8" w:color="4800E6"/>
            </w:tcBorders>
          </w:tcPr>
          <w:p>
            <w:pPr>
              <w:spacing w:after="0"/>
              <w:rPr>
                <w:sz w:val="18"/>
                <w:szCs w:val="18"/>
                <w:color w:val="auto"/>
              </w:rPr>
            </w:pPr>
          </w:p>
        </w:tc>
        <w:tc>
          <w:tcPr>
            <w:tcW w:w="3360" w:type="dxa"/>
            <w:vAlign w:val="bottom"/>
            <w:tcBorders>
              <w:bottom w:val="single" w:sz="8" w:color="4800E6"/>
            </w:tcBorders>
          </w:tcPr>
          <w:p>
            <w:pPr>
              <w:jc w:val="right"/>
              <w:ind w:right="45"/>
              <w:spacing w:after="0"/>
              <w:rPr>
                <w:sz w:val="20"/>
                <w:szCs w:val="20"/>
                <w:color w:val="auto"/>
              </w:rPr>
            </w:pPr>
            <w:r>
              <w:rPr>
                <w:rFonts w:ascii="Arial" w:cs="Arial" w:eastAsia="Arial" w:hAnsi="Arial"/>
                <w:sz w:val="14"/>
                <w:szCs w:val="14"/>
                <w:b w:val="1"/>
                <w:bCs w:val="1"/>
                <w:color w:val="4800E6"/>
              </w:rPr>
              <w:t>($)</w:t>
            </w:r>
          </w:p>
        </w:tc>
        <w:tc>
          <w:tcPr>
            <w:tcW w:w="1420" w:type="dxa"/>
            <w:vAlign w:val="bottom"/>
            <w:tcBorders>
              <w:bottom w:val="single" w:sz="8" w:color="4800E6"/>
            </w:tcBorders>
          </w:tcPr>
          <w:p>
            <w:pPr>
              <w:jc w:val="right"/>
              <w:ind w:right="45"/>
              <w:spacing w:after="0"/>
              <w:rPr>
                <w:sz w:val="20"/>
                <w:szCs w:val="20"/>
                <w:color w:val="auto"/>
              </w:rPr>
            </w:pPr>
            <w:r>
              <w:rPr>
                <w:rFonts w:ascii="Arial" w:cs="Arial" w:eastAsia="Arial" w:hAnsi="Arial"/>
                <w:sz w:val="14"/>
                <w:szCs w:val="14"/>
                <w:b w:val="1"/>
                <w:bCs w:val="1"/>
                <w:color w:val="4800E6"/>
              </w:rPr>
              <w:t>($)</w:t>
            </w:r>
          </w:p>
        </w:tc>
        <w:tc>
          <w:tcPr>
            <w:tcW w:w="1080" w:type="dxa"/>
            <w:vAlign w:val="bottom"/>
            <w:tcBorders>
              <w:bottom w:val="single" w:sz="8" w:color="4800E6"/>
            </w:tcBorders>
          </w:tcPr>
          <w:p>
            <w:pPr>
              <w:jc w:val="right"/>
              <w:spacing w:after="0" w:line="216" w:lineRule="exact"/>
              <w:rPr>
                <w:sz w:val="20"/>
                <w:szCs w:val="20"/>
                <w:color w:val="auto"/>
              </w:rPr>
            </w:pPr>
            <w:r>
              <w:rPr>
                <w:rFonts w:ascii="Arial" w:cs="Arial" w:eastAsia="Arial" w:hAnsi="Arial"/>
                <w:sz w:val="14"/>
                <w:szCs w:val="14"/>
                <w:b w:val="1"/>
                <w:bCs w:val="1"/>
                <w:color w:val="4800E6"/>
              </w:rPr>
              <w:t>2018</w:t>
            </w:r>
            <w:r>
              <w:rPr>
                <w:rFonts w:ascii="Arial" w:cs="Arial" w:eastAsia="Arial" w:hAnsi="Arial"/>
                <w:sz w:val="21"/>
                <w:szCs w:val="21"/>
                <w:b w:val="1"/>
                <w:bCs w:val="1"/>
                <w:color w:val="4800E6"/>
                <w:vertAlign w:val="superscript"/>
              </w:rPr>
              <w:t>(1)</w:t>
            </w:r>
          </w:p>
        </w:tc>
      </w:tr>
      <w:tr>
        <w:trPr>
          <w:trHeight w:val="215"/>
        </w:trPr>
        <w:tc>
          <w:tcPr>
            <w:tcW w:w="3320" w:type="dxa"/>
            <w:vAlign w:val="bottom"/>
          </w:tcPr>
          <w:p>
            <w:pPr>
              <w:ind w:left="40"/>
              <w:spacing w:after="0"/>
              <w:rPr>
                <w:sz w:val="20"/>
                <w:szCs w:val="20"/>
                <w:color w:val="auto"/>
              </w:rPr>
            </w:pPr>
            <w:r>
              <w:rPr>
                <w:rFonts w:ascii="Arial" w:cs="Arial" w:eastAsia="Arial" w:hAnsi="Arial"/>
                <w:sz w:val="15"/>
                <w:szCs w:val="15"/>
                <w:color w:val="auto"/>
              </w:rPr>
              <w:t>Damien McDonald</w:t>
            </w:r>
          </w:p>
        </w:tc>
        <w:tc>
          <w:tcPr>
            <w:tcW w:w="3360" w:type="dxa"/>
            <w:vAlign w:val="bottom"/>
          </w:tcPr>
          <w:p>
            <w:pPr>
              <w:jc w:val="right"/>
              <w:ind w:right="45"/>
              <w:spacing w:after="0"/>
              <w:rPr>
                <w:sz w:val="20"/>
                <w:szCs w:val="20"/>
                <w:color w:val="auto"/>
              </w:rPr>
            </w:pPr>
            <w:r>
              <w:rPr>
                <w:rFonts w:ascii="Arial" w:cs="Arial" w:eastAsia="Arial" w:hAnsi="Arial"/>
                <w:sz w:val="15"/>
                <w:szCs w:val="15"/>
                <w:color w:val="auto"/>
              </w:rPr>
              <w:t>933,202</w:t>
            </w:r>
          </w:p>
        </w:tc>
        <w:tc>
          <w:tcPr>
            <w:tcW w:w="1420" w:type="dxa"/>
            <w:vAlign w:val="bottom"/>
          </w:tcPr>
          <w:p>
            <w:pPr>
              <w:jc w:val="right"/>
              <w:ind w:right="45"/>
              <w:spacing w:after="0"/>
              <w:rPr>
                <w:sz w:val="20"/>
                <w:szCs w:val="20"/>
                <w:color w:val="auto"/>
              </w:rPr>
            </w:pPr>
            <w:r>
              <w:rPr>
                <w:rFonts w:ascii="Arial" w:cs="Arial" w:eastAsia="Arial" w:hAnsi="Arial"/>
                <w:sz w:val="15"/>
                <w:szCs w:val="15"/>
                <w:color w:val="auto"/>
              </w:rPr>
              <w:t>933,202</w:t>
            </w:r>
          </w:p>
        </w:tc>
        <w:tc>
          <w:tcPr>
            <w:tcW w:w="1080" w:type="dxa"/>
            <w:vAlign w:val="bottom"/>
          </w:tcPr>
          <w:p>
            <w:pPr>
              <w:jc w:val="right"/>
              <w:spacing w:after="0"/>
              <w:rPr>
                <w:sz w:val="20"/>
                <w:szCs w:val="20"/>
                <w:color w:val="auto"/>
              </w:rPr>
            </w:pPr>
            <w:r>
              <w:rPr>
                <w:rFonts w:ascii="Arial" w:cs="Arial" w:eastAsia="Arial" w:hAnsi="Arial"/>
                <w:sz w:val="15"/>
                <w:szCs w:val="15"/>
                <w:color w:val="auto"/>
              </w:rPr>
              <w:t>0%</w:t>
            </w:r>
          </w:p>
        </w:tc>
      </w:tr>
      <w:tr>
        <w:trPr>
          <w:trHeight w:val="22"/>
        </w:trPr>
        <w:tc>
          <w:tcPr>
            <w:tcW w:w="3320" w:type="dxa"/>
            <w:vAlign w:val="bottom"/>
          </w:tcPr>
          <w:p>
            <w:pPr>
              <w:spacing w:after="0" w:line="20" w:lineRule="exact"/>
              <w:rPr>
                <w:sz w:val="1"/>
                <w:szCs w:val="1"/>
                <w:color w:val="auto"/>
              </w:rPr>
            </w:pPr>
          </w:p>
        </w:tc>
        <w:tc>
          <w:tcPr>
            <w:tcW w:w="336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r>
      <w:tr>
        <w:trPr>
          <w:trHeight w:val="250"/>
        </w:trPr>
        <w:tc>
          <w:tcPr>
            <w:tcW w:w="3320" w:type="dxa"/>
            <w:vAlign w:val="bottom"/>
            <w:tcBorders>
              <w:bottom w:val="single" w:sz="8" w:color="EFE9FC"/>
            </w:tcBorders>
            <w:shd w:val="clear" w:color="auto" w:fill="EFE9FC"/>
          </w:tcPr>
          <w:p>
            <w:pPr>
              <w:ind w:left="40"/>
              <w:spacing w:after="0"/>
              <w:rPr>
                <w:sz w:val="20"/>
                <w:szCs w:val="20"/>
                <w:color w:val="auto"/>
              </w:rPr>
            </w:pPr>
            <w:r>
              <w:rPr>
                <w:rFonts w:ascii="Arial" w:cs="Arial" w:eastAsia="Arial" w:hAnsi="Arial"/>
                <w:sz w:val="15"/>
                <w:szCs w:val="15"/>
                <w:color w:val="auto"/>
              </w:rPr>
              <w:t>Thad Huston</w:t>
            </w:r>
          </w:p>
        </w:tc>
        <w:tc>
          <w:tcPr>
            <w:tcW w:w="3360" w:type="dxa"/>
            <w:vAlign w:val="bottom"/>
            <w:tcBorders>
              <w:bottom w:val="single" w:sz="8" w:color="EFE9FC"/>
            </w:tcBorders>
            <w:shd w:val="clear" w:color="auto" w:fill="EFE9FC"/>
          </w:tcPr>
          <w:p>
            <w:pPr>
              <w:jc w:val="right"/>
              <w:ind w:right="45"/>
              <w:spacing w:after="0"/>
              <w:rPr>
                <w:sz w:val="20"/>
                <w:szCs w:val="20"/>
                <w:color w:val="auto"/>
              </w:rPr>
            </w:pPr>
            <w:r>
              <w:rPr>
                <w:rFonts w:ascii="Arial" w:cs="Arial" w:eastAsia="Arial" w:hAnsi="Arial"/>
                <w:sz w:val="15"/>
                <w:szCs w:val="15"/>
                <w:color w:val="auto"/>
              </w:rPr>
              <w:t>516,674</w:t>
            </w:r>
          </w:p>
        </w:tc>
        <w:tc>
          <w:tcPr>
            <w:tcW w:w="1420" w:type="dxa"/>
            <w:vAlign w:val="bottom"/>
            <w:tcBorders>
              <w:bottom w:val="single" w:sz="8" w:color="EFE9FC"/>
            </w:tcBorders>
            <w:shd w:val="clear" w:color="auto" w:fill="EFE9FC"/>
          </w:tcPr>
          <w:p>
            <w:pPr>
              <w:jc w:val="right"/>
              <w:ind w:right="45"/>
              <w:spacing w:after="0"/>
              <w:rPr>
                <w:sz w:val="20"/>
                <w:szCs w:val="20"/>
                <w:color w:val="auto"/>
              </w:rPr>
            </w:pPr>
            <w:r>
              <w:rPr>
                <w:rFonts w:ascii="Arial" w:cs="Arial" w:eastAsia="Arial" w:hAnsi="Arial"/>
                <w:sz w:val="15"/>
                <w:szCs w:val="15"/>
                <w:color w:val="auto"/>
              </w:rPr>
              <w:t>492,754</w:t>
            </w:r>
          </w:p>
        </w:tc>
        <w:tc>
          <w:tcPr>
            <w:tcW w:w="1080" w:type="dxa"/>
            <w:vAlign w:val="bottom"/>
            <w:tcBorders>
              <w:bottom w:val="single" w:sz="8" w:color="EFE9FC"/>
            </w:tcBorders>
            <w:shd w:val="clear" w:color="auto" w:fill="EFE9FC"/>
          </w:tcPr>
          <w:p>
            <w:pPr>
              <w:jc w:val="right"/>
              <w:spacing w:after="0"/>
              <w:rPr>
                <w:sz w:val="20"/>
                <w:szCs w:val="20"/>
                <w:color w:val="auto"/>
              </w:rPr>
            </w:pPr>
            <w:r>
              <w:rPr>
                <w:rFonts w:ascii="Arial" w:cs="Arial" w:eastAsia="Arial" w:hAnsi="Arial"/>
                <w:sz w:val="15"/>
                <w:szCs w:val="15"/>
                <w:color w:val="auto"/>
              </w:rPr>
              <w:t>5%</w:t>
            </w:r>
          </w:p>
        </w:tc>
      </w:tr>
      <w:tr>
        <w:trPr>
          <w:trHeight w:val="222"/>
        </w:trPr>
        <w:tc>
          <w:tcPr>
            <w:tcW w:w="3320" w:type="dxa"/>
            <w:vAlign w:val="bottom"/>
          </w:tcPr>
          <w:p>
            <w:pPr>
              <w:ind w:left="40"/>
              <w:spacing w:after="0"/>
              <w:rPr>
                <w:sz w:val="20"/>
                <w:szCs w:val="20"/>
                <w:color w:val="auto"/>
              </w:rPr>
            </w:pPr>
            <w:r>
              <w:rPr>
                <w:rFonts w:ascii="Arial" w:cs="Arial" w:eastAsia="Arial" w:hAnsi="Arial"/>
                <w:sz w:val="15"/>
                <w:szCs w:val="15"/>
                <w:color w:val="auto"/>
              </w:rPr>
              <w:t>Keyna Skeffington</w:t>
            </w:r>
          </w:p>
        </w:tc>
        <w:tc>
          <w:tcPr>
            <w:tcW w:w="3360" w:type="dxa"/>
            <w:vAlign w:val="bottom"/>
          </w:tcPr>
          <w:p>
            <w:pPr>
              <w:jc w:val="right"/>
              <w:ind w:right="45"/>
              <w:spacing w:after="0"/>
              <w:rPr>
                <w:sz w:val="20"/>
                <w:szCs w:val="20"/>
                <w:color w:val="auto"/>
              </w:rPr>
            </w:pPr>
            <w:r>
              <w:rPr>
                <w:rFonts w:ascii="Arial" w:cs="Arial" w:eastAsia="Arial" w:hAnsi="Arial"/>
                <w:sz w:val="15"/>
                <w:szCs w:val="15"/>
                <w:color w:val="auto"/>
              </w:rPr>
              <w:t>433,751</w:t>
            </w:r>
          </w:p>
        </w:tc>
        <w:tc>
          <w:tcPr>
            <w:tcW w:w="1420" w:type="dxa"/>
            <w:vAlign w:val="bottom"/>
          </w:tcPr>
          <w:p>
            <w:pPr>
              <w:jc w:val="right"/>
              <w:ind w:right="45"/>
              <w:spacing w:after="0"/>
              <w:rPr>
                <w:sz w:val="20"/>
                <w:szCs w:val="20"/>
                <w:color w:val="auto"/>
              </w:rPr>
            </w:pPr>
            <w:r>
              <w:rPr>
                <w:rFonts w:ascii="Arial" w:cs="Arial" w:eastAsia="Arial" w:hAnsi="Arial"/>
                <w:sz w:val="15"/>
                <w:szCs w:val="15"/>
                <w:color w:val="auto"/>
              </w:rPr>
              <w:t>395,479</w:t>
            </w:r>
          </w:p>
        </w:tc>
        <w:tc>
          <w:tcPr>
            <w:tcW w:w="1080" w:type="dxa"/>
            <w:vAlign w:val="bottom"/>
          </w:tcPr>
          <w:p>
            <w:pPr>
              <w:jc w:val="right"/>
              <w:spacing w:after="0"/>
              <w:rPr>
                <w:sz w:val="20"/>
                <w:szCs w:val="20"/>
                <w:color w:val="auto"/>
              </w:rPr>
            </w:pPr>
            <w:r>
              <w:rPr>
                <w:rFonts w:ascii="Arial" w:cs="Arial" w:eastAsia="Arial" w:hAnsi="Arial"/>
                <w:sz w:val="15"/>
                <w:szCs w:val="15"/>
                <w:color w:val="auto"/>
              </w:rPr>
              <w:t>10%</w:t>
            </w:r>
          </w:p>
        </w:tc>
      </w:tr>
      <w:tr>
        <w:trPr>
          <w:trHeight w:val="22"/>
        </w:trPr>
        <w:tc>
          <w:tcPr>
            <w:tcW w:w="3320" w:type="dxa"/>
            <w:vAlign w:val="bottom"/>
          </w:tcPr>
          <w:p>
            <w:pPr>
              <w:spacing w:after="0" w:line="20" w:lineRule="exact"/>
              <w:rPr>
                <w:sz w:val="1"/>
                <w:szCs w:val="1"/>
                <w:color w:val="auto"/>
              </w:rPr>
            </w:pPr>
          </w:p>
        </w:tc>
        <w:tc>
          <w:tcPr>
            <w:tcW w:w="336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r>
      <w:tr>
        <w:trPr>
          <w:trHeight w:val="250"/>
        </w:trPr>
        <w:tc>
          <w:tcPr>
            <w:tcW w:w="3320" w:type="dxa"/>
            <w:vAlign w:val="bottom"/>
            <w:tcBorders>
              <w:bottom w:val="single" w:sz="8" w:color="EFE9FC"/>
            </w:tcBorders>
            <w:shd w:val="clear" w:color="auto" w:fill="EFE9FC"/>
          </w:tcPr>
          <w:p>
            <w:pPr>
              <w:ind w:left="40"/>
              <w:spacing w:after="0"/>
              <w:rPr>
                <w:sz w:val="20"/>
                <w:szCs w:val="20"/>
                <w:color w:val="auto"/>
              </w:rPr>
            </w:pPr>
            <w:r>
              <w:rPr>
                <w:rFonts w:ascii="Arial" w:cs="Arial" w:eastAsia="Arial" w:hAnsi="Arial"/>
                <w:sz w:val="15"/>
                <w:szCs w:val="15"/>
                <w:color w:val="auto"/>
              </w:rPr>
              <w:t>Edward Andrle</w:t>
            </w:r>
          </w:p>
        </w:tc>
        <w:tc>
          <w:tcPr>
            <w:tcW w:w="3360" w:type="dxa"/>
            <w:vAlign w:val="bottom"/>
            <w:tcBorders>
              <w:bottom w:val="single" w:sz="8" w:color="EFE9FC"/>
            </w:tcBorders>
            <w:shd w:val="clear" w:color="auto" w:fill="EFE9FC"/>
          </w:tcPr>
          <w:p>
            <w:pPr>
              <w:jc w:val="right"/>
              <w:ind w:right="45"/>
              <w:spacing w:after="0"/>
              <w:rPr>
                <w:sz w:val="20"/>
                <w:szCs w:val="20"/>
                <w:color w:val="auto"/>
              </w:rPr>
            </w:pPr>
            <w:r>
              <w:rPr>
                <w:rFonts w:ascii="Arial" w:cs="Arial" w:eastAsia="Arial" w:hAnsi="Arial"/>
                <w:sz w:val="15"/>
                <w:szCs w:val="15"/>
                <w:color w:val="auto"/>
              </w:rPr>
              <w:t>440,000</w:t>
            </w:r>
          </w:p>
        </w:tc>
        <w:tc>
          <w:tcPr>
            <w:tcW w:w="1420" w:type="dxa"/>
            <w:vAlign w:val="bottom"/>
            <w:tcBorders>
              <w:bottom w:val="single" w:sz="8" w:color="EFE9FC"/>
            </w:tcBorders>
            <w:shd w:val="clear" w:color="auto" w:fill="EFE9FC"/>
          </w:tcPr>
          <w:p>
            <w:pPr>
              <w:jc w:val="right"/>
              <w:ind w:right="45"/>
              <w:spacing w:after="0"/>
              <w:rPr>
                <w:sz w:val="20"/>
                <w:szCs w:val="20"/>
                <w:color w:val="auto"/>
              </w:rPr>
            </w:pPr>
            <w:r>
              <w:rPr>
                <w:rFonts w:ascii="Arial" w:cs="Arial" w:eastAsia="Arial" w:hAnsi="Arial"/>
                <w:sz w:val="15"/>
                <w:szCs w:val="15"/>
                <w:color w:val="auto"/>
              </w:rPr>
              <w:t>400,000</w:t>
            </w:r>
          </w:p>
        </w:tc>
        <w:tc>
          <w:tcPr>
            <w:tcW w:w="1080" w:type="dxa"/>
            <w:vAlign w:val="bottom"/>
            <w:tcBorders>
              <w:bottom w:val="single" w:sz="8" w:color="EFE9FC"/>
            </w:tcBorders>
            <w:shd w:val="clear" w:color="auto" w:fill="EFE9FC"/>
          </w:tcPr>
          <w:p>
            <w:pPr>
              <w:jc w:val="right"/>
              <w:spacing w:after="0"/>
              <w:rPr>
                <w:sz w:val="20"/>
                <w:szCs w:val="20"/>
                <w:color w:val="auto"/>
              </w:rPr>
            </w:pPr>
            <w:r>
              <w:rPr>
                <w:rFonts w:ascii="Arial" w:cs="Arial" w:eastAsia="Arial" w:hAnsi="Arial"/>
                <w:sz w:val="15"/>
                <w:szCs w:val="15"/>
                <w:color w:val="auto"/>
              </w:rPr>
              <w:t>10%</w:t>
            </w:r>
          </w:p>
        </w:tc>
      </w:tr>
      <w:tr>
        <w:trPr>
          <w:trHeight w:val="221"/>
        </w:trPr>
        <w:tc>
          <w:tcPr>
            <w:tcW w:w="3320" w:type="dxa"/>
            <w:vAlign w:val="bottom"/>
          </w:tcPr>
          <w:p>
            <w:pPr>
              <w:ind w:left="40"/>
              <w:spacing w:after="0"/>
              <w:rPr>
                <w:sz w:val="20"/>
                <w:szCs w:val="20"/>
                <w:color w:val="auto"/>
              </w:rPr>
            </w:pPr>
            <w:r>
              <w:rPr>
                <w:rFonts w:ascii="Arial" w:cs="Arial" w:eastAsia="Arial" w:hAnsi="Arial"/>
                <w:sz w:val="15"/>
                <w:szCs w:val="15"/>
                <w:color w:val="auto"/>
              </w:rPr>
              <w:t>Alistair Simpson</w:t>
            </w:r>
          </w:p>
        </w:tc>
        <w:tc>
          <w:tcPr>
            <w:tcW w:w="3360" w:type="dxa"/>
            <w:vAlign w:val="bottom"/>
          </w:tcPr>
          <w:p>
            <w:pPr>
              <w:jc w:val="right"/>
              <w:ind w:right="45"/>
              <w:spacing w:after="0"/>
              <w:rPr>
                <w:sz w:val="20"/>
                <w:szCs w:val="20"/>
                <w:color w:val="auto"/>
              </w:rPr>
            </w:pPr>
            <w:r>
              <w:rPr>
                <w:rFonts w:ascii="Arial" w:cs="Arial" w:eastAsia="Arial" w:hAnsi="Arial"/>
                <w:sz w:val="15"/>
                <w:szCs w:val="15"/>
                <w:color w:val="auto"/>
              </w:rPr>
              <w:t>433,751</w:t>
            </w:r>
          </w:p>
        </w:tc>
        <w:tc>
          <w:tcPr>
            <w:tcW w:w="1420" w:type="dxa"/>
            <w:vAlign w:val="bottom"/>
          </w:tcPr>
          <w:p>
            <w:pPr>
              <w:jc w:val="right"/>
              <w:ind w:right="45"/>
              <w:spacing w:after="0"/>
              <w:rPr>
                <w:sz w:val="20"/>
                <w:szCs w:val="20"/>
                <w:color w:val="auto"/>
              </w:rPr>
            </w:pPr>
            <w:r>
              <w:rPr>
                <w:rFonts w:ascii="Arial" w:cs="Arial" w:eastAsia="Arial" w:hAnsi="Arial"/>
                <w:sz w:val="15"/>
                <w:szCs w:val="15"/>
                <w:color w:val="auto"/>
              </w:rPr>
              <w:t>395,479</w:t>
            </w:r>
          </w:p>
        </w:tc>
        <w:tc>
          <w:tcPr>
            <w:tcW w:w="1080" w:type="dxa"/>
            <w:vAlign w:val="bottom"/>
          </w:tcPr>
          <w:p>
            <w:pPr>
              <w:jc w:val="right"/>
              <w:spacing w:after="0"/>
              <w:rPr>
                <w:sz w:val="20"/>
                <w:szCs w:val="20"/>
                <w:color w:val="auto"/>
              </w:rPr>
            </w:pPr>
            <w:r>
              <w:rPr>
                <w:rFonts w:ascii="Arial" w:cs="Arial" w:eastAsia="Arial" w:hAnsi="Arial"/>
                <w:sz w:val="15"/>
                <w:szCs w:val="15"/>
                <w:color w:val="auto"/>
              </w:rPr>
              <w:t>10%</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485140</wp:posOffset>
            </wp:positionH>
            <wp:positionV relativeFrom="paragraph">
              <wp:posOffset>13970</wp:posOffset>
            </wp:positionV>
            <wp:extent cx="5829300" cy="8255"/>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5829300" cy="8255"/>
                    </a:xfrm>
                    <a:prstGeom prst="rect">
                      <a:avLst/>
                    </a:prstGeom>
                    <a:noFill/>
                  </pic:spPr>
                </pic:pic>
              </a:graphicData>
            </a:graphic>
          </wp:anchor>
        </w:drawing>
      </w:r>
    </w:p>
    <w:p>
      <w:pPr>
        <w:spacing w:after="0" w:line="27" w:lineRule="exact"/>
        <w:rPr>
          <w:sz w:val="20"/>
          <w:szCs w:val="20"/>
          <w:color w:val="auto"/>
        </w:rPr>
      </w:pPr>
    </w:p>
    <w:p>
      <w:pPr>
        <w:jc w:val="both"/>
        <w:ind w:left="980" w:right="359" w:hanging="216"/>
        <w:spacing w:after="0" w:line="259" w:lineRule="auto"/>
        <w:tabs>
          <w:tab w:leader="none" w:pos="980" w:val="left"/>
        </w:tabs>
        <w:numPr>
          <w:ilvl w:val="0"/>
          <w:numId w:val="55"/>
        </w:numPr>
        <w:rPr>
          <w:rFonts w:ascii="Arial" w:cs="Arial" w:eastAsia="Arial" w:hAnsi="Arial"/>
          <w:sz w:val="13"/>
          <w:szCs w:val="13"/>
          <w:i w:val="1"/>
          <w:iCs w:val="1"/>
          <w:color w:val="auto"/>
        </w:rPr>
      </w:pPr>
      <w:r>
        <w:rPr>
          <w:rFonts w:ascii="Arial" w:cs="Arial" w:eastAsia="Arial" w:hAnsi="Arial"/>
          <w:sz w:val="13"/>
          <w:szCs w:val="13"/>
          <w:i w:val="1"/>
          <w:iCs w:val="1"/>
          <w:color w:val="auto"/>
        </w:rPr>
        <w:t>For salary amounts, we used an exchange rate of $1.275738014 per British Pound, each of which reflects the applicable period average published rate from our BOPC Accounting System between January 1, 2019 and December 31, 2019. The BOPC Accounting System uses Bloomberg as a source to obtain exchange rates.</w:t>
      </w:r>
    </w:p>
    <w:p>
      <w:pPr>
        <w:spacing w:after="0" w:line="59" w:lineRule="exact"/>
        <w:rPr>
          <w:sz w:val="20"/>
          <w:szCs w:val="20"/>
          <w:color w:val="auto"/>
        </w:rPr>
      </w:pPr>
    </w:p>
    <w:p>
      <w:pPr>
        <w:ind w:left="760" w:right="219"/>
        <w:spacing w:after="0" w:line="286" w:lineRule="auto"/>
        <w:rPr>
          <w:sz w:val="20"/>
          <w:szCs w:val="20"/>
          <w:color w:val="auto"/>
        </w:rPr>
      </w:pPr>
      <w:r>
        <w:rPr>
          <w:rFonts w:ascii="Arial" w:cs="Arial" w:eastAsia="Arial" w:hAnsi="Arial"/>
          <w:sz w:val="15"/>
          <w:szCs w:val="15"/>
          <w:color w:val="auto"/>
        </w:rPr>
        <w:t>The table below shows the benchmarking data provided by the Committee’s independent consultant, Pearl Meyer, based on U.S. benchmarking data for target total cash (Base Salary and 2019 STIP at Target). Pearl Meyer reviews LivaNova’s compensation peer group to assess whether the roster remains appropriate for benchmarking executive compensation. The review is part of the annual process to maintain alignment between the Company and the companies with which the Company competes for talent. The Committee did not benchmark Messrs. Andrle and Simpson, as they became executive officers effective January 1, 2019. The Compensation Committee seeks to pay at the median but, as indicated below and in other benchmarking disclosure in this CD&amp;A, Mr. Huston’s compensation is above the median because we stretched to hire him from his former employer, Johnson &amp; Johnson.</w:t>
      </w:r>
    </w:p>
    <w:p>
      <w:pPr>
        <w:spacing w:after="0" w:line="139" w:lineRule="exact"/>
        <w:rPr>
          <w:sz w:val="20"/>
          <w:szCs w:val="20"/>
          <w:color w:val="auto"/>
        </w:rPr>
      </w:pPr>
    </w:p>
    <w:tbl>
      <w:tblPr>
        <w:tblLayout w:type="fixed"/>
        <w:tblInd w:w="760" w:type="dxa"/>
        <w:tblCellMar>
          <w:top w:w="0" w:type="dxa"/>
          <w:left w:w="0" w:type="dxa"/>
          <w:bottom w:w="0" w:type="dxa"/>
          <w:right w:w="0" w:type="dxa"/>
        </w:tblCellMar>
      </w:tblPr>
      <w:tr>
        <w:trPr>
          <w:trHeight w:val="162"/>
        </w:trPr>
        <w:tc>
          <w:tcPr>
            <w:tcW w:w="4600" w:type="dxa"/>
            <w:vAlign w:val="bottom"/>
          </w:tcPr>
          <w:p>
            <w:pPr>
              <w:spacing w:after="0"/>
              <w:rPr>
                <w:sz w:val="14"/>
                <w:szCs w:val="14"/>
                <w:color w:val="auto"/>
              </w:rPr>
            </w:pPr>
          </w:p>
        </w:tc>
        <w:tc>
          <w:tcPr>
            <w:tcW w:w="4580" w:type="dxa"/>
            <w:vAlign w:val="bottom"/>
          </w:tcPr>
          <w:p>
            <w:pPr>
              <w:jc w:val="right"/>
              <w:ind w:right="26"/>
              <w:spacing w:after="0"/>
              <w:rPr>
                <w:sz w:val="20"/>
                <w:szCs w:val="20"/>
                <w:color w:val="auto"/>
              </w:rPr>
            </w:pPr>
            <w:r>
              <w:rPr>
                <w:rFonts w:ascii="Arial" w:cs="Arial" w:eastAsia="Arial" w:hAnsi="Arial"/>
                <w:sz w:val="14"/>
                <w:szCs w:val="14"/>
                <w:b w:val="1"/>
                <w:bCs w:val="1"/>
                <w:color w:val="4800E6"/>
              </w:rPr>
              <w:t>U.S. Target Total</w:t>
            </w:r>
          </w:p>
        </w:tc>
      </w:tr>
      <w:tr>
        <w:trPr>
          <w:trHeight w:val="162"/>
        </w:trPr>
        <w:tc>
          <w:tcPr>
            <w:tcW w:w="4600" w:type="dxa"/>
            <w:vAlign w:val="bottom"/>
          </w:tcPr>
          <w:p>
            <w:pPr>
              <w:spacing w:after="0"/>
              <w:rPr>
                <w:sz w:val="14"/>
                <w:szCs w:val="14"/>
                <w:color w:val="auto"/>
              </w:rPr>
            </w:pPr>
          </w:p>
        </w:tc>
        <w:tc>
          <w:tcPr>
            <w:tcW w:w="4580" w:type="dxa"/>
            <w:vAlign w:val="bottom"/>
          </w:tcPr>
          <w:p>
            <w:pPr>
              <w:jc w:val="right"/>
              <w:ind w:right="26"/>
              <w:spacing w:after="0"/>
              <w:rPr>
                <w:sz w:val="20"/>
                <w:szCs w:val="20"/>
                <w:color w:val="auto"/>
              </w:rPr>
            </w:pPr>
            <w:r>
              <w:rPr>
                <w:rFonts w:ascii="Arial" w:cs="Arial" w:eastAsia="Arial" w:hAnsi="Arial"/>
                <w:sz w:val="14"/>
                <w:szCs w:val="14"/>
                <w:b w:val="1"/>
                <w:bCs w:val="1"/>
                <w:color w:val="4800E6"/>
              </w:rPr>
              <w:t>Cash Benchmark</w:t>
            </w:r>
          </w:p>
        </w:tc>
      </w:tr>
      <w:tr>
        <w:trPr>
          <w:trHeight w:val="196"/>
        </w:trPr>
        <w:tc>
          <w:tcPr>
            <w:tcW w:w="4600" w:type="dxa"/>
            <w:vAlign w:val="bottom"/>
            <w:tcBorders>
              <w:bottom w:val="single" w:sz="8" w:color="4800E6"/>
            </w:tcBorders>
          </w:tcPr>
          <w:p>
            <w:pPr>
              <w:spacing w:after="0"/>
              <w:rPr>
                <w:sz w:val="17"/>
                <w:szCs w:val="17"/>
                <w:color w:val="auto"/>
              </w:rPr>
            </w:pPr>
          </w:p>
        </w:tc>
        <w:tc>
          <w:tcPr>
            <w:tcW w:w="4580" w:type="dxa"/>
            <w:vAlign w:val="bottom"/>
            <w:tcBorders>
              <w:bottom w:val="single" w:sz="8" w:color="4800E6"/>
            </w:tcBorders>
          </w:tcPr>
          <w:p>
            <w:pPr>
              <w:jc w:val="right"/>
              <w:spacing w:after="0"/>
              <w:rPr>
                <w:sz w:val="20"/>
                <w:szCs w:val="20"/>
                <w:color w:val="auto"/>
              </w:rPr>
            </w:pPr>
            <w:r>
              <w:rPr>
                <w:rFonts w:ascii="Arial" w:cs="Arial" w:eastAsia="Arial" w:hAnsi="Arial"/>
                <w:sz w:val="14"/>
                <w:szCs w:val="14"/>
                <w:b w:val="1"/>
                <w:bCs w:val="1"/>
                <w:color w:val="4800E6"/>
              </w:rPr>
              <w:t>Percentile</w:t>
            </w:r>
          </w:p>
        </w:tc>
      </w:tr>
      <w:tr>
        <w:trPr>
          <w:trHeight w:val="221"/>
        </w:trPr>
        <w:tc>
          <w:tcPr>
            <w:tcW w:w="4600" w:type="dxa"/>
            <w:vAlign w:val="bottom"/>
          </w:tcPr>
          <w:p>
            <w:pPr>
              <w:ind w:left="40"/>
              <w:spacing w:after="0"/>
              <w:rPr>
                <w:sz w:val="20"/>
                <w:szCs w:val="20"/>
                <w:color w:val="auto"/>
              </w:rPr>
            </w:pPr>
            <w:r>
              <w:rPr>
                <w:rFonts w:ascii="Arial" w:cs="Arial" w:eastAsia="Arial" w:hAnsi="Arial"/>
                <w:sz w:val="15"/>
                <w:szCs w:val="15"/>
                <w:color w:val="auto"/>
              </w:rPr>
              <w:t>Damien McDonald</w:t>
            </w:r>
          </w:p>
        </w:tc>
        <w:tc>
          <w:tcPr>
            <w:tcW w:w="4580" w:type="dxa"/>
            <w:vAlign w:val="bottom"/>
          </w:tcPr>
          <w:p>
            <w:pPr>
              <w:jc w:val="right"/>
              <w:spacing w:after="0"/>
              <w:rPr>
                <w:sz w:val="20"/>
                <w:szCs w:val="20"/>
                <w:color w:val="auto"/>
              </w:rPr>
            </w:pPr>
            <w:r>
              <w:rPr>
                <w:rFonts w:ascii="Arial" w:cs="Arial" w:eastAsia="Arial" w:hAnsi="Arial"/>
                <w:sz w:val="15"/>
                <w:szCs w:val="15"/>
                <w:color w:val="auto"/>
              </w:rPr>
              <w:t>69th</w:t>
            </w:r>
          </w:p>
        </w:tc>
      </w:tr>
      <w:tr>
        <w:trPr>
          <w:trHeight w:val="22"/>
        </w:trPr>
        <w:tc>
          <w:tcPr>
            <w:tcW w:w="4600" w:type="dxa"/>
            <w:vAlign w:val="bottom"/>
          </w:tcPr>
          <w:p>
            <w:pPr>
              <w:spacing w:after="0" w:line="20" w:lineRule="exact"/>
              <w:rPr>
                <w:sz w:val="1"/>
                <w:szCs w:val="1"/>
                <w:color w:val="auto"/>
              </w:rPr>
            </w:pPr>
          </w:p>
        </w:tc>
        <w:tc>
          <w:tcPr>
            <w:tcW w:w="4580" w:type="dxa"/>
            <w:vAlign w:val="bottom"/>
          </w:tcPr>
          <w:p>
            <w:pPr>
              <w:spacing w:after="0" w:line="20" w:lineRule="exact"/>
              <w:rPr>
                <w:sz w:val="1"/>
                <w:szCs w:val="1"/>
                <w:color w:val="auto"/>
              </w:rPr>
            </w:pPr>
          </w:p>
        </w:tc>
      </w:tr>
      <w:tr>
        <w:trPr>
          <w:trHeight w:val="250"/>
        </w:trPr>
        <w:tc>
          <w:tcPr>
            <w:tcW w:w="4600" w:type="dxa"/>
            <w:vAlign w:val="bottom"/>
            <w:tcBorders>
              <w:bottom w:val="single" w:sz="8" w:color="EFE9FC"/>
            </w:tcBorders>
            <w:shd w:val="clear" w:color="auto" w:fill="EFE9FC"/>
          </w:tcPr>
          <w:p>
            <w:pPr>
              <w:ind w:left="40"/>
              <w:spacing w:after="0"/>
              <w:rPr>
                <w:sz w:val="20"/>
                <w:szCs w:val="20"/>
                <w:color w:val="auto"/>
              </w:rPr>
            </w:pPr>
            <w:r>
              <w:rPr>
                <w:rFonts w:ascii="Arial" w:cs="Arial" w:eastAsia="Arial" w:hAnsi="Arial"/>
                <w:sz w:val="15"/>
                <w:szCs w:val="15"/>
                <w:color w:val="auto"/>
              </w:rPr>
              <w:t>Thad Huston</w:t>
            </w:r>
          </w:p>
        </w:tc>
        <w:tc>
          <w:tcPr>
            <w:tcW w:w="4580" w:type="dxa"/>
            <w:vAlign w:val="bottom"/>
            <w:tcBorders>
              <w:bottom w:val="single" w:sz="8" w:color="EFE9FC"/>
            </w:tcBorders>
            <w:shd w:val="clear" w:color="auto" w:fill="EFE9FC"/>
          </w:tcPr>
          <w:p>
            <w:pPr>
              <w:jc w:val="right"/>
              <w:spacing w:after="0"/>
              <w:rPr>
                <w:sz w:val="20"/>
                <w:szCs w:val="20"/>
                <w:color w:val="auto"/>
              </w:rPr>
            </w:pPr>
            <w:r>
              <w:rPr>
                <w:rFonts w:ascii="Arial" w:cs="Arial" w:eastAsia="Arial" w:hAnsi="Arial"/>
                <w:sz w:val="15"/>
                <w:szCs w:val="15"/>
                <w:color w:val="auto"/>
              </w:rPr>
              <w:t>&gt;75th</w:t>
            </w:r>
          </w:p>
        </w:tc>
      </w:tr>
      <w:tr>
        <w:trPr>
          <w:trHeight w:val="221"/>
        </w:trPr>
        <w:tc>
          <w:tcPr>
            <w:tcW w:w="4600" w:type="dxa"/>
            <w:vAlign w:val="bottom"/>
          </w:tcPr>
          <w:p>
            <w:pPr>
              <w:ind w:left="40"/>
              <w:spacing w:after="0"/>
              <w:rPr>
                <w:sz w:val="20"/>
                <w:szCs w:val="20"/>
                <w:color w:val="auto"/>
              </w:rPr>
            </w:pPr>
            <w:r>
              <w:rPr>
                <w:rFonts w:ascii="Arial" w:cs="Arial" w:eastAsia="Arial" w:hAnsi="Arial"/>
                <w:sz w:val="15"/>
                <w:szCs w:val="15"/>
                <w:color w:val="auto"/>
              </w:rPr>
              <w:t>Keyna Skeffington</w:t>
            </w:r>
          </w:p>
        </w:tc>
        <w:tc>
          <w:tcPr>
            <w:tcW w:w="4580" w:type="dxa"/>
            <w:vAlign w:val="bottom"/>
          </w:tcPr>
          <w:p>
            <w:pPr>
              <w:jc w:val="right"/>
              <w:spacing w:after="0"/>
              <w:rPr>
                <w:sz w:val="20"/>
                <w:szCs w:val="20"/>
                <w:color w:val="auto"/>
              </w:rPr>
            </w:pPr>
            <w:r>
              <w:rPr>
                <w:rFonts w:ascii="Arial" w:cs="Arial" w:eastAsia="Arial" w:hAnsi="Arial"/>
                <w:sz w:val="15"/>
                <w:szCs w:val="15"/>
                <w:color w:val="auto"/>
              </w:rPr>
              <w:t>51st</w:t>
            </w:r>
          </w:p>
        </w:tc>
      </w:tr>
      <w:tr>
        <w:trPr>
          <w:trHeight w:val="22"/>
        </w:trPr>
        <w:tc>
          <w:tcPr>
            <w:tcW w:w="4600" w:type="dxa"/>
            <w:vAlign w:val="bottom"/>
            <w:tcBorders>
              <w:bottom w:val="single" w:sz="8" w:color="4800E6"/>
            </w:tcBorders>
          </w:tcPr>
          <w:p>
            <w:pPr>
              <w:spacing w:after="0" w:line="20" w:lineRule="exact"/>
              <w:rPr>
                <w:sz w:val="1"/>
                <w:szCs w:val="1"/>
                <w:color w:val="auto"/>
              </w:rPr>
            </w:pPr>
          </w:p>
        </w:tc>
        <w:tc>
          <w:tcPr>
            <w:tcW w:w="4580" w:type="dxa"/>
            <w:vAlign w:val="bottom"/>
            <w:tcBorders>
              <w:bottom w:val="single" w:sz="8" w:color="4800E6"/>
            </w:tcBorders>
          </w:tcPr>
          <w:p>
            <w:pPr>
              <w:spacing w:after="0" w:line="20" w:lineRule="exact"/>
              <w:rPr>
                <w:sz w:val="1"/>
                <w:szCs w:val="1"/>
                <w:color w:val="auto"/>
              </w:rPr>
            </w:pPr>
          </w:p>
        </w:tc>
      </w:tr>
    </w:tbl>
    <w:p>
      <w:pPr>
        <w:spacing w:after="0" w:line="260" w:lineRule="exact"/>
        <w:rPr>
          <w:sz w:val="20"/>
          <w:szCs w:val="20"/>
          <w:color w:val="auto"/>
        </w:rPr>
      </w:pPr>
    </w:p>
    <w:p>
      <w:pPr>
        <w:ind w:left="760"/>
        <w:spacing w:after="0"/>
        <w:rPr>
          <w:sz w:val="20"/>
          <w:szCs w:val="20"/>
          <w:color w:val="auto"/>
        </w:rPr>
      </w:pPr>
      <w:r>
        <w:rPr>
          <w:rFonts w:ascii="Arial" w:cs="Arial" w:eastAsia="Arial" w:hAnsi="Arial"/>
          <w:sz w:val="23"/>
          <w:szCs w:val="23"/>
          <w:b w:val="1"/>
          <w:bCs w:val="1"/>
          <w:color w:val="auto"/>
        </w:rPr>
        <w:t>2019 Short-Term Incentive Plan (the “2019 STIP”)</w:t>
      </w:r>
    </w:p>
    <w:p>
      <w:pPr>
        <w:spacing w:after="0" w:line="139" w:lineRule="exact"/>
        <w:rPr>
          <w:sz w:val="20"/>
          <w:szCs w:val="20"/>
          <w:color w:val="auto"/>
        </w:rPr>
      </w:pPr>
    </w:p>
    <w:p>
      <w:pPr>
        <w:ind w:left="760" w:right="299"/>
        <w:spacing w:after="0" w:line="271" w:lineRule="auto"/>
        <w:rPr>
          <w:sz w:val="20"/>
          <w:szCs w:val="20"/>
          <w:color w:val="auto"/>
        </w:rPr>
      </w:pPr>
      <w:r>
        <w:rPr>
          <w:rFonts w:ascii="Arial" w:cs="Arial" w:eastAsia="Arial" w:hAnsi="Arial"/>
          <w:sz w:val="16"/>
          <w:szCs w:val="16"/>
          <w:color w:val="auto"/>
        </w:rPr>
        <w:t>Our STIP is an annual cash-based incentive bonus plan and is an important component of our total compensation program. It provides incentives that compensate our executive officers for achieving objectives intended to enhance shareholder value. It also promotes retention of our NEOs.</w:t>
      </w:r>
    </w:p>
    <w:p>
      <w:pPr>
        <w:spacing w:after="0" w:line="65" w:lineRule="exact"/>
        <w:rPr>
          <w:sz w:val="20"/>
          <w:szCs w:val="20"/>
          <w:color w:val="auto"/>
        </w:rPr>
      </w:pPr>
    </w:p>
    <w:p>
      <w:pPr>
        <w:ind w:left="760" w:right="279"/>
        <w:spacing w:after="0" w:line="267" w:lineRule="auto"/>
        <w:rPr>
          <w:sz w:val="20"/>
          <w:szCs w:val="20"/>
          <w:color w:val="auto"/>
        </w:rPr>
      </w:pPr>
      <w:r>
        <w:rPr>
          <w:rFonts w:ascii="Arial" w:cs="Arial" w:eastAsia="Arial" w:hAnsi="Arial"/>
          <w:sz w:val="16"/>
          <w:szCs w:val="16"/>
          <w:color w:val="auto"/>
        </w:rPr>
        <w:t>Under English company law, we are obliged to adopt a remuneration policy for our directors, including our CEO, who is also a director. Under that shareholder-approved remuneration policy, our CEO’s maximum short-term incentive opportunity cannot exceed 200% of his base salary. At present, Mr. McDonald’s award under the STIP could exceed the 200% cap, but in the case of a calculated payment higher than 200%, the Compensation Committee would affirmatively act to reduce the award to not exceed 200% of his base salary in compliance with the UK remuneration policy.</w:t>
      </w:r>
    </w:p>
    <w:p>
      <w:pPr>
        <w:spacing w:after="0" w:line="84" w:lineRule="exact"/>
        <w:rPr>
          <w:sz w:val="20"/>
          <w:szCs w:val="20"/>
          <w:color w:val="auto"/>
        </w:rPr>
      </w:pPr>
    </w:p>
    <w:p>
      <w:pPr>
        <w:ind w:left="760"/>
        <w:spacing w:after="0"/>
        <w:rPr>
          <w:sz w:val="20"/>
          <w:szCs w:val="20"/>
          <w:color w:val="auto"/>
        </w:rPr>
      </w:pPr>
      <w:r>
        <w:rPr>
          <w:rFonts w:ascii="Arial" w:cs="Arial" w:eastAsia="Arial" w:hAnsi="Arial"/>
          <w:sz w:val="15"/>
          <w:szCs w:val="15"/>
          <w:color w:val="auto"/>
        </w:rPr>
        <w:t>The table below shows the minimum, Target and maximum achievement of the short-term incentive payment under the 2019 STIP:</w:t>
      </w:r>
    </w:p>
    <w:p>
      <w:pPr>
        <w:spacing w:after="0" w:line="177" w:lineRule="exact"/>
        <w:rPr>
          <w:sz w:val="20"/>
          <w:szCs w:val="20"/>
          <w:color w:val="auto"/>
        </w:rPr>
      </w:pPr>
    </w:p>
    <w:tbl>
      <w:tblPr>
        <w:tblLayout w:type="fixed"/>
        <w:tblInd w:w="760" w:type="dxa"/>
        <w:tblCellMar>
          <w:top w:w="0" w:type="dxa"/>
          <w:left w:w="0" w:type="dxa"/>
          <w:bottom w:w="0" w:type="dxa"/>
          <w:right w:w="0" w:type="dxa"/>
        </w:tblCellMar>
      </w:tblPr>
      <w:tr>
        <w:trPr>
          <w:trHeight w:val="175"/>
        </w:trPr>
        <w:tc>
          <w:tcPr>
            <w:tcW w:w="3000" w:type="dxa"/>
            <w:vAlign w:val="bottom"/>
          </w:tcPr>
          <w:p>
            <w:pPr>
              <w:spacing w:after="0"/>
              <w:rPr>
                <w:sz w:val="15"/>
                <w:szCs w:val="15"/>
                <w:color w:val="auto"/>
              </w:rPr>
            </w:pPr>
          </w:p>
        </w:tc>
        <w:tc>
          <w:tcPr>
            <w:tcW w:w="3220" w:type="dxa"/>
            <w:vAlign w:val="bottom"/>
          </w:tcPr>
          <w:p>
            <w:pPr>
              <w:jc w:val="right"/>
              <w:ind w:right="85"/>
              <w:spacing w:after="0"/>
              <w:rPr>
                <w:sz w:val="20"/>
                <w:szCs w:val="20"/>
                <w:color w:val="auto"/>
              </w:rPr>
            </w:pPr>
            <w:r>
              <w:rPr>
                <w:rFonts w:ascii="Arial" w:cs="Arial" w:eastAsia="Arial" w:hAnsi="Arial"/>
                <w:sz w:val="14"/>
                <w:szCs w:val="14"/>
                <w:b w:val="1"/>
                <w:bCs w:val="1"/>
                <w:color w:val="4800E6"/>
              </w:rPr>
              <w:t>2019 STIP Minimum</w:t>
            </w:r>
          </w:p>
        </w:tc>
        <w:tc>
          <w:tcPr>
            <w:tcW w:w="1400" w:type="dxa"/>
            <w:vAlign w:val="bottom"/>
          </w:tcPr>
          <w:p>
            <w:pPr>
              <w:jc w:val="right"/>
              <w:ind w:right="85"/>
              <w:spacing w:after="0"/>
              <w:rPr>
                <w:sz w:val="20"/>
                <w:szCs w:val="20"/>
                <w:color w:val="auto"/>
              </w:rPr>
            </w:pPr>
            <w:r>
              <w:rPr>
                <w:rFonts w:ascii="Arial" w:cs="Arial" w:eastAsia="Arial" w:hAnsi="Arial"/>
                <w:sz w:val="14"/>
                <w:szCs w:val="14"/>
                <w:b w:val="1"/>
                <w:bCs w:val="1"/>
                <w:color w:val="4800E6"/>
              </w:rPr>
              <w:t>2019 STIP Target</w:t>
            </w:r>
          </w:p>
        </w:tc>
        <w:tc>
          <w:tcPr>
            <w:tcW w:w="1560" w:type="dxa"/>
            <w:vAlign w:val="bottom"/>
          </w:tcPr>
          <w:p>
            <w:pPr>
              <w:jc w:val="right"/>
              <w:ind w:right="25"/>
              <w:spacing w:after="0"/>
              <w:rPr>
                <w:sz w:val="20"/>
                <w:szCs w:val="20"/>
                <w:color w:val="auto"/>
              </w:rPr>
            </w:pPr>
            <w:r>
              <w:rPr>
                <w:rFonts w:ascii="Arial" w:cs="Arial" w:eastAsia="Arial" w:hAnsi="Arial"/>
                <w:sz w:val="14"/>
                <w:szCs w:val="14"/>
                <w:b w:val="1"/>
                <w:bCs w:val="1"/>
                <w:color w:val="4800E6"/>
              </w:rPr>
              <w:t>2019 STIP Maximum</w:t>
            </w:r>
          </w:p>
        </w:tc>
      </w:tr>
      <w:tr>
        <w:trPr>
          <w:trHeight w:val="162"/>
        </w:trPr>
        <w:tc>
          <w:tcPr>
            <w:tcW w:w="3000" w:type="dxa"/>
            <w:vAlign w:val="bottom"/>
          </w:tcPr>
          <w:p>
            <w:pPr>
              <w:spacing w:after="0"/>
              <w:rPr>
                <w:sz w:val="14"/>
                <w:szCs w:val="14"/>
                <w:color w:val="auto"/>
              </w:rPr>
            </w:pPr>
          </w:p>
        </w:tc>
        <w:tc>
          <w:tcPr>
            <w:tcW w:w="3220" w:type="dxa"/>
            <w:vAlign w:val="bottom"/>
          </w:tcPr>
          <w:p>
            <w:pPr>
              <w:jc w:val="right"/>
              <w:ind w:right="85"/>
              <w:spacing w:after="0"/>
              <w:rPr>
                <w:sz w:val="20"/>
                <w:szCs w:val="20"/>
                <w:color w:val="auto"/>
              </w:rPr>
            </w:pPr>
            <w:r>
              <w:rPr>
                <w:rFonts w:ascii="Arial" w:cs="Arial" w:eastAsia="Arial" w:hAnsi="Arial"/>
                <w:sz w:val="14"/>
                <w:szCs w:val="14"/>
                <w:b w:val="1"/>
                <w:bCs w:val="1"/>
                <w:color w:val="4800E6"/>
              </w:rPr>
              <w:t>(Percentage of</w:t>
            </w:r>
          </w:p>
        </w:tc>
        <w:tc>
          <w:tcPr>
            <w:tcW w:w="1400" w:type="dxa"/>
            <w:vAlign w:val="bottom"/>
          </w:tcPr>
          <w:p>
            <w:pPr>
              <w:jc w:val="right"/>
              <w:ind w:right="85"/>
              <w:spacing w:after="0"/>
              <w:rPr>
                <w:sz w:val="20"/>
                <w:szCs w:val="20"/>
                <w:color w:val="auto"/>
              </w:rPr>
            </w:pPr>
            <w:r>
              <w:rPr>
                <w:rFonts w:ascii="Arial" w:cs="Arial" w:eastAsia="Arial" w:hAnsi="Arial"/>
                <w:sz w:val="14"/>
                <w:szCs w:val="14"/>
                <w:b w:val="1"/>
                <w:bCs w:val="1"/>
                <w:color w:val="4800E6"/>
              </w:rPr>
              <w:t>(Percentage of</w:t>
            </w:r>
          </w:p>
        </w:tc>
        <w:tc>
          <w:tcPr>
            <w:tcW w:w="1560" w:type="dxa"/>
            <w:vAlign w:val="bottom"/>
          </w:tcPr>
          <w:p>
            <w:pPr>
              <w:jc w:val="right"/>
              <w:ind w:right="25"/>
              <w:spacing w:after="0"/>
              <w:rPr>
                <w:sz w:val="20"/>
                <w:szCs w:val="20"/>
                <w:color w:val="auto"/>
              </w:rPr>
            </w:pPr>
            <w:r>
              <w:rPr>
                <w:rFonts w:ascii="Arial" w:cs="Arial" w:eastAsia="Arial" w:hAnsi="Arial"/>
                <w:sz w:val="14"/>
                <w:szCs w:val="14"/>
                <w:b w:val="1"/>
                <w:bCs w:val="1"/>
                <w:color w:val="4800E6"/>
              </w:rPr>
              <w:t>(Percentage of</w:t>
            </w:r>
          </w:p>
        </w:tc>
      </w:tr>
      <w:tr>
        <w:trPr>
          <w:trHeight w:val="216"/>
        </w:trPr>
        <w:tc>
          <w:tcPr>
            <w:tcW w:w="3000" w:type="dxa"/>
            <w:vAlign w:val="bottom"/>
            <w:tcBorders>
              <w:bottom w:val="single" w:sz="8" w:color="4800E6"/>
            </w:tcBorders>
          </w:tcPr>
          <w:p>
            <w:pPr>
              <w:ind w:left="40"/>
              <w:spacing w:after="0"/>
              <w:rPr>
                <w:sz w:val="20"/>
                <w:szCs w:val="20"/>
                <w:color w:val="auto"/>
              </w:rPr>
            </w:pPr>
            <w:r>
              <w:rPr>
                <w:rFonts w:ascii="Arial" w:cs="Arial" w:eastAsia="Arial" w:hAnsi="Arial"/>
                <w:sz w:val="14"/>
                <w:szCs w:val="14"/>
                <w:b w:val="1"/>
                <w:bCs w:val="1"/>
                <w:color w:val="4800E6"/>
              </w:rPr>
              <w:t>Name</w:t>
            </w:r>
          </w:p>
        </w:tc>
        <w:tc>
          <w:tcPr>
            <w:tcW w:w="3220" w:type="dxa"/>
            <w:vAlign w:val="bottom"/>
            <w:tcBorders>
              <w:bottom w:val="single" w:sz="8" w:color="4800E6"/>
            </w:tcBorders>
          </w:tcPr>
          <w:p>
            <w:pPr>
              <w:jc w:val="right"/>
              <w:ind w:right="45"/>
              <w:spacing w:after="0"/>
              <w:rPr>
                <w:sz w:val="20"/>
                <w:szCs w:val="20"/>
                <w:color w:val="auto"/>
              </w:rPr>
            </w:pPr>
            <w:r>
              <w:rPr>
                <w:rFonts w:ascii="Arial" w:cs="Arial" w:eastAsia="Arial" w:hAnsi="Arial"/>
                <w:sz w:val="14"/>
                <w:szCs w:val="14"/>
                <w:b w:val="1"/>
                <w:bCs w:val="1"/>
                <w:color w:val="4800E6"/>
              </w:rPr>
              <w:t>Base Salary)</w:t>
            </w:r>
          </w:p>
        </w:tc>
        <w:tc>
          <w:tcPr>
            <w:tcW w:w="1400" w:type="dxa"/>
            <w:vAlign w:val="bottom"/>
            <w:tcBorders>
              <w:bottom w:val="single" w:sz="8" w:color="4800E6"/>
            </w:tcBorders>
          </w:tcPr>
          <w:p>
            <w:pPr>
              <w:jc w:val="right"/>
              <w:ind w:right="65"/>
              <w:spacing w:after="0" w:line="216" w:lineRule="exact"/>
              <w:rPr>
                <w:sz w:val="20"/>
                <w:szCs w:val="20"/>
                <w:color w:val="auto"/>
              </w:rPr>
            </w:pPr>
            <w:r>
              <w:rPr>
                <w:rFonts w:ascii="Arial" w:cs="Arial" w:eastAsia="Arial" w:hAnsi="Arial"/>
                <w:sz w:val="14"/>
                <w:szCs w:val="14"/>
                <w:b w:val="1"/>
                <w:bCs w:val="1"/>
                <w:color w:val="4800E6"/>
              </w:rPr>
              <w:t>Base Salary)</w:t>
            </w:r>
            <w:r>
              <w:rPr>
                <w:rFonts w:ascii="Arial" w:cs="Arial" w:eastAsia="Arial" w:hAnsi="Arial"/>
                <w:sz w:val="21"/>
                <w:szCs w:val="21"/>
                <w:b w:val="1"/>
                <w:bCs w:val="1"/>
                <w:color w:val="4800E6"/>
                <w:vertAlign w:val="superscript"/>
              </w:rPr>
              <w:t>(1)</w:t>
            </w:r>
          </w:p>
        </w:tc>
        <w:tc>
          <w:tcPr>
            <w:tcW w:w="1560" w:type="dxa"/>
            <w:vAlign w:val="bottom"/>
            <w:tcBorders>
              <w:bottom w:val="single" w:sz="8" w:color="4800E6"/>
            </w:tcBorders>
          </w:tcPr>
          <w:p>
            <w:pPr>
              <w:jc w:val="right"/>
              <w:spacing w:after="0"/>
              <w:rPr>
                <w:sz w:val="20"/>
                <w:szCs w:val="20"/>
                <w:color w:val="auto"/>
              </w:rPr>
            </w:pPr>
            <w:r>
              <w:rPr>
                <w:rFonts w:ascii="Arial" w:cs="Arial" w:eastAsia="Arial" w:hAnsi="Arial"/>
                <w:sz w:val="14"/>
                <w:szCs w:val="14"/>
                <w:b w:val="1"/>
                <w:bCs w:val="1"/>
                <w:color w:val="4800E6"/>
              </w:rPr>
              <w:t>Target)</w:t>
            </w:r>
          </w:p>
        </w:tc>
      </w:tr>
      <w:tr>
        <w:trPr>
          <w:trHeight w:val="215"/>
        </w:trPr>
        <w:tc>
          <w:tcPr>
            <w:tcW w:w="3000" w:type="dxa"/>
            <w:vAlign w:val="bottom"/>
          </w:tcPr>
          <w:p>
            <w:pPr>
              <w:ind w:left="40"/>
              <w:spacing w:after="0"/>
              <w:rPr>
                <w:sz w:val="20"/>
                <w:szCs w:val="20"/>
                <w:color w:val="auto"/>
              </w:rPr>
            </w:pPr>
            <w:r>
              <w:rPr>
                <w:rFonts w:ascii="Arial" w:cs="Arial" w:eastAsia="Arial" w:hAnsi="Arial"/>
                <w:sz w:val="15"/>
                <w:szCs w:val="15"/>
                <w:color w:val="auto"/>
              </w:rPr>
              <w:t>Damien McDonald</w:t>
            </w:r>
          </w:p>
        </w:tc>
        <w:tc>
          <w:tcPr>
            <w:tcW w:w="3220" w:type="dxa"/>
            <w:vAlign w:val="bottom"/>
          </w:tcPr>
          <w:p>
            <w:pPr>
              <w:jc w:val="right"/>
              <w:ind w:right="45"/>
              <w:spacing w:after="0"/>
              <w:rPr>
                <w:sz w:val="20"/>
                <w:szCs w:val="20"/>
                <w:color w:val="auto"/>
              </w:rPr>
            </w:pPr>
            <w:r>
              <w:rPr>
                <w:rFonts w:ascii="Arial" w:cs="Arial" w:eastAsia="Arial" w:hAnsi="Arial"/>
                <w:sz w:val="15"/>
                <w:szCs w:val="15"/>
                <w:color w:val="auto"/>
              </w:rPr>
              <w:t>0%</w:t>
            </w:r>
          </w:p>
        </w:tc>
        <w:tc>
          <w:tcPr>
            <w:tcW w:w="1400" w:type="dxa"/>
            <w:vAlign w:val="bottom"/>
          </w:tcPr>
          <w:p>
            <w:pPr>
              <w:jc w:val="right"/>
              <w:ind w:right="45"/>
              <w:spacing w:after="0"/>
              <w:rPr>
                <w:sz w:val="20"/>
                <w:szCs w:val="20"/>
                <w:color w:val="auto"/>
              </w:rPr>
            </w:pPr>
            <w:r>
              <w:rPr>
                <w:rFonts w:ascii="Arial" w:cs="Arial" w:eastAsia="Arial" w:hAnsi="Arial"/>
                <w:sz w:val="15"/>
                <w:szCs w:val="15"/>
                <w:color w:val="auto"/>
              </w:rPr>
              <w:t>125%</w:t>
            </w:r>
          </w:p>
        </w:tc>
        <w:tc>
          <w:tcPr>
            <w:tcW w:w="1560" w:type="dxa"/>
            <w:vAlign w:val="bottom"/>
          </w:tcPr>
          <w:p>
            <w:pPr>
              <w:jc w:val="right"/>
              <w:spacing w:after="0"/>
              <w:rPr>
                <w:sz w:val="20"/>
                <w:szCs w:val="20"/>
                <w:color w:val="auto"/>
              </w:rPr>
            </w:pPr>
            <w:r>
              <w:rPr>
                <w:rFonts w:ascii="Arial" w:cs="Arial" w:eastAsia="Arial" w:hAnsi="Arial"/>
                <w:sz w:val="15"/>
                <w:szCs w:val="15"/>
                <w:color w:val="auto"/>
              </w:rPr>
              <w:t>171%</w:t>
            </w:r>
          </w:p>
        </w:tc>
      </w:tr>
      <w:tr>
        <w:trPr>
          <w:trHeight w:val="22"/>
        </w:trPr>
        <w:tc>
          <w:tcPr>
            <w:tcW w:w="3000" w:type="dxa"/>
            <w:vAlign w:val="bottom"/>
          </w:tcPr>
          <w:p>
            <w:pPr>
              <w:spacing w:after="0" w:line="20" w:lineRule="exact"/>
              <w:rPr>
                <w:sz w:val="1"/>
                <w:szCs w:val="1"/>
                <w:color w:val="auto"/>
              </w:rPr>
            </w:pPr>
          </w:p>
        </w:tc>
        <w:tc>
          <w:tcPr>
            <w:tcW w:w="322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r>
      <w:tr>
        <w:trPr>
          <w:trHeight w:val="250"/>
        </w:trPr>
        <w:tc>
          <w:tcPr>
            <w:tcW w:w="3000" w:type="dxa"/>
            <w:vAlign w:val="bottom"/>
            <w:tcBorders>
              <w:bottom w:val="single" w:sz="8" w:color="EFE9FC"/>
            </w:tcBorders>
            <w:shd w:val="clear" w:color="auto" w:fill="EFE9FC"/>
          </w:tcPr>
          <w:p>
            <w:pPr>
              <w:ind w:left="40"/>
              <w:spacing w:after="0"/>
              <w:rPr>
                <w:sz w:val="20"/>
                <w:szCs w:val="20"/>
                <w:color w:val="auto"/>
              </w:rPr>
            </w:pPr>
            <w:r>
              <w:rPr>
                <w:rFonts w:ascii="Arial" w:cs="Arial" w:eastAsia="Arial" w:hAnsi="Arial"/>
                <w:sz w:val="15"/>
                <w:szCs w:val="15"/>
                <w:color w:val="auto"/>
              </w:rPr>
              <w:t>Thad Huston</w:t>
            </w:r>
          </w:p>
        </w:tc>
        <w:tc>
          <w:tcPr>
            <w:tcW w:w="3220" w:type="dxa"/>
            <w:vAlign w:val="bottom"/>
            <w:tcBorders>
              <w:bottom w:val="single" w:sz="8" w:color="EFE9FC"/>
            </w:tcBorders>
            <w:shd w:val="clear" w:color="auto" w:fill="EFE9FC"/>
          </w:tcPr>
          <w:p>
            <w:pPr>
              <w:jc w:val="right"/>
              <w:ind w:right="45"/>
              <w:spacing w:after="0"/>
              <w:rPr>
                <w:sz w:val="20"/>
                <w:szCs w:val="20"/>
                <w:color w:val="auto"/>
              </w:rPr>
            </w:pPr>
            <w:r>
              <w:rPr>
                <w:rFonts w:ascii="Arial" w:cs="Arial" w:eastAsia="Arial" w:hAnsi="Arial"/>
                <w:sz w:val="15"/>
                <w:szCs w:val="15"/>
                <w:color w:val="auto"/>
              </w:rPr>
              <w:t>0%</w:t>
            </w:r>
          </w:p>
        </w:tc>
        <w:tc>
          <w:tcPr>
            <w:tcW w:w="1400" w:type="dxa"/>
            <w:vAlign w:val="bottom"/>
            <w:tcBorders>
              <w:bottom w:val="single" w:sz="8" w:color="EFE9FC"/>
            </w:tcBorders>
            <w:shd w:val="clear" w:color="auto" w:fill="EFE9FC"/>
          </w:tcPr>
          <w:p>
            <w:pPr>
              <w:jc w:val="right"/>
              <w:ind w:right="45"/>
              <w:spacing w:after="0"/>
              <w:rPr>
                <w:sz w:val="20"/>
                <w:szCs w:val="20"/>
                <w:color w:val="auto"/>
              </w:rPr>
            </w:pPr>
            <w:r>
              <w:rPr>
                <w:rFonts w:ascii="Arial" w:cs="Arial" w:eastAsia="Arial" w:hAnsi="Arial"/>
                <w:sz w:val="15"/>
                <w:szCs w:val="15"/>
                <w:color w:val="auto"/>
              </w:rPr>
              <w:t>90%</w:t>
            </w:r>
          </w:p>
        </w:tc>
        <w:tc>
          <w:tcPr>
            <w:tcW w:w="1560" w:type="dxa"/>
            <w:vAlign w:val="bottom"/>
            <w:tcBorders>
              <w:bottom w:val="single" w:sz="8" w:color="EFE9FC"/>
            </w:tcBorders>
            <w:shd w:val="clear" w:color="auto" w:fill="EFE9FC"/>
          </w:tcPr>
          <w:p>
            <w:pPr>
              <w:jc w:val="right"/>
              <w:spacing w:after="0"/>
              <w:rPr>
                <w:sz w:val="20"/>
                <w:szCs w:val="20"/>
                <w:color w:val="auto"/>
              </w:rPr>
            </w:pPr>
            <w:r>
              <w:rPr>
                <w:rFonts w:ascii="Arial" w:cs="Arial" w:eastAsia="Arial" w:hAnsi="Arial"/>
                <w:sz w:val="15"/>
                <w:szCs w:val="15"/>
                <w:color w:val="auto"/>
              </w:rPr>
              <w:t>160%</w:t>
            </w:r>
          </w:p>
        </w:tc>
      </w:tr>
      <w:tr>
        <w:trPr>
          <w:trHeight w:val="221"/>
        </w:trPr>
        <w:tc>
          <w:tcPr>
            <w:tcW w:w="3000" w:type="dxa"/>
            <w:vAlign w:val="bottom"/>
          </w:tcPr>
          <w:p>
            <w:pPr>
              <w:ind w:left="40"/>
              <w:spacing w:after="0"/>
              <w:rPr>
                <w:sz w:val="20"/>
                <w:szCs w:val="20"/>
                <w:color w:val="auto"/>
              </w:rPr>
            </w:pPr>
            <w:r>
              <w:rPr>
                <w:rFonts w:ascii="Arial" w:cs="Arial" w:eastAsia="Arial" w:hAnsi="Arial"/>
                <w:sz w:val="15"/>
                <w:szCs w:val="15"/>
                <w:color w:val="auto"/>
              </w:rPr>
              <w:t>Keyna Skeffington</w:t>
            </w:r>
          </w:p>
        </w:tc>
        <w:tc>
          <w:tcPr>
            <w:tcW w:w="3220" w:type="dxa"/>
            <w:vAlign w:val="bottom"/>
          </w:tcPr>
          <w:p>
            <w:pPr>
              <w:jc w:val="right"/>
              <w:ind w:right="45"/>
              <w:spacing w:after="0"/>
              <w:rPr>
                <w:sz w:val="20"/>
                <w:szCs w:val="20"/>
                <w:color w:val="auto"/>
              </w:rPr>
            </w:pPr>
            <w:r>
              <w:rPr>
                <w:rFonts w:ascii="Arial" w:cs="Arial" w:eastAsia="Arial" w:hAnsi="Arial"/>
                <w:sz w:val="15"/>
                <w:szCs w:val="15"/>
                <w:color w:val="auto"/>
              </w:rPr>
              <w:t>0%</w:t>
            </w:r>
          </w:p>
        </w:tc>
        <w:tc>
          <w:tcPr>
            <w:tcW w:w="1400" w:type="dxa"/>
            <w:vAlign w:val="bottom"/>
          </w:tcPr>
          <w:p>
            <w:pPr>
              <w:jc w:val="right"/>
              <w:ind w:right="45"/>
              <w:spacing w:after="0"/>
              <w:rPr>
                <w:sz w:val="20"/>
                <w:szCs w:val="20"/>
                <w:color w:val="auto"/>
              </w:rPr>
            </w:pPr>
            <w:r>
              <w:rPr>
                <w:rFonts w:ascii="Arial" w:cs="Arial" w:eastAsia="Arial" w:hAnsi="Arial"/>
                <w:sz w:val="15"/>
                <w:szCs w:val="15"/>
                <w:color w:val="auto"/>
              </w:rPr>
              <w:t>70%</w:t>
            </w:r>
          </w:p>
        </w:tc>
        <w:tc>
          <w:tcPr>
            <w:tcW w:w="1560" w:type="dxa"/>
            <w:vAlign w:val="bottom"/>
          </w:tcPr>
          <w:p>
            <w:pPr>
              <w:jc w:val="right"/>
              <w:spacing w:after="0"/>
              <w:rPr>
                <w:sz w:val="20"/>
                <w:szCs w:val="20"/>
                <w:color w:val="auto"/>
              </w:rPr>
            </w:pPr>
            <w:r>
              <w:rPr>
                <w:rFonts w:ascii="Arial" w:cs="Arial" w:eastAsia="Arial" w:hAnsi="Arial"/>
                <w:sz w:val="15"/>
                <w:szCs w:val="15"/>
                <w:color w:val="auto"/>
              </w:rPr>
              <w:t>160%</w:t>
            </w:r>
          </w:p>
        </w:tc>
      </w:tr>
      <w:tr>
        <w:trPr>
          <w:trHeight w:val="22"/>
        </w:trPr>
        <w:tc>
          <w:tcPr>
            <w:tcW w:w="3000" w:type="dxa"/>
            <w:vAlign w:val="bottom"/>
          </w:tcPr>
          <w:p>
            <w:pPr>
              <w:spacing w:after="0" w:line="20" w:lineRule="exact"/>
              <w:rPr>
                <w:sz w:val="1"/>
                <w:szCs w:val="1"/>
                <w:color w:val="auto"/>
              </w:rPr>
            </w:pPr>
          </w:p>
        </w:tc>
        <w:tc>
          <w:tcPr>
            <w:tcW w:w="322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r>
      <w:tr>
        <w:trPr>
          <w:trHeight w:val="250"/>
        </w:trPr>
        <w:tc>
          <w:tcPr>
            <w:tcW w:w="3000" w:type="dxa"/>
            <w:vAlign w:val="bottom"/>
            <w:tcBorders>
              <w:bottom w:val="single" w:sz="8" w:color="EFE9FC"/>
            </w:tcBorders>
            <w:shd w:val="clear" w:color="auto" w:fill="EFE9FC"/>
          </w:tcPr>
          <w:p>
            <w:pPr>
              <w:ind w:left="40"/>
              <w:spacing w:after="0"/>
              <w:rPr>
                <w:sz w:val="20"/>
                <w:szCs w:val="20"/>
                <w:color w:val="auto"/>
              </w:rPr>
            </w:pPr>
            <w:r>
              <w:rPr>
                <w:rFonts w:ascii="Arial" w:cs="Arial" w:eastAsia="Arial" w:hAnsi="Arial"/>
                <w:sz w:val="15"/>
                <w:szCs w:val="15"/>
                <w:color w:val="auto"/>
              </w:rPr>
              <w:t>Edward Andrle</w:t>
            </w:r>
          </w:p>
        </w:tc>
        <w:tc>
          <w:tcPr>
            <w:tcW w:w="3220" w:type="dxa"/>
            <w:vAlign w:val="bottom"/>
            <w:tcBorders>
              <w:bottom w:val="single" w:sz="8" w:color="EFE9FC"/>
            </w:tcBorders>
            <w:shd w:val="clear" w:color="auto" w:fill="EFE9FC"/>
          </w:tcPr>
          <w:p>
            <w:pPr>
              <w:jc w:val="right"/>
              <w:ind w:right="45"/>
              <w:spacing w:after="0"/>
              <w:rPr>
                <w:sz w:val="20"/>
                <w:szCs w:val="20"/>
                <w:color w:val="auto"/>
              </w:rPr>
            </w:pPr>
            <w:r>
              <w:rPr>
                <w:rFonts w:ascii="Arial" w:cs="Arial" w:eastAsia="Arial" w:hAnsi="Arial"/>
                <w:sz w:val="15"/>
                <w:szCs w:val="15"/>
                <w:color w:val="auto"/>
              </w:rPr>
              <w:t>0%</w:t>
            </w:r>
          </w:p>
        </w:tc>
        <w:tc>
          <w:tcPr>
            <w:tcW w:w="1400" w:type="dxa"/>
            <w:vAlign w:val="bottom"/>
            <w:tcBorders>
              <w:bottom w:val="single" w:sz="8" w:color="EFE9FC"/>
            </w:tcBorders>
            <w:shd w:val="clear" w:color="auto" w:fill="EFE9FC"/>
          </w:tcPr>
          <w:p>
            <w:pPr>
              <w:jc w:val="right"/>
              <w:ind w:right="45"/>
              <w:spacing w:after="0"/>
              <w:rPr>
                <w:sz w:val="20"/>
                <w:szCs w:val="20"/>
                <w:color w:val="auto"/>
              </w:rPr>
            </w:pPr>
            <w:r>
              <w:rPr>
                <w:rFonts w:ascii="Arial" w:cs="Arial" w:eastAsia="Arial" w:hAnsi="Arial"/>
                <w:sz w:val="15"/>
                <w:szCs w:val="15"/>
                <w:color w:val="auto"/>
              </w:rPr>
              <w:t>65%</w:t>
            </w:r>
          </w:p>
        </w:tc>
        <w:tc>
          <w:tcPr>
            <w:tcW w:w="1560" w:type="dxa"/>
            <w:vAlign w:val="bottom"/>
            <w:tcBorders>
              <w:bottom w:val="single" w:sz="8" w:color="EFE9FC"/>
            </w:tcBorders>
            <w:shd w:val="clear" w:color="auto" w:fill="EFE9FC"/>
          </w:tcPr>
          <w:p>
            <w:pPr>
              <w:jc w:val="right"/>
              <w:spacing w:after="0"/>
              <w:rPr>
                <w:sz w:val="20"/>
                <w:szCs w:val="20"/>
                <w:color w:val="auto"/>
              </w:rPr>
            </w:pPr>
            <w:r>
              <w:rPr>
                <w:rFonts w:ascii="Arial" w:cs="Arial" w:eastAsia="Arial" w:hAnsi="Arial"/>
                <w:sz w:val="15"/>
                <w:szCs w:val="15"/>
                <w:color w:val="auto"/>
              </w:rPr>
              <w:t>156%</w:t>
            </w:r>
          </w:p>
        </w:tc>
      </w:tr>
      <w:tr>
        <w:trPr>
          <w:trHeight w:val="221"/>
        </w:trPr>
        <w:tc>
          <w:tcPr>
            <w:tcW w:w="3000" w:type="dxa"/>
            <w:vAlign w:val="bottom"/>
          </w:tcPr>
          <w:p>
            <w:pPr>
              <w:ind w:left="40"/>
              <w:spacing w:after="0"/>
              <w:rPr>
                <w:sz w:val="20"/>
                <w:szCs w:val="20"/>
                <w:color w:val="auto"/>
              </w:rPr>
            </w:pPr>
            <w:r>
              <w:rPr>
                <w:rFonts w:ascii="Arial" w:cs="Arial" w:eastAsia="Arial" w:hAnsi="Arial"/>
                <w:sz w:val="15"/>
                <w:szCs w:val="15"/>
                <w:color w:val="auto"/>
              </w:rPr>
              <w:t>Alistair Simpson</w:t>
            </w:r>
          </w:p>
        </w:tc>
        <w:tc>
          <w:tcPr>
            <w:tcW w:w="3220" w:type="dxa"/>
            <w:vAlign w:val="bottom"/>
          </w:tcPr>
          <w:p>
            <w:pPr>
              <w:jc w:val="right"/>
              <w:ind w:right="45"/>
              <w:spacing w:after="0"/>
              <w:rPr>
                <w:sz w:val="20"/>
                <w:szCs w:val="20"/>
                <w:color w:val="auto"/>
              </w:rPr>
            </w:pPr>
            <w:r>
              <w:rPr>
                <w:rFonts w:ascii="Arial" w:cs="Arial" w:eastAsia="Arial" w:hAnsi="Arial"/>
                <w:sz w:val="15"/>
                <w:szCs w:val="15"/>
                <w:color w:val="auto"/>
              </w:rPr>
              <w:t>0%</w:t>
            </w:r>
          </w:p>
        </w:tc>
        <w:tc>
          <w:tcPr>
            <w:tcW w:w="1400" w:type="dxa"/>
            <w:vAlign w:val="bottom"/>
          </w:tcPr>
          <w:p>
            <w:pPr>
              <w:jc w:val="right"/>
              <w:ind w:right="45"/>
              <w:spacing w:after="0"/>
              <w:rPr>
                <w:sz w:val="20"/>
                <w:szCs w:val="20"/>
                <w:color w:val="auto"/>
              </w:rPr>
            </w:pPr>
            <w:r>
              <w:rPr>
                <w:rFonts w:ascii="Arial" w:cs="Arial" w:eastAsia="Arial" w:hAnsi="Arial"/>
                <w:sz w:val="15"/>
                <w:szCs w:val="15"/>
                <w:color w:val="auto"/>
              </w:rPr>
              <w:t>60%</w:t>
            </w:r>
          </w:p>
        </w:tc>
        <w:tc>
          <w:tcPr>
            <w:tcW w:w="1560" w:type="dxa"/>
            <w:vAlign w:val="bottom"/>
          </w:tcPr>
          <w:p>
            <w:pPr>
              <w:jc w:val="right"/>
              <w:spacing w:after="0"/>
              <w:rPr>
                <w:sz w:val="20"/>
                <w:szCs w:val="20"/>
                <w:color w:val="auto"/>
              </w:rPr>
            </w:pPr>
            <w:r>
              <w:rPr>
                <w:rFonts w:ascii="Arial" w:cs="Arial" w:eastAsia="Arial" w:hAnsi="Arial"/>
                <w:sz w:val="15"/>
                <w:szCs w:val="15"/>
                <w:color w:val="auto"/>
              </w:rPr>
              <w:t>156%</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485140</wp:posOffset>
            </wp:positionH>
            <wp:positionV relativeFrom="paragraph">
              <wp:posOffset>13335</wp:posOffset>
            </wp:positionV>
            <wp:extent cx="5829300" cy="8890"/>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5829300" cy="8890"/>
                    </a:xfrm>
                    <a:prstGeom prst="rect">
                      <a:avLst/>
                    </a:prstGeom>
                    <a:noFill/>
                  </pic:spPr>
                </pic:pic>
              </a:graphicData>
            </a:graphic>
          </wp:anchor>
        </w:drawing>
      </w:r>
    </w:p>
    <w:p>
      <w:pPr>
        <w:spacing w:after="0" w:line="27" w:lineRule="exact"/>
        <w:rPr>
          <w:sz w:val="20"/>
          <w:szCs w:val="20"/>
          <w:color w:val="auto"/>
        </w:rPr>
      </w:pPr>
    </w:p>
    <w:p>
      <w:pPr>
        <w:ind w:left="980" w:hanging="216"/>
        <w:spacing w:after="0"/>
        <w:tabs>
          <w:tab w:leader="none" w:pos="980" w:val="left"/>
        </w:tabs>
        <w:numPr>
          <w:ilvl w:val="0"/>
          <w:numId w:val="56"/>
        </w:numPr>
        <w:rPr>
          <w:rFonts w:ascii="Arial" w:cs="Arial" w:eastAsia="Arial" w:hAnsi="Arial"/>
          <w:sz w:val="13"/>
          <w:szCs w:val="13"/>
          <w:i w:val="1"/>
          <w:iCs w:val="1"/>
          <w:color w:val="auto"/>
        </w:rPr>
      </w:pPr>
      <w:r>
        <w:rPr>
          <w:rFonts w:ascii="Arial" w:cs="Arial" w:eastAsia="Arial" w:hAnsi="Arial"/>
          <w:sz w:val="13"/>
          <w:szCs w:val="13"/>
          <w:i w:val="1"/>
          <w:iCs w:val="1"/>
          <w:color w:val="auto"/>
        </w:rPr>
        <w:t>The Target Percentages for the following NEOs changed in 2019 as follows: Damien McDonald: 100% from January through March and increased to</w:t>
      </w:r>
    </w:p>
    <w:p>
      <w:pPr>
        <w:spacing w:after="0" w:line="13" w:lineRule="exact"/>
        <w:rPr>
          <w:rFonts w:ascii="Arial" w:cs="Arial" w:eastAsia="Arial" w:hAnsi="Arial"/>
          <w:sz w:val="13"/>
          <w:szCs w:val="13"/>
          <w:i w:val="1"/>
          <w:iCs w:val="1"/>
          <w:color w:val="auto"/>
        </w:rPr>
      </w:pPr>
    </w:p>
    <w:p>
      <w:pPr>
        <w:ind w:left="980"/>
        <w:spacing w:after="0"/>
        <w:rPr>
          <w:rFonts w:ascii="Arial" w:cs="Arial" w:eastAsia="Arial" w:hAnsi="Arial"/>
          <w:sz w:val="13"/>
          <w:szCs w:val="13"/>
          <w:i w:val="1"/>
          <w:iCs w:val="1"/>
          <w:color w:val="auto"/>
        </w:rPr>
      </w:pPr>
      <w:r>
        <w:rPr>
          <w:rFonts w:ascii="Arial" w:cs="Arial" w:eastAsia="Arial" w:hAnsi="Arial"/>
          <w:sz w:val="13"/>
          <w:szCs w:val="13"/>
          <w:i w:val="1"/>
          <w:iCs w:val="1"/>
          <w:color w:val="auto"/>
        </w:rPr>
        <w:t>125% effective April 1, 2019; Keyna Skeffington: 60% from January through March 31, 2019 and increased to 70% effective April 1, 2019; Ed Andrle:</w:t>
      </w:r>
    </w:p>
    <w:p>
      <w:pPr>
        <w:ind w:left="980" w:right="499"/>
        <w:spacing w:after="0" w:line="258" w:lineRule="auto"/>
        <w:rPr>
          <w:rFonts w:ascii="Arial" w:cs="Arial" w:eastAsia="Arial" w:hAnsi="Arial"/>
          <w:sz w:val="13"/>
          <w:szCs w:val="13"/>
          <w:i w:val="1"/>
          <w:iCs w:val="1"/>
          <w:color w:val="auto"/>
        </w:rPr>
      </w:pPr>
      <w:r>
        <w:rPr>
          <w:rFonts w:ascii="Arial" w:cs="Arial" w:eastAsia="Arial" w:hAnsi="Arial"/>
          <w:sz w:val="13"/>
          <w:szCs w:val="13"/>
          <w:i w:val="1"/>
          <w:iCs w:val="1"/>
          <w:color w:val="auto"/>
        </w:rPr>
        <w:t>60% from January through March 31, 2019 and increased to 65% effective April 1, 2019; and Alistair Simpson: 50% from January through March 31, 2019 and increased to 60% effective April 1, 2019.</w:t>
      </w:r>
    </w:p>
    <w:p>
      <w:pPr>
        <w:ind w:left="480"/>
        <w:spacing w:after="0"/>
        <w:tabs>
          <w:tab w:leader="none" w:pos="4400" w:val="left"/>
          <w:tab w:leader="none" w:pos="8760" w:val="left"/>
        </w:tabs>
        <w:rPr>
          <w:sz w:val="20"/>
          <w:szCs w:val="20"/>
          <w:color w:val="auto"/>
        </w:rPr>
      </w:pPr>
      <w:r>
        <w:rPr>
          <w:rFonts w:ascii="Arial" w:cs="Arial" w:eastAsia="Arial" w:hAnsi="Arial"/>
          <w:sz w:val="29"/>
          <w:szCs w:val="29"/>
          <w:b w:val="1"/>
          <w:bCs w:val="1"/>
          <w:color w:val="auto"/>
          <w:vertAlign w:val="subscript"/>
        </w:rPr>
        <w:t>31</w:t>
      </w:r>
      <w:r>
        <w:rPr>
          <w:sz w:val="20"/>
          <w:szCs w:val="20"/>
          <w:color w:val="auto"/>
        </w:rPr>
        <w:tab/>
      </w:r>
      <w:r>
        <w:rPr>
          <w:rFonts w:ascii="Arial" w:cs="Arial" w:eastAsia="Arial" w:hAnsi="Arial"/>
          <w:sz w:val="13"/>
          <w:szCs w:val="13"/>
          <w:b w:val="1"/>
          <w:bCs w:val="1"/>
          <w:color w:val="4800E6"/>
        </w:rPr>
        <w:t xml:space="preserve">LIVANOVA </w:t>
      </w:r>
      <w:r>
        <w:rPr>
          <w:rFonts w:ascii="Arial" w:cs="Arial" w:eastAsia="Arial" w:hAnsi="Arial"/>
          <w:sz w:val="13"/>
          <w:szCs w:val="13"/>
          <w:color w:val="000000"/>
        </w:rPr>
        <w:t>|</w:t>
      </w:r>
      <w:r>
        <w:rPr>
          <w:rFonts w:ascii="Arial" w:cs="Arial" w:eastAsia="Arial" w:hAnsi="Arial"/>
          <w:sz w:val="13"/>
          <w:szCs w:val="13"/>
          <w:b w:val="1"/>
          <w:bCs w:val="1"/>
          <w:color w:val="4800E6"/>
        </w:rPr>
        <w:t xml:space="preserve"> </w:t>
      </w:r>
      <w:r>
        <w:rPr>
          <w:rFonts w:ascii="Arial" w:cs="Arial" w:eastAsia="Arial" w:hAnsi="Arial"/>
          <w:sz w:val="13"/>
          <w:szCs w:val="13"/>
          <w:color w:val="4800E6"/>
        </w:rPr>
        <w:t>2020</w:t>
      </w:r>
      <w:r>
        <w:rPr>
          <w:rFonts w:ascii="Arial" w:cs="Arial" w:eastAsia="Arial" w:hAnsi="Arial"/>
          <w:sz w:val="13"/>
          <w:szCs w:val="13"/>
          <w:b w:val="1"/>
          <w:bCs w:val="1"/>
          <w:color w:val="4800E6"/>
        </w:rPr>
        <w:t xml:space="preserve"> </w:t>
      </w:r>
      <w:r>
        <w:rPr>
          <w:rFonts w:ascii="Arial" w:cs="Arial" w:eastAsia="Arial" w:hAnsi="Arial"/>
          <w:sz w:val="13"/>
          <w:szCs w:val="13"/>
          <w:color w:val="000000"/>
        </w:rPr>
        <w:t>Proxy Statement</w:t>
      </w:r>
      <w:r>
        <w:rPr>
          <w:sz w:val="20"/>
          <w:szCs w:val="20"/>
          <w:color w:val="auto"/>
        </w:rPr>
        <w:tab/>
      </w:r>
      <w:r>
        <w:rPr>
          <w:rFonts w:ascii="Arial" w:cs="Arial" w:eastAsia="Arial" w:hAnsi="Arial"/>
          <w:sz w:val="12"/>
          <w:szCs w:val="12"/>
          <w:b w:val="1"/>
          <w:bCs w:val="1"/>
          <w:color w:val="4800E6"/>
        </w:rPr>
        <w:t>www.livanova.com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561975</wp:posOffset>
            </wp:positionH>
            <wp:positionV relativeFrom="paragraph">
              <wp:posOffset>95250</wp:posOffset>
            </wp:positionV>
            <wp:extent cx="1954530" cy="8890"/>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1954530" cy="8890"/>
                    </a:xfrm>
                    <a:prstGeom prst="rect">
                      <a:avLst/>
                    </a:prstGeom>
                    <a:noFill/>
                  </pic:spPr>
                </pic:pic>
              </a:graphicData>
            </a:graphic>
          </wp:anchor>
        </w:drawing>
        <w:drawing>
          <wp:anchor simplePos="0" relativeHeight="251657728" behindDoc="1" locked="0" layoutInCell="0" allowOverlap="1">
            <wp:simplePos x="0" y="0"/>
            <wp:positionH relativeFrom="column">
              <wp:posOffset>4316730</wp:posOffset>
            </wp:positionH>
            <wp:positionV relativeFrom="paragraph">
              <wp:posOffset>95250</wp:posOffset>
            </wp:positionV>
            <wp:extent cx="1028700" cy="8890"/>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102870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232410</wp:posOffset>
            </wp:positionV>
            <wp:extent cx="6806565" cy="17145"/>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10139"/>
          </w:cols>
          <w:pgMar w:left="320" w:top="131" w:right="1440" w:bottom="1440" w:gutter="0" w:footer="0" w:header="0"/>
        </w:sectPr>
      </w:pPr>
    </w:p>
    <w:bookmarkStart w:id="35" w:name="page36"/>
    <w:bookmarkEnd w:id="35"/>
    <w:p>
      <w:pPr>
        <w:spacing w:after="0"/>
        <w:rPr>
          <w:rFonts w:ascii="Arial" w:cs="Arial" w:eastAsia="Arial" w:hAnsi="Arial"/>
          <w:sz w:val="14"/>
          <w:szCs w:val="14"/>
          <w:color w:val="003366"/>
        </w:rPr>
      </w:pPr>
      <w:hyperlink w:anchor="page4">
        <w:r>
          <w:rPr>
            <w:rFonts w:ascii="Arial" w:cs="Arial" w:eastAsia="Arial" w:hAnsi="Arial"/>
            <w:sz w:val="14"/>
            <w:szCs w:val="14"/>
            <w:color w:val="003366"/>
          </w:rPr>
          <w:t>TABLE OF CONTENTS</w:t>
        </w:r>
      </w:hyperlink>
    </w:p>
    <w:p>
      <w:pPr>
        <w:spacing w:after="0" w:line="338" w:lineRule="exact"/>
        <w:rPr>
          <w:sz w:val="20"/>
          <w:szCs w:val="20"/>
          <w:color w:val="auto"/>
        </w:rPr>
      </w:pPr>
    </w:p>
    <w:p>
      <w:pPr>
        <w:jc w:val="right"/>
        <w:ind w:right="780"/>
        <w:spacing w:after="0"/>
        <w:rPr>
          <w:sz w:val="20"/>
          <w:szCs w:val="20"/>
          <w:color w:val="auto"/>
        </w:rPr>
      </w:pPr>
      <w:r>
        <w:rPr>
          <w:rFonts w:ascii="Arial" w:cs="Arial" w:eastAsia="Arial" w:hAnsi="Arial"/>
          <w:sz w:val="13"/>
          <w:szCs w:val="13"/>
          <w:b w:val="1"/>
          <w:bCs w:val="1"/>
          <w:color w:val="auto"/>
        </w:rPr>
        <w:t xml:space="preserve">Executive </w:t>
      </w:r>
      <w:r>
        <w:rPr>
          <w:rFonts w:ascii="Arial" w:cs="Arial" w:eastAsia="Arial" w:hAnsi="Arial"/>
          <w:sz w:val="13"/>
          <w:szCs w:val="13"/>
          <w:b w:val="1"/>
          <w:bCs w:val="1"/>
          <w:color w:val="666666"/>
        </w:rPr>
        <w:t>Compensation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485140</wp:posOffset>
            </wp:positionH>
            <wp:positionV relativeFrom="paragraph">
              <wp:posOffset>30480</wp:posOffset>
            </wp:positionV>
            <wp:extent cx="5829300" cy="8890"/>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5829300" cy="8890"/>
                    </a:xfrm>
                    <a:prstGeom prst="rect">
                      <a:avLst/>
                    </a:prstGeom>
                    <a:noFill/>
                  </pic:spPr>
                </pic:pic>
              </a:graphicData>
            </a:graphic>
          </wp:anchor>
        </w:drawing>
      </w:r>
    </w:p>
    <w:p>
      <w:pPr>
        <w:spacing w:after="0" w:line="60" w:lineRule="exact"/>
        <w:rPr>
          <w:sz w:val="20"/>
          <w:szCs w:val="20"/>
          <w:color w:val="auto"/>
        </w:rPr>
      </w:pPr>
    </w:p>
    <w:p>
      <w:pPr>
        <w:jc w:val="right"/>
        <w:ind w:right="780"/>
        <w:spacing w:after="0"/>
        <w:rPr>
          <w:sz w:val="20"/>
          <w:szCs w:val="20"/>
          <w:color w:val="auto"/>
        </w:rPr>
      </w:pPr>
      <w:r>
        <w:rPr>
          <w:rFonts w:ascii="Arial" w:cs="Arial" w:eastAsia="Arial" w:hAnsi="Arial"/>
          <w:sz w:val="13"/>
          <w:szCs w:val="13"/>
          <w:b w:val="1"/>
          <w:bCs w:val="1"/>
          <w:color w:val="4800E6"/>
        </w:rPr>
        <w:t>Compensation Discussion &amp; Analysis</w:t>
      </w: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ind w:left="760"/>
        <w:spacing w:after="0"/>
        <w:rPr>
          <w:sz w:val="20"/>
          <w:szCs w:val="20"/>
          <w:color w:val="auto"/>
        </w:rPr>
      </w:pPr>
      <w:r>
        <w:rPr>
          <w:rFonts w:ascii="Arial" w:cs="Arial" w:eastAsia="Arial" w:hAnsi="Arial"/>
          <w:sz w:val="20"/>
          <w:szCs w:val="20"/>
          <w:b w:val="1"/>
          <w:bCs w:val="1"/>
          <w:color w:val="FF4C4C"/>
        </w:rPr>
        <w:t>2019 Short-Term Incentive Plan Pay-Out</w:t>
      </w:r>
    </w:p>
    <w:p>
      <w:pPr>
        <w:spacing w:after="0" w:line="124" w:lineRule="exact"/>
        <w:rPr>
          <w:sz w:val="20"/>
          <w:szCs w:val="20"/>
          <w:color w:val="auto"/>
        </w:rPr>
      </w:pPr>
    </w:p>
    <w:p>
      <w:pPr>
        <w:ind w:left="760" w:right="820"/>
        <w:spacing w:after="0" w:line="250" w:lineRule="auto"/>
        <w:rPr>
          <w:sz w:val="20"/>
          <w:szCs w:val="20"/>
          <w:color w:val="auto"/>
        </w:rPr>
      </w:pPr>
      <w:r>
        <w:rPr>
          <w:rFonts w:ascii="Arial" w:cs="Arial" w:eastAsia="Arial" w:hAnsi="Arial"/>
          <w:sz w:val="16"/>
          <w:szCs w:val="16"/>
          <w:color w:val="auto"/>
        </w:rPr>
        <w:t>Bonuses are based on performance over the calendar year, which is also our financial year, and are generally paid in April of the following year after completion of the audit of our annual financial statements. Payouts under the 2019 STIP were based on the achievement of financial objectives (Adjusted Net Sales and Adjusted Net Income at the Company level for Messrs. McDonald and Huston and Ms. Skeffington and comparable performance at the applicable franchise level for Messrs. Andrle and Simpson), eight non-financial objectives and, for all NEOs with the exception of Mr. McDonald, a leadership objective.</w:t>
      </w:r>
    </w:p>
    <w:p>
      <w:pPr>
        <w:spacing w:after="0" w:line="81" w:lineRule="exact"/>
        <w:rPr>
          <w:sz w:val="20"/>
          <w:szCs w:val="20"/>
          <w:color w:val="auto"/>
        </w:rPr>
      </w:pPr>
    </w:p>
    <w:p>
      <w:pPr>
        <w:ind w:left="760" w:right="920"/>
        <w:spacing w:after="0" w:line="251" w:lineRule="auto"/>
        <w:rPr>
          <w:sz w:val="20"/>
          <w:szCs w:val="20"/>
          <w:color w:val="auto"/>
        </w:rPr>
      </w:pPr>
      <w:r>
        <w:rPr>
          <w:rFonts w:ascii="Arial" w:cs="Arial" w:eastAsia="Arial" w:hAnsi="Arial"/>
          <w:sz w:val="16"/>
          <w:szCs w:val="16"/>
          <w:color w:val="auto"/>
        </w:rPr>
        <w:t>None of the financial objectives were achieved for the 2019 STIP and, consequently, the payout related to the financial objectives was zero for all our NEOs other than Mr. Simpson. The Compensation Committee determined that the performance of the Cardiovascular segment warranted recognition because the threshold was missed by a very slight margin and awarded Mr. Simpson a discretionary payment at the threshold level.</w:t>
      </w:r>
    </w:p>
    <w:p>
      <w:pPr>
        <w:spacing w:after="0" w:line="67" w:lineRule="exact"/>
        <w:rPr>
          <w:sz w:val="20"/>
          <w:szCs w:val="20"/>
          <w:color w:val="auto"/>
        </w:rPr>
      </w:pPr>
    </w:p>
    <w:p>
      <w:pPr>
        <w:ind w:left="760" w:right="940"/>
        <w:spacing w:after="0" w:line="248" w:lineRule="auto"/>
        <w:rPr>
          <w:sz w:val="20"/>
          <w:szCs w:val="20"/>
          <w:color w:val="auto"/>
        </w:rPr>
      </w:pPr>
      <w:r>
        <w:rPr>
          <w:rFonts w:ascii="Arial" w:cs="Arial" w:eastAsia="Arial" w:hAnsi="Arial"/>
          <w:sz w:val="16"/>
          <w:szCs w:val="16"/>
          <w:color w:val="auto"/>
        </w:rPr>
        <w:t>The non-financial objectives comprise product development projects that will drive revenue generation beyond 2019, plus a Leadership objective focused on developing our future leaders. The Design projects element was the completion of two product development projects, the Clinical projects element was achievement of enrollment objectives for two clinical studies, the Regulatory projects element included three regulatory submission objectives and a fourth project, and the Commercialization element was a commercial launch objective. Together, the nine product development project objectives represent 25% of each executive’s Target bonus, but total 40% if all objectives were achieved, representing a potential overachievement of 15%. The Leadership objective was valued at 15% for Mr. Huston and Ms. Skeffington and 20% for Messrs. Andrle and Simpson and could not be overachieved. The table below summarizes the Non-Financial objectives.</w:t>
      </w:r>
    </w:p>
    <w:p>
      <w:pPr>
        <w:spacing w:after="0" w:line="3" w:lineRule="exact"/>
        <w:rPr>
          <w:sz w:val="20"/>
          <w:szCs w:val="20"/>
          <w:color w:val="auto"/>
        </w:rPr>
      </w:pPr>
    </w:p>
    <w:tbl>
      <w:tblPr>
        <w:tblLayout w:type="fixed"/>
        <w:tblInd w:w="760" w:type="dxa"/>
        <w:tblCellMar>
          <w:top w:w="0" w:type="dxa"/>
          <w:left w:w="0" w:type="dxa"/>
          <w:bottom w:w="0" w:type="dxa"/>
          <w:right w:w="0" w:type="dxa"/>
        </w:tblCellMar>
      </w:tblPr>
      <w:tr>
        <w:trPr>
          <w:trHeight w:val="196"/>
        </w:trPr>
        <w:tc>
          <w:tcPr>
            <w:tcW w:w="4320" w:type="dxa"/>
            <w:vAlign w:val="bottom"/>
          </w:tcPr>
          <w:p>
            <w:pPr>
              <w:spacing w:after="0"/>
              <w:rPr>
                <w:sz w:val="17"/>
                <w:szCs w:val="17"/>
                <w:color w:val="auto"/>
              </w:rPr>
            </w:pPr>
          </w:p>
        </w:tc>
        <w:tc>
          <w:tcPr>
            <w:tcW w:w="700" w:type="dxa"/>
            <w:vAlign w:val="bottom"/>
            <w:tcBorders>
              <w:bottom w:val="single" w:sz="8" w:color="4800E6"/>
            </w:tcBorders>
          </w:tcPr>
          <w:p>
            <w:pPr>
              <w:spacing w:after="0"/>
              <w:rPr>
                <w:sz w:val="17"/>
                <w:szCs w:val="17"/>
                <w:color w:val="auto"/>
              </w:rPr>
            </w:pPr>
          </w:p>
        </w:tc>
        <w:tc>
          <w:tcPr>
            <w:tcW w:w="740" w:type="dxa"/>
            <w:vAlign w:val="bottom"/>
            <w:tcBorders>
              <w:bottom w:val="single" w:sz="8" w:color="4800E6"/>
            </w:tcBorders>
          </w:tcPr>
          <w:p>
            <w:pPr>
              <w:spacing w:after="0"/>
              <w:rPr>
                <w:sz w:val="17"/>
                <w:szCs w:val="17"/>
                <w:color w:val="auto"/>
              </w:rPr>
            </w:pPr>
          </w:p>
        </w:tc>
        <w:tc>
          <w:tcPr>
            <w:tcW w:w="2480" w:type="dxa"/>
            <w:vAlign w:val="bottom"/>
            <w:tcBorders>
              <w:bottom w:val="single" w:sz="8" w:color="4800E6"/>
            </w:tcBorders>
            <w:gridSpan w:val="2"/>
          </w:tcPr>
          <w:p>
            <w:pPr>
              <w:jc w:val="right"/>
              <w:ind w:right="544"/>
              <w:spacing w:after="0"/>
              <w:rPr>
                <w:sz w:val="20"/>
                <w:szCs w:val="20"/>
                <w:color w:val="auto"/>
              </w:rPr>
            </w:pPr>
            <w:r>
              <w:rPr>
                <w:rFonts w:ascii="Arial" w:cs="Arial" w:eastAsia="Arial" w:hAnsi="Arial"/>
                <w:sz w:val="14"/>
                <w:szCs w:val="14"/>
                <w:b w:val="1"/>
                <w:bCs w:val="1"/>
                <w:color w:val="4800E6"/>
              </w:rPr>
              <w:t>Non-Financial Objectives</w:t>
            </w:r>
          </w:p>
        </w:tc>
        <w:tc>
          <w:tcPr>
            <w:tcW w:w="940" w:type="dxa"/>
            <w:vAlign w:val="bottom"/>
            <w:tcBorders>
              <w:bottom w:val="single" w:sz="8" w:color="4800E6"/>
            </w:tcBorders>
          </w:tcPr>
          <w:p>
            <w:pPr>
              <w:spacing w:after="0"/>
              <w:rPr>
                <w:sz w:val="17"/>
                <w:szCs w:val="17"/>
                <w:color w:val="auto"/>
              </w:rPr>
            </w:pPr>
          </w:p>
        </w:tc>
      </w:tr>
      <w:tr>
        <w:trPr>
          <w:trHeight w:val="223"/>
        </w:trPr>
        <w:tc>
          <w:tcPr>
            <w:tcW w:w="4320" w:type="dxa"/>
            <w:vAlign w:val="bottom"/>
            <w:tcBorders>
              <w:bottom w:val="single" w:sz="8" w:color="4800E6"/>
            </w:tcBorders>
          </w:tcPr>
          <w:p>
            <w:pPr>
              <w:spacing w:after="0"/>
              <w:rPr>
                <w:sz w:val="19"/>
                <w:szCs w:val="19"/>
                <w:color w:val="auto"/>
              </w:rPr>
            </w:pPr>
          </w:p>
        </w:tc>
        <w:tc>
          <w:tcPr>
            <w:tcW w:w="700" w:type="dxa"/>
            <w:vAlign w:val="bottom"/>
            <w:tcBorders>
              <w:bottom w:val="single" w:sz="8" w:color="4800E6"/>
            </w:tcBorders>
          </w:tcPr>
          <w:p>
            <w:pPr>
              <w:jc w:val="right"/>
              <w:ind w:right="44"/>
              <w:spacing w:after="0"/>
              <w:rPr>
                <w:sz w:val="20"/>
                <w:szCs w:val="20"/>
                <w:color w:val="auto"/>
              </w:rPr>
            </w:pPr>
            <w:r>
              <w:rPr>
                <w:rFonts w:ascii="Arial" w:cs="Arial" w:eastAsia="Arial" w:hAnsi="Arial"/>
                <w:sz w:val="14"/>
                <w:szCs w:val="14"/>
                <w:b w:val="1"/>
                <w:bCs w:val="1"/>
                <w:color w:val="4800E6"/>
              </w:rPr>
              <w:t>Design</w:t>
            </w:r>
          </w:p>
        </w:tc>
        <w:tc>
          <w:tcPr>
            <w:tcW w:w="740" w:type="dxa"/>
            <w:vAlign w:val="bottom"/>
            <w:tcBorders>
              <w:bottom w:val="single" w:sz="8" w:color="4800E6"/>
            </w:tcBorders>
          </w:tcPr>
          <w:p>
            <w:pPr>
              <w:jc w:val="right"/>
              <w:ind w:right="44"/>
              <w:spacing w:after="0"/>
              <w:rPr>
                <w:sz w:val="20"/>
                <w:szCs w:val="20"/>
                <w:color w:val="auto"/>
              </w:rPr>
            </w:pPr>
            <w:r>
              <w:rPr>
                <w:rFonts w:ascii="Arial" w:cs="Arial" w:eastAsia="Arial" w:hAnsi="Arial"/>
                <w:sz w:val="14"/>
                <w:szCs w:val="14"/>
                <w:b w:val="1"/>
                <w:bCs w:val="1"/>
                <w:color w:val="4800E6"/>
              </w:rPr>
              <w:t>Clinical</w:t>
            </w:r>
          </w:p>
        </w:tc>
        <w:tc>
          <w:tcPr>
            <w:tcW w:w="980" w:type="dxa"/>
            <w:vAlign w:val="bottom"/>
            <w:tcBorders>
              <w:bottom w:val="single" w:sz="8" w:color="4800E6"/>
            </w:tcBorders>
          </w:tcPr>
          <w:p>
            <w:pPr>
              <w:jc w:val="right"/>
              <w:ind w:right="45"/>
              <w:spacing w:after="0"/>
              <w:rPr>
                <w:sz w:val="20"/>
                <w:szCs w:val="20"/>
                <w:color w:val="auto"/>
              </w:rPr>
            </w:pPr>
            <w:r>
              <w:rPr>
                <w:rFonts w:ascii="Arial" w:cs="Arial" w:eastAsia="Arial" w:hAnsi="Arial"/>
                <w:sz w:val="14"/>
                <w:szCs w:val="14"/>
                <w:b w:val="1"/>
                <w:bCs w:val="1"/>
                <w:color w:val="4800E6"/>
              </w:rPr>
              <w:t>Regulatory</w:t>
            </w:r>
          </w:p>
        </w:tc>
        <w:tc>
          <w:tcPr>
            <w:tcW w:w="1500" w:type="dxa"/>
            <w:vAlign w:val="bottom"/>
            <w:tcBorders>
              <w:bottom w:val="single" w:sz="8" w:color="4800E6"/>
            </w:tcBorders>
          </w:tcPr>
          <w:p>
            <w:pPr>
              <w:jc w:val="right"/>
              <w:ind w:right="44"/>
              <w:spacing w:after="0"/>
              <w:rPr>
                <w:sz w:val="20"/>
                <w:szCs w:val="20"/>
                <w:color w:val="auto"/>
              </w:rPr>
            </w:pPr>
            <w:r>
              <w:rPr>
                <w:rFonts w:ascii="Arial" w:cs="Arial" w:eastAsia="Arial" w:hAnsi="Arial"/>
                <w:sz w:val="14"/>
                <w:szCs w:val="14"/>
                <w:b w:val="1"/>
                <w:bCs w:val="1"/>
                <w:color w:val="4800E6"/>
              </w:rPr>
              <w:t>Commercialization</w:t>
            </w:r>
          </w:p>
        </w:tc>
        <w:tc>
          <w:tcPr>
            <w:tcW w:w="940" w:type="dxa"/>
            <w:vAlign w:val="bottom"/>
            <w:tcBorders>
              <w:bottom w:val="single" w:sz="8" w:color="4800E6"/>
            </w:tcBorders>
          </w:tcPr>
          <w:p>
            <w:pPr>
              <w:jc w:val="right"/>
              <w:spacing w:after="0"/>
              <w:rPr>
                <w:sz w:val="20"/>
                <w:szCs w:val="20"/>
                <w:color w:val="auto"/>
              </w:rPr>
            </w:pPr>
            <w:r>
              <w:rPr>
                <w:rFonts w:ascii="Arial" w:cs="Arial" w:eastAsia="Arial" w:hAnsi="Arial"/>
                <w:sz w:val="14"/>
                <w:szCs w:val="14"/>
                <w:b w:val="1"/>
                <w:bCs w:val="1"/>
                <w:color w:val="4800E6"/>
              </w:rPr>
              <w:t>Leadership</w:t>
            </w:r>
          </w:p>
        </w:tc>
      </w:tr>
      <w:tr>
        <w:trPr>
          <w:trHeight w:val="221"/>
        </w:trPr>
        <w:tc>
          <w:tcPr>
            <w:tcW w:w="4320" w:type="dxa"/>
            <w:vAlign w:val="bottom"/>
          </w:tcPr>
          <w:p>
            <w:pPr>
              <w:ind w:left="40"/>
              <w:spacing w:after="0"/>
              <w:rPr>
                <w:sz w:val="20"/>
                <w:szCs w:val="20"/>
                <w:color w:val="auto"/>
              </w:rPr>
            </w:pPr>
            <w:r>
              <w:rPr>
                <w:rFonts w:ascii="Arial" w:cs="Arial" w:eastAsia="Arial" w:hAnsi="Arial"/>
                <w:sz w:val="15"/>
                <w:szCs w:val="15"/>
                <w:color w:val="auto"/>
              </w:rPr>
              <w:t>Damien McDonald</w:t>
            </w:r>
          </w:p>
        </w:tc>
        <w:tc>
          <w:tcPr>
            <w:tcW w:w="700" w:type="dxa"/>
            <w:vAlign w:val="bottom"/>
          </w:tcPr>
          <w:p>
            <w:pPr>
              <w:jc w:val="right"/>
              <w:ind w:right="44"/>
              <w:spacing w:after="0"/>
              <w:rPr>
                <w:sz w:val="20"/>
                <w:szCs w:val="20"/>
                <w:color w:val="auto"/>
              </w:rPr>
            </w:pPr>
            <w:r>
              <w:rPr>
                <w:rFonts w:ascii="Arial" w:cs="Arial" w:eastAsia="Arial" w:hAnsi="Arial"/>
                <w:sz w:val="15"/>
                <w:szCs w:val="15"/>
                <w:color w:val="auto"/>
              </w:rPr>
              <w:t>10%</w:t>
            </w:r>
          </w:p>
        </w:tc>
        <w:tc>
          <w:tcPr>
            <w:tcW w:w="740" w:type="dxa"/>
            <w:vAlign w:val="bottom"/>
          </w:tcPr>
          <w:p>
            <w:pPr>
              <w:jc w:val="right"/>
              <w:ind w:right="44"/>
              <w:spacing w:after="0"/>
              <w:rPr>
                <w:sz w:val="20"/>
                <w:szCs w:val="20"/>
                <w:color w:val="auto"/>
              </w:rPr>
            </w:pPr>
            <w:r>
              <w:rPr>
                <w:rFonts w:ascii="Arial" w:cs="Arial" w:eastAsia="Arial" w:hAnsi="Arial"/>
                <w:sz w:val="15"/>
                <w:szCs w:val="15"/>
                <w:color w:val="auto"/>
              </w:rPr>
              <w:t>10%</w:t>
            </w:r>
          </w:p>
        </w:tc>
        <w:tc>
          <w:tcPr>
            <w:tcW w:w="980" w:type="dxa"/>
            <w:vAlign w:val="bottom"/>
          </w:tcPr>
          <w:p>
            <w:pPr>
              <w:jc w:val="right"/>
              <w:ind w:right="45"/>
              <w:spacing w:after="0"/>
              <w:rPr>
                <w:sz w:val="20"/>
                <w:szCs w:val="20"/>
                <w:color w:val="auto"/>
              </w:rPr>
            </w:pPr>
            <w:r>
              <w:rPr>
                <w:rFonts w:ascii="Arial" w:cs="Arial" w:eastAsia="Arial" w:hAnsi="Arial"/>
                <w:sz w:val="15"/>
                <w:szCs w:val="15"/>
                <w:color w:val="auto"/>
              </w:rPr>
              <w:t>15%</w:t>
            </w:r>
          </w:p>
        </w:tc>
        <w:tc>
          <w:tcPr>
            <w:tcW w:w="1500" w:type="dxa"/>
            <w:vAlign w:val="bottom"/>
          </w:tcPr>
          <w:p>
            <w:pPr>
              <w:jc w:val="right"/>
              <w:ind w:right="24"/>
              <w:spacing w:after="0"/>
              <w:rPr>
                <w:sz w:val="20"/>
                <w:szCs w:val="20"/>
                <w:color w:val="auto"/>
              </w:rPr>
            </w:pPr>
            <w:r>
              <w:rPr>
                <w:rFonts w:ascii="Arial" w:cs="Arial" w:eastAsia="Arial" w:hAnsi="Arial"/>
                <w:sz w:val="15"/>
                <w:szCs w:val="15"/>
                <w:color w:val="auto"/>
              </w:rPr>
              <w:t>5%</w:t>
            </w:r>
          </w:p>
        </w:tc>
        <w:tc>
          <w:tcPr>
            <w:tcW w:w="940" w:type="dxa"/>
            <w:vAlign w:val="bottom"/>
          </w:tcPr>
          <w:p>
            <w:pPr>
              <w:jc w:val="right"/>
              <w:spacing w:after="0"/>
              <w:rPr>
                <w:sz w:val="20"/>
                <w:szCs w:val="20"/>
                <w:color w:val="auto"/>
              </w:rPr>
            </w:pPr>
            <w:r>
              <w:rPr>
                <w:rFonts w:ascii="Arial" w:cs="Arial" w:eastAsia="Arial" w:hAnsi="Arial"/>
                <w:sz w:val="15"/>
                <w:szCs w:val="15"/>
                <w:color w:val="auto"/>
              </w:rPr>
              <w:t>N/A</w:t>
            </w:r>
          </w:p>
        </w:tc>
      </w:tr>
      <w:tr>
        <w:trPr>
          <w:trHeight w:val="22"/>
        </w:trPr>
        <w:tc>
          <w:tcPr>
            <w:tcW w:w="43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r>
      <w:tr>
        <w:trPr>
          <w:trHeight w:val="250"/>
        </w:trPr>
        <w:tc>
          <w:tcPr>
            <w:tcW w:w="4320" w:type="dxa"/>
            <w:vAlign w:val="bottom"/>
            <w:tcBorders>
              <w:bottom w:val="single" w:sz="8" w:color="EFE9FC"/>
            </w:tcBorders>
            <w:shd w:val="clear" w:color="auto" w:fill="EFE9FC"/>
          </w:tcPr>
          <w:p>
            <w:pPr>
              <w:ind w:left="40"/>
              <w:spacing w:after="0"/>
              <w:rPr>
                <w:sz w:val="20"/>
                <w:szCs w:val="20"/>
                <w:color w:val="auto"/>
              </w:rPr>
            </w:pPr>
            <w:r>
              <w:rPr>
                <w:rFonts w:ascii="Arial" w:cs="Arial" w:eastAsia="Arial" w:hAnsi="Arial"/>
                <w:sz w:val="15"/>
                <w:szCs w:val="15"/>
                <w:color w:val="auto"/>
              </w:rPr>
              <w:t>Thad Huston</w:t>
            </w:r>
          </w:p>
        </w:tc>
        <w:tc>
          <w:tcPr>
            <w:tcW w:w="700" w:type="dxa"/>
            <w:vAlign w:val="bottom"/>
            <w:tcBorders>
              <w:bottom w:val="single" w:sz="8" w:color="EFE9FC"/>
            </w:tcBorders>
            <w:shd w:val="clear" w:color="auto" w:fill="EFE9FC"/>
          </w:tcPr>
          <w:p>
            <w:pPr>
              <w:jc w:val="right"/>
              <w:ind w:right="44"/>
              <w:spacing w:after="0"/>
              <w:rPr>
                <w:sz w:val="20"/>
                <w:szCs w:val="20"/>
                <w:color w:val="auto"/>
              </w:rPr>
            </w:pPr>
            <w:r>
              <w:rPr>
                <w:rFonts w:ascii="Arial" w:cs="Arial" w:eastAsia="Arial" w:hAnsi="Arial"/>
                <w:sz w:val="15"/>
                <w:szCs w:val="15"/>
                <w:color w:val="auto"/>
              </w:rPr>
              <w:t>10%</w:t>
            </w:r>
          </w:p>
        </w:tc>
        <w:tc>
          <w:tcPr>
            <w:tcW w:w="740" w:type="dxa"/>
            <w:vAlign w:val="bottom"/>
            <w:tcBorders>
              <w:bottom w:val="single" w:sz="8" w:color="EFE9FC"/>
            </w:tcBorders>
            <w:shd w:val="clear" w:color="auto" w:fill="EFE9FC"/>
          </w:tcPr>
          <w:p>
            <w:pPr>
              <w:jc w:val="right"/>
              <w:ind w:right="44"/>
              <w:spacing w:after="0"/>
              <w:rPr>
                <w:sz w:val="20"/>
                <w:szCs w:val="20"/>
                <w:color w:val="auto"/>
              </w:rPr>
            </w:pPr>
            <w:r>
              <w:rPr>
                <w:rFonts w:ascii="Arial" w:cs="Arial" w:eastAsia="Arial" w:hAnsi="Arial"/>
                <w:sz w:val="15"/>
                <w:szCs w:val="15"/>
                <w:color w:val="auto"/>
              </w:rPr>
              <w:t>10%</w:t>
            </w:r>
          </w:p>
        </w:tc>
        <w:tc>
          <w:tcPr>
            <w:tcW w:w="980" w:type="dxa"/>
            <w:vAlign w:val="bottom"/>
            <w:tcBorders>
              <w:bottom w:val="single" w:sz="8" w:color="EFE9FC"/>
            </w:tcBorders>
            <w:shd w:val="clear" w:color="auto" w:fill="EFE9FC"/>
          </w:tcPr>
          <w:p>
            <w:pPr>
              <w:jc w:val="right"/>
              <w:ind w:right="45"/>
              <w:spacing w:after="0"/>
              <w:rPr>
                <w:sz w:val="20"/>
                <w:szCs w:val="20"/>
                <w:color w:val="auto"/>
              </w:rPr>
            </w:pPr>
            <w:r>
              <w:rPr>
                <w:rFonts w:ascii="Arial" w:cs="Arial" w:eastAsia="Arial" w:hAnsi="Arial"/>
                <w:sz w:val="15"/>
                <w:szCs w:val="15"/>
                <w:color w:val="auto"/>
              </w:rPr>
              <w:t>15%</w:t>
            </w:r>
          </w:p>
        </w:tc>
        <w:tc>
          <w:tcPr>
            <w:tcW w:w="1500" w:type="dxa"/>
            <w:vAlign w:val="bottom"/>
            <w:tcBorders>
              <w:bottom w:val="single" w:sz="8" w:color="EFE9FC"/>
            </w:tcBorders>
            <w:shd w:val="clear" w:color="auto" w:fill="EFE9FC"/>
          </w:tcPr>
          <w:p>
            <w:pPr>
              <w:jc w:val="right"/>
              <w:ind w:right="24"/>
              <w:spacing w:after="0"/>
              <w:rPr>
                <w:sz w:val="20"/>
                <w:szCs w:val="20"/>
                <w:color w:val="auto"/>
              </w:rPr>
            </w:pPr>
            <w:r>
              <w:rPr>
                <w:rFonts w:ascii="Arial" w:cs="Arial" w:eastAsia="Arial" w:hAnsi="Arial"/>
                <w:sz w:val="15"/>
                <w:szCs w:val="15"/>
                <w:color w:val="auto"/>
              </w:rPr>
              <w:t>5%</w:t>
            </w:r>
          </w:p>
        </w:tc>
        <w:tc>
          <w:tcPr>
            <w:tcW w:w="940" w:type="dxa"/>
            <w:vAlign w:val="bottom"/>
            <w:tcBorders>
              <w:bottom w:val="single" w:sz="8" w:color="EFE9FC"/>
            </w:tcBorders>
            <w:shd w:val="clear" w:color="auto" w:fill="EFE9FC"/>
          </w:tcPr>
          <w:p>
            <w:pPr>
              <w:jc w:val="right"/>
              <w:spacing w:after="0"/>
              <w:rPr>
                <w:sz w:val="20"/>
                <w:szCs w:val="20"/>
                <w:color w:val="auto"/>
              </w:rPr>
            </w:pPr>
            <w:r>
              <w:rPr>
                <w:rFonts w:ascii="Arial" w:cs="Arial" w:eastAsia="Arial" w:hAnsi="Arial"/>
                <w:sz w:val="15"/>
                <w:szCs w:val="15"/>
                <w:color w:val="auto"/>
              </w:rPr>
              <w:t>15%</w:t>
            </w:r>
          </w:p>
        </w:tc>
      </w:tr>
      <w:tr>
        <w:trPr>
          <w:trHeight w:val="222"/>
        </w:trPr>
        <w:tc>
          <w:tcPr>
            <w:tcW w:w="4320" w:type="dxa"/>
            <w:vAlign w:val="bottom"/>
          </w:tcPr>
          <w:p>
            <w:pPr>
              <w:ind w:left="40"/>
              <w:spacing w:after="0"/>
              <w:rPr>
                <w:sz w:val="20"/>
                <w:szCs w:val="20"/>
                <w:color w:val="auto"/>
              </w:rPr>
            </w:pPr>
            <w:r>
              <w:rPr>
                <w:rFonts w:ascii="Arial" w:cs="Arial" w:eastAsia="Arial" w:hAnsi="Arial"/>
                <w:sz w:val="15"/>
                <w:szCs w:val="15"/>
                <w:color w:val="auto"/>
              </w:rPr>
              <w:t>Keyna Skeffington</w:t>
            </w:r>
          </w:p>
        </w:tc>
        <w:tc>
          <w:tcPr>
            <w:tcW w:w="700" w:type="dxa"/>
            <w:vAlign w:val="bottom"/>
          </w:tcPr>
          <w:p>
            <w:pPr>
              <w:jc w:val="right"/>
              <w:ind w:right="44"/>
              <w:spacing w:after="0"/>
              <w:rPr>
                <w:sz w:val="20"/>
                <w:szCs w:val="20"/>
                <w:color w:val="auto"/>
              </w:rPr>
            </w:pPr>
            <w:r>
              <w:rPr>
                <w:rFonts w:ascii="Arial" w:cs="Arial" w:eastAsia="Arial" w:hAnsi="Arial"/>
                <w:sz w:val="15"/>
                <w:szCs w:val="15"/>
                <w:color w:val="auto"/>
              </w:rPr>
              <w:t>10%</w:t>
            </w:r>
          </w:p>
        </w:tc>
        <w:tc>
          <w:tcPr>
            <w:tcW w:w="740" w:type="dxa"/>
            <w:vAlign w:val="bottom"/>
          </w:tcPr>
          <w:p>
            <w:pPr>
              <w:jc w:val="right"/>
              <w:ind w:right="44"/>
              <w:spacing w:after="0"/>
              <w:rPr>
                <w:sz w:val="20"/>
                <w:szCs w:val="20"/>
                <w:color w:val="auto"/>
              </w:rPr>
            </w:pPr>
            <w:r>
              <w:rPr>
                <w:rFonts w:ascii="Arial" w:cs="Arial" w:eastAsia="Arial" w:hAnsi="Arial"/>
                <w:sz w:val="15"/>
                <w:szCs w:val="15"/>
                <w:color w:val="auto"/>
              </w:rPr>
              <w:t>10%</w:t>
            </w:r>
          </w:p>
        </w:tc>
        <w:tc>
          <w:tcPr>
            <w:tcW w:w="980" w:type="dxa"/>
            <w:vAlign w:val="bottom"/>
          </w:tcPr>
          <w:p>
            <w:pPr>
              <w:jc w:val="right"/>
              <w:ind w:right="45"/>
              <w:spacing w:after="0"/>
              <w:rPr>
                <w:sz w:val="20"/>
                <w:szCs w:val="20"/>
                <w:color w:val="auto"/>
              </w:rPr>
            </w:pPr>
            <w:r>
              <w:rPr>
                <w:rFonts w:ascii="Arial" w:cs="Arial" w:eastAsia="Arial" w:hAnsi="Arial"/>
                <w:sz w:val="15"/>
                <w:szCs w:val="15"/>
                <w:color w:val="auto"/>
              </w:rPr>
              <w:t>15%</w:t>
            </w:r>
          </w:p>
        </w:tc>
        <w:tc>
          <w:tcPr>
            <w:tcW w:w="1500" w:type="dxa"/>
            <w:vAlign w:val="bottom"/>
          </w:tcPr>
          <w:p>
            <w:pPr>
              <w:jc w:val="right"/>
              <w:ind w:right="24"/>
              <w:spacing w:after="0"/>
              <w:rPr>
                <w:sz w:val="20"/>
                <w:szCs w:val="20"/>
                <w:color w:val="auto"/>
              </w:rPr>
            </w:pPr>
            <w:r>
              <w:rPr>
                <w:rFonts w:ascii="Arial" w:cs="Arial" w:eastAsia="Arial" w:hAnsi="Arial"/>
                <w:sz w:val="15"/>
                <w:szCs w:val="15"/>
                <w:color w:val="auto"/>
              </w:rPr>
              <w:t>5%</w:t>
            </w:r>
          </w:p>
        </w:tc>
        <w:tc>
          <w:tcPr>
            <w:tcW w:w="940" w:type="dxa"/>
            <w:vAlign w:val="bottom"/>
          </w:tcPr>
          <w:p>
            <w:pPr>
              <w:jc w:val="right"/>
              <w:spacing w:after="0"/>
              <w:rPr>
                <w:sz w:val="20"/>
                <w:szCs w:val="20"/>
                <w:color w:val="auto"/>
              </w:rPr>
            </w:pPr>
            <w:r>
              <w:rPr>
                <w:rFonts w:ascii="Arial" w:cs="Arial" w:eastAsia="Arial" w:hAnsi="Arial"/>
                <w:sz w:val="15"/>
                <w:szCs w:val="15"/>
                <w:color w:val="auto"/>
              </w:rPr>
              <w:t>15%</w:t>
            </w:r>
          </w:p>
        </w:tc>
      </w:tr>
      <w:tr>
        <w:trPr>
          <w:trHeight w:val="22"/>
        </w:trPr>
        <w:tc>
          <w:tcPr>
            <w:tcW w:w="43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r>
      <w:tr>
        <w:trPr>
          <w:trHeight w:val="250"/>
        </w:trPr>
        <w:tc>
          <w:tcPr>
            <w:tcW w:w="4320" w:type="dxa"/>
            <w:vAlign w:val="bottom"/>
            <w:tcBorders>
              <w:bottom w:val="single" w:sz="8" w:color="EFE9FC"/>
            </w:tcBorders>
            <w:shd w:val="clear" w:color="auto" w:fill="EFE9FC"/>
          </w:tcPr>
          <w:p>
            <w:pPr>
              <w:ind w:left="40"/>
              <w:spacing w:after="0"/>
              <w:rPr>
                <w:sz w:val="20"/>
                <w:szCs w:val="20"/>
                <w:color w:val="auto"/>
              </w:rPr>
            </w:pPr>
            <w:r>
              <w:rPr>
                <w:rFonts w:ascii="Arial" w:cs="Arial" w:eastAsia="Arial" w:hAnsi="Arial"/>
                <w:sz w:val="15"/>
                <w:szCs w:val="15"/>
                <w:color w:val="auto"/>
              </w:rPr>
              <w:t>Edward Andrle</w:t>
            </w:r>
          </w:p>
        </w:tc>
        <w:tc>
          <w:tcPr>
            <w:tcW w:w="700" w:type="dxa"/>
            <w:vAlign w:val="bottom"/>
            <w:tcBorders>
              <w:bottom w:val="single" w:sz="8" w:color="EFE9FC"/>
            </w:tcBorders>
            <w:shd w:val="clear" w:color="auto" w:fill="EFE9FC"/>
          </w:tcPr>
          <w:p>
            <w:pPr>
              <w:jc w:val="right"/>
              <w:ind w:right="44"/>
              <w:spacing w:after="0"/>
              <w:rPr>
                <w:sz w:val="20"/>
                <w:szCs w:val="20"/>
                <w:color w:val="auto"/>
              </w:rPr>
            </w:pPr>
            <w:r>
              <w:rPr>
                <w:rFonts w:ascii="Arial" w:cs="Arial" w:eastAsia="Arial" w:hAnsi="Arial"/>
                <w:sz w:val="15"/>
                <w:szCs w:val="15"/>
                <w:color w:val="auto"/>
              </w:rPr>
              <w:t>10%</w:t>
            </w:r>
          </w:p>
        </w:tc>
        <w:tc>
          <w:tcPr>
            <w:tcW w:w="740" w:type="dxa"/>
            <w:vAlign w:val="bottom"/>
            <w:tcBorders>
              <w:bottom w:val="single" w:sz="8" w:color="EFE9FC"/>
            </w:tcBorders>
            <w:shd w:val="clear" w:color="auto" w:fill="EFE9FC"/>
          </w:tcPr>
          <w:p>
            <w:pPr>
              <w:jc w:val="right"/>
              <w:ind w:right="44"/>
              <w:spacing w:after="0"/>
              <w:rPr>
                <w:sz w:val="20"/>
                <w:szCs w:val="20"/>
                <w:color w:val="auto"/>
              </w:rPr>
            </w:pPr>
            <w:r>
              <w:rPr>
                <w:rFonts w:ascii="Arial" w:cs="Arial" w:eastAsia="Arial" w:hAnsi="Arial"/>
                <w:sz w:val="15"/>
                <w:szCs w:val="15"/>
                <w:color w:val="auto"/>
              </w:rPr>
              <w:t>10%</w:t>
            </w:r>
          </w:p>
        </w:tc>
        <w:tc>
          <w:tcPr>
            <w:tcW w:w="980" w:type="dxa"/>
            <w:vAlign w:val="bottom"/>
            <w:tcBorders>
              <w:bottom w:val="single" w:sz="8" w:color="EFE9FC"/>
            </w:tcBorders>
            <w:shd w:val="clear" w:color="auto" w:fill="EFE9FC"/>
          </w:tcPr>
          <w:p>
            <w:pPr>
              <w:jc w:val="right"/>
              <w:ind w:right="45"/>
              <w:spacing w:after="0"/>
              <w:rPr>
                <w:sz w:val="20"/>
                <w:szCs w:val="20"/>
                <w:color w:val="auto"/>
              </w:rPr>
            </w:pPr>
            <w:r>
              <w:rPr>
                <w:rFonts w:ascii="Arial" w:cs="Arial" w:eastAsia="Arial" w:hAnsi="Arial"/>
                <w:sz w:val="15"/>
                <w:szCs w:val="15"/>
                <w:color w:val="auto"/>
              </w:rPr>
              <w:t>15%</w:t>
            </w:r>
          </w:p>
        </w:tc>
        <w:tc>
          <w:tcPr>
            <w:tcW w:w="1500" w:type="dxa"/>
            <w:vAlign w:val="bottom"/>
            <w:tcBorders>
              <w:bottom w:val="single" w:sz="8" w:color="EFE9FC"/>
            </w:tcBorders>
            <w:shd w:val="clear" w:color="auto" w:fill="EFE9FC"/>
          </w:tcPr>
          <w:p>
            <w:pPr>
              <w:jc w:val="right"/>
              <w:ind w:right="24"/>
              <w:spacing w:after="0"/>
              <w:rPr>
                <w:sz w:val="20"/>
                <w:szCs w:val="20"/>
                <w:color w:val="auto"/>
              </w:rPr>
            </w:pPr>
            <w:r>
              <w:rPr>
                <w:rFonts w:ascii="Arial" w:cs="Arial" w:eastAsia="Arial" w:hAnsi="Arial"/>
                <w:sz w:val="15"/>
                <w:szCs w:val="15"/>
                <w:color w:val="auto"/>
              </w:rPr>
              <w:t>5%</w:t>
            </w:r>
          </w:p>
        </w:tc>
        <w:tc>
          <w:tcPr>
            <w:tcW w:w="940" w:type="dxa"/>
            <w:vAlign w:val="bottom"/>
            <w:tcBorders>
              <w:bottom w:val="single" w:sz="8" w:color="EFE9FC"/>
            </w:tcBorders>
            <w:shd w:val="clear" w:color="auto" w:fill="EFE9FC"/>
          </w:tcPr>
          <w:p>
            <w:pPr>
              <w:jc w:val="right"/>
              <w:spacing w:after="0"/>
              <w:rPr>
                <w:sz w:val="20"/>
                <w:szCs w:val="20"/>
                <w:color w:val="auto"/>
              </w:rPr>
            </w:pPr>
            <w:r>
              <w:rPr>
                <w:rFonts w:ascii="Arial" w:cs="Arial" w:eastAsia="Arial" w:hAnsi="Arial"/>
                <w:sz w:val="15"/>
                <w:szCs w:val="15"/>
                <w:color w:val="auto"/>
              </w:rPr>
              <w:t>20%</w:t>
            </w:r>
          </w:p>
        </w:tc>
      </w:tr>
      <w:tr>
        <w:trPr>
          <w:trHeight w:val="221"/>
        </w:trPr>
        <w:tc>
          <w:tcPr>
            <w:tcW w:w="4320" w:type="dxa"/>
            <w:vAlign w:val="bottom"/>
          </w:tcPr>
          <w:p>
            <w:pPr>
              <w:ind w:left="40"/>
              <w:spacing w:after="0"/>
              <w:rPr>
                <w:sz w:val="20"/>
                <w:szCs w:val="20"/>
                <w:color w:val="auto"/>
              </w:rPr>
            </w:pPr>
            <w:r>
              <w:rPr>
                <w:rFonts w:ascii="Arial" w:cs="Arial" w:eastAsia="Arial" w:hAnsi="Arial"/>
                <w:sz w:val="15"/>
                <w:szCs w:val="15"/>
                <w:color w:val="auto"/>
              </w:rPr>
              <w:t>Alistair Simpson</w:t>
            </w:r>
          </w:p>
        </w:tc>
        <w:tc>
          <w:tcPr>
            <w:tcW w:w="700" w:type="dxa"/>
            <w:vAlign w:val="bottom"/>
          </w:tcPr>
          <w:p>
            <w:pPr>
              <w:jc w:val="right"/>
              <w:ind w:right="44"/>
              <w:spacing w:after="0"/>
              <w:rPr>
                <w:sz w:val="20"/>
                <w:szCs w:val="20"/>
                <w:color w:val="auto"/>
              </w:rPr>
            </w:pPr>
            <w:r>
              <w:rPr>
                <w:rFonts w:ascii="Arial" w:cs="Arial" w:eastAsia="Arial" w:hAnsi="Arial"/>
                <w:sz w:val="15"/>
                <w:szCs w:val="15"/>
                <w:color w:val="auto"/>
              </w:rPr>
              <w:t>10%</w:t>
            </w:r>
          </w:p>
        </w:tc>
        <w:tc>
          <w:tcPr>
            <w:tcW w:w="740" w:type="dxa"/>
            <w:vAlign w:val="bottom"/>
          </w:tcPr>
          <w:p>
            <w:pPr>
              <w:jc w:val="right"/>
              <w:ind w:right="44"/>
              <w:spacing w:after="0"/>
              <w:rPr>
                <w:sz w:val="20"/>
                <w:szCs w:val="20"/>
                <w:color w:val="auto"/>
              </w:rPr>
            </w:pPr>
            <w:r>
              <w:rPr>
                <w:rFonts w:ascii="Arial" w:cs="Arial" w:eastAsia="Arial" w:hAnsi="Arial"/>
                <w:sz w:val="15"/>
                <w:szCs w:val="15"/>
                <w:color w:val="auto"/>
              </w:rPr>
              <w:t>10%</w:t>
            </w:r>
          </w:p>
        </w:tc>
        <w:tc>
          <w:tcPr>
            <w:tcW w:w="980" w:type="dxa"/>
            <w:vAlign w:val="bottom"/>
          </w:tcPr>
          <w:p>
            <w:pPr>
              <w:jc w:val="right"/>
              <w:ind w:right="45"/>
              <w:spacing w:after="0"/>
              <w:rPr>
                <w:sz w:val="20"/>
                <w:szCs w:val="20"/>
                <w:color w:val="auto"/>
              </w:rPr>
            </w:pPr>
            <w:r>
              <w:rPr>
                <w:rFonts w:ascii="Arial" w:cs="Arial" w:eastAsia="Arial" w:hAnsi="Arial"/>
                <w:sz w:val="15"/>
                <w:szCs w:val="15"/>
                <w:color w:val="auto"/>
              </w:rPr>
              <w:t>15%</w:t>
            </w:r>
          </w:p>
        </w:tc>
        <w:tc>
          <w:tcPr>
            <w:tcW w:w="1500" w:type="dxa"/>
            <w:vAlign w:val="bottom"/>
          </w:tcPr>
          <w:p>
            <w:pPr>
              <w:jc w:val="right"/>
              <w:ind w:right="24"/>
              <w:spacing w:after="0"/>
              <w:rPr>
                <w:sz w:val="20"/>
                <w:szCs w:val="20"/>
                <w:color w:val="auto"/>
              </w:rPr>
            </w:pPr>
            <w:r>
              <w:rPr>
                <w:rFonts w:ascii="Arial" w:cs="Arial" w:eastAsia="Arial" w:hAnsi="Arial"/>
                <w:sz w:val="15"/>
                <w:szCs w:val="15"/>
                <w:color w:val="auto"/>
              </w:rPr>
              <w:t>5%</w:t>
            </w:r>
          </w:p>
        </w:tc>
        <w:tc>
          <w:tcPr>
            <w:tcW w:w="940" w:type="dxa"/>
            <w:vAlign w:val="bottom"/>
          </w:tcPr>
          <w:p>
            <w:pPr>
              <w:jc w:val="right"/>
              <w:spacing w:after="0"/>
              <w:rPr>
                <w:sz w:val="20"/>
                <w:szCs w:val="20"/>
                <w:color w:val="auto"/>
              </w:rPr>
            </w:pPr>
            <w:r>
              <w:rPr>
                <w:rFonts w:ascii="Arial" w:cs="Arial" w:eastAsia="Arial" w:hAnsi="Arial"/>
                <w:sz w:val="15"/>
                <w:szCs w:val="15"/>
                <w:color w:val="auto"/>
              </w:rPr>
              <w:t>20%</w:t>
            </w:r>
          </w:p>
        </w:tc>
      </w:tr>
      <w:tr>
        <w:trPr>
          <w:trHeight w:val="22"/>
        </w:trPr>
        <w:tc>
          <w:tcPr>
            <w:tcW w:w="4320" w:type="dxa"/>
            <w:vAlign w:val="bottom"/>
            <w:tcBorders>
              <w:bottom w:val="single" w:sz="8" w:color="4800E6"/>
            </w:tcBorders>
          </w:tcPr>
          <w:p>
            <w:pPr>
              <w:spacing w:after="0" w:line="20" w:lineRule="exact"/>
              <w:rPr>
                <w:sz w:val="1"/>
                <w:szCs w:val="1"/>
                <w:color w:val="auto"/>
              </w:rPr>
            </w:pPr>
          </w:p>
        </w:tc>
        <w:tc>
          <w:tcPr>
            <w:tcW w:w="700" w:type="dxa"/>
            <w:vAlign w:val="bottom"/>
            <w:tcBorders>
              <w:bottom w:val="single" w:sz="8" w:color="4800E6"/>
            </w:tcBorders>
          </w:tcPr>
          <w:p>
            <w:pPr>
              <w:spacing w:after="0" w:line="20" w:lineRule="exact"/>
              <w:rPr>
                <w:sz w:val="1"/>
                <w:szCs w:val="1"/>
                <w:color w:val="auto"/>
              </w:rPr>
            </w:pPr>
          </w:p>
        </w:tc>
        <w:tc>
          <w:tcPr>
            <w:tcW w:w="740" w:type="dxa"/>
            <w:vAlign w:val="bottom"/>
            <w:tcBorders>
              <w:bottom w:val="single" w:sz="8" w:color="4800E6"/>
            </w:tcBorders>
          </w:tcPr>
          <w:p>
            <w:pPr>
              <w:spacing w:after="0" w:line="20" w:lineRule="exact"/>
              <w:rPr>
                <w:sz w:val="1"/>
                <w:szCs w:val="1"/>
                <w:color w:val="auto"/>
              </w:rPr>
            </w:pPr>
          </w:p>
        </w:tc>
        <w:tc>
          <w:tcPr>
            <w:tcW w:w="980" w:type="dxa"/>
            <w:vAlign w:val="bottom"/>
            <w:tcBorders>
              <w:bottom w:val="single" w:sz="8" w:color="4800E6"/>
            </w:tcBorders>
          </w:tcPr>
          <w:p>
            <w:pPr>
              <w:spacing w:after="0" w:line="20" w:lineRule="exact"/>
              <w:rPr>
                <w:sz w:val="1"/>
                <w:szCs w:val="1"/>
                <w:color w:val="auto"/>
              </w:rPr>
            </w:pPr>
          </w:p>
        </w:tc>
        <w:tc>
          <w:tcPr>
            <w:tcW w:w="1500" w:type="dxa"/>
            <w:vAlign w:val="bottom"/>
            <w:tcBorders>
              <w:bottom w:val="single" w:sz="8" w:color="4800E6"/>
            </w:tcBorders>
          </w:tcPr>
          <w:p>
            <w:pPr>
              <w:spacing w:after="0" w:line="20" w:lineRule="exact"/>
              <w:rPr>
                <w:sz w:val="1"/>
                <w:szCs w:val="1"/>
                <w:color w:val="auto"/>
              </w:rPr>
            </w:pPr>
          </w:p>
        </w:tc>
        <w:tc>
          <w:tcPr>
            <w:tcW w:w="940" w:type="dxa"/>
            <w:vAlign w:val="bottom"/>
            <w:tcBorders>
              <w:bottom w:val="single" w:sz="8" w:color="4800E6"/>
            </w:tcBorders>
          </w:tcPr>
          <w:p>
            <w:pPr>
              <w:spacing w:after="0" w:line="20" w:lineRule="exact"/>
              <w:rPr>
                <w:sz w:val="1"/>
                <w:szCs w:val="1"/>
                <w:color w:val="auto"/>
              </w:rPr>
            </w:pPr>
          </w:p>
        </w:tc>
      </w:tr>
    </w:tbl>
    <w:p>
      <w:pPr>
        <w:spacing w:after="0" w:line="83" w:lineRule="exact"/>
        <w:rPr>
          <w:sz w:val="20"/>
          <w:szCs w:val="20"/>
          <w:color w:val="auto"/>
        </w:rPr>
      </w:pPr>
    </w:p>
    <w:p>
      <w:pPr>
        <w:ind w:left="760" w:right="800"/>
        <w:spacing w:after="0" w:line="262" w:lineRule="auto"/>
        <w:rPr>
          <w:sz w:val="20"/>
          <w:szCs w:val="20"/>
          <w:color w:val="auto"/>
        </w:rPr>
      </w:pPr>
      <w:r>
        <w:rPr>
          <w:rFonts w:ascii="Arial" w:cs="Arial" w:eastAsia="Arial" w:hAnsi="Arial"/>
          <w:sz w:val="15"/>
          <w:szCs w:val="15"/>
          <w:color w:val="auto"/>
        </w:rPr>
        <w:t>In 2019, all the non-financial objectives were achieved with the exceptions of one Regulatory project and the Commercialization element leading to a total achievement of 30% at Target. However, given the Company’s overall financial results, the Compensation Committee reduced the payout under the STIP to 25% at Target. The Leadership objectives were achieved by each of the NEOs, but due to the Company’s performance, management recommended and the Compensation Committee approved, that payout of this portion be at 80% of target for Mr. Huston and Ms. Skeffington and at 70% of target for Mr. Andrle and</w:t>
      </w:r>
    </w:p>
    <w:p>
      <w:pPr>
        <w:spacing w:after="0" w:line="4" w:lineRule="exact"/>
        <w:rPr>
          <w:sz w:val="20"/>
          <w:szCs w:val="20"/>
          <w:color w:val="auto"/>
        </w:rPr>
      </w:pPr>
    </w:p>
    <w:p>
      <w:pPr>
        <w:ind w:left="760" w:right="900"/>
        <w:spacing w:after="0" w:line="246" w:lineRule="auto"/>
        <w:rPr>
          <w:sz w:val="20"/>
          <w:szCs w:val="20"/>
          <w:color w:val="auto"/>
        </w:rPr>
      </w:pPr>
      <w:r>
        <w:rPr>
          <w:rFonts w:ascii="Arial" w:cs="Arial" w:eastAsia="Arial" w:hAnsi="Arial"/>
          <w:sz w:val="16"/>
          <w:szCs w:val="16"/>
          <w:color w:val="auto"/>
        </w:rPr>
        <w:t>Mr. Simpson. Achievements for Mr. Andrle and Mr. Simpson were considered at 70% given their departures from their roles within the Company. This resulted in the following payouts in relation to the leadership objective: Mr. Huston at 80% (resulting in a payment of 12% of Target (80% of 15%)); Ms. Skeffington at 80% (resulting in a payment of 12% of Target (80% of 15%));</w:t>
      </w:r>
    </w:p>
    <w:p>
      <w:pPr>
        <w:spacing w:after="0" w:line="1" w:lineRule="exact"/>
        <w:rPr>
          <w:sz w:val="20"/>
          <w:szCs w:val="20"/>
          <w:color w:val="auto"/>
        </w:rPr>
      </w:pPr>
    </w:p>
    <w:p>
      <w:pPr>
        <w:ind w:left="760" w:right="820"/>
        <w:spacing w:after="0" w:line="260" w:lineRule="auto"/>
        <w:rPr>
          <w:sz w:val="20"/>
          <w:szCs w:val="20"/>
          <w:color w:val="auto"/>
        </w:rPr>
      </w:pPr>
      <w:r>
        <w:rPr>
          <w:rFonts w:ascii="Arial" w:cs="Arial" w:eastAsia="Arial" w:hAnsi="Arial"/>
          <w:sz w:val="16"/>
          <w:szCs w:val="16"/>
          <w:color w:val="auto"/>
        </w:rPr>
        <w:t>Mr. Andrle at 70% (resulting in a payout of 14% of Target (70% of 20%); and Mr. Simpson at 70% (resulting in a payment of 14% of Target (70% of 20%)).</w:t>
      </w:r>
    </w:p>
    <w:p>
      <w:pPr>
        <w:spacing w:after="0" w:line="60" w:lineRule="exact"/>
        <w:rPr>
          <w:sz w:val="20"/>
          <w:szCs w:val="20"/>
          <w:color w:val="auto"/>
        </w:rPr>
      </w:pPr>
    </w:p>
    <w:p>
      <w:pPr>
        <w:ind w:left="760" w:right="1160"/>
        <w:spacing w:after="0" w:line="260" w:lineRule="auto"/>
        <w:rPr>
          <w:sz w:val="20"/>
          <w:szCs w:val="20"/>
          <w:color w:val="auto"/>
        </w:rPr>
      </w:pPr>
      <w:r>
        <w:rPr>
          <w:rFonts w:ascii="Arial" w:cs="Arial" w:eastAsia="Arial" w:hAnsi="Arial"/>
          <w:sz w:val="16"/>
          <w:szCs w:val="16"/>
          <w:color w:val="auto"/>
        </w:rPr>
        <w:t>The following table shows the percentage of achievement of the elements of the 2019 STIP and the amount paid to the NEOs under the STIP:</w:t>
      </w:r>
    </w:p>
    <w:p>
      <w:pPr>
        <w:spacing w:after="0" w:line="140" w:lineRule="exact"/>
        <w:rPr>
          <w:sz w:val="20"/>
          <w:szCs w:val="20"/>
          <w:color w:val="auto"/>
        </w:rPr>
      </w:pPr>
    </w:p>
    <w:tbl>
      <w:tblPr>
        <w:tblLayout w:type="fixed"/>
        <w:tblInd w:w="760" w:type="dxa"/>
        <w:tblCellMar>
          <w:top w:w="0" w:type="dxa"/>
          <w:left w:w="0" w:type="dxa"/>
          <w:bottom w:w="0" w:type="dxa"/>
          <w:right w:w="0" w:type="dxa"/>
        </w:tblCellMar>
      </w:tblPr>
      <w:tr>
        <w:trPr>
          <w:trHeight w:val="175"/>
        </w:trPr>
        <w:tc>
          <w:tcPr>
            <w:tcW w:w="1440" w:type="dxa"/>
            <w:vAlign w:val="bottom"/>
          </w:tcPr>
          <w:p>
            <w:pPr>
              <w:spacing w:after="0"/>
              <w:rPr>
                <w:sz w:val="15"/>
                <w:szCs w:val="15"/>
                <w:color w:val="auto"/>
              </w:rPr>
            </w:pPr>
          </w:p>
        </w:tc>
        <w:tc>
          <w:tcPr>
            <w:tcW w:w="840" w:type="dxa"/>
            <w:vAlign w:val="bottom"/>
          </w:tcPr>
          <w:p>
            <w:pPr>
              <w:jc w:val="right"/>
              <w:ind w:right="66"/>
              <w:spacing w:after="0"/>
              <w:rPr>
                <w:sz w:val="20"/>
                <w:szCs w:val="20"/>
                <w:color w:val="auto"/>
              </w:rPr>
            </w:pPr>
            <w:r>
              <w:rPr>
                <w:rFonts w:ascii="Arial" w:cs="Arial" w:eastAsia="Arial" w:hAnsi="Arial"/>
                <w:sz w:val="14"/>
                <w:szCs w:val="14"/>
                <w:b w:val="1"/>
                <w:bCs w:val="1"/>
                <w:color w:val="4800E6"/>
              </w:rPr>
              <w:t>STIP</w:t>
            </w:r>
          </w:p>
        </w:tc>
        <w:tc>
          <w:tcPr>
            <w:tcW w:w="112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120" w:type="dxa"/>
            <w:vAlign w:val="bottom"/>
          </w:tcPr>
          <w:p>
            <w:pPr>
              <w:jc w:val="right"/>
              <w:ind w:right="86"/>
              <w:spacing w:after="0"/>
              <w:rPr>
                <w:sz w:val="20"/>
                <w:szCs w:val="20"/>
                <w:color w:val="auto"/>
              </w:rPr>
            </w:pPr>
            <w:r>
              <w:rPr>
                <w:rFonts w:ascii="Arial" w:cs="Arial" w:eastAsia="Arial" w:hAnsi="Arial"/>
                <w:sz w:val="14"/>
                <w:szCs w:val="14"/>
                <w:b w:val="1"/>
                <w:bCs w:val="1"/>
                <w:color w:val="4800E6"/>
              </w:rPr>
              <w:t>Weighted</w:t>
            </w:r>
          </w:p>
        </w:tc>
        <w:tc>
          <w:tcPr>
            <w:tcW w:w="840" w:type="dxa"/>
            <w:vAlign w:val="bottom"/>
          </w:tcPr>
          <w:p>
            <w:pPr>
              <w:spacing w:after="0"/>
              <w:rPr>
                <w:sz w:val="15"/>
                <w:szCs w:val="15"/>
                <w:color w:val="auto"/>
              </w:rPr>
            </w:pPr>
          </w:p>
        </w:tc>
        <w:tc>
          <w:tcPr>
            <w:tcW w:w="720" w:type="dxa"/>
            <w:vAlign w:val="bottom"/>
          </w:tcPr>
          <w:p>
            <w:pPr>
              <w:spacing w:after="0"/>
              <w:rPr>
                <w:sz w:val="15"/>
                <w:szCs w:val="15"/>
                <w:color w:val="auto"/>
              </w:rPr>
            </w:pPr>
          </w:p>
        </w:tc>
      </w:tr>
      <w:tr>
        <w:trPr>
          <w:trHeight w:val="162"/>
        </w:trPr>
        <w:tc>
          <w:tcPr>
            <w:tcW w:w="1440" w:type="dxa"/>
            <w:vAlign w:val="bottom"/>
          </w:tcPr>
          <w:p>
            <w:pPr>
              <w:spacing w:after="0"/>
              <w:rPr>
                <w:sz w:val="14"/>
                <w:szCs w:val="14"/>
                <w:color w:val="auto"/>
              </w:rPr>
            </w:pPr>
          </w:p>
        </w:tc>
        <w:tc>
          <w:tcPr>
            <w:tcW w:w="840" w:type="dxa"/>
            <w:vAlign w:val="bottom"/>
          </w:tcPr>
          <w:p>
            <w:pPr>
              <w:jc w:val="right"/>
              <w:ind w:right="66"/>
              <w:spacing w:after="0"/>
              <w:rPr>
                <w:sz w:val="20"/>
                <w:szCs w:val="20"/>
                <w:color w:val="auto"/>
              </w:rPr>
            </w:pPr>
            <w:r>
              <w:rPr>
                <w:rFonts w:ascii="Arial" w:cs="Arial" w:eastAsia="Arial" w:hAnsi="Arial"/>
                <w:sz w:val="14"/>
                <w:szCs w:val="14"/>
                <w:b w:val="1"/>
                <w:bCs w:val="1"/>
                <w:color w:val="4800E6"/>
              </w:rPr>
              <w:t>Target</w:t>
            </w:r>
          </w:p>
        </w:tc>
        <w:tc>
          <w:tcPr>
            <w:tcW w:w="1120" w:type="dxa"/>
            <w:vAlign w:val="bottom"/>
          </w:tcPr>
          <w:p>
            <w:pPr>
              <w:spacing w:after="0"/>
              <w:rPr>
                <w:sz w:val="14"/>
                <w:szCs w:val="14"/>
                <w:color w:val="auto"/>
              </w:rPr>
            </w:pPr>
          </w:p>
        </w:tc>
        <w:tc>
          <w:tcPr>
            <w:tcW w:w="1100" w:type="dxa"/>
            <w:vAlign w:val="bottom"/>
          </w:tcPr>
          <w:p>
            <w:pPr>
              <w:jc w:val="right"/>
              <w:ind w:right="66"/>
              <w:spacing w:after="0"/>
              <w:rPr>
                <w:sz w:val="20"/>
                <w:szCs w:val="20"/>
                <w:color w:val="auto"/>
              </w:rPr>
            </w:pPr>
            <w:r>
              <w:rPr>
                <w:rFonts w:ascii="Arial" w:cs="Arial" w:eastAsia="Arial" w:hAnsi="Arial"/>
                <w:sz w:val="14"/>
                <w:szCs w:val="14"/>
                <w:b w:val="1"/>
                <w:bCs w:val="1"/>
                <w:color w:val="4800E6"/>
              </w:rPr>
              <w:t>Weighted</w:t>
            </w:r>
          </w:p>
        </w:tc>
        <w:tc>
          <w:tcPr>
            <w:tcW w:w="10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120" w:type="dxa"/>
            <w:vAlign w:val="bottom"/>
          </w:tcPr>
          <w:p>
            <w:pPr>
              <w:jc w:val="right"/>
              <w:ind w:right="86"/>
              <w:spacing w:after="0"/>
              <w:rPr>
                <w:sz w:val="20"/>
                <w:szCs w:val="20"/>
                <w:color w:val="auto"/>
              </w:rPr>
            </w:pPr>
            <w:r>
              <w:rPr>
                <w:rFonts w:ascii="Arial" w:cs="Arial" w:eastAsia="Arial" w:hAnsi="Arial"/>
                <w:sz w:val="14"/>
                <w:szCs w:val="14"/>
                <w:b w:val="1"/>
                <w:bCs w:val="1"/>
                <w:color w:val="4800E6"/>
              </w:rPr>
              <w:t>Non-</w:t>
            </w:r>
          </w:p>
        </w:tc>
        <w:tc>
          <w:tcPr>
            <w:tcW w:w="840" w:type="dxa"/>
            <w:vAlign w:val="bottom"/>
          </w:tcPr>
          <w:p>
            <w:pPr>
              <w:spacing w:after="0"/>
              <w:rPr>
                <w:sz w:val="14"/>
                <w:szCs w:val="14"/>
                <w:color w:val="auto"/>
              </w:rPr>
            </w:pPr>
          </w:p>
        </w:tc>
        <w:tc>
          <w:tcPr>
            <w:tcW w:w="720" w:type="dxa"/>
            <w:vAlign w:val="bottom"/>
          </w:tcPr>
          <w:p>
            <w:pPr>
              <w:spacing w:after="0"/>
              <w:rPr>
                <w:sz w:val="14"/>
                <w:szCs w:val="14"/>
                <w:color w:val="auto"/>
              </w:rPr>
            </w:pPr>
          </w:p>
        </w:tc>
      </w:tr>
      <w:tr>
        <w:trPr>
          <w:trHeight w:val="162"/>
        </w:trPr>
        <w:tc>
          <w:tcPr>
            <w:tcW w:w="1440" w:type="dxa"/>
            <w:vAlign w:val="bottom"/>
          </w:tcPr>
          <w:p>
            <w:pPr>
              <w:spacing w:after="0"/>
              <w:rPr>
                <w:sz w:val="14"/>
                <w:szCs w:val="14"/>
                <w:color w:val="auto"/>
              </w:rPr>
            </w:pPr>
          </w:p>
        </w:tc>
        <w:tc>
          <w:tcPr>
            <w:tcW w:w="840" w:type="dxa"/>
            <w:vAlign w:val="bottom"/>
          </w:tcPr>
          <w:p>
            <w:pPr>
              <w:jc w:val="right"/>
              <w:ind w:right="66"/>
              <w:spacing w:after="0"/>
              <w:rPr>
                <w:sz w:val="20"/>
                <w:szCs w:val="20"/>
                <w:color w:val="auto"/>
              </w:rPr>
            </w:pPr>
            <w:r>
              <w:rPr>
                <w:rFonts w:ascii="Arial" w:cs="Arial" w:eastAsia="Arial" w:hAnsi="Arial"/>
                <w:sz w:val="14"/>
                <w:szCs w:val="14"/>
                <w:b w:val="1"/>
                <w:bCs w:val="1"/>
                <w:color w:val="4800E6"/>
              </w:rPr>
              <w:t>(% of</w:t>
            </w:r>
          </w:p>
        </w:tc>
        <w:tc>
          <w:tcPr>
            <w:tcW w:w="1120" w:type="dxa"/>
            <w:vAlign w:val="bottom"/>
          </w:tcPr>
          <w:p>
            <w:pPr>
              <w:jc w:val="right"/>
              <w:ind w:right="65"/>
              <w:spacing w:after="0"/>
              <w:rPr>
                <w:sz w:val="20"/>
                <w:szCs w:val="20"/>
                <w:color w:val="auto"/>
              </w:rPr>
            </w:pPr>
            <w:r>
              <w:rPr>
                <w:rFonts w:ascii="Arial" w:cs="Arial" w:eastAsia="Arial" w:hAnsi="Arial"/>
                <w:sz w:val="14"/>
                <w:szCs w:val="14"/>
                <w:b w:val="1"/>
                <w:bCs w:val="1"/>
                <w:color w:val="4800E6"/>
              </w:rPr>
              <w:t>Financial</w:t>
            </w:r>
          </w:p>
        </w:tc>
        <w:tc>
          <w:tcPr>
            <w:tcW w:w="1100" w:type="dxa"/>
            <w:vAlign w:val="bottom"/>
          </w:tcPr>
          <w:p>
            <w:pPr>
              <w:jc w:val="right"/>
              <w:ind w:right="66"/>
              <w:spacing w:after="0"/>
              <w:rPr>
                <w:sz w:val="20"/>
                <w:szCs w:val="20"/>
                <w:color w:val="auto"/>
              </w:rPr>
            </w:pPr>
            <w:r>
              <w:rPr>
                <w:rFonts w:ascii="Arial" w:cs="Arial" w:eastAsia="Arial" w:hAnsi="Arial"/>
                <w:sz w:val="14"/>
                <w:szCs w:val="14"/>
                <w:b w:val="1"/>
                <w:bCs w:val="1"/>
                <w:color w:val="4800E6"/>
              </w:rPr>
              <w:t>Financial</w:t>
            </w:r>
          </w:p>
        </w:tc>
        <w:tc>
          <w:tcPr>
            <w:tcW w:w="10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120" w:type="dxa"/>
            <w:vAlign w:val="bottom"/>
          </w:tcPr>
          <w:p>
            <w:pPr>
              <w:jc w:val="right"/>
              <w:ind w:right="86"/>
              <w:spacing w:after="0"/>
              <w:rPr>
                <w:sz w:val="20"/>
                <w:szCs w:val="20"/>
                <w:color w:val="auto"/>
              </w:rPr>
            </w:pPr>
            <w:r>
              <w:rPr>
                <w:rFonts w:ascii="Arial" w:cs="Arial" w:eastAsia="Arial" w:hAnsi="Arial"/>
                <w:sz w:val="14"/>
                <w:szCs w:val="14"/>
                <w:b w:val="1"/>
                <w:bCs w:val="1"/>
                <w:color w:val="4800E6"/>
              </w:rPr>
              <w:t>Financial</w:t>
            </w:r>
          </w:p>
        </w:tc>
        <w:tc>
          <w:tcPr>
            <w:tcW w:w="840" w:type="dxa"/>
            <w:vAlign w:val="bottom"/>
          </w:tcPr>
          <w:p>
            <w:pPr>
              <w:spacing w:after="0"/>
              <w:rPr>
                <w:sz w:val="14"/>
                <w:szCs w:val="14"/>
                <w:color w:val="auto"/>
              </w:rPr>
            </w:pPr>
          </w:p>
        </w:tc>
        <w:tc>
          <w:tcPr>
            <w:tcW w:w="720" w:type="dxa"/>
            <w:vAlign w:val="bottom"/>
          </w:tcPr>
          <w:p>
            <w:pPr>
              <w:jc w:val="right"/>
              <w:ind w:right="25"/>
              <w:spacing w:after="0"/>
              <w:rPr>
                <w:sz w:val="20"/>
                <w:szCs w:val="20"/>
                <w:color w:val="auto"/>
              </w:rPr>
            </w:pPr>
            <w:r>
              <w:rPr>
                <w:rFonts w:ascii="Arial" w:cs="Arial" w:eastAsia="Arial" w:hAnsi="Arial"/>
                <w:sz w:val="14"/>
                <w:szCs w:val="14"/>
                <w:b w:val="1"/>
                <w:bCs w:val="1"/>
                <w:color w:val="4800E6"/>
              </w:rPr>
              <w:t>STIP</w:t>
            </w:r>
          </w:p>
        </w:tc>
      </w:tr>
      <w:tr>
        <w:trPr>
          <w:trHeight w:val="162"/>
        </w:trPr>
        <w:tc>
          <w:tcPr>
            <w:tcW w:w="1440" w:type="dxa"/>
            <w:vAlign w:val="bottom"/>
          </w:tcPr>
          <w:p>
            <w:pPr>
              <w:spacing w:after="0"/>
              <w:rPr>
                <w:sz w:val="14"/>
                <w:szCs w:val="14"/>
                <w:color w:val="auto"/>
              </w:rPr>
            </w:pPr>
          </w:p>
        </w:tc>
        <w:tc>
          <w:tcPr>
            <w:tcW w:w="840" w:type="dxa"/>
            <w:vAlign w:val="bottom"/>
          </w:tcPr>
          <w:p>
            <w:pPr>
              <w:jc w:val="right"/>
              <w:ind w:right="66"/>
              <w:spacing w:after="0"/>
              <w:rPr>
                <w:sz w:val="20"/>
                <w:szCs w:val="20"/>
                <w:color w:val="auto"/>
              </w:rPr>
            </w:pPr>
            <w:r>
              <w:rPr>
                <w:rFonts w:ascii="Arial" w:cs="Arial" w:eastAsia="Arial" w:hAnsi="Arial"/>
                <w:sz w:val="14"/>
                <w:szCs w:val="14"/>
                <w:b w:val="1"/>
                <w:bCs w:val="1"/>
                <w:color w:val="4800E6"/>
              </w:rPr>
              <w:t>Base</w:t>
            </w:r>
          </w:p>
        </w:tc>
        <w:tc>
          <w:tcPr>
            <w:tcW w:w="1120" w:type="dxa"/>
            <w:vAlign w:val="bottom"/>
          </w:tcPr>
          <w:p>
            <w:pPr>
              <w:jc w:val="right"/>
              <w:ind w:right="65"/>
              <w:spacing w:after="0"/>
              <w:rPr>
                <w:sz w:val="20"/>
                <w:szCs w:val="20"/>
                <w:color w:val="auto"/>
              </w:rPr>
            </w:pPr>
            <w:r>
              <w:rPr>
                <w:rFonts w:ascii="Arial" w:cs="Arial" w:eastAsia="Arial" w:hAnsi="Arial"/>
                <w:sz w:val="14"/>
                <w:szCs w:val="14"/>
                <w:b w:val="1"/>
                <w:bCs w:val="1"/>
                <w:color w:val="4800E6"/>
              </w:rPr>
              <w:t>Performance</w:t>
            </w:r>
          </w:p>
        </w:tc>
        <w:tc>
          <w:tcPr>
            <w:tcW w:w="1100" w:type="dxa"/>
            <w:vAlign w:val="bottom"/>
          </w:tcPr>
          <w:p>
            <w:pPr>
              <w:jc w:val="right"/>
              <w:ind w:right="66"/>
              <w:spacing w:after="0"/>
              <w:rPr>
                <w:sz w:val="20"/>
                <w:szCs w:val="20"/>
                <w:color w:val="auto"/>
              </w:rPr>
            </w:pPr>
            <w:r>
              <w:rPr>
                <w:rFonts w:ascii="Arial" w:cs="Arial" w:eastAsia="Arial" w:hAnsi="Arial"/>
                <w:sz w:val="14"/>
                <w:szCs w:val="14"/>
                <w:b w:val="1"/>
                <w:bCs w:val="1"/>
                <w:color w:val="4800E6"/>
              </w:rPr>
              <w:t>Performance</w:t>
            </w:r>
          </w:p>
        </w:tc>
        <w:tc>
          <w:tcPr>
            <w:tcW w:w="1000" w:type="dxa"/>
            <w:vAlign w:val="bottom"/>
          </w:tcPr>
          <w:p>
            <w:pPr>
              <w:jc w:val="right"/>
              <w:ind w:right="65"/>
              <w:spacing w:after="0"/>
              <w:rPr>
                <w:sz w:val="20"/>
                <w:szCs w:val="20"/>
                <w:color w:val="auto"/>
              </w:rPr>
            </w:pPr>
            <w:r>
              <w:rPr>
                <w:rFonts w:ascii="Arial" w:cs="Arial" w:eastAsia="Arial" w:hAnsi="Arial"/>
                <w:sz w:val="14"/>
                <w:szCs w:val="14"/>
                <w:b w:val="1"/>
                <w:bCs w:val="1"/>
                <w:color w:val="4800E6"/>
              </w:rPr>
              <w:t>Leadership</w:t>
            </w:r>
          </w:p>
        </w:tc>
        <w:tc>
          <w:tcPr>
            <w:tcW w:w="1000" w:type="dxa"/>
            <w:vAlign w:val="bottom"/>
          </w:tcPr>
          <w:p>
            <w:pPr>
              <w:jc w:val="right"/>
              <w:ind w:right="65"/>
              <w:spacing w:after="0"/>
              <w:rPr>
                <w:sz w:val="20"/>
                <w:szCs w:val="20"/>
                <w:color w:val="auto"/>
              </w:rPr>
            </w:pPr>
            <w:r>
              <w:rPr>
                <w:rFonts w:ascii="Arial" w:cs="Arial" w:eastAsia="Arial" w:hAnsi="Arial"/>
                <w:sz w:val="14"/>
                <w:szCs w:val="14"/>
                <w:b w:val="1"/>
                <w:bCs w:val="1"/>
                <w:color w:val="4800E6"/>
              </w:rPr>
              <w:t>Leadership</w:t>
            </w:r>
          </w:p>
        </w:tc>
        <w:tc>
          <w:tcPr>
            <w:tcW w:w="1120" w:type="dxa"/>
            <w:vAlign w:val="bottom"/>
          </w:tcPr>
          <w:p>
            <w:pPr>
              <w:jc w:val="right"/>
              <w:ind w:right="86"/>
              <w:spacing w:after="0"/>
              <w:rPr>
                <w:sz w:val="20"/>
                <w:szCs w:val="20"/>
                <w:color w:val="auto"/>
              </w:rPr>
            </w:pPr>
            <w:r>
              <w:rPr>
                <w:rFonts w:ascii="Arial" w:cs="Arial" w:eastAsia="Arial" w:hAnsi="Arial"/>
                <w:sz w:val="14"/>
                <w:szCs w:val="14"/>
                <w:b w:val="1"/>
                <w:bCs w:val="1"/>
                <w:color w:val="4800E6"/>
              </w:rPr>
              <w:t>Performance</w:t>
            </w:r>
          </w:p>
        </w:tc>
        <w:tc>
          <w:tcPr>
            <w:tcW w:w="840" w:type="dxa"/>
            <w:vAlign w:val="bottom"/>
          </w:tcPr>
          <w:p>
            <w:pPr>
              <w:jc w:val="right"/>
              <w:ind w:right="65"/>
              <w:spacing w:after="0"/>
              <w:rPr>
                <w:sz w:val="20"/>
                <w:szCs w:val="20"/>
                <w:color w:val="auto"/>
              </w:rPr>
            </w:pPr>
            <w:r>
              <w:rPr>
                <w:rFonts w:ascii="Arial" w:cs="Arial" w:eastAsia="Arial" w:hAnsi="Arial"/>
                <w:sz w:val="14"/>
                <w:szCs w:val="14"/>
                <w:b w:val="1"/>
                <w:bCs w:val="1"/>
                <w:color w:val="4800E6"/>
              </w:rPr>
              <w:t>STIP</w:t>
            </w:r>
          </w:p>
        </w:tc>
        <w:tc>
          <w:tcPr>
            <w:tcW w:w="720" w:type="dxa"/>
            <w:vAlign w:val="bottom"/>
          </w:tcPr>
          <w:p>
            <w:pPr>
              <w:jc w:val="right"/>
              <w:ind w:right="25"/>
              <w:spacing w:after="0"/>
              <w:rPr>
                <w:sz w:val="20"/>
                <w:szCs w:val="20"/>
                <w:color w:val="auto"/>
              </w:rPr>
            </w:pPr>
            <w:r>
              <w:rPr>
                <w:rFonts w:ascii="Arial" w:cs="Arial" w:eastAsia="Arial" w:hAnsi="Arial"/>
                <w:sz w:val="14"/>
                <w:szCs w:val="14"/>
                <w:b w:val="1"/>
                <w:bCs w:val="1"/>
                <w:color w:val="4800E6"/>
              </w:rPr>
              <w:t>Payout</w:t>
            </w:r>
          </w:p>
        </w:tc>
      </w:tr>
      <w:tr>
        <w:trPr>
          <w:trHeight w:val="216"/>
        </w:trPr>
        <w:tc>
          <w:tcPr>
            <w:tcW w:w="1440" w:type="dxa"/>
            <w:vAlign w:val="bottom"/>
            <w:tcBorders>
              <w:bottom w:val="single" w:sz="8" w:color="4800E6"/>
            </w:tcBorders>
          </w:tcPr>
          <w:p>
            <w:pPr>
              <w:spacing w:after="0"/>
              <w:rPr>
                <w:sz w:val="18"/>
                <w:szCs w:val="18"/>
                <w:color w:val="auto"/>
              </w:rPr>
            </w:pPr>
          </w:p>
        </w:tc>
        <w:tc>
          <w:tcPr>
            <w:tcW w:w="840" w:type="dxa"/>
            <w:vAlign w:val="bottom"/>
            <w:tcBorders>
              <w:bottom w:val="single" w:sz="8" w:color="4800E6"/>
            </w:tcBorders>
          </w:tcPr>
          <w:p>
            <w:pPr>
              <w:jc w:val="right"/>
              <w:ind w:right="26"/>
              <w:spacing w:after="0" w:line="216" w:lineRule="exact"/>
              <w:rPr>
                <w:sz w:val="20"/>
                <w:szCs w:val="20"/>
                <w:color w:val="auto"/>
              </w:rPr>
            </w:pPr>
            <w:r>
              <w:rPr>
                <w:rFonts w:ascii="Arial" w:cs="Arial" w:eastAsia="Arial" w:hAnsi="Arial"/>
                <w:sz w:val="14"/>
                <w:szCs w:val="14"/>
                <w:b w:val="1"/>
                <w:bCs w:val="1"/>
                <w:color w:val="4800E6"/>
              </w:rPr>
              <w:t>Salary)</w:t>
            </w:r>
            <w:r>
              <w:rPr>
                <w:rFonts w:ascii="Arial" w:cs="Arial" w:eastAsia="Arial" w:hAnsi="Arial"/>
                <w:sz w:val="21"/>
                <w:szCs w:val="21"/>
                <w:b w:val="1"/>
                <w:bCs w:val="1"/>
                <w:color w:val="4800E6"/>
                <w:vertAlign w:val="superscript"/>
              </w:rPr>
              <w:t>(1)</w:t>
            </w:r>
          </w:p>
        </w:tc>
        <w:tc>
          <w:tcPr>
            <w:tcW w:w="1120" w:type="dxa"/>
            <w:vAlign w:val="bottom"/>
            <w:tcBorders>
              <w:bottom w:val="single" w:sz="8" w:color="4800E6"/>
            </w:tcBorders>
          </w:tcPr>
          <w:p>
            <w:pPr>
              <w:jc w:val="right"/>
              <w:ind w:right="25"/>
              <w:spacing w:after="0"/>
              <w:rPr>
                <w:sz w:val="20"/>
                <w:szCs w:val="20"/>
                <w:color w:val="auto"/>
              </w:rPr>
            </w:pPr>
            <w:r>
              <w:rPr>
                <w:rFonts w:ascii="Arial" w:cs="Arial" w:eastAsia="Arial" w:hAnsi="Arial"/>
                <w:sz w:val="14"/>
                <w:szCs w:val="14"/>
                <w:b w:val="1"/>
                <w:bCs w:val="1"/>
                <w:color w:val="4800E6"/>
              </w:rPr>
              <w:t>Weight %</w:t>
            </w:r>
          </w:p>
        </w:tc>
        <w:tc>
          <w:tcPr>
            <w:tcW w:w="1100" w:type="dxa"/>
            <w:vAlign w:val="bottom"/>
            <w:tcBorders>
              <w:bottom w:val="single" w:sz="8" w:color="4800E6"/>
            </w:tcBorders>
          </w:tcPr>
          <w:p>
            <w:pPr>
              <w:jc w:val="right"/>
              <w:ind w:right="26"/>
              <w:spacing w:after="0"/>
              <w:rPr>
                <w:sz w:val="20"/>
                <w:szCs w:val="20"/>
                <w:color w:val="auto"/>
              </w:rPr>
            </w:pPr>
            <w:r>
              <w:rPr>
                <w:rFonts w:ascii="Arial" w:cs="Arial" w:eastAsia="Arial" w:hAnsi="Arial"/>
                <w:sz w:val="14"/>
                <w:szCs w:val="14"/>
                <w:b w:val="1"/>
                <w:bCs w:val="1"/>
                <w:color w:val="4800E6"/>
              </w:rPr>
              <w:t>Payout %</w:t>
            </w:r>
          </w:p>
        </w:tc>
        <w:tc>
          <w:tcPr>
            <w:tcW w:w="1000" w:type="dxa"/>
            <w:vAlign w:val="bottom"/>
            <w:tcBorders>
              <w:bottom w:val="single" w:sz="8" w:color="4800E6"/>
            </w:tcBorders>
          </w:tcPr>
          <w:p>
            <w:pPr>
              <w:jc w:val="right"/>
              <w:ind w:right="25"/>
              <w:spacing w:after="0"/>
              <w:rPr>
                <w:sz w:val="20"/>
                <w:szCs w:val="20"/>
                <w:color w:val="auto"/>
              </w:rPr>
            </w:pPr>
            <w:r>
              <w:rPr>
                <w:rFonts w:ascii="Arial" w:cs="Arial" w:eastAsia="Arial" w:hAnsi="Arial"/>
                <w:sz w:val="14"/>
                <w:szCs w:val="14"/>
                <w:b w:val="1"/>
                <w:bCs w:val="1"/>
                <w:color w:val="4800E6"/>
              </w:rPr>
              <w:t>Weight %</w:t>
            </w:r>
          </w:p>
        </w:tc>
        <w:tc>
          <w:tcPr>
            <w:tcW w:w="1000" w:type="dxa"/>
            <w:vAlign w:val="bottom"/>
            <w:tcBorders>
              <w:bottom w:val="single" w:sz="8" w:color="4800E6"/>
            </w:tcBorders>
          </w:tcPr>
          <w:p>
            <w:pPr>
              <w:jc w:val="right"/>
              <w:ind w:right="25"/>
              <w:spacing w:after="0"/>
              <w:rPr>
                <w:sz w:val="20"/>
                <w:szCs w:val="20"/>
                <w:color w:val="auto"/>
              </w:rPr>
            </w:pPr>
            <w:r>
              <w:rPr>
                <w:rFonts w:ascii="Arial" w:cs="Arial" w:eastAsia="Arial" w:hAnsi="Arial"/>
                <w:sz w:val="14"/>
                <w:szCs w:val="14"/>
                <w:b w:val="1"/>
                <w:bCs w:val="1"/>
                <w:color w:val="4800E6"/>
              </w:rPr>
              <w:t>Payout %</w:t>
            </w:r>
          </w:p>
        </w:tc>
        <w:tc>
          <w:tcPr>
            <w:tcW w:w="1120" w:type="dxa"/>
            <w:vAlign w:val="bottom"/>
            <w:tcBorders>
              <w:bottom w:val="single" w:sz="8" w:color="4800E6"/>
            </w:tcBorders>
          </w:tcPr>
          <w:p>
            <w:pPr>
              <w:jc w:val="right"/>
              <w:ind w:right="46"/>
              <w:spacing w:after="0"/>
              <w:rPr>
                <w:sz w:val="20"/>
                <w:szCs w:val="20"/>
                <w:color w:val="auto"/>
              </w:rPr>
            </w:pPr>
            <w:r>
              <w:rPr>
                <w:rFonts w:ascii="Arial" w:cs="Arial" w:eastAsia="Arial" w:hAnsi="Arial"/>
                <w:sz w:val="14"/>
                <w:szCs w:val="14"/>
                <w:b w:val="1"/>
                <w:bCs w:val="1"/>
                <w:color w:val="4800E6"/>
              </w:rPr>
              <w:t>Payout %</w:t>
            </w:r>
          </w:p>
        </w:tc>
        <w:tc>
          <w:tcPr>
            <w:tcW w:w="840" w:type="dxa"/>
            <w:vAlign w:val="bottom"/>
            <w:tcBorders>
              <w:bottom w:val="single" w:sz="8" w:color="4800E6"/>
            </w:tcBorders>
          </w:tcPr>
          <w:p>
            <w:pPr>
              <w:jc w:val="right"/>
              <w:ind w:right="25"/>
              <w:spacing w:after="0"/>
              <w:rPr>
                <w:sz w:val="20"/>
                <w:szCs w:val="20"/>
                <w:color w:val="auto"/>
              </w:rPr>
            </w:pPr>
            <w:r>
              <w:rPr>
                <w:rFonts w:ascii="Arial" w:cs="Arial" w:eastAsia="Arial" w:hAnsi="Arial"/>
                <w:sz w:val="14"/>
                <w:szCs w:val="14"/>
                <w:b w:val="1"/>
                <w:bCs w:val="1"/>
                <w:color w:val="4800E6"/>
              </w:rPr>
              <w:t>Payout %</w:t>
            </w:r>
          </w:p>
        </w:tc>
        <w:tc>
          <w:tcPr>
            <w:tcW w:w="720" w:type="dxa"/>
            <w:vAlign w:val="bottom"/>
            <w:tcBorders>
              <w:bottom w:val="single" w:sz="8" w:color="4800E6"/>
            </w:tcBorders>
          </w:tcPr>
          <w:p>
            <w:pPr>
              <w:jc w:val="right"/>
              <w:spacing w:after="0" w:line="216" w:lineRule="exact"/>
              <w:rPr>
                <w:sz w:val="20"/>
                <w:szCs w:val="20"/>
                <w:color w:val="auto"/>
              </w:rPr>
            </w:pPr>
            <w:r>
              <w:rPr>
                <w:rFonts w:ascii="Arial" w:cs="Arial" w:eastAsia="Arial" w:hAnsi="Arial"/>
                <w:sz w:val="14"/>
                <w:szCs w:val="14"/>
                <w:b w:val="1"/>
                <w:bCs w:val="1"/>
                <w:color w:val="4800E6"/>
              </w:rPr>
              <w:t>($)</w:t>
            </w:r>
            <w:r>
              <w:rPr>
                <w:rFonts w:ascii="Arial" w:cs="Arial" w:eastAsia="Arial" w:hAnsi="Arial"/>
                <w:sz w:val="21"/>
                <w:szCs w:val="21"/>
                <w:b w:val="1"/>
                <w:bCs w:val="1"/>
                <w:color w:val="4800E6"/>
                <w:vertAlign w:val="superscript"/>
              </w:rPr>
              <w:t>(2)</w:t>
            </w:r>
          </w:p>
        </w:tc>
      </w:tr>
      <w:tr>
        <w:trPr>
          <w:trHeight w:val="215"/>
        </w:trPr>
        <w:tc>
          <w:tcPr>
            <w:tcW w:w="1440" w:type="dxa"/>
            <w:vAlign w:val="bottom"/>
          </w:tcPr>
          <w:p>
            <w:pPr>
              <w:ind w:left="40"/>
              <w:spacing w:after="0"/>
              <w:rPr>
                <w:sz w:val="20"/>
                <w:szCs w:val="20"/>
                <w:color w:val="auto"/>
              </w:rPr>
            </w:pPr>
            <w:r>
              <w:rPr>
                <w:rFonts w:ascii="Arial" w:cs="Arial" w:eastAsia="Arial" w:hAnsi="Arial"/>
                <w:sz w:val="15"/>
                <w:szCs w:val="15"/>
                <w:color w:val="auto"/>
              </w:rPr>
              <w:t>Damien McDonald</w:t>
            </w:r>
          </w:p>
        </w:tc>
        <w:tc>
          <w:tcPr>
            <w:tcW w:w="840" w:type="dxa"/>
            <w:vAlign w:val="bottom"/>
          </w:tcPr>
          <w:p>
            <w:pPr>
              <w:jc w:val="right"/>
              <w:ind w:right="6"/>
              <w:spacing w:after="0"/>
              <w:rPr>
                <w:sz w:val="20"/>
                <w:szCs w:val="20"/>
                <w:color w:val="auto"/>
              </w:rPr>
            </w:pPr>
            <w:r>
              <w:rPr>
                <w:rFonts w:ascii="Arial" w:cs="Arial" w:eastAsia="Arial" w:hAnsi="Arial"/>
                <w:sz w:val="15"/>
                <w:szCs w:val="15"/>
                <w:color w:val="auto"/>
              </w:rPr>
              <w:t>125%</w:t>
            </w:r>
          </w:p>
        </w:tc>
        <w:tc>
          <w:tcPr>
            <w:tcW w:w="1120" w:type="dxa"/>
            <w:vAlign w:val="bottom"/>
          </w:tcPr>
          <w:p>
            <w:pPr>
              <w:jc w:val="right"/>
              <w:ind w:right="25"/>
              <w:spacing w:after="0"/>
              <w:rPr>
                <w:sz w:val="20"/>
                <w:szCs w:val="20"/>
                <w:color w:val="auto"/>
              </w:rPr>
            </w:pPr>
            <w:r>
              <w:rPr>
                <w:rFonts w:ascii="Arial" w:cs="Arial" w:eastAsia="Arial" w:hAnsi="Arial"/>
                <w:sz w:val="15"/>
                <w:szCs w:val="15"/>
                <w:color w:val="auto"/>
              </w:rPr>
              <w:t>75%</w:t>
            </w:r>
          </w:p>
        </w:tc>
        <w:tc>
          <w:tcPr>
            <w:tcW w:w="1100" w:type="dxa"/>
            <w:vAlign w:val="bottom"/>
          </w:tcPr>
          <w:p>
            <w:pPr>
              <w:jc w:val="right"/>
              <w:ind w:right="26"/>
              <w:spacing w:after="0"/>
              <w:rPr>
                <w:sz w:val="20"/>
                <w:szCs w:val="20"/>
                <w:color w:val="auto"/>
              </w:rPr>
            </w:pPr>
            <w:r>
              <w:rPr>
                <w:rFonts w:ascii="Arial" w:cs="Arial" w:eastAsia="Arial" w:hAnsi="Arial"/>
                <w:sz w:val="15"/>
                <w:szCs w:val="15"/>
                <w:color w:val="auto"/>
              </w:rPr>
              <w:t>0%</w:t>
            </w:r>
          </w:p>
        </w:tc>
        <w:tc>
          <w:tcPr>
            <w:tcW w:w="1000" w:type="dxa"/>
            <w:vAlign w:val="bottom"/>
          </w:tcPr>
          <w:p>
            <w:pPr>
              <w:jc w:val="right"/>
              <w:ind w:right="25"/>
              <w:spacing w:after="0"/>
              <w:rPr>
                <w:sz w:val="20"/>
                <w:szCs w:val="20"/>
                <w:color w:val="auto"/>
              </w:rPr>
            </w:pPr>
            <w:r>
              <w:rPr>
                <w:rFonts w:ascii="Arial" w:cs="Arial" w:eastAsia="Arial" w:hAnsi="Arial"/>
                <w:sz w:val="15"/>
                <w:szCs w:val="15"/>
                <w:color w:val="auto"/>
              </w:rPr>
              <w:t>NA</w:t>
            </w:r>
          </w:p>
        </w:tc>
        <w:tc>
          <w:tcPr>
            <w:tcW w:w="1000" w:type="dxa"/>
            <w:vAlign w:val="bottom"/>
          </w:tcPr>
          <w:p>
            <w:pPr>
              <w:jc w:val="right"/>
              <w:ind w:right="25"/>
              <w:spacing w:after="0"/>
              <w:rPr>
                <w:sz w:val="20"/>
                <w:szCs w:val="20"/>
                <w:color w:val="auto"/>
              </w:rPr>
            </w:pPr>
            <w:r>
              <w:rPr>
                <w:rFonts w:ascii="Arial" w:cs="Arial" w:eastAsia="Arial" w:hAnsi="Arial"/>
                <w:sz w:val="15"/>
                <w:szCs w:val="15"/>
                <w:color w:val="auto"/>
              </w:rPr>
              <w:t>N/A</w:t>
            </w:r>
          </w:p>
        </w:tc>
        <w:tc>
          <w:tcPr>
            <w:tcW w:w="1120" w:type="dxa"/>
            <w:vAlign w:val="bottom"/>
          </w:tcPr>
          <w:p>
            <w:pPr>
              <w:jc w:val="right"/>
              <w:ind w:right="26"/>
              <w:spacing w:after="0"/>
              <w:rPr>
                <w:sz w:val="20"/>
                <w:szCs w:val="20"/>
                <w:color w:val="auto"/>
              </w:rPr>
            </w:pPr>
            <w:r>
              <w:rPr>
                <w:rFonts w:ascii="Arial" w:cs="Arial" w:eastAsia="Arial" w:hAnsi="Arial"/>
                <w:sz w:val="15"/>
                <w:szCs w:val="15"/>
                <w:color w:val="auto"/>
              </w:rPr>
              <w:t>25%</w:t>
            </w:r>
          </w:p>
        </w:tc>
        <w:tc>
          <w:tcPr>
            <w:tcW w:w="840" w:type="dxa"/>
            <w:vAlign w:val="bottom"/>
          </w:tcPr>
          <w:p>
            <w:pPr>
              <w:jc w:val="right"/>
              <w:ind w:right="25"/>
              <w:spacing w:after="0"/>
              <w:rPr>
                <w:sz w:val="20"/>
                <w:szCs w:val="20"/>
                <w:color w:val="auto"/>
              </w:rPr>
            </w:pPr>
            <w:r>
              <w:rPr>
                <w:rFonts w:ascii="Arial" w:cs="Arial" w:eastAsia="Arial" w:hAnsi="Arial"/>
                <w:sz w:val="15"/>
                <w:szCs w:val="15"/>
                <w:color w:val="auto"/>
              </w:rPr>
              <w:t>25%</w:t>
            </w:r>
          </w:p>
        </w:tc>
        <w:tc>
          <w:tcPr>
            <w:tcW w:w="720" w:type="dxa"/>
            <w:vAlign w:val="bottom"/>
          </w:tcPr>
          <w:p>
            <w:pPr>
              <w:jc w:val="right"/>
              <w:spacing w:after="0"/>
              <w:rPr>
                <w:sz w:val="20"/>
                <w:szCs w:val="20"/>
                <w:color w:val="auto"/>
              </w:rPr>
            </w:pPr>
            <w:r>
              <w:rPr>
                <w:rFonts w:ascii="Arial" w:cs="Arial" w:eastAsia="Arial" w:hAnsi="Arial"/>
                <w:sz w:val="15"/>
                <w:szCs w:val="15"/>
                <w:color w:val="auto"/>
              </w:rPr>
              <w:t>277,245</w:t>
            </w:r>
          </w:p>
        </w:tc>
      </w:tr>
      <w:tr>
        <w:trPr>
          <w:trHeight w:val="22"/>
        </w:trPr>
        <w:tc>
          <w:tcPr>
            <w:tcW w:w="144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r>
      <w:tr>
        <w:trPr>
          <w:trHeight w:val="250"/>
        </w:trPr>
        <w:tc>
          <w:tcPr>
            <w:tcW w:w="1440" w:type="dxa"/>
            <w:vAlign w:val="bottom"/>
            <w:tcBorders>
              <w:bottom w:val="single" w:sz="8" w:color="EFE9FC"/>
            </w:tcBorders>
            <w:shd w:val="clear" w:color="auto" w:fill="EFE9FC"/>
          </w:tcPr>
          <w:p>
            <w:pPr>
              <w:ind w:left="40"/>
              <w:spacing w:after="0"/>
              <w:rPr>
                <w:sz w:val="20"/>
                <w:szCs w:val="20"/>
                <w:color w:val="auto"/>
              </w:rPr>
            </w:pPr>
            <w:r>
              <w:rPr>
                <w:rFonts w:ascii="Arial" w:cs="Arial" w:eastAsia="Arial" w:hAnsi="Arial"/>
                <w:sz w:val="15"/>
                <w:szCs w:val="15"/>
                <w:color w:val="auto"/>
              </w:rPr>
              <w:t>Thad Huston</w:t>
            </w:r>
          </w:p>
        </w:tc>
        <w:tc>
          <w:tcPr>
            <w:tcW w:w="840" w:type="dxa"/>
            <w:vAlign w:val="bottom"/>
            <w:tcBorders>
              <w:bottom w:val="single" w:sz="8" w:color="EFE9FC"/>
            </w:tcBorders>
            <w:shd w:val="clear" w:color="auto" w:fill="EFE9FC"/>
          </w:tcPr>
          <w:p>
            <w:pPr>
              <w:jc w:val="right"/>
              <w:ind w:right="6"/>
              <w:spacing w:after="0"/>
              <w:rPr>
                <w:sz w:val="20"/>
                <w:szCs w:val="20"/>
                <w:color w:val="auto"/>
              </w:rPr>
            </w:pPr>
            <w:r>
              <w:rPr>
                <w:rFonts w:ascii="Arial" w:cs="Arial" w:eastAsia="Arial" w:hAnsi="Arial"/>
                <w:sz w:val="15"/>
                <w:szCs w:val="15"/>
                <w:color w:val="auto"/>
              </w:rPr>
              <w:t>90%</w:t>
            </w:r>
          </w:p>
        </w:tc>
        <w:tc>
          <w:tcPr>
            <w:tcW w:w="1120" w:type="dxa"/>
            <w:vAlign w:val="bottom"/>
            <w:tcBorders>
              <w:bottom w:val="single" w:sz="8" w:color="EFE9FC"/>
            </w:tcBorders>
            <w:shd w:val="clear" w:color="auto" w:fill="EFE9FC"/>
          </w:tcPr>
          <w:p>
            <w:pPr>
              <w:jc w:val="right"/>
              <w:ind w:right="25"/>
              <w:spacing w:after="0"/>
              <w:rPr>
                <w:sz w:val="20"/>
                <w:szCs w:val="20"/>
                <w:color w:val="auto"/>
              </w:rPr>
            </w:pPr>
            <w:r>
              <w:rPr>
                <w:rFonts w:ascii="Arial" w:cs="Arial" w:eastAsia="Arial" w:hAnsi="Arial"/>
                <w:sz w:val="15"/>
                <w:szCs w:val="15"/>
                <w:color w:val="auto"/>
              </w:rPr>
              <w:t>60%</w:t>
            </w:r>
          </w:p>
        </w:tc>
        <w:tc>
          <w:tcPr>
            <w:tcW w:w="1100" w:type="dxa"/>
            <w:vAlign w:val="bottom"/>
            <w:tcBorders>
              <w:bottom w:val="single" w:sz="8" w:color="EFE9FC"/>
            </w:tcBorders>
            <w:shd w:val="clear" w:color="auto" w:fill="EFE9FC"/>
          </w:tcPr>
          <w:p>
            <w:pPr>
              <w:jc w:val="right"/>
              <w:ind w:right="26"/>
              <w:spacing w:after="0"/>
              <w:rPr>
                <w:sz w:val="20"/>
                <w:szCs w:val="20"/>
                <w:color w:val="auto"/>
              </w:rPr>
            </w:pPr>
            <w:r>
              <w:rPr>
                <w:rFonts w:ascii="Arial" w:cs="Arial" w:eastAsia="Arial" w:hAnsi="Arial"/>
                <w:sz w:val="15"/>
                <w:szCs w:val="15"/>
                <w:color w:val="auto"/>
              </w:rPr>
              <w:t>0%</w:t>
            </w:r>
          </w:p>
        </w:tc>
        <w:tc>
          <w:tcPr>
            <w:tcW w:w="1000" w:type="dxa"/>
            <w:vAlign w:val="bottom"/>
            <w:tcBorders>
              <w:bottom w:val="single" w:sz="8" w:color="EFE9FC"/>
            </w:tcBorders>
            <w:shd w:val="clear" w:color="auto" w:fill="EFE9FC"/>
          </w:tcPr>
          <w:p>
            <w:pPr>
              <w:jc w:val="right"/>
              <w:ind w:right="25"/>
              <w:spacing w:after="0"/>
              <w:rPr>
                <w:sz w:val="20"/>
                <w:szCs w:val="20"/>
                <w:color w:val="auto"/>
              </w:rPr>
            </w:pPr>
            <w:r>
              <w:rPr>
                <w:rFonts w:ascii="Arial" w:cs="Arial" w:eastAsia="Arial" w:hAnsi="Arial"/>
                <w:sz w:val="15"/>
                <w:szCs w:val="15"/>
                <w:color w:val="auto"/>
              </w:rPr>
              <w:t>15%</w:t>
            </w:r>
          </w:p>
        </w:tc>
        <w:tc>
          <w:tcPr>
            <w:tcW w:w="1000" w:type="dxa"/>
            <w:vAlign w:val="bottom"/>
            <w:tcBorders>
              <w:bottom w:val="single" w:sz="8" w:color="EFE9FC"/>
            </w:tcBorders>
            <w:shd w:val="clear" w:color="auto" w:fill="EFE9FC"/>
          </w:tcPr>
          <w:p>
            <w:pPr>
              <w:jc w:val="right"/>
              <w:ind w:right="25"/>
              <w:spacing w:after="0"/>
              <w:rPr>
                <w:sz w:val="20"/>
                <w:szCs w:val="20"/>
                <w:color w:val="auto"/>
              </w:rPr>
            </w:pPr>
            <w:r>
              <w:rPr>
                <w:rFonts w:ascii="Arial" w:cs="Arial" w:eastAsia="Arial" w:hAnsi="Arial"/>
                <w:sz w:val="15"/>
                <w:szCs w:val="15"/>
                <w:color w:val="auto"/>
              </w:rPr>
              <w:t>12%</w:t>
            </w:r>
          </w:p>
        </w:tc>
        <w:tc>
          <w:tcPr>
            <w:tcW w:w="1120" w:type="dxa"/>
            <w:vAlign w:val="bottom"/>
            <w:tcBorders>
              <w:bottom w:val="single" w:sz="8" w:color="EFE9FC"/>
            </w:tcBorders>
            <w:shd w:val="clear" w:color="auto" w:fill="EFE9FC"/>
          </w:tcPr>
          <w:p>
            <w:pPr>
              <w:jc w:val="right"/>
              <w:ind w:right="26"/>
              <w:spacing w:after="0"/>
              <w:rPr>
                <w:sz w:val="20"/>
                <w:szCs w:val="20"/>
                <w:color w:val="auto"/>
              </w:rPr>
            </w:pPr>
            <w:r>
              <w:rPr>
                <w:rFonts w:ascii="Arial" w:cs="Arial" w:eastAsia="Arial" w:hAnsi="Arial"/>
                <w:sz w:val="15"/>
                <w:szCs w:val="15"/>
                <w:color w:val="auto"/>
              </w:rPr>
              <w:t>25%</w:t>
            </w:r>
          </w:p>
        </w:tc>
        <w:tc>
          <w:tcPr>
            <w:tcW w:w="840" w:type="dxa"/>
            <w:vAlign w:val="bottom"/>
            <w:tcBorders>
              <w:bottom w:val="single" w:sz="8" w:color="EFE9FC"/>
            </w:tcBorders>
            <w:shd w:val="clear" w:color="auto" w:fill="EFE9FC"/>
          </w:tcPr>
          <w:p>
            <w:pPr>
              <w:jc w:val="right"/>
              <w:ind w:right="25"/>
              <w:spacing w:after="0"/>
              <w:rPr>
                <w:sz w:val="20"/>
                <w:szCs w:val="20"/>
                <w:color w:val="auto"/>
              </w:rPr>
            </w:pPr>
            <w:r>
              <w:rPr>
                <w:rFonts w:ascii="Arial" w:cs="Arial" w:eastAsia="Arial" w:hAnsi="Arial"/>
                <w:sz w:val="15"/>
                <w:szCs w:val="15"/>
                <w:color w:val="auto"/>
              </w:rPr>
              <w:t>37%</w:t>
            </w:r>
          </w:p>
        </w:tc>
        <w:tc>
          <w:tcPr>
            <w:tcW w:w="720" w:type="dxa"/>
            <w:vAlign w:val="bottom"/>
            <w:tcBorders>
              <w:bottom w:val="single" w:sz="8" w:color="EFE9FC"/>
            </w:tcBorders>
            <w:shd w:val="clear" w:color="auto" w:fill="EFE9FC"/>
          </w:tcPr>
          <w:p>
            <w:pPr>
              <w:jc w:val="right"/>
              <w:spacing w:after="0"/>
              <w:rPr>
                <w:sz w:val="20"/>
                <w:szCs w:val="20"/>
                <w:color w:val="auto"/>
              </w:rPr>
            </w:pPr>
            <w:r>
              <w:rPr>
                <w:rFonts w:ascii="Arial" w:cs="Arial" w:eastAsia="Arial" w:hAnsi="Arial"/>
                <w:sz w:val="15"/>
                <w:szCs w:val="15"/>
                <w:color w:val="auto"/>
              </w:rPr>
              <w:t>170,088</w:t>
            </w:r>
          </w:p>
        </w:tc>
      </w:tr>
      <w:tr>
        <w:trPr>
          <w:trHeight w:val="221"/>
        </w:trPr>
        <w:tc>
          <w:tcPr>
            <w:tcW w:w="1440" w:type="dxa"/>
            <w:vAlign w:val="bottom"/>
          </w:tcPr>
          <w:p>
            <w:pPr>
              <w:ind w:left="40"/>
              <w:spacing w:after="0"/>
              <w:rPr>
                <w:sz w:val="20"/>
                <w:szCs w:val="20"/>
                <w:color w:val="auto"/>
              </w:rPr>
            </w:pPr>
            <w:r>
              <w:rPr>
                <w:rFonts w:ascii="Arial" w:cs="Arial" w:eastAsia="Arial" w:hAnsi="Arial"/>
                <w:sz w:val="15"/>
                <w:szCs w:val="15"/>
                <w:color w:val="auto"/>
              </w:rPr>
              <w:t>Keyna Skeffington</w:t>
            </w:r>
          </w:p>
        </w:tc>
        <w:tc>
          <w:tcPr>
            <w:tcW w:w="840" w:type="dxa"/>
            <w:vAlign w:val="bottom"/>
          </w:tcPr>
          <w:p>
            <w:pPr>
              <w:jc w:val="right"/>
              <w:ind w:right="6"/>
              <w:spacing w:after="0"/>
              <w:rPr>
                <w:sz w:val="20"/>
                <w:szCs w:val="20"/>
                <w:color w:val="auto"/>
              </w:rPr>
            </w:pPr>
            <w:r>
              <w:rPr>
                <w:rFonts w:ascii="Arial" w:cs="Arial" w:eastAsia="Arial" w:hAnsi="Arial"/>
                <w:sz w:val="15"/>
                <w:szCs w:val="15"/>
                <w:color w:val="auto"/>
              </w:rPr>
              <w:t>70%</w:t>
            </w:r>
          </w:p>
        </w:tc>
        <w:tc>
          <w:tcPr>
            <w:tcW w:w="1120" w:type="dxa"/>
            <w:vAlign w:val="bottom"/>
          </w:tcPr>
          <w:p>
            <w:pPr>
              <w:jc w:val="right"/>
              <w:ind w:right="25"/>
              <w:spacing w:after="0"/>
              <w:rPr>
                <w:sz w:val="20"/>
                <w:szCs w:val="20"/>
                <w:color w:val="auto"/>
              </w:rPr>
            </w:pPr>
            <w:r>
              <w:rPr>
                <w:rFonts w:ascii="Arial" w:cs="Arial" w:eastAsia="Arial" w:hAnsi="Arial"/>
                <w:sz w:val="15"/>
                <w:szCs w:val="15"/>
                <w:color w:val="auto"/>
              </w:rPr>
              <w:t>60%</w:t>
            </w:r>
          </w:p>
        </w:tc>
        <w:tc>
          <w:tcPr>
            <w:tcW w:w="1100" w:type="dxa"/>
            <w:vAlign w:val="bottom"/>
          </w:tcPr>
          <w:p>
            <w:pPr>
              <w:jc w:val="right"/>
              <w:ind w:right="26"/>
              <w:spacing w:after="0"/>
              <w:rPr>
                <w:sz w:val="20"/>
                <w:szCs w:val="20"/>
                <w:color w:val="auto"/>
              </w:rPr>
            </w:pPr>
            <w:r>
              <w:rPr>
                <w:rFonts w:ascii="Arial" w:cs="Arial" w:eastAsia="Arial" w:hAnsi="Arial"/>
                <w:sz w:val="15"/>
                <w:szCs w:val="15"/>
                <w:color w:val="auto"/>
              </w:rPr>
              <w:t>0%</w:t>
            </w:r>
          </w:p>
        </w:tc>
        <w:tc>
          <w:tcPr>
            <w:tcW w:w="1000" w:type="dxa"/>
            <w:vAlign w:val="bottom"/>
          </w:tcPr>
          <w:p>
            <w:pPr>
              <w:jc w:val="right"/>
              <w:ind w:right="25"/>
              <w:spacing w:after="0"/>
              <w:rPr>
                <w:sz w:val="20"/>
                <w:szCs w:val="20"/>
                <w:color w:val="auto"/>
              </w:rPr>
            </w:pPr>
            <w:r>
              <w:rPr>
                <w:rFonts w:ascii="Arial" w:cs="Arial" w:eastAsia="Arial" w:hAnsi="Arial"/>
                <w:sz w:val="15"/>
                <w:szCs w:val="15"/>
                <w:color w:val="auto"/>
              </w:rPr>
              <w:t>15%</w:t>
            </w:r>
          </w:p>
        </w:tc>
        <w:tc>
          <w:tcPr>
            <w:tcW w:w="1000" w:type="dxa"/>
            <w:vAlign w:val="bottom"/>
          </w:tcPr>
          <w:p>
            <w:pPr>
              <w:jc w:val="right"/>
              <w:ind w:right="25"/>
              <w:spacing w:after="0"/>
              <w:rPr>
                <w:sz w:val="20"/>
                <w:szCs w:val="20"/>
                <w:color w:val="auto"/>
              </w:rPr>
            </w:pPr>
            <w:r>
              <w:rPr>
                <w:rFonts w:ascii="Arial" w:cs="Arial" w:eastAsia="Arial" w:hAnsi="Arial"/>
                <w:sz w:val="15"/>
                <w:szCs w:val="15"/>
                <w:color w:val="auto"/>
              </w:rPr>
              <w:t>12%</w:t>
            </w:r>
          </w:p>
        </w:tc>
        <w:tc>
          <w:tcPr>
            <w:tcW w:w="1120" w:type="dxa"/>
            <w:vAlign w:val="bottom"/>
          </w:tcPr>
          <w:p>
            <w:pPr>
              <w:jc w:val="right"/>
              <w:ind w:right="26"/>
              <w:spacing w:after="0"/>
              <w:rPr>
                <w:sz w:val="20"/>
                <w:szCs w:val="20"/>
                <w:color w:val="auto"/>
              </w:rPr>
            </w:pPr>
            <w:r>
              <w:rPr>
                <w:rFonts w:ascii="Arial" w:cs="Arial" w:eastAsia="Arial" w:hAnsi="Arial"/>
                <w:sz w:val="15"/>
                <w:szCs w:val="15"/>
                <w:color w:val="auto"/>
              </w:rPr>
              <w:t>25%</w:t>
            </w:r>
          </w:p>
        </w:tc>
        <w:tc>
          <w:tcPr>
            <w:tcW w:w="840" w:type="dxa"/>
            <w:vAlign w:val="bottom"/>
          </w:tcPr>
          <w:p>
            <w:pPr>
              <w:jc w:val="right"/>
              <w:ind w:right="25"/>
              <w:spacing w:after="0"/>
              <w:rPr>
                <w:sz w:val="20"/>
                <w:szCs w:val="20"/>
                <w:color w:val="auto"/>
              </w:rPr>
            </w:pPr>
            <w:r>
              <w:rPr>
                <w:rFonts w:ascii="Arial" w:cs="Arial" w:eastAsia="Arial" w:hAnsi="Arial"/>
                <w:sz w:val="15"/>
                <w:szCs w:val="15"/>
                <w:color w:val="auto"/>
              </w:rPr>
              <w:t>37%</w:t>
            </w:r>
          </w:p>
        </w:tc>
        <w:tc>
          <w:tcPr>
            <w:tcW w:w="720" w:type="dxa"/>
            <w:vAlign w:val="bottom"/>
          </w:tcPr>
          <w:p>
            <w:pPr>
              <w:jc w:val="right"/>
              <w:spacing w:after="0"/>
              <w:rPr>
                <w:sz w:val="20"/>
                <w:szCs w:val="20"/>
                <w:color w:val="auto"/>
              </w:rPr>
            </w:pPr>
            <w:r>
              <w:rPr>
                <w:rFonts w:ascii="Arial" w:cs="Arial" w:eastAsia="Arial" w:hAnsi="Arial"/>
                <w:sz w:val="15"/>
                <w:szCs w:val="15"/>
                <w:color w:val="auto"/>
              </w:rPr>
              <w:t>106,289</w:t>
            </w:r>
          </w:p>
        </w:tc>
      </w:tr>
      <w:tr>
        <w:trPr>
          <w:trHeight w:val="22"/>
        </w:trPr>
        <w:tc>
          <w:tcPr>
            <w:tcW w:w="144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r>
      <w:tr>
        <w:trPr>
          <w:trHeight w:val="250"/>
        </w:trPr>
        <w:tc>
          <w:tcPr>
            <w:tcW w:w="1440" w:type="dxa"/>
            <w:vAlign w:val="bottom"/>
            <w:tcBorders>
              <w:bottom w:val="single" w:sz="8" w:color="EFE9FC"/>
            </w:tcBorders>
            <w:shd w:val="clear" w:color="auto" w:fill="EFE9FC"/>
          </w:tcPr>
          <w:p>
            <w:pPr>
              <w:ind w:left="40"/>
              <w:spacing w:after="0"/>
              <w:rPr>
                <w:sz w:val="20"/>
                <w:szCs w:val="20"/>
                <w:color w:val="auto"/>
              </w:rPr>
            </w:pPr>
            <w:r>
              <w:rPr>
                <w:rFonts w:ascii="Arial" w:cs="Arial" w:eastAsia="Arial" w:hAnsi="Arial"/>
                <w:sz w:val="15"/>
                <w:szCs w:val="15"/>
                <w:color w:val="auto"/>
              </w:rPr>
              <w:t>Edward Andrle</w:t>
            </w:r>
          </w:p>
        </w:tc>
        <w:tc>
          <w:tcPr>
            <w:tcW w:w="840" w:type="dxa"/>
            <w:vAlign w:val="bottom"/>
            <w:tcBorders>
              <w:bottom w:val="single" w:sz="8" w:color="EFE9FC"/>
            </w:tcBorders>
            <w:shd w:val="clear" w:color="auto" w:fill="EFE9FC"/>
          </w:tcPr>
          <w:p>
            <w:pPr>
              <w:jc w:val="right"/>
              <w:ind w:right="6"/>
              <w:spacing w:after="0"/>
              <w:rPr>
                <w:sz w:val="20"/>
                <w:szCs w:val="20"/>
                <w:color w:val="auto"/>
              </w:rPr>
            </w:pPr>
            <w:r>
              <w:rPr>
                <w:rFonts w:ascii="Arial" w:cs="Arial" w:eastAsia="Arial" w:hAnsi="Arial"/>
                <w:sz w:val="15"/>
                <w:szCs w:val="15"/>
                <w:color w:val="auto"/>
              </w:rPr>
              <w:t>65%</w:t>
            </w:r>
          </w:p>
        </w:tc>
        <w:tc>
          <w:tcPr>
            <w:tcW w:w="1120" w:type="dxa"/>
            <w:vAlign w:val="bottom"/>
            <w:tcBorders>
              <w:bottom w:val="single" w:sz="8" w:color="EFE9FC"/>
            </w:tcBorders>
            <w:shd w:val="clear" w:color="auto" w:fill="EFE9FC"/>
          </w:tcPr>
          <w:p>
            <w:pPr>
              <w:jc w:val="right"/>
              <w:ind w:right="25"/>
              <w:spacing w:after="0"/>
              <w:rPr>
                <w:sz w:val="20"/>
                <w:szCs w:val="20"/>
                <w:color w:val="auto"/>
              </w:rPr>
            </w:pPr>
            <w:r>
              <w:rPr>
                <w:rFonts w:ascii="Arial" w:cs="Arial" w:eastAsia="Arial" w:hAnsi="Arial"/>
                <w:sz w:val="15"/>
                <w:szCs w:val="15"/>
                <w:color w:val="auto"/>
              </w:rPr>
              <w:t>55%</w:t>
            </w:r>
          </w:p>
        </w:tc>
        <w:tc>
          <w:tcPr>
            <w:tcW w:w="1100" w:type="dxa"/>
            <w:vAlign w:val="bottom"/>
            <w:tcBorders>
              <w:bottom w:val="single" w:sz="8" w:color="EFE9FC"/>
            </w:tcBorders>
            <w:shd w:val="clear" w:color="auto" w:fill="EFE9FC"/>
          </w:tcPr>
          <w:p>
            <w:pPr>
              <w:jc w:val="right"/>
              <w:ind w:right="26"/>
              <w:spacing w:after="0"/>
              <w:rPr>
                <w:sz w:val="20"/>
                <w:szCs w:val="20"/>
                <w:color w:val="auto"/>
              </w:rPr>
            </w:pPr>
            <w:r>
              <w:rPr>
                <w:rFonts w:ascii="Arial" w:cs="Arial" w:eastAsia="Arial" w:hAnsi="Arial"/>
                <w:sz w:val="15"/>
                <w:szCs w:val="15"/>
                <w:color w:val="auto"/>
              </w:rPr>
              <w:t>0%</w:t>
            </w:r>
          </w:p>
        </w:tc>
        <w:tc>
          <w:tcPr>
            <w:tcW w:w="1000" w:type="dxa"/>
            <w:vAlign w:val="bottom"/>
            <w:tcBorders>
              <w:bottom w:val="single" w:sz="8" w:color="EFE9FC"/>
            </w:tcBorders>
            <w:shd w:val="clear" w:color="auto" w:fill="EFE9FC"/>
          </w:tcPr>
          <w:p>
            <w:pPr>
              <w:jc w:val="right"/>
              <w:ind w:right="25"/>
              <w:spacing w:after="0"/>
              <w:rPr>
                <w:sz w:val="20"/>
                <w:szCs w:val="20"/>
                <w:color w:val="auto"/>
              </w:rPr>
            </w:pPr>
            <w:r>
              <w:rPr>
                <w:rFonts w:ascii="Arial" w:cs="Arial" w:eastAsia="Arial" w:hAnsi="Arial"/>
                <w:sz w:val="15"/>
                <w:szCs w:val="15"/>
                <w:color w:val="auto"/>
              </w:rPr>
              <w:t>20%</w:t>
            </w:r>
          </w:p>
        </w:tc>
        <w:tc>
          <w:tcPr>
            <w:tcW w:w="1000" w:type="dxa"/>
            <w:vAlign w:val="bottom"/>
            <w:tcBorders>
              <w:bottom w:val="single" w:sz="8" w:color="EFE9FC"/>
            </w:tcBorders>
            <w:shd w:val="clear" w:color="auto" w:fill="EFE9FC"/>
          </w:tcPr>
          <w:p>
            <w:pPr>
              <w:jc w:val="right"/>
              <w:ind w:right="25"/>
              <w:spacing w:after="0"/>
              <w:rPr>
                <w:sz w:val="20"/>
                <w:szCs w:val="20"/>
                <w:color w:val="auto"/>
              </w:rPr>
            </w:pPr>
            <w:r>
              <w:rPr>
                <w:rFonts w:ascii="Arial" w:cs="Arial" w:eastAsia="Arial" w:hAnsi="Arial"/>
                <w:sz w:val="15"/>
                <w:szCs w:val="15"/>
                <w:color w:val="auto"/>
              </w:rPr>
              <w:t>14%</w:t>
            </w:r>
          </w:p>
        </w:tc>
        <w:tc>
          <w:tcPr>
            <w:tcW w:w="1120" w:type="dxa"/>
            <w:vAlign w:val="bottom"/>
            <w:tcBorders>
              <w:bottom w:val="single" w:sz="8" w:color="EFE9FC"/>
            </w:tcBorders>
            <w:shd w:val="clear" w:color="auto" w:fill="EFE9FC"/>
          </w:tcPr>
          <w:p>
            <w:pPr>
              <w:jc w:val="right"/>
              <w:ind w:right="26"/>
              <w:spacing w:after="0"/>
              <w:rPr>
                <w:sz w:val="20"/>
                <w:szCs w:val="20"/>
                <w:color w:val="auto"/>
              </w:rPr>
            </w:pPr>
            <w:r>
              <w:rPr>
                <w:rFonts w:ascii="Arial" w:cs="Arial" w:eastAsia="Arial" w:hAnsi="Arial"/>
                <w:sz w:val="15"/>
                <w:szCs w:val="15"/>
                <w:color w:val="auto"/>
              </w:rPr>
              <w:t>25%</w:t>
            </w:r>
          </w:p>
        </w:tc>
        <w:tc>
          <w:tcPr>
            <w:tcW w:w="840" w:type="dxa"/>
            <w:vAlign w:val="bottom"/>
            <w:tcBorders>
              <w:bottom w:val="single" w:sz="8" w:color="EFE9FC"/>
            </w:tcBorders>
            <w:shd w:val="clear" w:color="auto" w:fill="EFE9FC"/>
          </w:tcPr>
          <w:p>
            <w:pPr>
              <w:jc w:val="right"/>
              <w:ind w:right="25"/>
              <w:spacing w:after="0"/>
              <w:rPr>
                <w:sz w:val="20"/>
                <w:szCs w:val="20"/>
                <w:color w:val="auto"/>
              </w:rPr>
            </w:pPr>
            <w:r>
              <w:rPr>
                <w:rFonts w:ascii="Arial" w:cs="Arial" w:eastAsia="Arial" w:hAnsi="Arial"/>
                <w:sz w:val="15"/>
                <w:szCs w:val="15"/>
                <w:color w:val="auto"/>
              </w:rPr>
              <w:t>39%</w:t>
            </w:r>
          </w:p>
        </w:tc>
        <w:tc>
          <w:tcPr>
            <w:tcW w:w="720" w:type="dxa"/>
            <w:vAlign w:val="bottom"/>
            <w:tcBorders>
              <w:bottom w:val="single" w:sz="8" w:color="EFE9FC"/>
            </w:tcBorders>
            <w:shd w:val="clear" w:color="auto" w:fill="EFE9FC"/>
          </w:tcPr>
          <w:p>
            <w:pPr>
              <w:jc w:val="right"/>
              <w:spacing w:after="0"/>
              <w:rPr>
                <w:sz w:val="20"/>
                <w:szCs w:val="20"/>
                <w:color w:val="auto"/>
              </w:rPr>
            </w:pPr>
            <w:r>
              <w:rPr>
                <w:rFonts w:ascii="Arial" w:cs="Arial" w:eastAsia="Arial" w:hAnsi="Arial"/>
                <w:sz w:val="15"/>
                <w:szCs w:val="15"/>
                <w:color w:val="auto"/>
              </w:rPr>
              <w:t>107,116</w:t>
            </w:r>
          </w:p>
        </w:tc>
      </w:tr>
      <w:tr>
        <w:trPr>
          <w:trHeight w:val="222"/>
        </w:trPr>
        <w:tc>
          <w:tcPr>
            <w:tcW w:w="1440" w:type="dxa"/>
            <w:vAlign w:val="bottom"/>
          </w:tcPr>
          <w:p>
            <w:pPr>
              <w:ind w:left="40"/>
              <w:spacing w:after="0"/>
              <w:rPr>
                <w:sz w:val="20"/>
                <w:szCs w:val="20"/>
                <w:color w:val="auto"/>
              </w:rPr>
            </w:pPr>
            <w:r>
              <w:rPr>
                <w:rFonts w:ascii="Arial" w:cs="Arial" w:eastAsia="Arial" w:hAnsi="Arial"/>
                <w:sz w:val="15"/>
                <w:szCs w:val="15"/>
                <w:color w:val="auto"/>
              </w:rPr>
              <w:t>Alistair. Simpson</w:t>
            </w:r>
          </w:p>
        </w:tc>
        <w:tc>
          <w:tcPr>
            <w:tcW w:w="840" w:type="dxa"/>
            <w:vAlign w:val="bottom"/>
          </w:tcPr>
          <w:p>
            <w:pPr>
              <w:jc w:val="right"/>
              <w:ind w:right="6"/>
              <w:spacing w:after="0"/>
              <w:rPr>
                <w:sz w:val="20"/>
                <w:szCs w:val="20"/>
                <w:color w:val="auto"/>
              </w:rPr>
            </w:pPr>
            <w:r>
              <w:rPr>
                <w:rFonts w:ascii="Arial" w:cs="Arial" w:eastAsia="Arial" w:hAnsi="Arial"/>
                <w:sz w:val="15"/>
                <w:szCs w:val="15"/>
                <w:color w:val="auto"/>
              </w:rPr>
              <w:t>60%</w:t>
            </w:r>
          </w:p>
        </w:tc>
        <w:tc>
          <w:tcPr>
            <w:tcW w:w="1120" w:type="dxa"/>
            <w:vAlign w:val="bottom"/>
          </w:tcPr>
          <w:p>
            <w:pPr>
              <w:jc w:val="right"/>
              <w:ind w:right="25"/>
              <w:spacing w:after="0"/>
              <w:rPr>
                <w:sz w:val="20"/>
                <w:szCs w:val="20"/>
                <w:color w:val="auto"/>
              </w:rPr>
            </w:pPr>
            <w:r>
              <w:rPr>
                <w:rFonts w:ascii="Arial" w:cs="Arial" w:eastAsia="Arial" w:hAnsi="Arial"/>
                <w:sz w:val="15"/>
                <w:szCs w:val="15"/>
                <w:color w:val="auto"/>
              </w:rPr>
              <w:t>55%</w:t>
            </w:r>
          </w:p>
        </w:tc>
        <w:tc>
          <w:tcPr>
            <w:tcW w:w="1100" w:type="dxa"/>
            <w:vAlign w:val="bottom"/>
          </w:tcPr>
          <w:p>
            <w:pPr>
              <w:jc w:val="right"/>
              <w:ind w:right="26"/>
              <w:spacing w:after="0"/>
              <w:rPr>
                <w:sz w:val="20"/>
                <w:szCs w:val="20"/>
                <w:color w:val="auto"/>
              </w:rPr>
            </w:pPr>
            <w:r>
              <w:rPr>
                <w:rFonts w:ascii="Arial" w:cs="Arial" w:eastAsia="Arial" w:hAnsi="Arial"/>
                <w:sz w:val="15"/>
                <w:szCs w:val="15"/>
                <w:color w:val="auto"/>
              </w:rPr>
              <w:t>7.34%</w:t>
            </w:r>
          </w:p>
        </w:tc>
        <w:tc>
          <w:tcPr>
            <w:tcW w:w="1000" w:type="dxa"/>
            <w:vAlign w:val="bottom"/>
          </w:tcPr>
          <w:p>
            <w:pPr>
              <w:jc w:val="right"/>
              <w:ind w:right="25"/>
              <w:spacing w:after="0"/>
              <w:rPr>
                <w:sz w:val="20"/>
                <w:szCs w:val="20"/>
                <w:color w:val="auto"/>
              </w:rPr>
            </w:pPr>
            <w:r>
              <w:rPr>
                <w:rFonts w:ascii="Arial" w:cs="Arial" w:eastAsia="Arial" w:hAnsi="Arial"/>
                <w:sz w:val="15"/>
                <w:szCs w:val="15"/>
                <w:color w:val="auto"/>
              </w:rPr>
              <w:t>20%</w:t>
            </w:r>
          </w:p>
        </w:tc>
        <w:tc>
          <w:tcPr>
            <w:tcW w:w="1000" w:type="dxa"/>
            <w:vAlign w:val="bottom"/>
          </w:tcPr>
          <w:p>
            <w:pPr>
              <w:jc w:val="right"/>
              <w:ind w:right="25"/>
              <w:spacing w:after="0"/>
              <w:rPr>
                <w:sz w:val="20"/>
                <w:szCs w:val="20"/>
                <w:color w:val="auto"/>
              </w:rPr>
            </w:pPr>
            <w:r>
              <w:rPr>
                <w:rFonts w:ascii="Arial" w:cs="Arial" w:eastAsia="Arial" w:hAnsi="Arial"/>
                <w:sz w:val="15"/>
                <w:szCs w:val="15"/>
                <w:color w:val="auto"/>
              </w:rPr>
              <w:t>14%</w:t>
            </w:r>
          </w:p>
        </w:tc>
        <w:tc>
          <w:tcPr>
            <w:tcW w:w="1120" w:type="dxa"/>
            <w:vAlign w:val="bottom"/>
          </w:tcPr>
          <w:p>
            <w:pPr>
              <w:jc w:val="right"/>
              <w:ind w:right="26"/>
              <w:spacing w:after="0"/>
              <w:rPr>
                <w:sz w:val="20"/>
                <w:szCs w:val="20"/>
                <w:color w:val="auto"/>
              </w:rPr>
            </w:pPr>
            <w:r>
              <w:rPr>
                <w:rFonts w:ascii="Arial" w:cs="Arial" w:eastAsia="Arial" w:hAnsi="Arial"/>
                <w:sz w:val="15"/>
                <w:szCs w:val="15"/>
                <w:color w:val="auto"/>
              </w:rPr>
              <w:t>25%</w:t>
            </w:r>
          </w:p>
        </w:tc>
        <w:tc>
          <w:tcPr>
            <w:tcW w:w="840" w:type="dxa"/>
            <w:vAlign w:val="bottom"/>
          </w:tcPr>
          <w:p>
            <w:pPr>
              <w:jc w:val="right"/>
              <w:ind w:right="25"/>
              <w:spacing w:after="0"/>
              <w:rPr>
                <w:sz w:val="20"/>
                <w:szCs w:val="20"/>
                <w:color w:val="auto"/>
              </w:rPr>
            </w:pPr>
            <w:r>
              <w:rPr>
                <w:rFonts w:ascii="Arial" w:cs="Arial" w:eastAsia="Arial" w:hAnsi="Arial"/>
                <w:sz w:val="15"/>
                <w:szCs w:val="15"/>
                <w:color w:val="auto"/>
              </w:rPr>
              <w:t>46%</w:t>
            </w:r>
          </w:p>
        </w:tc>
        <w:tc>
          <w:tcPr>
            <w:tcW w:w="720" w:type="dxa"/>
            <w:vAlign w:val="bottom"/>
          </w:tcPr>
          <w:p>
            <w:pPr>
              <w:jc w:val="right"/>
              <w:spacing w:after="0"/>
              <w:rPr>
                <w:sz w:val="20"/>
                <w:szCs w:val="20"/>
                <w:color w:val="auto"/>
              </w:rPr>
            </w:pPr>
            <w:r>
              <w:rPr>
                <w:rFonts w:ascii="Arial" w:cs="Arial" w:eastAsia="Arial" w:hAnsi="Arial"/>
                <w:sz w:val="15"/>
                <w:szCs w:val="15"/>
                <w:color w:val="auto"/>
              </w:rPr>
              <w:t>113,445</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485140</wp:posOffset>
            </wp:positionH>
            <wp:positionV relativeFrom="paragraph">
              <wp:posOffset>13335</wp:posOffset>
            </wp:positionV>
            <wp:extent cx="5829300" cy="8890"/>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5829300" cy="8890"/>
                    </a:xfrm>
                    <a:prstGeom prst="rect">
                      <a:avLst/>
                    </a:prstGeom>
                    <a:noFill/>
                  </pic:spPr>
                </pic:pic>
              </a:graphicData>
            </a:graphic>
          </wp:anchor>
        </w:drawing>
      </w:r>
    </w:p>
    <w:p>
      <w:pPr>
        <w:spacing w:after="0" w:line="27" w:lineRule="exact"/>
        <w:rPr>
          <w:sz w:val="20"/>
          <w:szCs w:val="20"/>
          <w:color w:val="auto"/>
        </w:rPr>
      </w:pPr>
    </w:p>
    <w:p>
      <w:pPr>
        <w:ind w:left="980" w:hanging="216"/>
        <w:spacing w:after="0"/>
        <w:tabs>
          <w:tab w:leader="none" w:pos="980" w:val="left"/>
        </w:tabs>
        <w:numPr>
          <w:ilvl w:val="0"/>
          <w:numId w:val="57"/>
        </w:numPr>
        <w:rPr>
          <w:rFonts w:ascii="Arial" w:cs="Arial" w:eastAsia="Arial" w:hAnsi="Arial"/>
          <w:sz w:val="13"/>
          <w:szCs w:val="13"/>
          <w:i w:val="1"/>
          <w:iCs w:val="1"/>
          <w:color w:val="auto"/>
        </w:rPr>
      </w:pPr>
      <w:r>
        <w:rPr>
          <w:rFonts w:ascii="Arial" w:cs="Arial" w:eastAsia="Arial" w:hAnsi="Arial"/>
          <w:sz w:val="13"/>
          <w:szCs w:val="13"/>
          <w:i w:val="1"/>
          <w:iCs w:val="1"/>
          <w:color w:val="auto"/>
        </w:rPr>
        <w:t>The Target Percentages for the following NEOs changed in 2019 as follows: Damien McDonald: 100% from January through March and increased to</w:t>
      </w:r>
    </w:p>
    <w:p>
      <w:pPr>
        <w:spacing w:after="0" w:line="13" w:lineRule="exact"/>
        <w:rPr>
          <w:rFonts w:ascii="Arial" w:cs="Arial" w:eastAsia="Arial" w:hAnsi="Arial"/>
          <w:sz w:val="13"/>
          <w:szCs w:val="13"/>
          <w:i w:val="1"/>
          <w:iCs w:val="1"/>
          <w:color w:val="auto"/>
        </w:rPr>
      </w:pPr>
    </w:p>
    <w:p>
      <w:pPr>
        <w:ind w:left="980"/>
        <w:spacing w:after="0"/>
        <w:rPr>
          <w:rFonts w:ascii="Arial" w:cs="Arial" w:eastAsia="Arial" w:hAnsi="Arial"/>
          <w:sz w:val="13"/>
          <w:szCs w:val="13"/>
          <w:i w:val="1"/>
          <w:iCs w:val="1"/>
          <w:color w:val="auto"/>
        </w:rPr>
      </w:pPr>
      <w:r>
        <w:rPr>
          <w:rFonts w:ascii="Arial" w:cs="Arial" w:eastAsia="Arial" w:hAnsi="Arial"/>
          <w:sz w:val="13"/>
          <w:szCs w:val="13"/>
          <w:i w:val="1"/>
          <w:iCs w:val="1"/>
          <w:color w:val="auto"/>
        </w:rPr>
        <w:t>125% effective April 1, 2019; Keyna Skeffington: 60% from January through March 31, 2019 and increased to 70% effective April 1, 2019; Ed Andrle:</w:t>
      </w:r>
    </w:p>
    <w:p>
      <w:pPr>
        <w:ind w:left="980" w:right="1080"/>
        <w:spacing w:after="0" w:line="249" w:lineRule="auto"/>
        <w:rPr>
          <w:rFonts w:ascii="Arial" w:cs="Arial" w:eastAsia="Arial" w:hAnsi="Arial"/>
          <w:sz w:val="13"/>
          <w:szCs w:val="13"/>
          <w:i w:val="1"/>
          <w:iCs w:val="1"/>
          <w:color w:val="auto"/>
        </w:rPr>
      </w:pPr>
      <w:r>
        <w:rPr>
          <w:rFonts w:ascii="Arial" w:cs="Arial" w:eastAsia="Arial" w:hAnsi="Arial"/>
          <w:sz w:val="13"/>
          <w:szCs w:val="13"/>
          <w:i w:val="1"/>
          <w:iCs w:val="1"/>
          <w:color w:val="auto"/>
        </w:rPr>
        <w:t>60% from January through March 31, 2019 and increased to 65% effective April 1, 2019; and Alistair Simpson: 50% from January through March 31, 2019 and increased to 60% effective April 1, 2019.</w:t>
      </w:r>
    </w:p>
    <w:p>
      <w:pPr>
        <w:ind w:left="980" w:right="880" w:hanging="216"/>
        <w:spacing w:after="0" w:line="259" w:lineRule="auto"/>
        <w:tabs>
          <w:tab w:leader="none" w:pos="980" w:val="left"/>
        </w:tabs>
        <w:numPr>
          <w:ilvl w:val="0"/>
          <w:numId w:val="57"/>
        </w:numPr>
        <w:rPr>
          <w:rFonts w:ascii="Arial" w:cs="Arial" w:eastAsia="Arial" w:hAnsi="Arial"/>
          <w:sz w:val="13"/>
          <w:szCs w:val="13"/>
          <w:i w:val="1"/>
          <w:iCs w:val="1"/>
          <w:color w:val="auto"/>
        </w:rPr>
      </w:pPr>
      <w:r>
        <w:rPr>
          <w:rFonts w:ascii="Arial" w:cs="Arial" w:eastAsia="Arial" w:hAnsi="Arial"/>
          <w:sz w:val="13"/>
          <w:szCs w:val="13"/>
          <w:i w:val="1"/>
          <w:iCs w:val="1"/>
          <w:color w:val="auto"/>
        </w:rPr>
        <w:t>For payout amounts, we used an exchange rate of $1.275738014 per British Pound, each of which reflects the applicable period average published rate from our BOPC Accounting System between January 1, 2019 and December 31, 2019. The BOPC Accounting System uses Bloomberg as a source to obtain exchange rates.</w:t>
      </w:r>
    </w:p>
    <w:p>
      <w:pPr>
        <w:spacing w:after="0" w:line="278" w:lineRule="exact"/>
        <w:rPr>
          <w:sz w:val="20"/>
          <w:szCs w:val="20"/>
          <w:color w:val="auto"/>
        </w:rPr>
      </w:pPr>
    </w:p>
    <w:tbl>
      <w:tblPr>
        <w:tblLayout w:type="fixed"/>
        <w:tblInd w:w="0" w:type="dxa"/>
        <w:tblCellMar>
          <w:top w:w="0" w:type="dxa"/>
          <w:left w:w="0" w:type="dxa"/>
          <w:bottom w:w="0" w:type="dxa"/>
          <w:right w:w="0" w:type="dxa"/>
        </w:tblCellMar>
      </w:tblPr>
      <w:tr>
        <w:trPr>
          <w:trHeight w:val="116"/>
        </w:trPr>
        <w:tc>
          <w:tcPr>
            <w:tcW w:w="820" w:type="dxa"/>
            <w:vAlign w:val="bottom"/>
            <w:vMerge w:val="restart"/>
          </w:tcPr>
          <w:p>
            <w:pPr>
              <w:spacing w:after="0"/>
              <w:rPr>
                <w:sz w:val="10"/>
                <w:szCs w:val="10"/>
                <w:color w:val="auto"/>
              </w:rPr>
            </w:pPr>
          </w:p>
        </w:tc>
        <w:tc>
          <w:tcPr>
            <w:tcW w:w="3080" w:type="dxa"/>
            <w:vAlign w:val="bottom"/>
            <w:tcBorders>
              <w:bottom w:val="single" w:sz="8" w:color="auto"/>
            </w:tcBorders>
          </w:tcPr>
          <w:p>
            <w:pPr>
              <w:spacing w:after="0"/>
              <w:rPr>
                <w:sz w:val="10"/>
                <w:szCs w:val="10"/>
                <w:color w:val="auto"/>
              </w:rPr>
            </w:pPr>
          </w:p>
        </w:tc>
        <w:tc>
          <w:tcPr>
            <w:tcW w:w="2800" w:type="dxa"/>
            <w:vAlign w:val="bottom"/>
            <w:vMerge w:val="restart"/>
          </w:tcPr>
          <w:p>
            <w:pPr>
              <w:ind w:left="440"/>
              <w:spacing w:after="0"/>
              <w:rPr>
                <w:sz w:val="20"/>
                <w:szCs w:val="20"/>
                <w:color w:val="auto"/>
              </w:rPr>
            </w:pPr>
            <w:r>
              <w:rPr>
                <w:rFonts w:ascii="Arial" w:cs="Arial" w:eastAsia="Arial" w:hAnsi="Arial"/>
                <w:sz w:val="13"/>
                <w:szCs w:val="13"/>
                <w:b w:val="1"/>
                <w:bCs w:val="1"/>
                <w:color w:val="4800E6"/>
              </w:rPr>
              <w:t xml:space="preserve">LIVANOVA </w:t>
            </w:r>
            <w:r>
              <w:rPr>
                <w:rFonts w:ascii="Arial" w:cs="Arial" w:eastAsia="Arial" w:hAnsi="Arial"/>
                <w:sz w:val="13"/>
                <w:szCs w:val="13"/>
                <w:color w:val="000000"/>
              </w:rPr>
              <w:t>|</w:t>
            </w:r>
            <w:r>
              <w:rPr>
                <w:rFonts w:ascii="Arial" w:cs="Arial" w:eastAsia="Arial" w:hAnsi="Arial"/>
                <w:sz w:val="13"/>
                <w:szCs w:val="13"/>
                <w:b w:val="1"/>
                <w:bCs w:val="1"/>
                <w:color w:val="4800E6"/>
              </w:rPr>
              <w:t xml:space="preserve"> </w:t>
            </w:r>
            <w:r>
              <w:rPr>
                <w:rFonts w:ascii="Arial" w:cs="Arial" w:eastAsia="Arial" w:hAnsi="Arial"/>
                <w:sz w:val="13"/>
                <w:szCs w:val="13"/>
                <w:color w:val="4800E6"/>
              </w:rPr>
              <w:t>2020</w:t>
            </w:r>
            <w:r>
              <w:rPr>
                <w:rFonts w:ascii="Arial" w:cs="Arial" w:eastAsia="Arial" w:hAnsi="Arial"/>
                <w:sz w:val="13"/>
                <w:szCs w:val="13"/>
                <w:b w:val="1"/>
                <w:bCs w:val="1"/>
                <w:color w:val="4800E6"/>
              </w:rPr>
              <w:t xml:space="preserve"> </w:t>
            </w:r>
            <w:r>
              <w:rPr>
                <w:rFonts w:ascii="Arial" w:cs="Arial" w:eastAsia="Arial" w:hAnsi="Arial"/>
                <w:sz w:val="13"/>
                <w:szCs w:val="13"/>
                <w:color w:val="000000"/>
              </w:rPr>
              <w:t>Proxy Statement</w:t>
            </w:r>
          </w:p>
        </w:tc>
        <w:tc>
          <w:tcPr>
            <w:tcW w:w="3080" w:type="dxa"/>
            <w:vAlign w:val="bottom"/>
            <w:tcBorders>
              <w:bottom w:val="single" w:sz="8" w:color="auto"/>
            </w:tcBorders>
          </w:tcPr>
          <w:p>
            <w:pPr>
              <w:spacing w:after="0"/>
              <w:rPr>
                <w:sz w:val="10"/>
                <w:szCs w:val="10"/>
                <w:color w:val="auto"/>
              </w:rPr>
            </w:pPr>
          </w:p>
        </w:tc>
        <w:tc>
          <w:tcPr>
            <w:tcW w:w="940" w:type="dxa"/>
            <w:vAlign w:val="bottom"/>
            <w:vMerge w:val="restart"/>
          </w:tcPr>
          <w:p>
            <w:pPr>
              <w:jc w:val="right"/>
              <w:ind w:right="468"/>
              <w:spacing w:after="0"/>
              <w:rPr>
                <w:sz w:val="20"/>
                <w:szCs w:val="20"/>
                <w:color w:val="auto"/>
              </w:rPr>
            </w:pPr>
            <w:r>
              <w:rPr>
                <w:rFonts w:ascii="Arial" w:cs="Arial" w:eastAsia="Arial" w:hAnsi="Arial"/>
                <w:sz w:val="14"/>
                <w:szCs w:val="14"/>
                <w:b w:val="1"/>
                <w:bCs w:val="1"/>
                <w:color w:val="auto"/>
              </w:rPr>
              <w:t>32</w:t>
            </w:r>
          </w:p>
        </w:tc>
        <w:tc>
          <w:tcPr>
            <w:tcW w:w="0" w:type="dxa"/>
            <w:vAlign w:val="bottom"/>
          </w:tcPr>
          <w:p>
            <w:pPr>
              <w:spacing w:after="0"/>
              <w:rPr>
                <w:sz w:val="1"/>
                <w:szCs w:val="1"/>
                <w:color w:val="auto"/>
              </w:rPr>
            </w:pPr>
          </w:p>
        </w:tc>
      </w:tr>
      <w:tr>
        <w:trPr>
          <w:trHeight w:val="63"/>
        </w:trPr>
        <w:tc>
          <w:tcPr>
            <w:tcW w:w="820" w:type="dxa"/>
            <w:vAlign w:val="bottom"/>
            <w:vMerge w:val="continue"/>
          </w:tcPr>
          <w:p>
            <w:pPr>
              <w:spacing w:after="0"/>
              <w:rPr>
                <w:sz w:val="5"/>
                <w:szCs w:val="5"/>
                <w:color w:val="auto"/>
              </w:rPr>
            </w:pPr>
          </w:p>
        </w:tc>
        <w:tc>
          <w:tcPr>
            <w:tcW w:w="3080" w:type="dxa"/>
            <w:vAlign w:val="bottom"/>
          </w:tcPr>
          <w:p>
            <w:pPr>
              <w:spacing w:after="0"/>
              <w:rPr>
                <w:sz w:val="5"/>
                <w:szCs w:val="5"/>
                <w:color w:val="auto"/>
              </w:rPr>
            </w:pPr>
          </w:p>
        </w:tc>
        <w:tc>
          <w:tcPr>
            <w:tcW w:w="2800" w:type="dxa"/>
            <w:vAlign w:val="bottom"/>
            <w:vMerge w:val="continue"/>
          </w:tcPr>
          <w:p>
            <w:pPr>
              <w:spacing w:after="0"/>
              <w:rPr>
                <w:sz w:val="5"/>
                <w:szCs w:val="5"/>
                <w:color w:val="auto"/>
              </w:rPr>
            </w:pPr>
          </w:p>
        </w:tc>
        <w:tc>
          <w:tcPr>
            <w:tcW w:w="3080" w:type="dxa"/>
            <w:vAlign w:val="bottom"/>
          </w:tcPr>
          <w:p>
            <w:pPr>
              <w:spacing w:after="0"/>
              <w:rPr>
                <w:sz w:val="5"/>
                <w:szCs w:val="5"/>
                <w:color w:val="auto"/>
              </w:rPr>
            </w:pPr>
          </w:p>
        </w:tc>
        <w:tc>
          <w:tcPr>
            <w:tcW w:w="94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40"/>
        </w:trPr>
        <w:tc>
          <w:tcPr>
            <w:tcW w:w="820" w:type="dxa"/>
            <w:vAlign w:val="bottom"/>
            <w:tcBorders>
              <w:bottom w:val="single" w:sz="8" w:color="9A9A9A"/>
            </w:tcBorders>
          </w:tcPr>
          <w:p>
            <w:pPr>
              <w:spacing w:after="0"/>
              <w:rPr>
                <w:sz w:val="12"/>
                <w:szCs w:val="12"/>
                <w:color w:val="auto"/>
              </w:rPr>
            </w:pPr>
          </w:p>
        </w:tc>
        <w:tc>
          <w:tcPr>
            <w:tcW w:w="3080" w:type="dxa"/>
            <w:vAlign w:val="bottom"/>
            <w:tcBorders>
              <w:bottom w:val="single" w:sz="8" w:color="9A9A9A"/>
            </w:tcBorders>
          </w:tcPr>
          <w:p>
            <w:pPr>
              <w:spacing w:after="0"/>
              <w:rPr>
                <w:sz w:val="12"/>
                <w:szCs w:val="12"/>
                <w:color w:val="auto"/>
              </w:rPr>
            </w:pPr>
          </w:p>
        </w:tc>
        <w:tc>
          <w:tcPr>
            <w:tcW w:w="2800" w:type="dxa"/>
            <w:vAlign w:val="bottom"/>
            <w:tcBorders>
              <w:bottom w:val="single" w:sz="8" w:color="9A9A9A"/>
            </w:tcBorders>
          </w:tcPr>
          <w:p>
            <w:pPr>
              <w:spacing w:after="0"/>
              <w:rPr>
                <w:sz w:val="12"/>
                <w:szCs w:val="12"/>
                <w:color w:val="auto"/>
              </w:rPr>
            </w:pPr>
          </w:p>
        </w:tc>
        <w:tc>
          <w:tcPr>
            <w:tcW w:w="3080" w:type="dxa"/>
            <w:vAlign w:val="bottom"/>
            <w:tcBorders>
              <w:bottom w:val="single" w:sz="8" w:color="9A9A9A"/>
            </w:tcBorders>
          </w:tcPr>
          <w:p>
            <w:pPr>
              <w:spacing w:after="0"/>
              <w:rPr>
                <w:sz w:val="12"/>
                <w:szCs w:val="12"/>
                <w:color w:val="auto"/>
              </w:rPr>
            </w:pPr>
          </w:p>
        </w:tc>
        <w:tc>
          <w:tcPr>
            <w:tcW w:w="940" w:type="dxa"/>
            <w:vAlign w:val="bottom"/>
            <w:tcBorders>
              <w:bottom w:val="single" w:sz="8" w:color="9A9A9A"/>
            </w:tcBorders>
          </w:tcPr>
          <w:p>
            <w:pPr>
              <w:spacing w:after="0"/>
              <w:rPr>
                <w:sz w:val="12"/>
                <w:szCs w:val="12"/>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6802755</wp:posOffset>
            </wp:positionH>
            <wp:positionV relativeFrom="paragraph">
              <wp:posOffset>-8255</wp:posOffset>
            </wp:positionV>
            <wp:extent cx="8255" cy="8890"/>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wp:posOffset>
            </wp:positionV>
            <wp:extent cx="8890" cy="17145"/>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sectPr>
          <w:pgSz w:w="11900" w:h="16838" w:orient="portrait"/>
          <w:cols w:equalWidth="0" w:num="1">
            <w:col w:w="10720"/>
          </w:cols>
          <w:pgMar w:left="320" w:top="131" w:right="859" w:bottom="1440" w:gutter="0" w:footer="0" w:header="0"/>
        </w:sectPr>
      </w:pPr>
    </w:p>
    <w:bookmarkStart w:id="36" w:name="page37"/>
    <w:bookmarkEnd w:id="36"/>
    <w:p>
      <w:pPr>
        <w:spacing w:after="0"/>
        <w:rPr>
          <w:rFonts w:ascii="Arial" w:cs="Arial" w:eastAsia="Arial" w:hAnsi="Arial"/>
          <w:sz w:val="14"/>
          <w:szCs w:val="14"/>
          <w:color w:val="003366"/>
        </w:rPr>
      </w:pPr>
      <w:hyperlink w:anchor="page4">
        <w:r>
          <w:rPr>
            <w:rFonts w:ascii="Arial" w:cs="Arial" w:eastAsia="Arial" w:hAnsi="Arial"/>
            <w:sz w:val="14"/>
            <w:szCs w:val="14"/>
            <w:color w:val="003366"/>
          </w:rPr>
          <w:t>TABLE OF CONTENTS</w:t>
        </w:r>
      </w:hyperlink>
    </w:p>
    <w:p>
      <w:pPr>
        <w:spacing w:after="0" w:line="338" w:lineRule="exact"/>
        <w:rPr>
          <w:sz w:val="20"/>
          <w:szCs w:val="20"/>
          <w:color w:val="auto"/>
        </w:rPr>
      </w:pPr>
    </w:p>
    <w:p>
      <w:pPr>
        <w:ind w:left="760"/>
        <w:spacing w:after="0"/>
        <w:rPr>
          <w:sz w:val="20"/>
          <w:szCs w:val="20"/>
          <w:color w:val="auto"/>
        </w:rPr>
      </w:pPr>
      <w:r>
        <w:rPr>
          <w:rFonts w:ascii="Arial" w:cs="Arial" w:eastAsia="Arial" w:hAnsi="Arial"/>
          <w:sz w:val="13"/>
          <w:szCs w:val="13"/>
          <w:b w:val="1"/>
          <w:bCs w:val="1"/>
          <w:color w:val="auto"/>
        </w:rPr>
        <w:t xml:space="preserve">Executive </w:t>
      </w:r>
      <w:r>
        <w:rPr>
          <w:rFonts w:ascii="Arial" w:cs="Arial" w:eastAsia="Arial" w:hAnsi="Arial"/>
          <w:sz w:val="13"/>
          <w:szCs w:val="13"/>
          <w:b w:val="1"/>
          <w:bCs w:val="1"/>
          <w:color w:val="666666"/>
        </w:rPr>
        <w:t>Compensation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485140</wp:posOffset>
            </wp:positionH>
            <wp:positionV relativeFrom="paragraph">
              <wp:posOffset>30480</wp:posOffset>
            </wp:positionV>
            <wp:extent cx="5829300" cy="8890"/>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5829300" cy="8890"/>
                    </a:xfrm>
                    <a:prstGeom prst="rect">
                      <a:avLst/>
                    </a:prstGeom>
                    <a:noFill/>
                  </pic:spPr>
                </pic:pic>
              </a:graphicData>
            </a:graphic>
          </wp:anchor>
        </w:drawing>
      </w:r>
    </w:p>
    <w:p>
      <w:pPr>
        <w:spacing w:after="0" w:line="60" w:lineRule="exact"/>
        <w:rPr>
          <w:sz w:val="20"/>
          <w:szCs w:val="20"/>
          <w:color w:val="auto"/>
        </w:rPr>
      </w:pPr>
    </w:p>
    <w:p>
      <w:pPr>
        <w:ind w:left="760"/>
        <w:spacing w:after="0"/>
        <w:rPr>
          <w:sz w:val="20"/>
          <w:szCs w:val="20"/>
          <w:color w:val="auto"/>
        </w:rPr>
      </w:pPr>
      <w:r>
        <w:rPr>
          <w:rFonts w:ascii="Arial" w:cs="Arial" w:eastAsia="Arial" w:hAnsi="Arial"/>
          <w:sz w:val="13"/>
          <w:szCs w:val="13"/>
          <w:b w:val="1"/>
          <w:bCs w:val="1"/>
          <w:color w:val="4800E6"/>
        </w:rPr>
        <w:t>Compensation Discussion &amp; Analysis</w:t>
      </w: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ind w:left="760"/>
        <w:spacing w:after="0"/>
        <w:rPr>
          <w:sz w:val="20"/>
          <w:szCs w:val="20"/>
          <w:color w:val="auto"/>
        </w:rPr>
      </w:pPr>
      <w:r>
        <w:rPr>
          <w:rFonts w:ascii="Arial" w:cs="Arial" w:eastAsia="Arial" w:hAnsi="Arial"/>
          <w:sz w:val="23"/>
          <w:szCs w:val="23"/>
          <w:b w:val="1"/>
          <w:bCs w:val="1"/>
          <w:color w:val="auto"/>
        </w:rPr>
        <w:t>2019 Long-Term Incentive Plan (the “2019 LTIP”)</w:t>
      </w:r>
    </w:p>
    <w:p>
      <w:pPr>
        <w:spacing w:after="0" w:line="139" w:lineRule="exact"/>
        <w:rPr>
          <w:sz w:val="20"/>
          <w:szCs w:val="20"/>
          <w:color w:val="auto"/>
        </w:rPr>
      </w:pPr>
    </w:p>
    <w:p>
      <w:pPr>
        <w:ind w:left="760" w:right="299"/>
        <w:spacing w:after="0" w:line="268" w:lineRule="auto"/>
        <w:rPr>
          <w:sz w:val="20"/>
          <w:szCs w:val="20"/>
          <w:color w:val="auto"/>
        </w:rPr>
      </w:pPr>
      <w:r>
        <w:rPr>
          <w:rFonts w:ascii="Arial" w:cs="Arial" w:eastAsia="Arial" w:hAnsi="Arial"/>
          <w:sz w:val="16"/>
          <w:szCs w:val="16"/>
          <w:color w:val="auto"/>
        </w:rPr>
        <w:t>The purpose of our LTIP is to promote our long-term success and enhance our value by providing employees with an incentive for outstanding performance to generate superior returns for our shareholders. The plan also provides flexibility as we seek to motivate, attract and retain the services of the NEOs upon whose judgment, interest and special effort the successful conduct of our operations is largely dependent.</w:t>
      </w:r>
    </w:p>
    <w:p>
      <w:pPr>
        <w:spacing w:after="0" w:line="83" w:lineRule="exact"/>
        <w:rPr>
          <w:sz w:val="20"/>
          <w:szCs w:val="20"/>
          <w:color w:val="auto"/>
        </w:rPr>
      </w:pPr>
    </w:p>
    <w:p>
      <w:pPr>
        <w:ind w:left="760" w:right="199"/>
        <w:spacing w:after="0" w:line="266" w:lineRule="auto"/>
        <w:rPr>
          <w:sz w:val="20"/>
          <w:szCs w:val="20"/>
          <w:color w:val="auto"/>
        </w:rPr>
      </w:pPr>
      <w:r>
        <w:rPr>
          <w:rFonts w:ascii="Arial" w:cs="Arial" w:eastAsia="Arial" w:hAnsi="Arial"/>
          <w:sz w:val="16"/>
          <w:szCs w:val="16"/>
          <w:color w:val="auto"/>
        </w:rPr>
        <w:t>We typically grant equity awards to executive officers under the 2019 LTIP on the same date we grant annual equity awards for other employees, or, in the event of an executive who joins after approval of the annual awards, at the first predetermined equity award grant date following the commencement of his/her employment with the Company. The predetermined quarterly grant dates are March 30, June 15, September 15 and December 15. There is no formal policy providing any affirmative right to an LTIP award, but when an LTIP award is granted, the award to our CEO in his capacity as an executive director of the Company, is circumscribed by any restrictions or limits in the Company’s UK remuneration policy then in effect.</w:t>
      </w:r>
    </w:p>
    <w:p>
      <w:pPr>
        <w:spacing w:after="0" w:line="264" w:lineRule="exact"/>
        <w:rPr>
          <w:sz w:val="20"/>
          <w:szCs w:val="20"/>
          <w:color w:val="auto"/>
        </w:rPr>
      </w:pPr>
    </w:p>
    <w:p>
      <w:pPr>
        <w:ind w:left="760"/>
        <w:spacing w:after="0"/>
        <w:rPr>
          <w:sz w:val="20"/>
          <w:szCs w:val="20"/>
          <w:color w:val="auto"/>
        </w:rPr>
      </w:pPr>
      <w:r>
        <w:rPr>
          <w:rFonts w:ascii="Arial" w:cs="Arial" w:eastAsia="Arial" w:hAnsi="Arial"/>
          <w:sz w:val="18"/>
          <w:szCs w:val="18"/>
          <w:b w:val="1"/>
          <w:bCs w:val="1"/>
          <w:color w:val="666666"/>
        </w:rPr>
        <w:t>2019 LTIP Design</w:t>
      </w:r>
    </w:p>
    <w:p>
      <w:pPr>
        <w:spacing w:after="0" w:line="128" w:lineRule="exact"/>
        <w:rPr>
          <w:sz w:val="20"/>
          <w:szCs w:val="20"/>
          <w:color w:val="auto"/>
        </w:rPr>
      </w:pPr>
    </w:p>
    <w:p>
      <w:pPr>
        <w:ind w:left="760" w:right="419"/>
        <w:spacing w:after="0" w:line="271" w:lineRule="auto"/>
        <w:rPr>
          <w:sz w:val="20"/>
          <w:szCs w:val="20"/>
          <w:color w:val="auto"/>
        </w:rPr>
      </w:pPr>
      <w:r>
        <w:rPr>
          <w:rFonts w:ascii="Arial" w:cs="Arial" w:eastAsia="Arial" w:hAnsi="Arial"/>
          <w:sz w:val="16"/>
          <w:szCs w:val="16"/>
          <w:color w:val="auto"/>
        </w:rPr>
        <w:t>In March 2019, the Compensation Committee approved our 2019 LTIP in which all NEOs participate. Pursuant to the 2019 LTIP, the Committee approved an equity award value for each of four award vehicles for each participant with an effective date of March 30, 2019, as follows:</w:t>
      </w:r>
    </w:p>
    <w:p>
      <w:pPr>
        <w:spacing w:after="0" w:line="131" w:lineRule="exact"/>
        <w:rPr>
          <w:sz w:val="20"/>
          <w:szCs w:val="20"/>
          <w:color w:val="auto"/>
        </w:rPr>
      </w:pPr>
    </w:p>
    <w:tbl>
      <w:tblPr>
        <w:tblLayout w:type="fixed"/>
        <w:tblInd w:w="760" w:type="dxa"/>
        <w:tblCellMar>
          <w:top w:w="0" w:type="dxa"/>
          <w:left w:w="0" w:type="dxa"/>
          <w:bottom w:w="0" w:type="dxa"/>
          <w:right w:w="0" w:type="dxa"/>
        </w:tblCellMar>
      </w:tblPr>
      <w:tr>
        <w:trPr>
          <w:trHeight w:val="162"/>
        </w:trPr>
        <w:tc>
          <w:tcPr>
            <w:tcW w:w="2700" w:type="dxa"/>
            <w:vAlign w:val="bottom"/>
          </w:tcPr>
          <w:p>
            <w:pPr>
              <w:spacing w:after="0"/>
              <w:rPr>
                <w:sz w:val="14"/>
                <w:szCs w:val="14"/>
                <w:color w:val="auto"/>
              </w:rPr>
            </w:pPr>
          </w:p>
        </w:tc>
        <w:tc>
          <w:tcPr>
            <w:tcW w:w="22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000" w:type="dxa"/>
            <w:vAlign w:val="bottom"/>
          </w:tcPr>
          <w:p>
            <w:pPr>
              <w:jc w:val="right"/>
              <w:ind w:right="25"/>
              <w:spacing w:after="0"/>
              <w:rPr>
                <w:sz w:val="20"/>
                <w:szCs w:val="20"/>
                <w:color w:val="auto"/>
              </w:rPr>
            </w:pPr>
            <w:r>
              <w:rPr>
                <w:rFonts w:ascii="Arial" w:cs="Arial" w:eastAsia="Arial" w:hAnsi="Arial"/>
                <w:sz w:val="14"/>
                <w:szCs w:val="14"/>
                <w:b w:val="1"/>
                <w:bCs w:val="1"/>
                <w:color w:val="4800E6"/>
              </w:rPr>
              <w:t>Total Award</w:t>
            </w:r>
          </w:p>
        </w:tc>
      </w:tr>
      <w:tr>
        <w:trPr>
          <w:trHeight w:val="196"/>
        </w:trPr>
        <w:tc>
          <w:tcPr>
            <w:tcW w:w="2700" w:type="dxa"/>
            <w:vAlign w:val="bottom"/>
            <w:tcBorders>
              <w:bottom w:val="single" w:sz="8" w:color="4800E6"/>
            </w:tcBorders>
          </w:tcPr>
          <w:p>
            <w:pPr>
              <w:spacing w:after="0"/>
              <w:rPr>
                <w:sz w:val="17"/>
                <w:szCs w:val="17"/>
                <w:color w:val="auto"/>
              </w:rPr>
            </w:pPr>
          </w:p>
        </w:tc>
        <w:tc>
          <w:tcPr>
            <w:tcW w:w="2220" w:type="dxa"/>
            <w:vAlign w:val="bottom"/>
            <w:tcBorders>
              <w:bottom w:val="single" w:sz="8" w:color="4800E6"/>
            </w:tcBorders>
          </w:tcPr>
          <w:p>
            <w:pPr>
              <w:jc w:val="right"/>
              <w:ind w:right="64"/>
              <w:spacing w:after="0"/>
              <w:rPr>
                <w:sz w:val="20"/>
                <w:szCs w:val="20"/>
                <w:color w:val="auto"/>
              </w:rPr>
            </w:pPr>
            <w:r>
              <w:rPr>
                <w:rFonts w:ascii="Arial" w:cs="Arial" w:eastAsia="Arial" w:hAnsi="Arial"/>
                <w:sz w:val="14"/>
                <w:szCs w:val="14"/>
                <w:b w:val="1"/>
                <w:bCs w:val="1"/>
                <w:color w:val="4800E6"/>
              </w:rPr>
              <w:t>RSUs ($)</w:t>
            </w:r>
          </w:p>
        </w:tc>
        <w:tc>
          <w:tcPr>
            <w:tcW w:w="920" w:type="dxa"/>
            <w:vAlign w:val="bottom"/>
            <w:tcBorders>
              <w:bottom w:val="single" w:sz="8" w:color="4800E6"/>
            </w:tcBorders>
          </w:tcPr>
          <w:p>
            <w:pPr>
              <w:jc w:val="right"/>
              <w:ind w:right="64"/>
              <w:spacing w:after="0"/>
              <w:rPr>
                <w:sz w:val="20"/>
                <w:szCs w:val="20"/>
                <w:color w:val="auto"/>
              </w:rPr>
            </w:pPr>
            <w:r>
              <w:rPr>
                <w:rFonts w:ascii="Arial" w:cs="Arial" w:eastAsia="Arial" w:hAnsi="Arial"/>
                <w:sz w:val="14"/>
                <w:szCs w:val="14"/>
                <w:b w:val="1"/>
                <w:bCs w:val="1"/>
                <w:color w:val="4800E6"/>
              </w:rPr>
              <w:t>SARs ($)</w:t>
            </w:r>
          </w:p>
        </w:tc>
        <w:tc>
          <w:tcPr>
            <w:tcW w:w="1200" w:type="dxa"/>
            <w:vAlign w:val="bottom"/>
            <w:tcBorders>
              <w:bottom w:val="single" w:sz="8" w:color="4800E6"/>
            </w:tcBorders>
          </w:tcPr>
          <w:p>
            <w:pPr>
              <w:jc w:val="right"/>
              <w:ind w:right="64"/>
              <w:spacing w:after="0"/>
              <w:rPr>
                <w:sz w:val="20"/>
                <w:szCs w:val="20"/>
                <w:color w:val="auto"/>
              </w:rPr>
            </w:pPr>
            <w:r>
              <w:rPr>
                <w:rFonts w:ascii="Arial" w:cs="Arial" w:eastAsia="Arial" w:hAnsi="Arial"/>
                <w:sz w:val="14"/>
                <w:szCs w:val="14"/>
                <w:b w:val="1"/>
                <w:bCs w:val="1"/>
                <w:color w:val="4800E6"/>
              </w:rPr>
              <w:t>rTSR PSUs ($)</w:t>
            </w:r>
          </w:p>
        </w:tc>
        <w:tc>
          <w:tcPr>
            <w:tcW w:w="1140" w:type="dxa"/>
            <w:vAlign w:val="bottom"/>
            <w:tcBorders>
              <w:bottom w:val="single" w:sz="8" w:color="4800E6"/>
            </w:tcBorders>
          </w:tcPr>
          <w:p>
            <w:pPr>
              <w:jc w:val="right"/>
              <w:ind w:right="44"/>
              <w:spacing w:after="0"/>
              <w:rPr>
                <w:sz w:val="20"/>
                <w:szCs w:val="20"/>
                <w:color w:val="auto"/>
              </w:rPr>
            </w:pPr>
            <w:r>
              <w:rPr>
                <w:rFonts w:ascii="Arial" w:cs="Arial" w:eastAsia="Arial" w:hAnsi="Arial"/>
                <w:sz w:val="14"/>
                <w:szCs w:val="14"/>
                <w:b w:val="1"/>
                <w:bCs w:val="1"/>
                <w:color w:val="4800E6"/>
              </w:rPr>
              <w:t>FCF PSUs ($)</w:t>
            </w:r>
          </w:p>
        </w:tc>
        <w:tc>
          <w:tcPr>
            <w:tcW w:w="1000" w:type="dxa"/>
            <w:vAlign w:val="bottom"/>
            <w:tcBorders>
              <w:bottom w:val="single" w:sz="8" w:color="4800E6"/>
            </w:tcBorders>
          </w:tcPr>
          <w:p>
            <w:pPr>
              <w:jc w:val="right"/>
              <w:spacing w:after="0"/>
              <w:rPr>
                <w:sz w:val="20"/>
                <w:szCs w:val="20"/>
                <w:color w:val="auto"/>
              </w:rPr>
            </w:pPr>
            <w:r>
              <w:rPr>
                <w:rFonts w:ascii="Arial" w:cs="Arial" w:eastAsia="Arial" w:hAnsi="Arial"/>
                <w:sz w:val="14"/>
                <w:szCs w:val="14"/>
                <w:b w:val="1"/>
                <w:bCs w:val="1"/>
                <w:color w:val="4800E6"/>
              </w:rPr>
              <w:t>Value ($)</w:t>
            </w:r>
          </w:p>
        </w:tc>
      </w:tr>
      <w:tr>
        <w:trPr>
          <w:trHeight w:val="221"/>
        </w:trPr>
        <w:tc>
          <w:tcPr>
            <w:tcW w:w="2700" w:type="dxa"/>
            <w:vAlign w:val="bottom"/>
          </w:tcPr>
          <w:p>
            <w:pPr>
              <w:ind w:left="40"/>
              <w:spacing w:after="0"/>
              <w:rPr>
                <w:sz w:val="20"/>
                <w:szCs w:val="20"/>
                <w:color w:val="auto"/>
              </w:rPr>
            </w:pPr>
            <w:r>
              <w:rPr>
                <w:rFonts w:ascii="Arial" w:cs="Arial" w:eastAsia="Arial" w:hAnsi="Arial"/>
                <w:sz w:val="15"/>
                <w:szCs w:val="15"/>
                <w:color w:val="auto"/>
              </w:rPr>
              <w:t>Damien McDonald</w:t>
            </w:r>
          </w:p>
        </w:tc>
        <w:tc>
          <w:tcPr>
            <w:tcW w:w="2220" w:type="dxa"/>
            <w:vAlign w:val="bottom"/>
          </w:tcPr>
          <w:p>
            <w:pPr>
              <w:jc w:val="right"/>
              <w:ind w:right="44"/>
              <w:spacing w:after="0"/>
              <w:rPr>
                <w:sz w:val="20"/>
                <w:szCs w:val="20"/>
                <w:color w:val="auto"/>
              </w:rPr>
            </w:pPr>
            <w:r>
              <w:rPr>
                <w:rFonts w:ascii="Arial" w:cs="Arial" w:eastAsia="Arial" w:hAnsi="Arial"/>
                <w:sz w:val="15"/>
                <w:szCs w:val="15"/>
                <w:color w:val="auto"/>
              </w:rPr>
              <w:t>1,250,000</w:t>
            </w:r>
          </w:p>
        </w:tc>
        <w:tc>
          <w:tcPr>
            <w:tcW w:w="920" w:type="dxa"/>
            <w:vAlign w:val="bottom"/>
          </w:tcPr>
          <w:p>
            <w:pPr>
              <w:jc w:val="right"/>
              <w:ind w:right="44"/>
              <w:spacing w:after="0"/>
              <w:rPr>
                <w:sz w:val="20"/>
                <w:szCs w:val="20"/>
                <w:color w:val="auto"/>
              </w:rPr>
            </w:pPr>
            <w:r>
              <w:rPr>
                <w:rFonts w:ascii="Arial" w:cs="Arial" w:eastAsia="Arial" w:hAnsi="Arial"/>
                <w:sz w:val="15"/>
                <w:szCs w:val="15"/>
                <w:color w:val="auto"/>
              </w:rPr>
              <w:t>1,250,000</w:t>
            </w:r>
          </w:p>
        </w:tc>
        <w:tc>
          <w:tcPr>
            <w:tcW w:w="1200" w:type="dxa"/>
            <w:vAlign w:val="bottom"/>
          </w:tcPr>
          <w:p>
            <w:pPr>
              <w:jc w:val="right"/>
              <w:ind w:right="44"/>
              <w:spacing w:after="0"/>
              <w:rPr>
                <w:sz w:val="20"/>
                <w:szCs w:val="20"/>
                <w:color w:val="auto"/>
              </w:rPr>
            </w:pPr>
            <w:r>
              <w:rPr>
                <w:rFonts w:ascii="Arial" w:cs="Arial" w:eastAsia="Arial" w:hAnsi="Arial"/>
                <w:sz w:val="15"/>
                <w:szCs w:val="15"/>
                <w:color w:val="auto"/>
              </w:rPr>
              <w:t>1,500,000</w:t>
            </w:r>
          </w:p>
        </w:tc>
        <w:tc>
          <w:tcPr>
            <w:tcW w:w="1140" w:type="dxa"/>
            <w:vAlign w:val="bottom"/>
          </w:tcPr>
          <w:p>
            <w:pPr>
              <w:jc w:val="right"/>
              <w:ind w:right="44"/>
              <w:spacing w:after="0"/>
              <w:rPr>
                <w:sz w:val="20"/>
                <w:szCs w:val="20"/>
                <w:color w:val="auto"/>
              </w:rPr>
            </w:pPr>
            <w:r>
              <w:rPr>
                <w:rFonts w:ascii="Arial" w:cs="Arial" w:eastAsia="Arial" w:hAnsi="Arial"/>
                <w:sz w:val="15"/>
                <w:szCs w:val="15"/>
                <w:color w:val="auto"/>
              </w:rPr>
              <w:t>1,500,000</w:t>
            </w:r>
          </w:p>
        </w:tc>
        <w:tc>
          <w:tcPr>
            <w:tcW w:w="1000" w:type="dxa"/>
            <w:vAlign w:val="bottom"/>
          </w:tcPr>
          <w:p>
            <w:pPr>
              <w:jc w:val="right"/>
              <w:spacing w:after="0"/>
              <w:rPr>
                <w:sz w:val="20"/>
                <w:szCs w:val="20"/>
                <w:color w:val="auto"/>
              </w:rPr>
            </w:pPr>
            <w:r>
              <w:rPr>
                <w:rFonts w:ascii="Arial" w:cs="Arial" w:eastAsia="Arial" w:hAnsi="Arial"/>
                <w:sz w:val="15"/>
                <w:szCs w:val="15"/>
                <w:color w:val="auto"/>
              </w:rPr>
              <w:t>5,500,000</w:t>
            </w:r>
          </w:p>
        </w:tc>
      </w:tr>
      <w:tr>
        <w:trPr>
          <w:trHeight w:val="22"/>
        </w:trPr>
        <w:tc>
          <w:tcPr>
            <w:tcW w:w="2700" w:type="dxa"/>
            <w:vAlign w:val="bottom"/>
          </w:tcPr>
          <w:p>
            <w:pPr>
              <w:spacing w:after="0" w:line="20" w:lineRule="exact"/>
              <w:rPr>
                <w:sz w:val="1"/>
                <w:szCs w:val="1"/>
                <w:color w:val="auto"/>
              </w:rPr>
            </w:pPr>
          </w:p>
        </w:tc>
        <w:tc>
          <w:tcPr>
            <w:tcW w:w="22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r>
      <w:tr>
        <w:trPr>
          <w:trHeight w:val="250"/>
        </w:trPr>
        <w:tc>
          <w:tcPr>
            <w:tcW w:w="2700" w:type="dxa"/>
            <w:vAlign w:val="bottom"/>
            <w:tcBorders>
              <w:bottom w:val="single" w:sz="8" w:color="EFE9FC"/>
            </w:tcBorders>
            <w:shd w:val="clear" w:color="auto" w:fill="EFE9FC"/>
          </w:tcPr>
          <w:p>
            <w:pPr>
              <w:ind w:left="40"/>
              <w:spacing w:after="0"/>
              <w:rPr>
                <w:sz w:val="20"/>
                <w:szCs w:val="20"/>
                <w:color w:val="auto"/>
              </w:rPr>
            </w:pPr>
            <w:r>
              <w:rPr>
                <w:rFonts w:ascii="Arial" w:cs="Arial" w:eastAsia="Arial" w:hAnsi="Arial"/>
                <w:sz w:val="15"/>
                <w:szCs w:val="15"/>
                <w:color w:val="auto"/>
              </w:rPr>
              <w:t>Thad Huston</w:t>
            </w:r>
          </w:p>
        </w:tc>
        <w:tc>
          <w:tcPr>
            <w:tcW w:w="2220" w:type="dxa"/>
            <w:vAlign w:val="bottom"/>
            <w:tcBorders>
              <w:bottom w:val="single" w:sz="8" w:color="EFE9FC"/>
            </w:tcBorders>
            <w:shd w:val="clear" w:color="auto" w:fill="EFE9FC"/>
          </w:tcPr>
          <w:p>
            <w:pPr>
              <w:jc w:val="right"/>
              <w:ind w:right="44"/>
              <w:spacing w:after="0"/>
              <w:rPr>
                <w:sz w:val="20"/>
                <w:szCs w:val="20"/>
                <w:color w:val="auto"/>
              </w:rPr>
            </w:pPr>
            <w:r>
              <w:rPr>
                <w:rFonts w:ascii="Arial" w:cs="Arial" w:eastAsia="Arial" w:hAnsi="Arial"/>
                <w:sz w:val="15"/>
                <w:szCs w:val="15"/>
                <w:color w:val="auto"/>
              </w:rPr>
              <w:t>500,000</w:t>
            </w:r>
          </w:p>
        </w:tc>
        <w:tc>
          <w:tcPr>
            <w:tcW w:w="920" w:type="dxa"/>
            <w:vAlign w:val="bottom"/>
            <w:tcBorders>
              <w:bottom w:val="single" w:sz="8" w:color="EFE9FC"/>
            </w:tcBorders>
            <w:shd w:val="clear" w:color="auto" w:fill="EFE9FC"/>
          </w:tcPr>
          <w:p>
            <w:pPr>
              <w:jc w:val="right"/>
              <w:ind w:right="44"/>
              <w:spacing w:after="0"/>
              <w:rPr>
                <w:sz w:val="20"/>
                <w:szCs w:val="20"/>
                <w:color w:val="auto"/>
              </w:rPr>
            </w:pPr>
            <w:r>
              <w:rPr>
                <w:rFonts w:ascii="Arial" w:cs="Arial" w:eastAsia="Arial" w:hAnsi="Arial"/>
                <w:sz w:val="15"/>
                <w:szCs w:val="15"/>
                <w:color w:val="auto"/>
              </w:rPr>
              <w:t>500,000</w:t>
            </w:r>
          </w:p>
        </w:tc>
        <w:tc>
          <w:tcPr>
            <w:tcW w:w="1200" w:type="dxa"/>
            <w:vAlign w:val="bottom"/>
            <w:tcBorders>
              <w:bottom w:val="single" w:sz="8" w:color="EFE9FC"/>
            </w:tcBorders>
            <w:shd w:val="clear" w:color="auto" w:fill="EFE9FC"/>
          </w:tcPr>
          <w:p>
            <w:pPr>
              <w:jc w:val="right"/>
              <w:ind w:right="44"/>
              <w:spacing w:after="0"/>
              <w:rPr>
                <w:sz w:val="20"/>
                <w:szCs w:val="20"/>
                <w:color w:val="auto"/>
              </w:rPr>
            </w:pPr>
            <w:r>
              <w:rPr>
                <w:rFonts w:ascii="Arial" w:cs="Arial" w:eastAsia="Arial" w:hAnsi="Arial"/>
                <w:sz w:val="15"/>
                <w:szCs w:val="15"/>
                <w:color w:val="auto"/>
              </w:rPr>
              <w:t>500,000</w:t>
            </w:r>
          </w:p>
        </w:tc>
        <w:tc>
          <w:tcPr>
            <w:tcW w:w="1140" w:type="dxa"/>
            <w:vAlign w:val="bottom"/>
            <w:tcBorders>
              <w:bottom w:val="single" w:sz="8" w:color="EFE9FC"/>
            </w:tcBorders>
            <w:shd w:val="clear" w:color="auto" w:fill="EFE9FC"/>
          </w:tcPr>
          <w:p>
            <w:pPr>
              <w:jc w:val="right"/>
              <w:ind w:right="44"/>
              <w:spacing w:after="0"/>
              <w:rPr>
                <w:sz w:val="20"/>
                <w:szCs w:val="20"/>
                <w:color w:val="auto"/>
              </w:rPr>
            </w:pPr>
            <w:r>
              <w:rPr>
                <w:rFonts w:ascii="Arial" w:cs="Arial" w:eastAsia="Arial" w:hAnsi="Arial"/>
                <w:sz w:val="15"/>
                <w:szCs w:val="15"/>
                <w:color w:val="auto"/>
              </w:rPr>
              <w:t>500,000</w:t>
            </w:r>
          </w:p>
        </w:tc>
        <w:tc>
          <w:tcPr>
            <w:tcW w:w="1000" w:type="dxa"/>
            <w:vAlign w:val="bottom"/>
            <w:tcBorders>
              <w:bottom w:val="single" w:sz="8" w:color="EFE9FC"/>
            </w:tcBorders>
            <w:shd w:val="clear" w:color="auto" w:fill="EFE9FC"/>
          </w:tcPr>
          <w:p>
            <w:pPr>
              <w:jc w:val="right"/>
              <w:spacing w:after="0"/>
              <w:rPr>
                <w:sz w:val="20"/>
                <w:szCs w:val="20"/>
                <w:color w:val="auto"/>
              </w:rPr>
            </w:pPr>
            <w:r>
              <w:rPr>
                <w:rFonts w:ascii="Arial" w:cs="Arial" w:eastAsia="Arial" w:hAnsi="Arial"/>
                <w:sz w:val="15"/>
                <w:szCs w:val="15"/>
                <w:color w:val="auto"/>
              </w:rPr>
              <w:t>2,000,000</w:t>
            </w:r>
          </w:p>
        </w:tc>
      </w:tr>
      <w:tr>
        <w:trPr>
          <w:trHeight w:val="222"/>
        </w:trPr>
        <w:tc>
          <w:tcPr>
            <w:tcW w:w="2700" w:type="dxa"/>
            <w:vAlign w:val="bottom"/>
          </w:tcPr>
          <w:p>
            <w:pPr>
              <w:ind w:left="40"/>
              <w:spacing w:after="0"/>
              <w:rPr>
                <w:sz w:val="20"/>
                <w:szCs w:val="20"/>
                <w:color w:val="auto"/>
              </w:rPr>
            </w:pPr>
            <w:r>
              <w:rPr>
                <w:rFonts w:ascii="Arial" w:cs="Arial" w:eastAsia="Arial" w:hAnsi="Arial"/>
                <w:sz w:val="15"/>
                <w:szCs w:val="15"/>
                <w:color w:val="auto"/>
              </w:rPr>
              <w:t>Keyna Skeffington</w:t>
            </w:r>
          </w:p>
        </w:tc>
        <w:tc>
          <w:tcPr>
            <w:tcW w:w="2220" w:type="dxa"/>
            <w:vAlign w:val="bottom"/>
          </w:tcPr>
          <w:p>
            <w:pPr>
              <w:jc w:val="right"/>
              <w:ind w:right="44"/>
              <w:spacing w:after="0"/>
              <w:rPr>
                <w:sz w:val="20"/>
                <w:szCs w:val="20"/>
                <w:color w:val="auto"/>
              </w:rPr>
            </w:pPr>
            <w:r>
              <w:rPr>
                <w:rFonts w:ascii="Arial" w:cs="Arial" w:eastAsia="Arial" w:hAnsi="Arial"/>
                <w:sz w:val="15"/>
                <w:szCs w:val="15"/>
                <w:color w:val="auto"/>
              </w:rPr>
              <w:t>225,000</w:t>
            </w:r>
          </w:p>
        </w:tc>
        <w:tc>
          <w:tcPr>
            <w:tcW w:w="920" w:type="dxa"/>
            <w:vAlign w:val="bottom"/>
          </w:tcPr>
          <w:p>
            <w:pPr>
              <w:jc w:val="right"/>
              <w:ind w:right="44"/>
              <w:spacing w:after="0"/>
              <w:rPr>
                <w:sz w:val="20"/>
                <w:szCs w:val="20"/>
                <w:color w:val="auto"/>
              </w:rPr>
            </w:pPr>
            <w:r>
              <w:rPr>
                <w:rFonts w:ascii="Arial" w:cs="Arial" w:eastAsia="Arial" w:hAnsi="Arial"/>
                <w:sz w:val="15"/>
                <w:szCs w:val="15"/>
                <w:color w:val="auto"/>
              </w:rPr>
              <w:t>225,000</w:t>
            </w:r>
          </w:p>
        </w:tc>
        <w:tc>
          <w:tcPr>
            <w:tcW w:w="1200" w:type="dxa"/>
            <w:vAlign w:val="bottom"/>
          </w:tcPr>
          <w:p>
            <w:pPr>
              <w:jc w:val="right"/>
              <w:ind w:right="44"/>
              <w:spacing w:after="0"/>
              <w:rPr>
                <w:sz w:val="20"/>
                <w:szCs w:val="20"/>
                <w:color w:val="auto"/>
              </w:rPr>
            </w:pPr>
            <w:r>
              <w:rPr>
                <w:rFonts w:ascii="Arial" w:cs="Arial" w:eastAsia="Arial" w:hAnsi="Arial"/>
                <w:sz w:val="15"/>
                <w:szCs w:val="15"/>
                <w:color w:val="auto"/>
              </w:rPr>
              <w:t>225,000</w:t>
            </w:r>
          </w:p>
        </w:tc>
        <w:tc>
          <w:tcPr>
            <w:tcW w:w="1140" w:type="dxa"/>
            <w:vAlign w:val="bottom"/>
          </w:tcPr>
          <w:p>
            <w:pPr>
              <w:jc w:val="right"/>
              <w:ind w:right="44"/>
              <w:spacing w:after="0"/>
              <w:rPr>
                <w:sz w:val="20"/>
                <w:szCs w:val="20"/>
                <w:color w:val="auto"/>
              </w:rPr>
            </w:pPr>
            <w:r>
              <w:rPr>
                <w:rFonts w:ascii="Arial" w:cs="Arial" w:eastAsia="Arial" w:hAnsi="Arial"/>
                <w:sz w:val="15"/>
                <w:szCs w:val="15"/>
                <w:color w:val="auto"/>
              </w:rPr>
              <w:t>225,000</w:t>
            </w:r>
          </w:p>
        </w:tc>
        <w:tc>
          <w:tcPr>
            <w:tcW w:w="1000" w:type="dxa"/>
            <w:vAlign w:val="bottom"/>
          </w:tcPr>
          <w:p>
            <w:pPr>
              <w:jc w:val="right"/>
              <w:spacing w:after="0"/>
              <w:rPr>
                <w:sz w:val="20"/>
                <w:szCs w:val="20"/>
                <w:color w:val="auto"/>
              </w:rPr>
            </w:pPr>
            <w:r>
              <w:rPr>
                <w:rFonts w:ascii="Arial" w:cs="Arial" w:eastAsia="Arial" w:hAnsi="Arial"/>
                <w:sz w:val="15"/>
                <w:szCs w:val="15"/>
                <w:color w:val="auto"/>
              </w:rPr>
              <w:t>900,000</w:t>
            </w:r>
          </w:p>
        </w:tc>
      </w:tr>
      <w:tr>
        <w:trPr>
          <w:trHeight w:val="22"/>
        </w:trPr>
        <w:tc>
          <w:tcPr>
            <w:tcW w:w="2700" w:type="dxa"/>
            <w:vAlign w:val="bottom"/>
          </w:tcPr>
          <w:p>
            <w:pPr>
              <w:spacing w:after="0" w:line="20" w:lineRule="exact"/>
              <w:rPr>
                <w:sz w:val="1"/>
                <w:szCs w:val="1"/>
                <w:color w:val="auto"/>
              </w:rPr>
            </w:pPr>
          </w:p>
        </w:tc>
        <w:tc>
          <w:tcPr>
            <w:tcW w:w="22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r>
      <w:tr>
        <w:trPr>
          <w:trHeight w:val="250"/>
        </w:trPr>
        <w:tc>
          <w:tcPr>
            <w:tcW w:w="2700" w:type="dxa"/>
            <w:vAlign w:val="bottom"/>
            <w:tcBorders>
              <w:bottom w:val="single" w:sz="8" w:color="EFE9FC"/>
            </w:tcBorders>
            <w:shd w:val="clear" w:color="auto" w:fill="EFE9FC"/>
          </w:tcPr>
          <w:p>
            <w:pPr>
              <w:ind w:left="40"/>
              <w:spacing w:after="0"/>
              <w:rPr>
                <w:sz w:val="20"/>
                <w:szCs w:val="20"/>
                <w:color w:val="auto"/>
              </w:rPr>
            </w:pPr>
            <w:r>
              <w:rPr>
                <w:rFonts w:ascii="Arial" w:cs="Arial" w:eastAsia="Arial" w:hAnsi="Arial"/>
                <w:sz w:val="15"/>
                <w:szCs w:val="15"/>
                <w:color w:val="auto"/>
              </w:rPr>
              <w:t>Edward Andrle</w:t>
            </w:r>
          </w:p>
        </w:tc>
        <w:tc>
          <w:tcPr>
            <w:tcW w:w="2220" w:type="dxa"/>
            <w:vAlign w:val="bottom"/>
            <w:tcBorders>
              <w:bottom w:val="single" w:sz="8" w:color="EFE9FC"/>
            </w:tcBorders>
            <w:shd w:val="clear" w:color="auto" w:fill="EFE9FC"/>
          </w:tcPr>
          <w:p>
            <w:pPr>
              <w:jc w:val="right"/>
              <w:ind w:right="44"/>
              <w:spacing w:after="0"/>
              <w:rPr>
                <w:sz w:val="20"/>
                <w:szCs w:val="20"/>
                <w:color w:val="auto"/>
              </w:rPr>
            </w:pPr>
            <w:r>
              <w:rPr>
                <w:rFonts w:ascii="Arial" w:cs="Arial" w:eastAsia="Arial" w:hAnsi="Arial"/>
                <w:sz w:val="15"/>
                <w:szCs w:val="15"/>
                <w:color w:val="auto"/>
              </w:rPr>
              <w:t>187,500</w:t>
            </w:r>
          </w:p>
        </w:tc>
        <w:tc>
          <w:tcPr>
            <w:tcW w:w="920" w:type="dxa"/>
            <w:vAlign w:val="bottom"/>
            <w:tcBorders>
              <w:bottom w:val="single" w:sz="8" w:color="EFE9FC"/>
            </w:tcBorders>
            <w:shd w:val="clear" w:color="auto" w:fill="EFE9FC"/>
          </w:tcPr>
          <w:p>
            <w:pPr>
              <w:jc w:val="right"/>
              <w:ind w:right="44"/>
              <w:spacing w:after="0"/>
              <w:rPr>
                <w:sz w:val="20"/>
                <w:szCs w:val="20"/>
                <w:color w:val="auto"/>
              </w:rPr>
            </w:pPr>
            <w:r>
              <w:rPr>
                <w:rFonts w:ascii="Arial" w:cs="Arial" w:eastAsia="Arial" w:hAnsi="Arial"/>
                <w:sz w:val="15"/>
                <w:szCs w:val="15"/>
                <w:color w:val="auto"/>
              </w:rPr>
              <w:t>187,500</w:t>
            </w:r>
          </w:p>
        </w:tc>
        <w:tc>
          <w:tcPr>
            <w:tcW w:w="1200" w:type="dxa"/>
            <w:vAlign w:val="bottom"/>
            <w:tcBorders>
              <w:bottom w:val="single" w:sz="8" w:color="EFE9FC"/>
            </w:tcBorders>
            <w:shd w:val="clear" w:color="auto" w:fill="EFE9FC"/>
          </w:tcPr>
          <w:p>
            <w:pPr>
              <w:jc w:val="right"/>
              <w:ind w:right="44"/>
              <w:spacing w:after="0"/>
              <w:rPr>
                <w:sz w:val="20"/>
                <w:szCs w:val="20"/>
                <w:color w:val="auto"/>
              </w:rPr>
            </w:pPr>
            <w:r>
              <w:rPr>
                <w:rFonts w:ascii="Arial" w:cs="Arial" w:eastAsia="Arial" w:hAnsi="Arial"/>
                <w:sz w:val="15"/>
                <w:szCs w:val="15"/>
                <w:color w:val="auto"/>
              </w:rPr>
              <w:t>187,500</w:t>
            </w:r>
          </w:p>
        </w:tc>
        <w:tc>
          <w:tcPr>
            <w:tcW w:w="1140" w:type="dxa"/>
            <w:vAlign w:val="bottom"/>
            <w:tcBorders>
              <w:bottom w:val="single" w:sz="8" w:color="EFE9FC"/>
            </w:tcBorders>
            <w:shd w:val="clear" w:color="auto" w:fill="EFE9FC"/>
          </w:tcPr>
          <w:p>
            <w:pPr>
              <w:jc w:val="right"/>
              <w:ind w:right="44"/>
              <w:spacing w:after="0"/>
              <w:rPr>
                <w:sz w:val="20"/>
                <w:szCs w:val="20"/>
                <w:color w:val="auto"/>
              </w:rPr>
            </w:pPr>
            <w:r>
              <w:rPr>
                <w:rFonts w:ascii="Arial" w:cs="Arial" w:eastAsia="Arial" w:hAnsi="Arial"/>
                <w:sz w:val="15"/>
                <w:szCs w:val="15"/>
                <w:color w:val="auto"/>
              </w:rPr>
              <w:t>187,500</w:t>
            </w:r>
          </w:p>
        </w:tc>
        <w:tc>
          <w:tcPr>
            <w:tcW w:w="1000" w:type="dxa"/>
            <w:vAlign w:val="bottom"/>
            <w:tcBorders>
              <w:bottom w:val="single" w:sz="8" w:color="EFE9FC"/>
            </w:tcBorders>
            <w:shd w:val="clear" w:color="auto" w:fill="EFE9FC"/>
          </w:tcPr>
          <w:p>
            <w:pPr>
              <w:jc w:val="right"/>
              <w:spacing w:after="0"/>
              <w:rPr>
                <w:sz w:val="20"/>
                <w:szCs w:val="20"/>
                <w:color w:val="auto"/>
              </w:rPr>
            </w:pPr>
            <w:r>
              <w:rPr>
                <w:rFonts w:ascii="Arial" w:cs="Arial" w:eastAsia="Arial" w:hAnsi="Arial"/>
                <w:sz w:val="15"/>
                <w:szCs w:val="15"/>
                <w:color w:val="auto"/>
              </w:rPr>
              <w:t>750,000</w:t>
            </w:r>
          </w:p>
        </w:tc>
      </w:tr>
      <w:tr>
        <w:trPr>
          <w:trHeight w:val="221"/>
        </w:trPr>
        <w:tc>
          <w:tcPr>
            <w:tcW w:w="2700" w:type="dxa"/>
            <w:vAlign w:val="bottom"/>
          </w:tcPr>
          <w:p>
            <w:pPr>
              <w:ind w:left="40"/>
              <w:spacing w:after="0"/>
              <w:rPr>
                <w:sz w:val="20"/>
                <w:szCs w:val="20"/>
                <w:color w:val="auto"/>
              </w:rPr>
            </w:pPr>
            <w:r>
              <w:rPr>
                <w:rFonts w:ascii="Arial" w:cs="Arial" w:eastAsia="Arial" w:hAnsi="Arial"/>
                <w:sz w:val="15"/>
                <w:szCs w:val="15"/>
                <w:color w:val="auto"/>
              </w:rPr>
              <w:t>Alistair Simpson</w:t>
            </w:r>
          </w:p>
        </w:tc>
        <w:tc>
          <w:tcPr>
            <w:tcW w:w="2220" w:type="dxa"/>
            <w:vAlign w:val="bottom"/>
          </w:tcPr>
          <w:p>
            <w:pPr>
              <w:jc w:val="right"/>
              <w:ind w:right="44"/>
              <w:spacing w:after="0"/>
              <w:rPr>
                <w:sz w:val="20"/>
                <w:szCs w:val="20"/>
                <w:color w:val="auto"/>
              </w:rPr>
            </w:pPr>
            <w:r>
              <w:rPr>
                <w:rFonts w:ascii="Arial" w:cs="Arial" w:eastAsia="Arial" w:hAnsi="Arial"/>
                <w:sz w:val="15"/>
                <w:szCs w:val="15"/>
                <w:color w:val="auto"/>
              </w:rPr>
              <w:t>187,500</w:t>
            </w:r>
          </w:p>
        </w:tc>
        <w:tc>
          <w:tcPr>
            <w:tcW w:w="920" w:type="dxa"/>
            <w:vAlign w:val="bottom"/>
          </w:tcPr>
          <w:p>
            <w:pPr>
              <w:jc w:val="right"/>
              <w:ind w:right="44"/>
              <w:spacing w:after="0"/>
              <w:rPr>
                <w:sz w:val="20"/>
                <w:szCs w:val="20"/>
                <w:color w:val="auto"/>
              </w:rPr>
            </w:pPr>
            <w:r>
              <w:rPr>
                <w:rFonts w:ascii="Arial" w:cs="Arial" w:eastAsia="Arial" w:hAnsi="Arial"/>
                <w:sz w:val="15"/>
                <w:szCs w:val="15"/>
                <w:color w:val="auto"/>
              </w:rPr>
              <w:t>187,500</w:t>
            </w:r>
          </w:p>
        </w:tc>
        <w:tc>
          <w:tcPr>
            <w:tcW w:w="1200" w:type="dxa"/>
            <w:vAlign w:val="bottom"/>
          </w:tcPr>
          <w:p>
            <w:pPr>
              <w:jc w:val="right"/>
              <w:ind w:right="44"/>
              <w:spacing w:after="0"/>
              <w:rPr>
                <w:sz w:val="20"/>
                <w:szCs w:val="20"/>
                <w:color w:val="auto"/>
              </w:rPr>
            </w:pPr>
            <w:r>
              <w:rPr>
                <w:rFonts w:ascii="Arial" w:cs="Arial" w:eastAsia="Arial" w:hAnsi="Arial"/>
                <w:sz w:val="15"/>
                <w:szCs w:val="15"/>
                <w:color w:val="auto"/>
              </w:rPr>
              <w:t>187,500</w:t>
            </w:r>
          </w:p>
        </w:tc>
        <w:tc>
          <w:tcPr>
            <w:tcW w:w="1140" w:type="dxa"/>
            <w:vAlign w:val="bottom"/>
          </w:tcPr>
          <w:p>
            <w:pPr>
              <w:jc w:val="right"/>
              <w:ind w:right="44"/>
              <w:spacing w:after="0"/>
              <w:rPr>
                <w:sz w:val="20"/>
                <w:szCs w:val="20"/>
                <w:color w:val="auto"/>
              </w:rPr>
            </w:pPr>
            <w:r>
              <w:rPr>
                <w:rFonts w:ascii="Arial" w:cs="Arial" w:eastAsia="Arial" w:hAnsi="Arial"/>
                <w:sz w:val="15"/>
                <w:szCs w:val="15"/>
                <w:color w:val="auto"/>
              </w:rPr>
              <w:t>187,500</w:t>
            </w:r>
          </w:p>
        </w:tc>
        <w:tc>
          <w:tcPr>
            <w:tcW w:w="1000" w:type="dxa"/>
            <w:vAlign w:val="bottom"/>
          </w:tcPr>
          <w:p>
            <w:pPr>
              <w:jc w:val="right"/>
              <w:spacing w:after="0"/>
              <w:rPr>
                <w:sz w:val="20"/>
                <w:szCs w:val="20"/>
                <w:color w:val="auto"/>
              </w:rPr>
            </w:pPr>
            <w:r>
              <w:rPr>
                <w:rFonts w:ascii="Arial" w:cs="Arial" w:eastAsia="Arial" w:hAnsi="Arial"/>
                <w:sz w:val="15"/>
                <w:szCs w:val="15"/>
                <w:color w:val="auto"/>
              </w:rPr>
              <w:t>750,000</w:t>
            </w:r>
          </w:p>
        </w:tc>
      </w:tr>
      <w:tr>
        <w:trPr>
          <w:trHeight w:val="22"/>
        </w:trPr>
        <w:tc>
          <w:tcPr>
            <w:tcW w:w="2700" w:type="dxa"/>
            <w:vAlign w:val="bottom"/>
            <w:tcBorders>
              <w:bottom w:val="single" w:sz="8" w:color="4800E6"/>
            </w:tcBorders>
          </w:tcPr>
          <w:p>
            <w:pPr>
              <w:spacing w:after="0" w:line="20" w:lineRule="exact"/>
              <w:rPr>
                <w:sz w:val="1"/>
                <w:szCs w:val="1"/>
                <w:color w:val="auto"/>
              </w:rPr>
            </w:pPr>
          </w:p>
        </w:tc>
        <w:tc>
          <w:tcPr>
            <w:tcW w:w="2220" w:type="dxa"/>
            <w:vAlign w:val="bottom"/>
            <w:tcBorders>
              <w:bottom w:val="single" w:sz="8" w:color="4800E6"/>
            </w:tcBorders>
          </w:tcPr>
          <w:p>
            <w:pPr>
              <w:spacing w:after="0" w:line="20" w:lineRule="exact"/>
              <w:rPr>
                <w:sz w:val="1"/>
                <w:szCs w:val="1"/>
                <w:color w:val="auto"/>
              </w:rPr>
            </w:pPr>
          </w:p>
        </w:tc>
        <w:tc>
          <w:tcPr>
            <w:tcW w:w="920" w:type="dxa"/>
            <w:vAlign w:val="bottom"/>
            <w:tcBorders>
              <w:bottom w:val="single" w:sz="8" w:color="4800E6"/>
            </w:tcBorders>
          </w:tcPr>
          <w:p>
            <w:pPr>
              <w:spacing w:after="0" w:line="20" w:lineRule="exact"/>
              <w:rPr>
                <w:sz w:val="1"/>
                <w:szCs w:val="1"/>
                <w:color w:val="auto"/>
              </w:rPr>
            </w:pPr>
          </w:p>
        </w:tc>
        <w:tc>
          <w:tcPr>
            <w:tcW w:w="1200" w:type="dxa"/>
            <w:vAlign w:val="bottom"/>
            <w:tcBorders>
              <w:bottom w:val="single" w:sz="8" w:color="4800E6"/>
            </w:tcBorders>
          </w:tcPr>
          <w:p>
            <w:pPr>
              <w:spacing w:after="0" w:line="20" w:lineRule="exact"/>
              <w:rPr>
                <w:sz w:val="1"/>
                <w:szCs w:val="1"/>
                <w:color w:val="auto"/>
              </w:rPr>
            </w:pPr>
          </w:p>
        </w:tc>
        <w:tc>
          <w:tcPr>
            <w:tcW w:w="1140" w:type="dxa"/>
            <w:vAlign w:val="bottom"/>
            <w:tcBorders>
              <w:bottom w:val="single" w:sz="8" w:color="4800E6"/>
            </w:tcBorders>
          </w:tcPr>
          <w:p>
            <w:pPr>
              <w:spacing w:after="0" w:line="20" w:lineRule="exact"/>
              <w:rPr>
                <w:sz w:val="1"/>
                <w:szCs w:val="1"/>
                <w:color w:val="auto"/>
              </w:rPr>
            </w:pPr>
          </w:p>
        </w:tc>
        <w:tc>
          <w:tcPr>
            <w:tcW w:w="1000" w:type="dxa"/>
            <w:vAlign w:val="bottom"/>
            <w:tcBorders>
              <w:bottom w:val="single" w:sz="8" w:color="4800E6"/>
            </w:tcBorders>
          </w:tcPr>
          <w:p>
            <w:pPr>
              <w:spacing w:after="0" w:line="20" w:lineRule="exact"/>
              <w:rPr>
                <w:sz w:val="1"/>
                <w:szCs w:val="1"/>
                <w:color w:val="auto"/>
              </w:rPr>
            </w:pPr>
          </w:p>
        </w:tc>
      </w:tr>
    </w:tbl>
    <w:p>
      <w:pPr>
        <w:spacing w:after="0" w:line="288" w:lineRule="exact"/>
        <w:rPr>
          <w:sz w:val="20"/>
          <w:szCs w:val="20"/>
          <w:color w:val="auto"/>
        </w:rPr>
      </w:pPr>
    </w:p>
    <w:p>
      <w:pPr>
        <w:ind w:left="760"/>
        <w:spacing w:after="0"/>
        <w:rPr>
          <w:sz w:val="20"/>
          <w:szCs w:val="20"/>
          <w:color w:val="auto"/>
        </w:rPr>
      </w:pPr>
      <w:r>
        <w:rPr>
          <w:rFonts w:ascii="Arial" w:cs="Arial" w:eastAsia="Arial" w:hAnsi="Arial"/>
          <w:sz w:val="18"/>
          <w:szCs w:val="18"/>
          <w:b w:val="1"/>
          <w:bCs w:val="1"/>
          <w:color w:val="666666"/>
        </w:rPr>
        <w:t>Service-Based Elements:</w:t>
      </w:r>
    </w:p>
    <w:p>
      <w:pPr>
        <w:spacing w:after="0" w:line="162" w:lineRule="exact"/>
        <w:rPr>
          <w:sz w:val="20"/>
          <w:szCs w:val="20"/>
          <w:color w:val="auto"/>
        </w:rPr>
      </w:pPr>
    </w:p>
    <w:p>
      <w:pPr>
        <w:ind w:left="760"/>
        <w:spacing w:after="0"/>
        <w:rPr>
          <w:sz w:val="20"/>
          <w:szCs w:val="20"/>
          <w:color w:val="auto"/>
        </w:rPr>
      </w:pPr>
      <w:r>
        <w:rPr>
          <w:rFonts w:ascii="Arial" w:cs="Arial" w:eastAsia="Arial" w:hAnsi="Arial"/>
          <w:sz w:val="16"/>
          <w:szCs w:val="16"/>
          <w:b w:val="1"/>
          <w:bCs w:val="1"/>
          <w:color w:val="4800E6"/>
        </w:rPr>
        <w:t>Restricted Stock Units (“RSUs”)</w:t>
      </w:r>
    </w:p>
    <w:p>
      <w:pPr>
        <w:spacing w:after="0" w:line="120" w:lineRule="exact"/>
        <w:rPr>
          <w:sz w:val="20"/>
          <w:szCs w:val="20"/>
          <w:color w:val="auto"/>
        </w:rPr>
      </w:pPr>
    </w:p>
    <w:p>
      <w:pPr>
        <w:ind w:left="760" w:right="219"/>
        <w:spacing w:after="0" w:line="268" w:lineRule="auto"/>
        <w:rPr>
          <w:sz w:val="20"/>
          <w:szCs w:val="20"/>
          <w:color w:val="auto"/>
        </w:rPr>
      </w:pPr>
      <w:r>
        <w:rPr>
          <w:rFonts w:ascii="Arial" w:cs="Arial" w:eastAsia="Arial" w:hAnsi="Arial"/>
          <w:sz w:val="16"/>
          <w:szCs w:val="16"/>
          <w:color w:val="auto"/>
        </w:rPr>
        <w:t>Each participant received an award of service-based RSUs vesting in equal or substantially equal amounts on each of the first four anniversaries of the grant date. The Committee determined the number of RSUs awarded to each participant by dividing the award value by the most recent closing price of an ordinary share of our stock on Nasdaq as of the grant date and rounding down to the nearest whole unit. The first vesting occurred on March 30, 2020.</w:t>
      </w:r>
    </w:p>
    <w:p>
      <w:pPr>
        <w:spacing w:after="0" w:line="103" w:lineRule="exact"/>
        <w:rPr>
          <w:sz w:val="20"/>
          <w:szCs w:val="20"/>
          <w:color w:val="auto"/>
        </w:rPr>
      </w:pPr>
    </w:p>
    <w:p>
      <w:pPr>
        <w:ind w:left="760"/>
        <w:spacing w:after="0"/>
        <w:rPr>
          <w:sz w:val="20"/>
          <w:szCs w:val="20"/>
          <w:color w:val="auto"/>
        </w:rPr>
      </w:pPr>
      <w:r>
        <w:rPr>
          <w:rFonts w:ascii="Arial" w:cs="Arial" w:eastAsia="Arial" w:hAnsi="Arial"/>
          <w:sz w:val="16"/>
          <w:szCs w:val="16"/>
          <w:b w:val="1"/>
          <w:bCs w:val="1"/>
          <w:color w:val="4800E6"/>
        </w:rPr>
        <w:t>Stock Appreciation Rights (“SARs”)</w:t>
      </w:r>
    </w:p>
    <w:p>
      <w:pPr>
        <w:spacing w:after="0" w:line="120" w:lineRule="exact"/>
        <w:rPr>
          <w:sz w:val="20"/>
          <w:szCs w:val="20"/>
          <w:color w:val="auto"/>
        </w:rPr>
      </w:pPr>
    </w:p>
    <w:p>
      <w:pPr>
        <w:ind w:left="760" w:right="299"/>
        <w:spacing w:after="0" w:line="268" w:lineRule="auto"/>
        <w:rPr>
          <w:sz w:val="20"/>
          <w:szCs w:val="20"/>
          <w:color w:val="auto"/>
        </w:rPr>
      </w:pPr>
      <w:r>
        <w:rPr>
          <w:rFonts w:ascii="Arial" w:cs="Arial" w:eastAsia="Arial" w:hAnsi="Arial"/>
          <w:sz w:val="16"/>
          <w:szCs w:val="16"/>
          <w:color w:val="auto"/>
        </w:rPr>
        <w:t>Each participant received an award of SARs vesting in equal or substantially equal amounts on each of the first four anniversaries of the grant date. The Committee determined the number of SARs awarded to each participant by dividing the award value by the Black-Scholes value of a SAR based on the most recent closing price of an ordinary share of our stock on the Nasdaq as of the grant date and rounding down to the nearest whole right. The first vesting occurred on March 30, 2020.</w:t>
      </w:r>
    </w:p>
    <w:p>
      <w:pPr>
        <w:spacing w:after="0" w:line="260" w:lineRule="exact"/>
        <w:rPr>
          <w:sz w:val="20"/>
          <w:szCs w:val="20"/>
          <w:color w:val="auto"/>
        </w:rPr>
      </w:pPr>
    </w:p>
    <w:p>
      <w:pPr>
        <w:ind w:left="760"/>
        <w:spacing w:after="0"/>
        <w:rPr>
          <w:sz w:val="20"/>
          <w:szCs w:val="20"/>
          <w:color w:val="auto"/>
        </w:rPr>
      </w:pPr>
      <w:r>
        <w:rPr>
          <w:rFonts w:ascii="Arial" w:cs="Arial" w:eastAsia="Arial" w:hAnsi="Arial"/>
          <w:sz w:val="18"/>
          <w:szCs w:val="18"/>
          <w:b w:val="1"/>
          <w:bCs w:val="1"/>
          <w:color w:val="666666"/>
        </w:rPr>
        <w:t>Performance-Based Elements:</w:t>
      </w:r>
    </w:p>
    <w:p>
      <w:pPr>
        <w:spacing w:after="0" w:line="162" w:lineRule="exact"/>
        <w:rPr>
          <w:sz w:val="20"/>
          <w:szCs w:val="20"/>
          <w:color w:val="auto"/>
        </w:rPr>
      </w:pPr>
    </w:p>
    <w:p>
      <w:pPr>
        <w:ind w:left="760"/>
        <w:spacing w:after="0"/>
        <w:rPr>
          <w:sz w:val="20"/>
          <w:szCs w:val="20"/>
          <w:color w:val="auto"/>
        </w:rPr>
      </w:pPr>
      <w:r>
        <w:rPr>
          <w:rFonts w:ascii="Arial" w:cs="Arial" w:eastAsia="Arial" w:hAnsi="Arial"/>
          <w:sz w:val="16"/>
          <w:szCs w:val="16"/>
          <w:b w:val="1"/>
          <w:bCs w:val="1"/>
          <w:color w:val="4800E6"/>
        </w:rPr>
        <w:t>Relative Total Shareholder Return Performance Stock Units</w:t>
      </w:r>
    </w:p>
    <w:p>
      <w:pPr>
        <w:spacing w:after="0" w:line="106" w:lineRule="exact"/>
        <w:rPr>
          <w:sz w:val="20"/>
          <w:szCs w:val="20"/>
          <w:color w:val="auto"/>
        </w:rPr>
      </w:pPr>
    </w:p>
    <w:p>
      <w:pPr>
        <w:ind w:left="760" w:right="259"/>
        <w:spacing w:after="0" w:line="267" w:lineRule="auto"/>
        <w:rPr>
          <w:sz w:val="20"/>
          <w:szCs w:val="20"/>
          <w:color w:val="auto"/>
        </w:rPr>
      </w:pPr>
      <w:r>
        <w:rPr>
          <w:rFonts w:ascii="Arial" w:cs="Arial" w:eastAsia="Arial" w:hAnsi="Arial"/>
          <w:sz w:val="16"/>
          <w:szCs w:val="16"/>
          <w:color w:val="auto"/>
        </w:rPr>
        <w:t>Each participant received an award of Performance Stock Units (“PSUs”) subject to a three-year relative total shareholder return (“rTSR”) market condition. The Compensation Committee determined the number of PSUs awarded to each participant by dividing the award value by the most recent closing price of an ordinary share of our stock on Nasdaq as of the grant date and rounding down to the nearest whole unit. At the end of calendar year 2021, our TSR for the three-year period 2019 through 2021 will be compared to the TSR for a group of 29 companies (the “2019 rTSR Comparator Group”) selected by the Committee’s</w:t>
      </w:r>
    </w:p>
    <w:p>
      <w:pPr>
        <w:sectPr>
          <w:pgSz w:w="11900" w:h="16838" w:orient="portrait"/>
          <w:cols w:equalWidth="0" w:num="1">
            <w:col w:w="10139"/>
          </w:cols>
          <w:pgMar w:left="320" w:top="131"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ind w:left="480"/>
        <w:spacing w:after="0"/>
        <w:tabs>
          <w:tab w:leader="none" w:pos="4400" w:val="left"/>
          <w:tab w:leader="none" w:pos="8760" w:val="left"/>
        </w:tabs>
        <w:rPr>
          <w:sz w:val="20"/>
          <w:szCs w:val="20"/>
          <w:color w:val="auto"/>
        </w:rPr>
      </w:pPr>
      <w:r>
        <w:rPr>
          <w:rFonts w:ascii="Arial" w:cs="Arial" w:eastAsia="Arial" w:hAnsi="Arial"/>
          <w:sz w:val="29"/>
          <w:szCs w:val="29"/>
          <w:b w:val="1"/>
          <w:bCs w:val="1"/>
          <w:color w:val="auto"/>
          <w:vertAlign w:val="subscript"/>
        </w:rPr>
        <w:t>33</w:t>
      </w:r>
      <w:r>
        <w:rPr>
          <w:sz w:val="20"/>
          <w:szCs w:val="20"/>
          <w:color w:val="auto"/>
        </w:rPr>
        <w:tab/>
      </w:r>
      <w:r>
        <w:rPr>
          <w:rFonts w:ascii="Arial" w:cs="Arial" w:eastAsia="Arial" w:hAnsi="Arial"/>
          <w:sz w:val="13"/>
          <w:szCs w:val="13"/>
          <w:b w:val="1"/>
          <w:bCs w:val="1"/>
          <w:color w:val="4800E6"/>
        </w:rPr>
        <w:t xml:space="preserve">LIVANOVA </w:t>
      </w:r>
      <w:r>
        <w:rPr>
          <w:rFonts w:ascii="Arial" w:cs="Arial" w:eastAsia="Arial" w:hAnsi="Arial"/>
          <w:sz w:val="13"/>
          <w:szCs w:val="13"/>
          <w:color w:val="000000"/>
        </w:rPr>
        <w:t>|</w:t>
      </w:r>
      <w:r>
        <w:rPr>
          <w:rFonts w:ascii="Arial" w:cs="Arial" w:eastAsia="Arial" w:hAnsi="Arial"/>
          <w:sz w:val="13"/>
          <w:szCs w:val="13"/>
          <w:b w:val="1"/>
          <w:bCs w:val="1"/>
          <w:color w:val="4800E6"/>
        </w:rPr>
        <w:t xml:space="preserve"> </w:t>
      </w:r>
      <w:r>
        <w:rPr>
          <w:rFonts w:ascii="Arial" w:cs="Arial" w:eastAsia="Arial" w:hAnsi="Arial"/>
          <w:sz w:val="13"/>
          <w:szCs w:val="13"/>
          <w:color w:val="4800E6"/>
        </w:rPr>
        <w:t>2020</w:t>
      </w:r>
      <w:r>
        <w:rPr>
          <w:rFonts w:ascii="Arial" w:cs="Arial" w:eastAsia="Arial" w:hAnsi="Arial"/>
          <w:sz w:val="13"/>
          <w:szCs w:val="13"/>
          <w:b w:val="1"/>
          <w:bCs w:val="1"/>
          <w:color w:val="4800E6"/>
        </w:rPr>
        <w:t xml:space="preserve"> </w:t>
      </w:r>
      <w:r>
        <w:rPr>
          <w:rFonts w:ascii="Arial" w:cs="Arial" w:eastAsia="Arial" w:hAnsi="Arial"/>
          <w:sz w:val="13"/>
          <w:szCs w:val="13"/>
          <w:color w:val="000000"/>
        </w:rPr>
        <w:t>Proxy Statement</w:t>
      </w:r>
      <w:r>
        <w:rPr>
          <w:sz w:val="20"/>
          <w:szCs w:val="20"/>
          <w:color w:val="auto"/>
        </w:rPr>
        <w:tab/>
      </w:r>
      <w:r>
        <w:rPr>
          <w:rFonts w:ascii="Arial" w:cs="Arial" w:eastAsia="Arial" w:hAnsi="Arial"/>
          <w:sz w:val="12"/>
          <w:szCs w:val="12"/>
          <w:b w:val="1"/>
          <w:bCs w:val="1"/>
          <w:color w:val="4800E6"/>
        </w:rPr>
        <w:t>www.livanova.com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561975</wp:posOffset>
            </wp:positionH>
            <wp:positionV relativeFrom="paragraph">
              <wp:posOffset>94615</wp:posOffset>
            </wp:positionV>
            <wp:extent cx="1954530" cy="8890"/>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1954530" cy="8890"/>
                    </a:xfrm>
                    <a:prstGeom prst="rect">
                      <a:avLst/>
                    </a:prstGeom>
                    <a:noFill/>
                  </pic:spPr>
                </pic:pic>
              </a:graphicData>
            </a:graphic>
          </wp:anchor>
        </w:drawing>
        <w:drawing>
          <wp:anchor simplePos="0" relativeHeight="251657728" behindDoc="1" locked="0" layoutInCell="0" allowOverlap="1">
            <wp:simplePos x="0" y="0"/>
            <wp:positionH relativeFrom="column">
              <wp:posOffset>4316730</wp:posOffset>
            </wp:positionH>
            <wp:positionV relativeFrom="paragraph">
              <wp:posOffset>94615</wp:posOffset>
            </wp:positionV>
            <wp:extent cx="1028700" cy="8890"/>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102870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231775</wp:posOffset>
            </wp:positionV>
            <wp:extent cx="6806565" cy="17145"/>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10139"/>
          </w:cols>
          <w:pgMar w:left="320" w:top="131" w:right="1440" w:bottom="1440" w:gutter="0" w:footer="0" w:header="0"/>
          <w:type w:val="continuous"/>
        </w:sectPr>
      </w:pPr>
    </w:p>
    <w:bookmarkStart w:id="37" w:name="page38"/>
    <w:bookmarkEnd w:id="37"/>
    <w:p>
      <w:pPr>
        <w:spacing w:after="0"/>
        <w:rPr>
          <w:rFonts w:ascii="Arial" w:cs="Arial" w:eastAsia="Arial" w:hAnsi="Arial"/>
          <w:sz w:val="14"/>
          <w:szCs w:val="14"/>
          <w:color w:val="003366"/>
        </w:rPr>
      </w:pPr>
      <w:hyperlink w:anchor="page4">
        <w:r>
          <w:rPr>
            <w:rFonts w:ascii="Arial" w:cs="Arial" w:eastAsia="Arial" w:hAnsi="Arial"/>
            <w:sz w:val="14"/>
            <w:szCs w:val="14"/>
            <w:color w:val="003366"/>
          </w:rPr>
          <w:t>TABLE OF CONTENTS</w:t>
        </w:r>
      </w:hyperlink>
    </w:p>
    <w:p>
      <w:pPr>
        <w:spacing w:after="0" w:line="338" w:lineRule="exact"/>
        <w:rPr>
          <w:sz w:val="20"/>
          <w:szCs w:val="20"/>
          <w:color w:val="auto"/>
        </w:rPr>
      </w:pPr>
    </w:p>
    <w:p>
      <w:pPr>
        <w:jc w:val="right"/>
        <w:ind w:right="240"/>
        <w:spacing w:after="0"/>
        <w:rPr>
          <w:sz w:val="20"/>
          <w:szCs w:val="20"/>
          <w:color w:val="auto"/>
        </w:rPr>
      </w:pPr>
      <w:r>
        <w:rPr>
          <w:rFonts w:ascii="Arial" w:cs="Arial" w:eastAsia="Arial" w:hAnsi="Arial"/>
          <w:sz w:val="13"/>
          <w:szCs w:val="13"/>
          <w:b w:val="1"/>
          <w:bCs w:val="1"/>
          <w:color w:val="auto"/>
        </w:rPr>
        <w:t xml:space="preserve">Executive </w:t>
      </w:r>
      <w:r>
        <w:rPr>
          <w:rFonts w:ascii="Arial" w:cs="Arial" w:eastAsia="Arial" w:hAnsi="Arial"/>
          <w:sz w:val="13"/>
          <w:szCs w:val="13"/>
          <w:b w:val="1"/>
          <w:bCs w:val="1"/>
          <w:color w:val="666666"/>
        </w:rPr>
        <w:t>Compensation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485140</wp:posOffset>
            </wp:positionH>
            <wp:positionV relativeFrom="paragraph">
              <wp:posOffset>30480</wp:posOffset>
            </wp:positionV>
            <wp:extent cx="5829300" cy="8890"/>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5829300" cy="8890"/>
                    </a:xfrm>
                    <a:prstGeom prst="rect">
                      <a:avLst/>
                    </a:prstGeom>
                    <a:noFill/>
                  </pic:spPr>
                </pic:pic>
              </a:graphicData>
            </a:graphic>
          </wp:anchor>
        </w:drawing>
      </w:r>
    </w:p>
    <w:p>
      <w:pPr>
        <w:spacing w:after="0" w:line="60" w:lineRule="exact"/>
        <w:rPr>
          <w:sz w:val="20"/>
          <w:szCs w:val="20"/>
          <w:color w:val="auto"/>
        </w:rPr>
      </w:pPr>
    </w:p>
    <w:p>
      <w:pPr>
        <w:jc w:val="right"/>
        <w:ind w:right="240"/>
        <w:spacing w:after="0"/>
        <w:rPr>
          <w:sz w:val="20"/>
          <w:szCs w:val="20"/>
          <w:color w:val="auto"/>
        </w:rPr>
      </w:pPr>
      <w:r>
        <w:rPr>
          <w:rFonts w:ascii="Arial" w:cs="Arial" w:eastAsia="Arial" w:hAnsi="Arial"/>
          <w:sz w:val="13"/>
          <w:szCs w:val="13"/>
          <w:b w:val="1"/>
          <w:bCs w:val="1"/>
          <w:color w:val="4800E6"/>
        </w:rPr>
        <w:t>Compensation Discussion &amp; Analysis</w:t>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ind w:left="760" w:right="940"/>
        <w:spacing w:after="0" w:line="260" w:lineRule="auto"/>
        <w:rPr>
          <w:sz w:val="20"/>
          <w:szCs w:val="20"/>
          <w:color w:val="auto"/>
        </w:rPr>
      </w:pPr>
      <w:r>
        <w:rPr>
          <w:rFonts w:ascii="Arial" w:cs="Arial" w:eastAsia="Arial" w:hAnsi="Arial"/>
          <w:sz w:val="16"/>
          <w:szCs w:val="16"/>
          <w:color w:val="auto"/>
        </w:rPr>
        <w:t>compensation consultant, Pearl Meyer, and the number of shares of our stock actually delivered to the participants will be determined by the following chart, with linear interpolation applied between specified levels:</w:t>
      </w:r>
    </w:p>
    <w:p>
      <w:pPr>
        <w:spacing w:after="0" w:line="140" w:lineRule="exact"/>
        <w:rPr>
          <w:sz w:val="20"/>
          <w:szCs w:val="20"/>
          <w:color w:val="auto"/>
        </w:rPr>
      </w:pPr>
    </w:p>
    <w:tbl>
      <w:tblPr>
        <w:tblLayout w:type="fixed"/>
        <w:tblInd w:w="760" w:type="dxa"/>
        <w:tblCellMar>
          <w:top w:w="0" w:type="dxa"/>
          <w:left w:w="0" w:type="dxa"/>
          <w:bottom w:w="0" w:type="dxa"/>
          <w:right w:w="0" w:type="dxa"/>
        </w:tblCellMar>
      </w:tblPr>
      <w:tr>
        <w:trPr>
          <w:trHeight w:val="162"/>
        </w:trPr>
        <w:tc>
          <w:tcPr>
            <w:tcW w:w="4180" w:type="dxa"/>
            <w:vAlign w:val="bottom"/>
          </w:tcPr>
          <w:p>
            <w:pPr>
              <w:ind w:left="60"/>
              <w:spacing w:after="0"/>
              <w:rPr>
                <w:sz w:val="20"/>
                <w:szCs w:val="20"/>
                <w:color w:val="auto"/>
              </w:rPr>
            </w:pPr>
            <w:r>
              <w:rPr>
                <w:rFonts w:ascii="Arial" w:cs="Arial" w:eastAsia="Arial" w:hAnsi="Arial"/>
                <w:sz w:val="14"/>
                <w:szCs w:val="14"/>
                <w:b w:val="1"/>
                <w:bCs w:val="1"/>
                <w:color w:val="4800E6"/>
              </w:rPr>
              <w:t>TSR Performance</w:t>
            </w:r>
          </w:p>
        </w:tc>
        <w:tc>
          <w:tcPr>
            <w:tcW w:w="5000" w:type="dxa"/>
            <w:vAlign w:val="bottom"/>
          </w:tcPr>
          <w:p>
            <w:pPr>
              <w:spacing w:after="0"/>
              <w:rPr>
                <w:sz w:val="14"/>
                <w:szCs w:val="14"/>
                <w:color w:val="auto"/>
              </w:rPr>
            </w:pPr>
          </w:p>
        </w:tc>
      </w:tr>
      <w:tr>
        <w:trPr>
          <w:trHeight w:val="196"/>
        </w:trPr>
        <w:tc>
          <w:tcPr>
            <w:tcW w:w="4180" w:type="dxa"/>
            <w:vAlign w:val="bottom"/>
            <w:tcBorders>
              <w:bottom w:val="single" w:sz="8" w:color="4800E6"/>
            </w:tcBorders>
          </w:tcPr>
          <w:p>
            <w:pPr>
              <w:ind w:left="60"/>
              <w:spacing w:after="0"/>
              <w:rPr>
                <w:sz w:val="20"/>
                <w:szCs w:val="20"/>
                <w:color w:val="auto"/>
              </w:rPr>
            </w:pPr>
            <w:r>
              <w:rPr>
                <w:rFonts w:ascii="Arial" w:cs="Arial" w:eastAsia="Arial" w:hAnsi="Arial"/>
                <w:sz w:val="14"/>
                <w:szCs w:val="14"/>
                <w:b w:val="1"/>
                <w:bCs w:val="1"/>
                <w:color w:val="4800E6"/>
              </w:rPr>
              <w:t>Percentile Rank</w:t>
            </w:r>
          </w:p>
        </w:tc>
        <w:tc>
          <w:tcPr>
            <w:tcW w:w="5000" w:type="dxa"/>
            <w:vAlign w:val="bottom"/>
            <w:tcBorders>
              <w:bottom w:val="single" w:sz="8" w:color="4800E6"/>
            </w:tcBorders>
          </w:tcPr>
          <w:p>
            <w:pPr>
              <w:jc w:val="right"/>
              <w:spacing w:after="0"/>
              <w:rPr>
                <w:sz w:val="20"/>
                <w:szCs w:val="20"/>
                <w:color w:val="auto"/>
              </w:rPr>
            </w:pPr>
            <w:r>
              <w:rPr>
                <w:rFonts w:ascii="Arial" w:cs="Arial" w:eastAsia="Arial" w:hAnsi="Arial"/>
                <w:sz w:val="14"/>
                <w:szCs w:val="14"/>
                <w:b w:val="1"/>
                <w:bCs w:val="1"/>
                <w:color w:val="4800E6"/>
              </w:rPr>
              <w:t>Percent Funding for Objective</w:t>
            </w:r>
          </w:p>
        </w:tc>
      </w:tr>
      <w:tr>
        <w:trPr>
          <w:trHeight w:val="256"/>
        </w:trPr>
        <w:tc>
          <w:tcPr>
            <w:tcW w:w="4180" w:type="dxa"/>
            <w:vAlign w:val="bottom"/>
          </w:tcPr>
          <w:p>
            <w:pPr>
              <w:ind w:left="60"/>
              <w:spacing w:after="0" w:line="256" w:lineRule="exact"/>
              <w:rPr>
                <w:sz w:val="20"/>
                <w:szCs w:val="20"/>
                <w:color w:val="auto"/>
              </w:rPr>
            </w:pPr>
            <w:r>
              <w:rPr>
                <w:rFonts w:ascii="Arial" w:cs="Arial" w:eastAsia="Arial" w:hAnsi="Arial"/>
                <w:sz w:val="15"/>
                <w:szCs w:val="15"/>
                <w:color w:val="auto"/>
              </w:rPr>
              <w:t>≥90</w:t>
            </w:r>
            <w:r>
              <w:rPr>
                <w:rFonts w:ascii="Arial" w:cs="Arial" w:eastAsia="Arial" w:hAnsi="Arial"/>
                <w:sz w:val="23"/>
                <w:szCs w:val="23"/>
                <w:color w:val="auto"/>
                <w:vertAlign w:val="superscript"/>
              </w:rPr>
              <w:t>th</w:t>
            </w:r>
          </w:p>
        </w:tc>
        <w:tc>
          <w:tcPr>
            <w:tcW w:w="5000" w:type="dxa"/>
            <w:vAlign w:val="bottom"/>
          </w:tcPr>
          <w:p>
            <w:pPr>
              <w:jc w:val="right"/>
              <w:spacing w:after="0"/>
              <w:rPr>
                <w:sz w:val="20"/>
                <w:szCs w:val="20"/>
                <w:color w:val="auto"/>
              </w:rPr>
            </w:pPr>
            <w:r>
              <w:rPr>
                <w:rFonts w:ascii="Arial" w:cs="Arial" w:eastAsia="Arial" w:hAnsi="Arial"/>
                <w:sz w:val="15"/>
                <w:szCs w:val="15"/>
                <w:color w:val="auto"/>
              </w:rPr>
              <w:t>200%</w:t>
            </w:r>
          </w:p>
        </w:tc>
      </w:tr>
      <w:tr>
        <w:trPr>
          <w:trHeight w:val="283"/>
        </w:trPr>
        <w:tc>
          <w:tcPr>
            <w:tcW w:w="4180" w:type="dxa"/>
            <w:vAlign w:val="bottom"/>
            <w:shd w:val="clear" w:color="auto" w:fill="EFE9FC"/>
          </w:tcPr>
          <w:p>
            <w:pPr>
              <w:ind w:left="60"/>
              <w:spacing w:after="0"/>
              <w:rPr>
                <w:sz w:val="20"/>
                <w:szCs w:val="20"/>
                <w:color w:val="auto"/>
              </w:rPr>
            </w:pPr>
            <w:r>
              <w:rPr>
                <w:rFonts w:ascii="Arial" w:cs="Arial" w:eastAsia="Arial" w:hAnsi="Arial"/>
                <w:sz w:val="15"/>
                <w:szCs w:val="15"/>
                <w:color w:val="auto"/>
              </w:rPr>
              <w:t>80</w:t>
            </w:r>
            <w:r>
              <w:rPr>
                <w:rFonts w:ascii="Arial" w:cs="Arial" w:eastAsia="Arial" w:hAnsi="Arial"/>
                <w:sz w:val="23"/>
                <w:szCs w:val="23"/>
                <w:color w:val="auto"/>
                <w:vertAlign w:val="superscript"/>
              </w:rPr>
              <w:t>th</w:t>
            </w:r>
          </w:p>
        </w:tc>
        <w:tc>
          <w:tcPr>
            <w:tcW w:w="5000" w:type="dxa"/>
            <w:vAlign w:val="bottom"/>
            <w:shd w:val="clear" w:color="auto" w:fill="EFE9FC"/>
          </w:tcPr>
          <w:p>
            <w:pPr>
              <w:jc w:val="right"/>
              <w:spacing w:after="0"/>
              <w:rPr>
                <w:sz w:val="20"/>
                <w:szCs w:val="20"/>
                <w:color w:val="auto"/>
              </w:rPr>
            </w:pPr>
            <w:r>
              <w:rPr>
                <w:rFonts w:ascii="Arial" w:cs="Arial" w:eastAsia="Arial" w:hAnsi="Arial"/>
                <w:sz w:val="15"/>
                <w:szCs w:val="15"/>
                <w:color w:val="auto"/>
              </w:rPr>
              <w:t>150%</w:t>
            </w:r>
          </w:p>
        </w:tc>
      </w:tr>
      <w:tr>
        <w:trPr>
          <w:trHeight w:val="257"/>
        </w:trPr>
        <w:tc>
          <w:tcPr>
            <w:tcW w:w="4180" w:type="dxa"/>
            <w:vAlign w:val="bottom"/>
          </w:tcPr>
          <w:p>
            <w:pPr>
              <w:ind w:left="60"/>
              <w:spacing w:after="0" w:line="256" w:lineRule="exact"/>
              <w:rPr>
                <w:sz w:val="20"/>
                <w:szCs w:val="20"/>
                <w:color w:val="auto"/>
              </w:rPr>
            </w:pPr>
            <w:r>
              <w:rPr>
                <w:rFonts w:ascii="Arial" w:cs="Arial" w:eastAsia="Arial" w:hAnsi="Arial"/>
                <w:sz w:val="15"/>
                <w:szCs w:val="15"/>
                <w:color w:val="auto"/>
              </w:rPr>
              <w:t>50</w:t>
            </w:r>
            <w:r>
              <w:rPr>
                <w:rFonts w:ascii="Arial" w:cs="Arial" w:eastAsia="Arial" w:hAnsi="Arial"/>
                <w:sz w:val="23"/>
                <w:szCs w:val="23"/>
                <w:color w:val="auto"/>
                <w:vertAlign w:val="superscript"/>
              </w:rPr>
              <w:t>th</w:t>
            </w:r>
          </w:p>
        </w:tc>
        <w:tc>
          <w:tcPr>
            <w:tcW w:w="5000" w:type="dxa"/>
            <w:vAlign w:val="bottom"/>
          </w:tcPr>
          <w:p>
            <w:pPr>
              <w:jc w:val="right"/>
              <w:spacing w:after="0"/>
              <w:rPr>
                <w:sz w:val="20"/>
                <w:szCs w:val="20"/>
                <w:color w:val="auto"/>
              </w:rPr>
            </w:pPr>
            <w:r>
              <w:rPr>
                <w:rFonts w:ascii="Arial" w:cs="Arial" w:eastAsia="Arial" w:hAnsi="Arial"/>
                <w:sz w:val="15"/>
                <w:szCs w:val="15"/>
                <w:color w:val="auto"/>
              </w:rPr>
              <w:t>100%</w:t>
            </w:r>
          </w:p>
        </w:tc>
      </w:tr>
      <w:tr>
        <w:trPr>
          <w:trHeight w:val="283"/>
        </w:trPr>
        <w:tc>
          <w:tcPr>
            <w:tcW w:w="4180" w:type="dxa"/>
            <w:vAlign w:val="bottom"/>
            <w:shd w:val="clear" w:color="auto" w:fill="EFE9FC"/>
          </w:tcPr>
          <w:p>
            <w:pPr>
              <w:ind w:left="60"/>
              <w:spacing w:after="0"/>
              <w:rPr>
                <w:sz w:val="20"/>
                <w:szCs w:val="20"/>
                <w:color w:val="auto"/>
              </w:rPr>
            </w:pPr>
            <w:r>
              <w:rPr>
                <w:rFonts w:ascii="Arial" w:cs="Arial" w:eastAsia="Arial" w:hAnsi="Arial"/>
                <w:sz w:val="15"/>
                <w:szCs w:val="15"/>
                <w:color w:val="auto"/>
              </w:rPr>
              <w:t>30</w:t>
            </w:r>
            <w:r>
              <w:rPr>
                <w:rFonts w:ascii="Arial" w:cs="Arial" w:eastAsia="Arial" w:hAnsi="Arial"/>
                <w:sz w:val="23"/>
                <w:szCs w:val="23"/>
                <w:color w:val="auto"/>
                <w:vertAlign w:val="superscript"/>
              </w:rPr>
              <w:t>th</w:t>
            </w:r>
          </w:p>
        </w:tc>
        <w:tc>
          <w:tcPr>
            <w:tcW w:w="5000" w:type="dxa"/>
            <w:vAlign w:val="bottom"/>
            <w:shd w:val="clear" w:color="auto" w:fill="EFE9FC"/>
          </w:tcPr>
          <w:p>
            <w:pPr>
              <w:jc w:val="right"/>
              <w:spacing w:after="0"/>
              <w:rPr>
                <w:sz w:val="20"/>
                <w:szCs w:val="20"/>
                <w:color w:val="auto"/>
              </w:rPr>
            </w:pPr>
            <w:r>
              <w:rPr>
                <w:rFonts w:ascii="Arial" w:cs="Arial" w:eastAsia="Arial" w:hAnsi="Arial"/>
                <w:sz w:val="15"/>
                <w:szCs w:val="15"/>
                <w:color w:val="auto"/>
              </w:rPr>
              <w:t>40%</w:t>
            </w:r>
          </w:p>
        </w:tc>
      </w:tr>
      <w:tr>
        <w:trPr>
          <w:trHeight w:val="257"/>
        </w:trPr>
        <w:tc>
          <w:tcPr>
            <w:tcW w:w="4180" w:type="dxa"/>
            <w:vAlign w:val="bottom"/>
            <w:tcBorders>
              <w:bottom w:val="single" w:sz="8" w:color="4800E6"/>
            </w:tcBorders>
          </w:tcPr>
          <w:p>
            <w:pPr>
              <w:ind w:left="60"/>
              <w:spacing w:after="0" w:line="256" w:lineRule="exact"/>
              <w:rPr>
                <w:sz w:val="20"/>
                <w:szCs w:val="20"/>
                <w:color w:val="auto"/>
              </w:rPr>
            </w:pPr>
            <w:r>
              <w:rPr>
                <w:rFonts w:ascii="Arial" w:cs="Arial" w:eastAsia="Arial" w:hAnsi="Arial"/>
                <w:sz w:val="15"/>
                <w:szCs w:val="15"/>
                <w:color w:val="auto"/>
              </w:rPr>
              <w:t>&lt;30</w:t>
            </w:r>
            <w:r>
              <w:rPr>
                <w:rFonts w:ascii="Arial" w:cs="Arial" w:eastAsia="Arial" w:hAnsi="Arial"/>
                <w:sz w:val="23"/>
                <w:szCs w:val="23"/>
                <w:color w:val="auto"/>
                <w:vertAlign w:val="superscript"/>
              </w:rPr>
              <w:t>th</w:t>
            </w:r>
          </w:p>
        </w:tc>
        <w:tc>
          <w:tcPr>
            <w:tcW w:w="5000" w:type="dxa"/>
            <w:vAlign w:val="bottom"/>
            <w:tcBorders>
              <w:bottom w:val="single" w:sz="8" w:color="4800E6"/>
            </w:tcBorders>
          </w:tcPr>
          <w:p>
            <w:pPr>
              <w:jc w:val="right"/>
              <w:spacing w:after="0"/>
              <w:rPr>
                <w:sz w:val="20"/>
                <w:szCs w:val="20"/>
                <w:color w:val="auto"/>
              </w:rPr>
            </w:pPr>
            <w:r>
              <w:rPr>
                <w:rFonts w:ascii="Arial" w:cs="Arial" w:eastAsia="Arial" w:hAnsi="Arial"/>
                <w:sz w:val="15"/>
                <w:szCs w:val="15"/>
                <w:color w:val="auto"/>
              </w:rPr>
              <w:t>0%</w:t>
            </w:r>
          </w:p>
        </w:tc>
      </w:tr>
    </w:tbl>
    <w:p>
      <w:pPr>
        <w:spacing w:after="0" w:line="204" w:lineRule="exact"/>
        <w:rPr>
          <w:sz w:val="20"/>
          <w:szCs w:val="20"/>
          <w:color w:val="auto"/>
        </w:rPr>
      </w:pPr>
    </w:p>
    <w:p>
      <w:pPr>
        <w:ind w:left="760"/>
        <w:spacing w:after="0"/>
        <w:rPr>
          <w:sz w:val="20"/>
          <w:szCs w:val="20"/>
          <w:color w:val="auto"/>
        </w:rPr>
      </w:pPr>
      <w:r>
        <w:rPr>
          <w:rFonts w:ascii="Arial" w:cs="Arial" w:eastAsia="Arial" w:hAnsi="Arial"/>
          <w:sz w:val="16"/>
          <w:szCs w:val="16"/>
          <w:color w:val="auto"/>
        </w:rPr>
        <w:t>The following companies comprise the 2019 rTSR Comparator Group:</w:t>
      </w:r>
    </w:p>
    <w:p>
      <w:pPr>
        <w:spacing w:after="0" w:line="127" w:lineRule="exact"/>
        <w:rPr>
          <w:sz w:val="20"/>
          <w:szCs w:val="20"/>
          <w:color w:val="auto"/>
        </w:rPr>
      </w:pPr>
    </w:p>
    <w:p>
      <w:pPr>
        <w:ind w:left="1120"/>
        <w:spacing w:after="0"/>
        <w:tabs>
          <w:tab w:leader="none" w:pos="5440" w:val="left"/>
        </w:tabs>
        <w:rPr>
          <w:sz w:val="20"/>
          <w:szCs w:val="20"/>
          <w:color w:val="auto"/>
        </w:rPr>
      </w:pPr>
      <w:r>
        <w:rPr>
          <w:rFonts w:ascii="Arial" w:cs="Arial" w:eastAsia="Arial" w:hAnsi="Arial"/>
          <w:sz w:val="16"/>
          <w:szCs w:val="16"/>
          <w:color w:val="auto"/>
        </w:rPr>
        <w:t>ABIOMED, Inc.</w:t>
      </w:r>
      <w:r>
        <w:rPr>
          <w:sz w:val="20"/>
          <w:szCs w:val="20"/>
          <w:color w:val="auto"/>
        </w:rPr>
        <w:tab/>
      </w:r>
      <w:r>
        <w:rPr>
          <w:rFonts w:ascii="Arial" w:cs="Arial" w:eastAsia="Arial" w:hAnsi="Arial"/>
          <w:sz w:val="15"/>
          <w:szCs w:val="15"/>
          <w:color w:val="auto"/>
        </w:rPr>
        <w:t>Intuitive Surgical, Inc.</w:t>
      </w:r>
    </w:p>
    <w:p>
      <w:pPr>
        <w:spacing w:after="0" w:line="59" w:lineRule="exact"/>
        <w:rPr>
          <w:sz w:val="20"/>
          <w:szCs w:val="20"/>
          <w:color w:val="auto"/>
        </w:rPr>
      </w:pPr>
    </w:p>
    <w:p>
      <w:pPr>
        <w:ind w:left="1120"/>
        <w:spacing w:after="0"/>
        <w:tabs>
          <w:tab w:leader="none" w:pos="5440" w:val="left"/>
        </w:tabs>
        <w:rPr>
          <w:sz w:val="20"/>
          <w:szCs w:val="20"/>
          <w:color w:val="auto"/>
        </w:rPr>
      </w:pPr>
      <w:r>
        <w:rPr>
          <w:rFonts w:ascii="Arial" w:cs="Arial" w:eastAsia="Arial" w:hAnsi="Arial"/>
          <w:sz w:val="16"/>
          <w:szCs w:val="16"/>
          <w:color w:val="auto"/>
        </w:rPr>
        <w:t>Baxter International Inc.</w:t>
      </w:r>
      <w:r>
        <w:rPr>
          <w:sz w:val="20"/>
          <w:szCs w:val="20"/>
          <w:color w:val="auto"/>
        </w:rPr>
        <w:tab/>
      </w:r>
      <w:r>
        <w:rPr>
          <w:rFonts w:ascii="Arial" w:cs="Arial" w:eastAsia="Arial" w:hAnsi="Arial"/>
          <w:sz w:val="15"/>
          <w:szCs w:val="15"/>
          <w:color w:val="auto"/>
        </w:rPr>
        <w:t>Invacare Corporation</w:t>
      </w:r>
    </w:p>
    <w:p>
      <w:pPr>
        <w:spacing w:after="0" w:line="59" w:lineRule="exact"/>
        <w:rPr>
          <w:sz w:val="20"/>
          <w:szCs w:val="20"/>
          <w:color w:val="auto"/>
        </w:rPr>
      </w:pPr>
    </w:p>
    <w:p>
      <w:pPr>
        <w:ind w:left="1120"/>
        <w:spacing w:after="0"/>
        <w:tabs>
          <w:tab w:leader="none" w:pos="5440" w:val="left"/>
        </w:tabs>
        <w:rPr>
          <w:sz w:val="20"/>
          <w:szCs w:val="20"/>
          <w:color w:val="auto"/>
        </w:rPr>
      </w:pPr>
      <w:r>
        <w:rPr>
          <w:rFonts w:ascii="Arial" w:cs="Arial" w:eastAsia="Arial" w:hAnsi="Arial"/>
          <w:sz w:val="16"/>
          <w:szCs w:val="16"/>
          <w:color w:val="auto"/>
        </w:rPr>
        <w:t>Becton, Dickinson and Company</w:t>
      </w:r>
      <w:r>
        <w:rPr>
          <w:sz w:val="20"/>
          <w:szCs w:val="20"/>
          <w:color w:val="auto"/>
        </w:rPr>
        <w:tab/>
      </w:r>
      <w:r>
        <w:rPr>
          <w:rFonts w:ascii="Arial" w:cs="Arial" w:eastAsia="Arial" w:hAnsi="Arial"/>
          <w:sz w:val="15"/>
          <w:szCs w:val="15"/>
          <w:color w:val="auto"/>
        </w:rPr>
        <w:t>Masimo Corporation</w:t>
      </w:r>
    </w:p>
    <w:p>
      <w:pPr>
        <w:spacing w:after="0" w:line="59" w:lineRule="exact"/>
        <w:rPr>
          <w:sz w:val="20"/>
          <w:szCs w:val="20"/>
          <w:color w:val="auto"/>
        </w:rPr>
      </w:pPr>
    </w:p>
    <w:p>
      <w:pPr>
        <w:ind w:left="1120"/>
        <w:spacing w:after="0"/>
        <w:tabs>
          <w:tab w:leader="none" w:pos="5440" w:val="left"/>
        </w:tabs>
        <w:rPr>
          <w:sz w:val="20"/>
          <w:szCs w:val="20"/>
          <w:color w:val="auto"/>
        </w:rPr>
      </w:pPr>
      <w:r>
        <w:rPr>
          <w:rFonts w:ascii="Arial" w:cs="Arial" w:eastAsia="Arial" w:hAnsi="Arial"/>
          <w:sz w:val="16"/>
          <w:szCs w:val="16"/>
          <w:color w:val="auto"/>
        </w:rPr>
        <w:t>Boston Scientific Corporation</w:t>
      </w:r>
      <w:r>
        <w:rPr>
          <w:sz w:val="20"/>
          <w:szCs w:val="20"/>
          <w:color w:val="auto"/>
        </w:rPr>
        <w:tab/>
      </w:r>
      <w:r>
        <w:rPr>
          <w:rFonts w:ascii="Arial" w:cs="Arial" w:eastAsia="Arial" w:hAnsi="Arial"/>
          <w:sz w:val="15"/>
          <w:szCs w:val="15"/>
          <w:color w:val="auto"/>
        </w:rPr>
        <w:t>Medtronic plc</w:t>
      </w:r>
    </w:p>
    <w:p>
      <w:pPr>
        <w:spacing w:after="0" w:line="59" w:lineRule="exact"/>
        <w:rPr>
          <w:sz w:val="20"/>
          <w:szCs w:val="20"/>
          <w:color w:val="auto"/>
        </w:rPr>
      </w:pPr>
    </w:p>
    <w:p>
      <w:pPr>
        <w:ind w:left="1120"/>
        <w:spacing w:after="0"/>
        <w:tabs>
          <w:tab w:leader="none" w:pos="5440" w:val="left"/>
        </w:tabs>
        <w:rPr>
          <w:sz w:val="20"/>
          <w:szCs w:val="20"/>
          <w:color w:val="auto"/>
        </w:rPr>
      </w:pPr>
      <w:r>
        <w:rPr>
          <w:rFonts w:ascii="Arial" w:cs="Arial" w:eastAsia="Arial" w:hAnsi="Arial"/>
          <w:sz w:val="16"/>
          <w:szCs w:val="16"/>
          <w:color w:val="auto"/>
        </w:rPr>
        <w:t>Cantel Medical Corp.</w:t>
      </w:r>
      <w:r>
        <w:rPr>
          <w:sz w:val="20"/>
          <w:szCs w:val="20"/>
          <w:color w:val="auto"/>
        </w:rPr>
        <w:tab/>
      </w:r>
      <w:r>
        <w:rPr>
          <w:rFonts w:ascii="Arial" w:cs="Arial" w:eastAsia="Arial" w:hAnsi="Arial"/>
          <w:sz w:val="15"/>
          <w:szCs w:val="15"/>
          <w:color w:val="auto"/>
        </w:rPr>
        <w:t>Natus Medical Incorporated</w:t>
      </w:r>
    </w:p>
    <w:p>
      <w:pPr>
        <w:spacing w:after="0" w:line="59" w:lineRule="exact"/>
        <w:rPr>
          <w:sz w:val="20"/>
          <w:szCs w:val="20"/>
          <w:color w:val="auto"/>
        </w:rPr>
      </w:pPr>
    </w:p>
    <w:p>
      <w:pPr>
        <w:ind w:left="1120"/>
        <w:spacing w:after="0"/>
        <w:tabs>
          <w:tab w:leader="none" w:pos="5440" w:val="left"/>
        </w:tabs>
        <w:rPr>
          <w:sz w:val="20"/>
          <w:szCs w:val="20"/>
          <w:color w:val="auto"/>
        </w:rPr>
      </w:pPr>
      <w:r>
        <w:rPr>
          <w:rFonts w:ascii="Arial" w:cs="Arial" w:eastAsia="Arial" w:hAnsi="Arial"/>
          <w:sz w:val="16"/>
          <w:szCs w:val="16"/>
          <w:color w:val="auto"/>
        </w:rPr>
        <w:t>CONMED Corporation</w:t>
      </w:r>
      <w:r>
        <w:rPr>
          <w:sz w:val="20"/>
          <w:szCs w:val="20"/>
          <w:color w:val="auto"/>
        </w:rPr>
        <w:tab/>
      </w:r>
      <w:r>
        <w:rPr>
          <w:rFonts w:ascii="Arial" w:cs="Arial" w:eastAsia="Arial" w:hAnsi="Arial"/>
          <w:sz w:val="15"/>
          <w:szCs w:val="15"/>
          <w:color w:val="auto"/>
        </w:rPr>
        <w:t>Nevro Corp.</w:t>
      </w:r>
    </w:p>
    <w:p>
      <w:pPr>
        <w:spacing w:after="0" w:line="59" w:lineRule="exact"/>
        <w:rPr>
          <w:sz w:val="20"/>
          <w:szCs w:val="20"/>
          <w:color w:val="auto"/>
        </w:rPr>
      </w:pPr>
    </w:p>
    <w:p>
      <w:pPr>
        <w:ind w:left="1120"/>
        <w:spacing w:after="0"/>
        <w:tabs>
          <w:tab w:leader="none" w:pos="5440" w:val="left"/>
        </w:tabs>
        <w:rPr>
          <w:sz w:val="20"/>
          <w:szCs w:val="20"/>
          <w:color w:val="auto"/>
        </w:rPr>
      </w:pPr>
      <w:r>
        <w:rPr>
          <w:rFonts w:ascii="Arial" w:cs="Arial" w:eastAsia="Arial" w:hAnsi="Arial"/>
          <w:sz w:val="16"/>
          <w:szCs w:val="16"/>
          <w:color w:val="auto"/>
        </w:rPr>
        <w:t>DexCom, Inc.</w:t>
      </w:r>
      <w:r>
        <w:rPr>
          <w:sz w:val="20"/>
          <w:szCs w:val="20"/>
          <w:color w:val="auto"/>
        </w:rPr>
        <w:tab/>
      </w:r>
      <w:r>
        <w:rPr>
          <w:rFonts w:ascii="Arial" w:cs="Arial" w:eastAsia="Arial" w:hAnsi="Arial"/>
          <w:sz w:val="15"/>
          <w:szCs w:val="15"/>
          <w:color w:val="auto"/>
        </w:rPr>
        <w:t>Nuvasive, Inc.</w:t>
      </w:r>
    </w:p>
    <w:p>
      <w:pPr>
        <w:spacing w:after="0" w:line="59" w:lineRule="exact"/>
        <w:rPr>
          <w:sz w:val="20"/>
          <w:szCs w:val="20"/>
          <w:color w:val="auto"/>
        </w:rPr>
      </w:pPr>
    </w:p>
    <w:p>
      <w:pPr>
        <w:ind w:left="1120"/>
        <w:spacing w:after="0"/>
        <w:tabs>
          <w:tab w:leader="none" w:pos="5440" w:val="left"/>
        </w:tabs>
        <w:rPr>
          <w:sz w:val="20"/>
          <w:szCs w:val="20"/>
          <w:color w:val="auto"/>
        </w:rPr>
      </w:pPr>
      <w:r>
        <w:rPr>
          <w:rFonts w:ascii="Arial" w:cs="Arial" w:eastAsia="Arial" w:hAnsi="Arial"/>
          <w:sz w:val="16"/>
          <w:szCs w:val="16"/>
          <w:color w:val="auto"/>
        </w:rPr>
        <w:t>Edwards Lifesciences Corporation</w:t>
      </w:r>
      <w:r>
        <w:rPr>
          <w:sz w:val="20"/>
          <w:szCs w:val="20"/>
          <w:color w:val="auto"/>
        </w:rPr>
        <w:tab/>
      </w:r>
      <w:r>
        <w:rPr>
          <w:rFonts w:ascii="Arial" w:cs="Arial" w:eastAsia="Arial" w:hAnsi="Arial"/>
          <w:sz w:val="16"/>
          <w:szCs w:val="16"/>
          <w:color w:val="auto"/>
        </w:rPr>
        <w:t>ResMed Inc.</w:t>
      </w:r>
    </w:p>
    <w:p>
      <w:pPr>
        <w:spacing w:after="0" w:line="59" w:lineRule="exact"/>
        <w:rPr>
          <w:sz w:val="20"/>
          <w:szCs w:val="20"/>
          <w:color w:val="auto"/>
        </w:rPr>
      </w:pPr>
    </w:p>
    <w:p>
      <w:pPr>
        <w:ind w:left="1120"/>
        <w:spacing w:after="0"/>
        <w:tabs>
          <w:tab w:leader="none" w:pos="5440" w:val="left"/>
        </w:tabs>
        <w:rPr>
          <w:sz w:val="20"/>
          <w:szCs w:val="20"/>
          <w:color w:val="auto"/>
        </w:rPr>
      </w:pPr>
      <w:r>
        <w:rPr>
          <w:rFonts w:ascii="Arial" w:cs="Arial" w:eastAsia="Arial" w:hAnsi="Arial"/>
          <w:sz w:val="16"/>
          <w:szCs w:val="16"/>
          <w:color w:val="auto"/>
        </w:rPr>
        <w:t>Globus Medical, Inc.</w:t>
      </w:r>
      <w:r>
        <w:rPr>
          <w:sz w:val="20"/>
          <w:szCs w:val="20"/>
          <w:color w:val="auto"/>
        </w:rPr>
        <w:tab/>
      </w:r>
      <w:r>
        <w:rPr>
          <w:rFonts w:ascii="Arial" w:cs="Arial" w:eastAsia="Arial" w:hAnsi="Arial"/>
          <w:sz w:val="15"/>
          <w:szCs w:val="15"/>
          <w:color w:val="auto"/>
        </w:rPr>
        <w:t>Smith &amp; Nephew plc</w:t>
      </w:r>
    </w:p>
    <w:p>
      <w:pPr>
        <w:spacing w:after="0" w:line="59" w:lineRule="exact"/>
        <w:rPr>
          <w:sz w:val="20"/>
          <w:szCs w:val="20"/>
          <w:color w:val="auto"/>
        </w:rPr>
      </w:pPr>
    </w:p>
    <w:p>
      <w:pPr>
        <w:ind w:left="1120"/>
        <w:spacing w:after="0"/>
        <w:tabs>
          <w:tab w:leader="none" w:pos="5440" w:val="left"/>
        </w:tabs>
        <w:rPr>
          <w:sz w:val="20"/>
          <w:szCs w:val="20"/>
          <w:color w:val="auto"/>
        </w:rPr>
      </w:pPr>
      <w:r>
        <w:rPr>
          <w:rFonts w:ascii="Arial" w:cs="Arial" w:eastAsia="Arial" w:hAnsi="Arial"/>
          <w:sz w:val="16"/>
          <w:szCs w:val="16"/>
          <w:color w:val="auto"/>
        </w:rPr>
        <w:t>Haemonetics Corporation</w:t>
      </w:r>
      <w:r>
        <w:rPr>
          <w:sz w:val="20"/>
          <w:szCs w:val="20"/>
          <w:color w:val="auto"/>
        </w:rPr>
        <w:tab/>
      </w:r>
      <w:r>
        <w:rPr>
          <w:rFonts w:ascii="Arial" w:cs="Arial" w:eastAsia="Arial" w:hAnsi="Arial"/>
          <w:sz w:val="15"/>
          <w:szCs w:val="15"/>
          <w:color w:val="auto"/>
        </w:rPr>
        <w:t>Stryker Corporation</w:t>
      </w:r>
    </w:p>
    <w:p>
      <w:pPr>
        <w:spacing w:after="0" w:line="59" w:lineRule="exact"/>
        <w:rPr>
          <w:sz w:val="20"/>
          <w:szCs w:val="20"/>
          <w:color w:val="auto"/>
        </w:rPr>
      </w:pPr>
    </w:p>
    <w:p>
      <w:pPr>
        <w:ind w:left="1120"/>
        <w:spacing w:after="0"/>
        <w:tabs>
          <w:tab w:leader="none" w:pos="5440" w:val="left"/>
        </w:tabs>
        <w:rPr>
          <w:sz w:val="20"/>
          <w:szCs w:val="20"/>
          <w:color w:val="auto"/>
        </w:rPr>
      </w:pPr>
      <w:r>
        <w:rPr>
          <w:rFonts w:ascii="Arial" w:cs="Arial" w:eastAsia="Arial" w:hAnsi="Arial"/>
          <w:sz w:val="16"/>
          <w:szCs w:val="16"/>
          <w:color w:val="auto"/>
        </w:rPr>
        <w:t>Hill-Rom Holdings, Inc.</w:t>
      </w:r>
      <w:r>
        <w:rPr>
          <w:sz w:val="20"/>
          <w:szCs w:val="20"/>
          <w:color w:val="auto"/>
        </w:rPr>
        <w:tab/>
      </w:r>
      <w:r>
        <w:rPr>
          <w:rFonts w:ascii="Arial" w:cs="Arial" w:eastAsia="Arial" w:hAnsi="Arial"/>
          <w:sz w:val="15"/>
          <w:szCs w:val="15"/>
          <w:color w:val="auto"/>
        </w:rPr>
        <w:t>Teleflex Incorporated</w:t>
      </w:r>
    </w:p>
    <w:p>
      <w:pPr>
        <w:spacing w:after="0" w:line="59" w:lineRule="exact"/>
        <w:rPr>
          <w:sz w:val="20"/>
          <w:szCs w:val="20"/>
          <w:color w:val="auto"/>
        </w:rPr>
      </w:pPr>
    </w:p>
    <w:p>
      <w:pPr>
        <w:ind w:left="1120"/>
        <w:spacing w:after="0"/>
        <w:tabs>
          <w:tab w:leader="none" w:pos="5440" w:val="left"/>
        </w:tabs>
        <w:rPr>
          <w:sz w:val="20"/>
          <w:szCs w:val="20"/>
          <w:color w:val="auto"/>
        </w:rPr>
      </w:pPr>
      <w:r>
        <w:rPr>
          <w:rFonts w:ascii="Arial" w:cs="Arial" w:eastAsia="Arial" w:hAnsi="Arial"/>
          <w:sz w:val="16"/>
          <w:szCs w:val="16"/>
          <w:color w:val="auto"/>
        </w:rPr>
        <w:t>Hologic, Inc.</w:t>
      </w:r>
      <w:r>
        <w:rPr>
          <w:sz w:val="20"/>
          <w:szCs w:val="20"/>
          <w:color w:val="auto"/>
        </w:rPr>
        <w:tab/>
      </w:r>
      <w:r>
        <w:rPr>
          <w:rFonts w:ascii="Arial" w:cs="Arial" w:eastAsia="Arial" w:hAnsi="Arial"/>
          <w:sz w:val="15"/>
          <w:szCs w:val="15"/>
          <w:color w:val="auto"/>
        </w:rPr>
        <w:t>Varian Medical Systems, Inc.</w:t>
      </w:r>
    </w:p>
    <w:p>
      <w:pPr>
        <w:spacing w:after="0" w:line="59" w:lineRule="exact"/>
        <w:rPr>
          <w:sz w:val="20"/>
          <w:szCs w:val="20"/>
          <w:color w:val="auto"/>
        </w:rPr>
      </w:pPr>
    </w:p>
    <w:p>
      <w:pPr>
        <w:ind w:left="1120"/>
        <w:spacing w:after="0"/>
        <w:tabs>
          <w:tab w:leader="none" w:pos="5440" w:val="left"/>
        </w:tabs>
        <w:rPr>
          <w:sz w:val="20"/>
          <w:szCs w:val="20"/>
          <w:color w:val="auto"/>
        </w:rPr>
      </w:pPr>
      <w:r>
        <w:rPr>
          <w:rFonts w:ascii="Arial" w:cs="Arial" w:eastAsia="Arial" w:hAnsi="Arial"/>
          <w:sz w:val="16"/>
          <w:szCs w:val="16"/>
          <w:color w:val="auto"/>
        </w:rPr>
        <w:t>Insulet Corporation</w:t>
      </w:r>
      <w:r>
        <w:rPr>
          <w:sz w:val="20"/>
          <w:szCs w:val="20"/>
          <w:color w:val="auto"/>
        </w:rPr>
        <w:tab/>
      </w:r>
      <w:r>
        <w:rPr>
          <w:rFonts w:ascii="Arial" w:cs="Arial" w:eastAsia="Arial" w:hAnsi="Arial"/>
          <w:sz w:val="15"/>
          <w:szCs w:val="15"/>
          <w:color w:val="auto"/>
        </w:rPr>
        <w:t>Wright Medical Group N.V.</w:t>
      </w:r>
    </w:p>
    <w:p>
      <w:pPr>
        <w:spacing w:after="0" w:line="59" w:lineRule="exact"/>
        <w:rPr>
          <w:sz w:val="20"/>
          <w:szCs w:val="20"/>
          <w:color w:val="auto"/>
        </w:rPr>
      </w:pPr>
    </w:p>
    <w:p>
      <w:pPr>
        <w:ind w:left="1120"/>
        <w:spacing w:after="0"/>
        <w:tabs>
          <w:tab w:leader="none" w:pos="5440" w:val="left"/>
        </w:tabs>
        <w:rPr>
          <w:sz w:val="20"/>
          <w:szCs w:val="20"/>
          <w:color w:val="auto"/>
        </w:rPr>
      </w:pPr>
      <w:r>
        <w:rPr>
          <w:rFonts w:ascii="Arial" w:cs="Arial" w:eastAsia="Arial" w:hAnsi="Arial"/>
          <w:sz w:val="16"/>
          <w:szCs w:val="16"/>
          <w:color w:val="auto"/>
        </w:rPr>
        <w:t>Integer Holdings Corporation</w:t>
      </w:r>
      <w:r>
        <w:rPr>
          <w:sz w:val="20"/>
          <w:szCs w:val="20"/>
          <w:color w:val="auto"/>
        </w:rPr>
        <w:tab/>
      </w:r>
      <w:r>
        <w:rPr>
          <w:rFonts w:ascii="Arial" w:cs="Arial" w:eastAsia="Arial" w:hAnsi="Arial"/>
          <w:sz w:val="15"/>
          <w:szCs w:val="15"/>
          <w:color w:val="auto"/>
        </w:rPr>
        <w:t>Zimmer Biomet Holdings, Inc.</w:t>
      </w:r>
    </w:p>
    <w:p>
      <w:pPr>
        <w:spacing w:after="0" w:line="59" w:lineRule="exact"/>
        <w:rPr>
          <w:sz w:val="20"/>
          <w:szCs w:val="20"/>
          <w:color w:val="auto"/>
        </w:rPr>
      </w:pPr>
    </w:p>
    <w:p>
      <w:pPr>
        <w:ind w:left="1120"/>
        <w:spacing w:after="0"/>
        <w:rPr>
          <w:sz w:val="20"/>
          <w:szCs w:val="20"/>
          <w:color w:val="auto"/>
        </w:rPr>
      </w:pPr>
      <w:r>
        <w:rPr>
          <w:rFonts w:ascii="Arial" w:cs="Arial" w:eastAsia="Arial" w:hAnsi="Arial"/>
          <w:sz w:val="16"/>
          <w:szCs w:val="16"/>
          <w:color w:val="auto"/>
        </w:rPr>
        <w:t>Integra LifeSciences Holdings Corp.</w:t>
      </w:r>
    </w:p>
    <w:p>
      <w:pPr>
        <w:spacing w:after="0" w:line="296" w:lineRule="exact"/>
        <w:rPr>
          <w:sz w:val="20"/>
          <w:szCs w:val="20"/>
          <w:color w:val="auto"/>
        </w:rPr>
      </w:pPr>
    </w:p>
    <w:p>
      <w:pPr>
        <w:ind w:left="760"/>
        <w:spacing w:after="0"/>
        <w:rPr>
          <w:sz w:val="20"/>
          <w:szCs w:val="20"/>
          <w:color w:val="auto"/>
        </w:rPr>
      </w:pPr>
      <w:r>
        <w:rPr>
          <w:rFonts w:ascii="Arial" w:cs="Arial" w:eastAsia="Arial" w:hAnsi="Arial"/>
          <w:sz w:val="16"/>
          <w:szCs w:val="16"/>
          <w:b w:val="1"/>
          <w:bCs w:val="1"/>
          <w:color w:val="4800E6"/>
        </w:rPr>
        <w:t>Adjusted Free Cash Flow PSUs</w:t>
      </w:r>
    </w:p>
    <w:p>
      <w:pPr>
        <w:spacing w:after="0" w:line="106" w:lineRule="exact"/>
        <w:rPr>
          <w:sz w:val="20"/>
          <w:szCs w:val="20"/>
          <w:color w:val="auto"/>
        </w:rPr>
      </w:pPr>
    </w:p>
    <w:p>
      <w:pPr>
        <w:jc w:val="both"/>
        <w:ind w:left="760" w:right="320"/>
        <w:spacing w:after="0" w:line="249" w:lineRule="auto"/>
        <w:rPr>
          <w:sz w:val="20"/>
          <w:szCs w:val="20"/>
          <w:color w:val="auto"/>
        </w:rPr>
      </w:pPr>
      <w:r>
        <w:rPr>
          <w:rFonts w:ascii="Arial" w:cs="Arial" w:eastAsia="Arial" w:hAnsi="Arial"/>
          <w:sz w:val="16"/>
          <w:szCs w:val="16"/>
          <w:color w:val="auto"/>
        </w:rPr>
        <w:t>Each participant received an award of PSUs subject to achievement of a three-year cumulative adjusted free cash flow target (the “FCF Target”). The Compensation Committee determined the number of PSUs awarded to each participant by dividing the award value by the most recent closing price of an ordinary share of our stock on Nasdaq as of the grant date and rounding down to the nearest whole unit. At the end of calendar year 2021, cumulative adjusted free cash flow for the period 2019 through 2021 will be compared to the FCF Target, and the number of shares of our stock actually delivered to the participants will be determined by the following chart, with linear interpolation applied between specified levels:</w:t>
      </w:r>
    </w:p>
    <w:p>
      <w:pPr>
        <w:spacing w:after="0" w:line="136" w:lineRule="exact"/>
        <w:rPr>
          <w:sz w:val="20"/>
          <w:szCs w:val="20"/>
          <w:color w:val="auto"/>
        </w:rPr>
      </w:pPr>
    </w:p>
    <w:tbl>
      <w:tblPr>
        <w:tblLayout w:type="fixed"/>
        <w:tblInd w:w="760" w:type="dxa"/>
        <w:tblCellMar>
          <w:top w:w="0" w:type="dxa"/>
          <w:left w:w="0" w:type="dxa"/>
          <w:bottom w:w="0" w:type="dxa"/>
          <w:right w:w="0" w:type="dxa"/>
        </w:tblCellMar>
      </w:tblPr>
      <w:tr>
        <w:trPr>
          <w:trHeight w:val="161"/>
        </w:trPr>
        <w:tc>
          <w:tcPr>
            <w:tcW w:w="4400" w:type="dxa"/>
            <w:vAlign w:val="bottom"/>
          </w:tcPr>
          <w:p>
            <w:pPr>
              <w:ind w:left="60"/>
              <w:spacing w:after="0"/>
              <w:rPr>
                <w:sz w:val="20"/>
                <w:szCs w:val="20"/>
                <w:color w:val="auto"/>
              </w:rPr>
            </w:pPr>
            <w:r>
              <w:rPr>
                <w:rFonts w:ascii="Arial" w:cs="Arial" w:eastAsia="Arial" w:hAnsi="Arial"/>
                <w:sz w:val="14"/>
                <w:szCs w:val="14"/>
                <w:b w:val="1"/>
                <w:bCs w:val="1"/>
                <w:color w:val="4800E6"/>
              </w:rPr>
              <w:t>FCF Achievement</w:t>
            </w:r>
          </w:p>
        </w:tc>
        <w:tc>
          <w:tcPr>
            <w:tcW w:w="4780" w:type="dxa"/>
            <w:vAlign w:val="bottom"/>
          </w:tcPr>
          <w:p>
            <w:pPr>
              <w:spacing w:after="0"/>
              <w:rPr>
                <w:sz w:val="14"/>
                <w:szCs w:val="14"/>
                <w:color w:val="auto"/>
              </w:rPr>
            </w:pPr>
          </w:p>
        </w:tc>
      </w:tr>
      <w:tr>
        <w:trPr>
          <w:trHeight w:val="243"/>
        </w:trPr>
        <w:tc>
          <w:tcPr>
            <w:tcW w:w="4400" w:type="dxa"/>
            <w:vAlign w:val="bottom"/>
            <w:tcBorders>
              <w:bottom w:val="single" w:sz="8" w:color="4800E6"/>
            </w:tcBorders>
          </w:tcPr>
          <w:p>
            <w:pPr>
              <w:ind w:left="60"/>
              <w:spacing w:after="0"/>
              <w:rPr>
                <w:sz w:val="20"/>
                <w:szCs w:val="20"/>
                <w:color w:val="auto"/>
              </w:rPr>
            </w:pPr>
            <w:r>
              <w:rPr>
                <w:rFonts w:ascii="Arial" w:cs="Arial" w:eastAsia="Arial" w:hAnsi="Arial"/>
                <w:sz w:val="14"/>
                <w:szCs w:val="14"/>
                <w:b w:val="1"/>
                <w:bCs w:val="1"/>
                <w:color w:val="4800E6"/>
              </w:rPr>
              <w:t>Relative to FCF Target</w:t>
            </w:r>
            <w:r>
              <w:rPr>
                <w:rFonts w:ascii="Arial" w:cs="Arial" w:eastAsia="Arial" w:hAnsi="Arial"/>
                <w:sz w:val="21"/>
                <w:szCs w:val="21"/>
                <w:b w:val="1"/>
                <w:bCs w:val="1"/>
                <w:color w:val="4800E6"/>
                <w:vertAlign w:val="superscript"/>
              </w:rPr>
              <w:t>(1)</w:t>
            </w:r>
          </w:p>
        </w:tc>
        <w:tc>
          <w:tcPr>
            <w:tcW w:w="4780" w:type="dxa"/>
            <w:vAlign w:val="bottom"/>
            <w:tcBorders>
              <w:bottom w:val="single" w:sz="8" w:color="4800E6"/>
            </w:tcBorders>
          </w:tcPr>
          <w:p>
            <w:pPr>
              <w:jc w:val="right"/>
              <w:spacing w:after="0"/>
              <w:rPr>
                <w:sz w:val="20"/>
                <w:szCs w:val="20"/>
                <w:color w:val="auto"/>
              </w:rPr>
            </w:pPr>
            <w:r>
              <w:rPr>
                <w:rFonts w:ascii="Arial" w:cs="Arial" w:eastAsia="Arial" w:hAnsi="Arial"/>
                <w:sz w:val="14"/>
                <w:szCs w:val="14"/>
                <w:b w:val="1"/>
                <w:bCs w:val="1"/>
                <w:color w:val="4800E6"/>
              </w:rPr>
              <w:t>Percent Funding for Objective</w:t>
            </w:r>
          </w:p>
        </w:tc>
      </w:tr>
      <w:tr>
        <w:trPr>
          <w:trHeight w:val="215"/>
        </w:trPr>
        <w:tc>
          <w:tcPr>
            <w:tcW w:w="4400" w:type="dxa"/>
            <w:vAlign w:val="bottom"/>
          </w:tcPr>
          <w:p>
            <w:pPr>
              <w:ind w:left="60"/>
              <w:spacing w:after="0"/>
              <w:rPr>
                <w:sz w:val="20"/>
                <w:szCs w:val="20"/>
                <w:color w:val="auto"/>
              </w:rPr>
            </w:pPr>
            <w:r>
              <w:rPr>
                <w:rFonts w:ascii="Arial" w:cs="Arial" w:eastAsia="Arial" w:hAnsi="Arial"/>
                <w:sz w:val="15"/>
                <w:szCs w:val="15"/>
                <w:color w:val="auto"/>
              </w:rPr>
              <w:t>≥150%</w:t>
            </w:r>
          </w:p>
        </w:tc>
        <w:tc>
          <w:tcPr>
            <w:tcW w:w="4780" w:type="dxa"/>
            <w:vAlign w:val="bottom"/>
          </w:tcPr>
          <w:p>
            <w:pPr>
              <w:jc w:val="right"/>
              <w:spacing w:after="0"/>
              <w:rPr>
                <w:sz w:val="20"/>
                <w:szCs w:val="20"/>
                <w:color w:val="auto"/>
              </w:rPr>
            </w:pPr>
            <w:r>
              <w:rPr>
                <w:rFonts w:ascii="Arial" w:cs="Arial" w:eastAsia="Arial" w:hAnsi="Arial"/>
                <w:sz w:val="15"/>
                <w:szCs w:val="15"/>
                <w:color w:val="auto"/>
              </w:rPr>
              <w:t>200%</w:t>
            </w:r>
          </w:p>
        </w:tc>
      </w:tr>
      <w:tr>
        <w:trPr>
          <w:trHeight w:val="22"/>
        </w:trPr>
        <w:tc>
          <w:tcPr>
            <w:tcW w:w="4400" w:type="dxa"/>
            <w:vAlign w:val="bottom"/>
          </w:tcPr>
          <w:p>
            <w:pPr>
              <w:spacing w:after="0" w:line="20" w:lineRule="exact"/>
              <w:rPr>
                <w:sz w:val="1"/>
                <w:szCs w:val="1"/>
                <w:color w:val="auto"/>
              </w:rPr>
            </w:pPr>
          </w:p>
        </w:tc>
        <w:tc>
          <w:tcPr>
            <w:tcW w:w="4780" w:type="dxa"/>
            <w:vAlign w:val="bottom"/>
          </w:tcPr>
          <w:p>
            <w:pPr>
              <w:spacing w:after="0" w:line="20" w:lineRule="exact"/>
              <w:rPr>
                <w:sz w:val="1"/>
                <w:szCs w:val="1"/>
                <w:color w:val="auto"/>
              </w:rPr>
            </w:pPr>
          </w:p>
        </w:tc>
      </w:tr>
      <w:tr>
        <w:trPr>
          <w:trHeight w:val="250"/>
        </w:trPr>
        <w:tc>
          <w:tcPr>
            <w:tcW w:w="4400" w:type="dxa"/>
            <w:vAlign w:val="bottom"/>
            <w:tcBorders>
              <w:bottom w:val="single" w:sz="8" w:color="EFE9FC"/>
            </w:tcBorders>
            <w:shd w:val="clear" w:color="auto" w:fill="EFE9FC"/>
          </w:tcPr>
          <w:p>
            <w:pPr>
              <w:ind w:left="60"/>
              <w:spacing w:after="0"/>
              <w:rPr>
                <w:sz w:val="20"/>
                <w:szCs w:val="20"/>
                <w:color w:val="auto"/>
              </w:rPr>
            </w:pPr>
            <w:r>
              <w:rPr>
                <w:rFonts w:ascii="Arial" w:cs="Arial" w:eastAsia="Arial" w:hAnsi="Arial"/>
                <w:sz w:val="15"/>
                <w:szCs w:val="15"/>
                <w:color w:val="auto"/>
              </w:rPr>
              <w:t>125%</w:t>
            </w:r>
          </w:p>
        </w:tc>
        <w:tc>
          <w:tcPr>
            <w:tcW w:w="4780" w:type="dxa"/>
            <w:vAlign w:val="bottom"/>
            <w:tcBorders>
              <w:bottom w:val="single" w:sz="8" w:color="EFE9FC"/>
            </w:tcBorders>
            <w:shd w:val="clear" w:color="auto" w:fill="EFE9FC"/>
          </w:tcPr>
          <w:p>
            <w:pPr>
              <w:jc w:val="right"/>
              <w:spacing w:after="0"/>
              <w:rPr>
                <w:sz w:val="20"/>
                <w:szCs w:val="20"/>
                <w:color w:val="auto"/>
              </w:rPr>
            </w:pPr>
            <w:r>
              <w:rPr>
                <w:rFonts w:ascii="Arial" w:cs="Arial" w:eastAsia="Arial" w:hAnsi="Arial"/>
                <w:sz w:val="15"/>
                <w:szCs w:val="15"/>
                <w:color w:val="auto"/>
              </w:rPr>
              <w:t>150%</w:t>
            </w:r>
          </w:p>
        </w:tc>
      </w:tr>
      <w:tr>
        <w:trPr>
          <w:trHeight w:val="221"/>
        </w:trPr>
        <w:tc>
          <w:tcPr>
            <w:tcW w:w="4400" w:type="dxa"/>
            <w:vAlign w:val="bottom"/>
          </w:tcPr>
          <w:p>
            <w:pPr>
              <w:ind w:left="60"/>
              <w:spacing w:after="0"/>
              <w:rPr>
                <w:sz w:val="20"/>
                <w:szCs w:val="20"/>
                <w:color w:val="auto"/>
              </w:rPr>
            </w:pPr>
            <w:r>
              <w:rPr>
                <w:rFonts w:ascii="Arial" w:cs="Arial" w:eastAsia="Arial" w:hAnsi="Arial"/>
                <w:sz w:val="15"/>
                <w:szCs w:val="15"/>
                <w:color w:val="auto"/>
              </w:rPr>
              <w:t>100%</w:t>
            </w:r>
          </w:p>
        </w:tc>
        <w:tc>
          <w:tcPr>
            <w:tcW w:w="4780" w:type="dxa"/>
            <w:vAlign w:val="bottom"/>
          </w:tcPr>
          <w:p>
            <w:pPr>
              <w:jc w:val="right"/>
              <w:spacing w:after="0"/>
              <w:rPr>
                <w:sz w:val="20"/>
                <w:szCs w:val="20"/>
                <w:color w:val="auto"/>
              </w:rPr>
            </w:pPr>
            <w:r>
              <w:rPr>
                <w:rFonts w:ascii="Arial" w:cs="Arial" w:eastAsia="Arial" w:hAnsi="Arial"/>
                <w:sz w:val="15"/>
                <w:szCs w:val="15"/>
                <w:color w:val="auto"/>
              </w:rPr>
              <w:t>100%</w:t>
            </w:r>
          </w:p>
        </w:tc>
      </w:tr>
      <w:tr>
        <w:trPr>
          <w:trHeight w:val="22"/>
        </w:trPr>
        <w:tc>
          <w:tcPr>
            <w:tcW w:w="4400" w:type="dxa"/>
            <w:vAlign w:val="bottom"/>
          </w:tcPr>
          <w:p>
            <w:pPr>
              <w:spacing w:after="0" w:line="20" w:lineRule="exact"/>
              <w:rPr>
                <w:sz w:val="1"/>
                <w:szCs w:val="1"/>
                <w:color w:val="auto"/>
              </w:rPr>
            </w:pPr>
          </w:p>
        </w:tc>
        <w:tc>
          <w:tcPr>
            <w:tcW w:w="4780" w:type="dxa"/>
            <w:vAlign w:val="bottom"/>
          </w:tcPr>
          <w:p>
            <w:pPr>
              <w:spacing w:after="0" w:line="20" w:lineRule="exact"/>
              <w:rPr>
                <w:sz w:val="1"/>
                <w:szCs w:val="1"/>
                <w:color w:val="auto"/>
              </w:rPr>
            </w:pPr>
          </w:p>
        </w:tc>
      </w:tr>
      <w:tr>
        <w:trPr>
          <w:trHeight w:val="250"/>
        </w:trPr>
        <w:tc>
          <w:tcPr>
            <w:tcW w:w="4400" w:type="dxa"/>
            <w:vAlign w:val="bottom"/>
            <w:tcBorders>
              <w:bottom w:val="single" w:sz="8" w:color="EFE9FC"/>
            </w:tcBorders>
            <w:shd w:val="clear" w:color="auto" w:fill="EFE9FC"/>
          </w:tcPr>
          <w:p>
            <w:pPr>
              <w:ind w:left="60"/>
              <w:spacing w:after="0"/>
              <w:rPr>
                <w:sz w:val="20"/>
                <w:szCs w:val="20"/>
                <w:color w:val="auto"/>
              </w:rPr>
            </w:pPr>
            <w:r>
              <w:rPr>
                <w:rFonts w:ascii="Arial" w:cs="Arial" w:eastAsia="Arial" w:hAnsi="Arial"/>
                <w:sz w:val="15"/>
                <w:szCs w:val="15"/>
                <w:color w:val="auto"/>
              </w:rPr>
              <w:t>60%</w:t>
            </w:r>
          </w:p>
        </w:tc>
        <w:tc>
          <w:tcPr>
            <w:tcW w:w="4780" w:type="dxa"/>
            <w:vAlign w:val="bottom"/>
            <w:tcBorders>
              <w:bottom w:val="single" w:sz="8" w:color="EFE9FC"/>
            </w:tcBorders>
            <w:shd w:val="clear" w:color="auto" w:fill="EFE9FC"/>
          </w:tcPr>
          <w:p>
            <w:pPr>
              <w:jc w:val="right"/>
              <w:spacing w:after="0"/>
              <w:rPr>
                <w:sz w:val="20"/>
                <w:szCs w:val="20"/>
                <w:color w:val="auto"/>
              </w:rPr>
            </w:pPr>
            <w:r>
              <w:rPr>
                <w:rFonts w:ascii="Arial" w:cs="Arial" w:eastAsia="Arial" w:hAnsi="Arial"/>
                <w:sz w:val="15"/>
                <w:szCs w:val="15"/>
                <w:color w:val="auto"/>
              </w:rPr>
              <w:t>20%</w:t>
            </w:r>
          </w:p>
        </w:tc>
      </w:tr>
      <w:tr>
        <w:trPr>
          <w:trHeight w:val="221"/>
        </w:trPr>
        <w:tc>
          <w:tcPr>
            <w:tcW w:w="4400" w:type="dxa"/>
            <w:vAlign w:val="bottom"/>
          </w:tcPr>
          <w:p>
            <w:pPr>
              <w:ind w:left="60"/>
              <w:spacing w:after="0"/>
              <w:rPr>
                <w:sz w:val="20"/>
                <w:szCs w:val="20"/>
                <w:color w:val="auto"/>
              </w:rPr>
            </w:pPr>
            <w:r>
              <w:rPr>
                <w:rFonts w:ascii="Arial" w:cs="Arial" w:eastAsia="Arial" w:hAnsi="Arial"/>
                <w:sz w:val="15"/>
                <w:szCs w:val="15"/>
                <w:color w:val="auto"/>
              </w:rPr>
              <w:t>&lt;60%</w:t>
            </w:r>
          </w:p>
        </w:tc>
        <w:tc>
          <w:tcPr>
            <w:tcW w:w="4780" w:type="dxa"/>
            <w:vAlign w:val="bottom"/>
          </w:tcPr>
          <w:p>
            <w:pPr>
              <w:jc w:val="right"/>
              <w:spacing w:after="0"/>
              <w:rPr>
                <w:sz w:val="20"/>
                <w:szCs w:val="20"/>
                <w:color w:val="auto"/>
              </w:rPr>
            </w:pPr>
            <w:r>
              <w:rPr>
                <w:rFonts w:ascii="Arial" w:cs="Arial" w:eastAsia="Arial" w:hAnsi="Arial"/>
                <w:sz w:val="15"/>
                <w:szCs w:val="15"/>
                <w:color w:val="auto"/>
              </w:rPr>
              <w:t>0%</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485140</wp:posOffset>
            </wp:positionH>
            <wp:positionV relativeFrom="paragraph">
              <wp:posOffset>13970</wp:posOffset>
            </wp:positionV>
            <wp:extent cx="5829300" cy="8255"/>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5829300" cy="8255"/>
                    </a:xfrm>
                    <a:prstGeom prst="rect">
                      <a:avLst/>
                    </a:prstGeom>
                    <a:noFill/>
                  </pic:spPr>
                </pic:pic>
              </a:graphicData>
            </a:graphic>
          </wp:anchor>
        </w:drawing>
      </w:r>
    </w:p>
    <w:p>
      <w:pPr>
        <w:spacing w:after="0" w:line="27" w:lineRule="exact"/>
        <w:rPr>
          <w:sz w:val="20"/>
          <w:szCs w:val="20"/>
          <w:color w:val="auto"/>
        </w:rPr>
      </w:pPr>
    </w:p>
    <w:p>
      <w:pPr>
        <w:ind w:left="980" w:right="320" w:hanging="216"/>
        <w:spacing w:after="0" w:line="252" w:lineRule="auto"/>
        <w:tabs>
          <w:tab w:leader="none" w:pos="980" w:val="left"/>
        </w:tabs>
        <w:numPr>
          <w:ilvl w:val="0"/>
          <w:numId w:val="58"/>
        </w:numPr>
        <w:rPr>
          <w:rFonts w:ascii="Arial" w:cs="Arial" w:eastAsia="Arial" w:hAnsi="Arial"/>
          <w:sz w:val="13"/>
          <w:szCs w:val="13"/>
          <w:i w:val="1"/>
          <w:iCs w:val="1"/>
          <w:color w:val="auto"/>
        </w:rPr>
      </w:pPr>
      <w:r>
        <w:rPr>
          <w:rFonts w:ascii="Arial" w:cs="Arial" w:eastAsia="Arial" w:hAnsi="Arial"/>
          <w:sz w:val="13"/>
          <w:szCs w:val="13"/>
          <w:i w:val="1"/>
          <w:iCs w:val="1"/>
          <w:color w:val="auto"/>
        </w:rPr>
        <w:t>“Adjusted Free Cash Flow” is defined as the Company’s reported cash flow from operating activities (including ImThera and TandemLife), minus the Company’s reported capital expenditures, and excluding cash flows associated with restructuring, integration, 3-T heater cooler product remediation and significant and unusual litigation and cash paid or received for acquisitions (Caisson, ImThera, TandemLife and future acquisitions), divestitures (CRM and future divestitures) and settlements and judgments in significant and unusual litigation (including 3-T heater-cooler litigation).</w:t>
      </w:r>
    </w:p>
    <w:p>
      <w:pPr>
        <w:sectPr>
          <w:pgSz w:w="11900" w:h="16838" w:orient="portrait"/>
          <w:cols w:equalWidth="0" w:num="1">
            <w:col w:w="10180"/>
          </w:cols>
          <w:pgMar w:left="320" w:top="131" w:right="139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ind w:left="4340"/>
        <w:spacing w:after="0"/>
        <w:tabs>
          <w:tab w:leader="none" w:pos="10000" w:val="left"/>
        </w:tabs>
        <w:rPr>
          <w:sz w:val="20"/>
          <w:szCs w:val="20"/>
          <w:color w:val="auto"/>
        </w:rPr>
      </w:pPr>
      <w:r>
        <w:rPr>
          <w:rFonts w:ascii="Arial" w:cs="Arial" w:eastAsia="Arial" w:hAnsi="Arial"/>
          <w:sz w:val="13"/>
          <w:szCs w:val="13"/>
          <w:b w:val="1"/>
          <w:bCs w:val="1"/>
          <w:color w:val="4800E6"/>
        </w:rPr>
        <w:t xml:space="preserve">LIVANOVA </w:t>
      </w:r>
      <w:r>
        <w:rPr>
          <w:rFonts w:ascii="Arial" w:cs="Arial" w:eastAsia="Arial" w:hAnsi="Arial"/>
          <w:sz w:val="13"/>
          <w:szCs w:val="13"/>
          <w:color w:val="000000"/>
        </w:rPr>
        <w:t>|</w:t>
      </w:r>
      <w:r>
        <w:rPr>
          <w:rFonts w:ascii="Arial" w:cs="Arial" w:eastAsia="Arial" w:hAnsi="Arial"/>
          <w:sz w:val="13"/>
          <w:szCs w:val="13"/>
          <w:b w:val="1"/>
          <w:bCs w:val="1"/>
          <w:color w:val="4800E6"/>
        </w:rPr>
        <w:t xml:space="preserve"> </w:t>
      </w:r>
      <w:r>
        <w:rPr>
          <w:rFonts w:ascii="Arial" w:cs="Arial" w:eastAsia="Arial" w:hAnsi="Arial"/>
          <w:sz w:val="13"/>
          <w:szCs w:val="13"/>
          <w:color w:val="4800E6"/>
        </w:rPr>
        <w:t>2020</w:t>
      </w:r>
      <w:r>
        <w:rPr>
          <w:rFonts w:ascii="Arial" w:cs="Arial" w:eastAsia="Arial" w:hAnsi="Arial"/>
          <w:sz w:val="13"/>
          <w:szCs w:val="13"/>
          <w:b w:val="1"/>
          <w:bCs w:val="1"/>
          <w:color w:val="4800E6"/>
        </w:rPr>
        <w:t xml:space="preserve"> </w:t>
      </w:r>
      <w:r>
        <w:rPr>
          <w:rFonts w:ascii="Arial" w:cs="Arial" w:eastAsia="Arial" w:hAnsi="Arial"/>
          <w:sz w:val="13"/>
          <w:szCs w:val="13"/>
          <w:color w:val="000000"/>
        </w:rPr>
        <w:t>Proxy Statement</w:t>
      </w:r>
      <w:r>
        <w:rPr>
          <w:sz w:val="20"/>
          <w:szCs w:val="20"/>
          <w:color w:val="auto"/>
        </w:rPr>
        <w:tab/>
      </w:r>
      <w:r>
        <w:rPr>
          <w:rFonts w:ascii="Arial" w:cs="Arial" w:eastAsia="Arial" w:hAnsi="Arial"/>
          <w:sz w:val="21"/>
          <w:szCs w:val="21"/>
          <w:b w:val="1"/>
          <w:bCs w:val="1"/>
          <w:color w:val="auto"/>
          <w:vertAlign w:val="subscript"/>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519430</wp:posOffset>
            </wp:positionH>
            <wp:positionV relativeFrom="paragraph">
              <wp:posOffset>47625</wp:posOffset>
            </wp:positionV>
            <wp:extent cx="1954530" cy="8890"/>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1954530" cy="8890"/>
                    </a:xfrm>
                    <a:prstGeom prst="rect">
                      <a:avLst/>
                    </a:prstGeom>
                    <a:noFill/>
                  </pic:spPr>
                </pic:pic>
              </a:graphicData>
            </a:graphic>
          </wp:anchor>
        </w:drawing>
        <w:drawing>
          <wp:anchor simplePos="0" relativeHeight="251657728" behindDoc="1" locked="0" layoutInCell="0" allowOverlap="1">
            <wp:simplePos x="0" y="0"/>
            <wp:positionH relativeFrom="column">
              <wp:posOffset>4257040</wp:posOffset>
            </wp:positionH>
            <wp:positionV relativeFrom="paragraph">
              <wp:posOffset>47625</wp:posOffset>
            </wp:positionV>
            <wp:extent cx="1954530" cy="8890"/>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195453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184785</wp:posOffset>
            </wp:positionV>
            <wp:extent cx="6806565" cy="17145"/>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10180"/>
          </w:cols>
          <w:pgMar w:left="320" w:top="131" w:right="1399" w:bottom="1440" w:gutter="0" w:footer="0" w:header="0"/>
          <w:type w:val="continuous"/>
        </w:sectPr>
      </w:pPr>
    </w:p>
    <w:bookmarkStart w:id="38" w:name="page39"/>
    <w:bookmarkEnd w:id="38"/>
    <w:p>
      <w:pPr>
        <w:spacing w:after="0"/>
        <w:rPr>
          <w:rFonts w:ascii="Arial" w:cs="Arial" w:eastAsia="Arial" w:hAnsi="Arial"/>
          <w:sz w:val="14"/>
          <w:szCs w:val="14"/>
          <w:color w:val="003366"/>
        </w:rPr>
      </w:pPr>
      <w:hyperlink w:anchor="page4">
        <w:r>
          <w:rPr>
            <w:rFonts w:ascii="Arial" w:cs="Arial" w:eastAsia="Arial" w:hAnsi="Arial"/>
            <w:sz w:val="14"/>
            <w:szCs w:val="14"/>
            <w:color w:val="003366"/>
          </w:rPr>
          <w:t>TABLE OF CONTENTS</w:t>
        </w:r>
      </w:hyperlink>
    </w:p>
    <w:p>
      <w:pPr>
        <w:spacing w:after="0" w:line="338" w:lineRule="exact"/>
        <w:rPr>
          <w:sz w:val="20"/>
          <w:szCs w:val="20"/>
          <w:color w:val="auto"/>
        </w:rPr>
      </w:pPr>
    </w:p>
    <w:p>
      <w:pPr>
        <w:ind w:left="760"/>
        <w:spacing w:after="0"/>
        <w:rPr>
          <w:sz w:val="20"/>
          <w:szCs w:val="20"/>
          <w:color w:val="auto"/>
        </w:rPr>
      </w:pPr>
      <w:r>
        <w:rPr>
          <w:rFonts w:ascii="Arial" w:cs="Arial" w:eastAsia="Arial" w:hAnsi="Arial"/>
          <w:sz w:val="13"/>
          <w:szCs w:val="13"/>
          <w:b w:val="1"/>
          <w:bCs w:val="1"/>
          <w:color w:val="auto"/>
        </w:rPr>
        <w:t xml:space="preserve">Executive </w:t>
      </w:r>
      <w:r>
        <w:rPr>
          <w:rFonts w:ascii="Arial" w:cs="Arial" w:eastAsia="Arial" w:hAnsi="Arial"/>
          <w:sz w:val="13"/>
          <w:szCs w:val="13"/>
          <w:b w:val="1"/>
          <w:bCs w:val="1"/>
          <w:color w:val="666666"/>
        </w:rPr>
        <w:t>Compensation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485140</wp:posOffset>
            </wp:positionH>
            <wp:positionV relativeFrom="paragraph">
              <wp:posOffset>30480</wp:posOffset>
            </wp:positionV>
            <wp:extent cx="5829300" cy="8890"/>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5829300" cy="8890"/>
                    </a:xfrm>
                    <a:prstGeom prst="rect">
                      <a:avLst/>
                    </a:prstGeom>
                    <a:noFill/>
                  </pic:spPr>
                </pic:pic>
              </a:graphicData>
            </a:graphic>
          </wp:anchor>
        </w:drawing>
      </w:r>
    </w:p>
    <w:p>
      <w:pPr>
        <w:spacing w:after="0" w:line="60" w:lineRule="exact"/>
        <w:rPr>
          <w:sz w:val="20"/>
          <w:szCs w:val="20"/>
          <w:color w:val="auto"/>
        </w:rPr>
      </w:pPr>
    </w:p>
    <w:p>
      <w:pPr>
        <w:ind w:left="760"/>
        <w:spacing w:after="0"/>
        <w:rPr>
          <w:sz w:val="20"/>
          <w:szCs w:val="20"/>
          <w:color w:val="auto"/>
        </w:rPr>
      </w:pPr>
      <w:r>
        <w:rPr>
          <w:rFonts w:ascii="Arial" w:cs="Arial" w:eastAsia="Arial" w:hAnsi="Arial"/>
          <w:sz w:val="13"/>
          <w:szCs w:val="13"/>
          <w:b w:val="1"/>
          <w:bCs w:val="1"/>
          <w:color w:val="4800E6"/>
        </w:rPr>
        <w:t>Compensation Discussion &amp; Analysis</w:t>
      </w: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ind w:left="760"/>
        <w:spacing w:after="0"/>
        <w:rPr>
          <w:sz w:val="20"/>
          <w:szCs w:val="20"/>
          <w:color w:val="auto"/>
        </w:rPr>
      </w:pPr>
      <w:r>
        <w:rPr>
          <w:rFonts w:ascii="Arial" w:cs="Arial" w:eastAsia="Arial" w:hAnsi="Arial"/>
          <w:sz w:val="23"/>
          <w:szCs w:val="23"/>
          <w:b w:val="1"/>
          <w:bCs w:val="1"/>
          <w:color w:val="auto"/>
        </w:rPr>
        <w:t>Other Benefits and Perquisites</w:t>
      </w:r>
    </w:p>
    <w:p>
      <w:pPr>
        <w:spacing w:after="0" w:line="139" w:lineRule="exact"/>
        <w:rPr>
          <w:sz w:val="20"/>
          <w:szCs w:val="20"/>
          <w:color w:val="auto"/>
        </w:rPr>
      </w:pPr>
    </w:p>
    <w:p>
      <w:pPr>
        <w:ind w:left="760" w:right="319"/>
        <w:spacing w:after="0" w:line="248" w:lineRule="auto"/>
        <w:rPr>
          <w:sz w:val="20"/>
          <w:szCs w:val="20"/>
          <w:color w:val="auto"/>
        </w:rPr>
      </w:pPr>
      <w:r>
        <w:rPr>
          <w:rFonts w:ascii="Arial" w:cs="Arial" w:eastAsia="Arial" w:hAnsi="Arial"/>
          <w:sz w:val="16"/>
          <w:szCs w:val="16"/>
          <w:color w:val="auto"/>
        </w:rPr>
        <w:t xml:space="preserve">Our NEOs are provided with certain perquisites and other benefits to aid in the performance of their respective duties and to provide compensation competitive with that of executives with similar positions and levels of responsibilities in their respective geographies. These benefits may include housing allowance, expatriate school fees, car allowances, supplemental life insurance, supplemental health insurance, supplemental pension contributions, meal vouchers, childcare vouchers, gym membership and flexible benefit payments. Some of these are benefits received by all employees and so are not considered to be “perquisites” or “personal benefits” according to SEC rules, and so do not appear in the Summary Compensation Table under </w:t>
      </w:r>
      <w:r>
        <w:rPr>
          <w:rFonts w:ascii="Arial" w:cs="Arial" w:eastAsia="Arial" w:hAnsi="Arial"/>
          <w:sz w:val="16"/>
          <w:szCs w:val="16"/>
          <w:i w:val="1"/>
          <w:iCs w:val="1"/>
          <w:color w:val="auto"/>
        </w:rPr>
        <w:t>All Other</w:t>
      </w:r>
      <w:r>
        <w:rPr>
          <w:rFonts w:ascii="Arial" w:cs="Arial" w:eastAsia="Arial" w:hAnsi="Arial"/>
          <w:sz w:val="16"/>
          <w:szCs w:val="16"/>
          <w:color w:val="auto"/>
        </w:rPr>
        <w:t xml:space="preserve"> </w:t>
      </w:r>
      <w:r>
        <w:rPr>
          <w:rFonts w:ascii="Arial" w:cs="Arial" w:eastAsia="Arial" w:hAnsi="Arial"/>
          <w:sz w:val="16"/>
          <w:szCs w:val="16"/>
          <w:i w:val="1"/>
          <w:iCs w:val="1"/>
          <w:color w:val="auto"/>
        </w:rPr>
        <w:t>Compensation</w:t>
      </w:r>
      <w:r>
        <w:rPr>
          <w:rFonts w:ascii="Arial" w:cs="Arial" w:eastAsia="Arial" w:hAnsi="Arial"/>
          <w:sz w:val="16"/>
          <w:szCs w:val="16"/>
          <w:color w:val="auto"/>
        </w:rPr>
        <w:t>. However, some of the NEOs’ benefits are not offered to all other employees (e.g. car allowance) and accordingly</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are considered “perquisites” or “personal benefits” that are reflected in the Summary Compensation Table under </w:t>
      </w:r>
      <w:r>
        <w:rPr>
          <w:rFonts w:ascii="Arial" w:cs="Arial" w:eastAsia="Arial" w:hAnsi="Arial"/>
          <w:sz w:val="16"/>
          <w:szCs w:val="16"/>
          <w:i w:val="1"/>
          <w:iCs w:val="1"/>
          <w:color w:val="auto"/>
        </w:rPr>
        <w:t>All Other</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Compensation </w:t>
      </w:r>
      <w:r>
        <w:rPr>
          <w:rFonts w:ascii="Arial" w:cs="Arial" w:eastAsia="Arial" w:hAnsi="Arial"/>
          <w:sz w:val="16"/>
          <w:szCs w:val="16"/>
          <w:color w:val="auto"/>
        </w:rPr>
        <w:t>and separately identified in footnotes as perquisites and other benefits.</w:t>
      </w:r>
    </w:p>
    <w:p>
      <w:pPr>
        <w:spacing w:after="0" w:line="163" w:lineRule="exact"/>
        <w:rPr>
          <w:sz w:val="20"/>
          <w:szCs w:val="20"/>
          <w:color w:val="auto"/>
        </w:rPr>
      </w:pPr>
    </w:p>
    <w:p>
      <w:pPr>
        <w:ind w:left="760"/>
        <w:spacing w:after="0"/>
        <w:rPr>
          <w:sz w:val="20"/>
          <w:szCs w:val="20"/>
          <w:color w:val="auto"/>
        </w:rPr>
      </w:pPr>
      <w:r>
        <w:rPr>
          <w:rFonts w:ascii="Arial" w:cs="Arial" w:eastAsia="Arial" w:hAnsi="Arial"/>
          <w:sz w:val="20"/>
          <w:szCs w:val="20"/>
          <w:b w:val="1"/>
          <w:bCs w:val="1"/>
          <w:color w:val="FF4C4C"/>
        </w:rPr>
        <w:t>Health/Welfare Plans</w:t>
      </w:r>
    </w:p>
    <w:p>
      <w:pPr>
        <w:spacing w:after="0" w:line="110" w:lineRule="exact"/>
        <w:rPr>
          <w:sz w:val="20"/>
          <w:szCs w:val="20"/>
          <w:color w:val="auto"/>
        </w:rPr>
      </w:pPr>
    </w:p>
    <w:p>
      <w:pPr>
        <w:ind w:left="760"/>
        <w:spacing w:after="0"/>
        <w:rPr>
          <w:sz w:val="20"/>
          <w:szCs w:val="20"/>
          <w:color w:val="auto"/>
        </w:rPr>
      </w:pPr>
      <w:r>
        <w:rPr>
          <w:rFonts w:ascii="Arial" w:cs="Arial" w:eastAsia="Arial" w:hAnsi="Arial"/>
          <w:sz w:val="16"/>
          <w:szCs w:val="16"/>
          <w:color w:val="auto"/>
        </w:rPr>
        <w:t>All of our full-time US-based employees, including Mr. Andrle, are eligible to participate in our health and welfare plans, including:</w:t>
      </w:r>
    </w:p>
    <w:p>
      <w:pPr>
        <w:spacing w:after="0" w:line="46" w:lineRule="exact"/>
        <w:rPr>
          <w:sz w:val="20"/>
          <w:szCs w:val="20"/>
          <w:color w:val="auto"/>
        </w:rPr>
      </w:pPr>
    </w:p>
    <w:p>
      <w:pPr>
        <w:ind w:left="920" w:hanging="156"/>
        <w:spacing w:after="0"/>
        <w:tabs>
          <w:tab w:leader="none" w:pos="920" w:val="left"/>
        </w:tabs>
        <w:numPr>
          <w:ilvl w:val="0"/>
          <w:numId w:val="59"/>
        </w:numPr>
        <w:rPr>
          <w:rFonts w:ascii="Arial" w:cs="Arial" w:eastAsia="Arial" w:hAnsi="Arial"/>
          <w:sz w:val="16"/>
          <w:szCs w:val="16"/>
          <w:color w:val="4800E6"/>
        </w:rPr>
      </w:pPr>
      <w:r>
        <w:rPr>
          <w:rFonts w:ascii="Arial" w:cs="Arial" w:eastAsia="Arial" w:hAnsi="Arial"/>
          <w:sz w:val="16"/>
          <w:szCs w:val="16"/>
          <w:color w:val="auto"/>
        </w:rPr>
        <w:t>medical, dental and vision benefits;</w:t>
      </w:r>
    </w:p>
    <w:p>
      <w:pPr>
        <w:spacing w:after="0" w:line="45" w:lineRule="exact"/>
        <w:rPr>
          <w:rFonts w:ascii="Arial" w:cs="Arial" w:eastAsia="Arial" w:hAnsi="Arial"/>
          <w:sz w:val="16"/>
          <w:szCs w:val="16"/>
          <w:color w:val="4800E6"/>
        </w:rPr>
      </w:pPr>
    </w:p>
    <w:p>
      <w:pPr>
        <w:ind w:left="920" w:hanging="156"/>
        <w:spacing w:after="0"/>
        <w:tabs>
          <w:tab w:leader="none" w:pos="920" w:val="left"/>
        </w:tabs>
        <w:numPr>
          <w:ilvl w:val="0"/>
          <w:numId w:val="59"/>
        </w:numPr>
        <w:rPr>
          <w:rFonts w:ascii="Arial" w:cs="Arial" w:eastAsia="Arial" w:hAnsi="Arial"/>
          <w:sz w:val="16"/>
          <w:szCs w:val="16"/>
          <w:color w:val="4800E6"/>
        </w:rPr>
      </w:pPr>
      <w:r>
        <w:rPr>
          <w:rFonts w:ascii="Arial" w:cs="Arial" w:eastAsia="Arial" w:hAnsi="Arial"/>
          <w:sz w:val="16"/>
          <w:szCs w:val="16"/>
          <w:color w:val="auto"/>
        </w:rPr>
        <w:t>medical and dependent care flexible spending accounts;</w:t>
      </w:r>
    </w:p>
    <w:p>
      <w:pPr>
        <w:spacing w:after="0" w:line="32" w:lineRule="exact"/>
        <w:rPr>
          <w:rFonts w:ascii="Arial" w:cs="Arial" w:eastAsia="Arial" w:hAnsi="Arial"/>
          <w:sz w:val="16"/>
          <w:szCs w:val="16"/>
          <w:color w:val="4800E6"/>
        </w:rPr>
      </w:pPr>
    </w:p>
    <w:p>
      <w:pPr>
        <w:ind w:left="920" w:hanging="156"/>
        <w:spacing w:after="0"/>
        <w:tabs>
          <w:tab w:leader="none" w:pos="920" w:val="left"/>
        </w:tabs>
        <w:numPr>
          <w:ilvl w:val="0"/>
          <w:numId w:val="59"/>
        </w:numPr>
        <w:rPr>
          <w:rFonts w:ascii="Arial" w:cs="Arial" w:eastAsia="Arial" w:hAnsi="Arial"/>
          <w:sz w:val="16"/>
          <w:szCs w:val="16"/>
          <w:color w:val="4800E6"/>
        </w:rPr>
      </w:pPr>
      <w:r>
        <w:rPr>
          <w:rFonts w:ascii="Arial" w:cs="Arial" w:eastAsia="Arial" w:hAnsi="Arial"/>
          <w:sz w:val="16"/>
          <w:szCs w:val="16"/>
          <w:color w:val="auto"/>
        </w:rPr>
        <w:t>short-term and long-term disability insurance; and</w:t>
      </w:r>
    </w:p>
    <w:p>
      <w:pPr>
        <w:spacing w:after="0" w:line="45" w:lineRule="exact"/>
        <w:rPr>
          <w:rFonts w:ascii="Arial" w:cs="Arial" w:eastAsia="Arial" w:hAnsi="Arial"/>
          <w:sz w:val="16"/>
          <w:szCs w:val="16"/>
          <w:color w:val="4800E6"/>
        </w:rPr>
      </w:pPr>
    </w:p>
    <w:p>
      <w:pPr>
        <w:ind w:left="920" w:hanging="156"/>
        <w:spacing w:after="0"/>
        <w:tabs>
          <w:tab w:leader="none" w:pos="920" w:val="left"/>
        </w:tabs>
        <w:numPr>
          <w:ilvl w:val="0"/>
          <w:numId w:val="59"/>
        </w:numPr>
        <w:rPr>
          <w:rFonts w:ascii="Arial" w:cs="Arial" w:eastAsia="Arial" w:hAnsi="Arial"/>
          <w:sz w:val="16"/>
          <w:szCs w:val="16"/>
          <w:color w:val="4800E6"/>
        </w:rPr>
      </w:pPr>
      <w:r>
        <w:rPr>
          <w:rFonts w:ascii="Arial" w:cs="Arial" w:eastAsia="Arial" w:hAnsi="Arial"/>
          <w:sz w:val="16"/>
          <w:szCs w:val="16"/>
          <w:color w:val="auto"/>
        </w:rPr>
        <w:t>group term life insurance.</w:t>
      </w:r>
    </w:p>
    <w:p>
      <w:pPr>
        <w:spacing w:after="0" w:line="100" w:lineRule="exact"/>
        <w:rPr>
          <w:sz w:val="20"/>
          <w:szCs w:val="20"/>
          <w:color w:val="auto"/>
        </w:rPr>
      </w:pPr>
    </w:p>
    <w:p>
      <w:pPr>
        <w:ind w:left="760" w:right="199"/>
        <w:spacing w:after="0" w:line="273" w:lineRule="auto"/>
        <w:rPr>
          <w:sz w:val="20"/>
          <w:szCs w:val="20"/>
          <w:color w:val="auto"/>
        </w:rPr>
      </w:pPr>
      <w:r>
        <w:rPr>
          <w:rFonts w:ascii="Arial" w:cs="Arial" w:eastAsia="Arial" w:hAnsi="Arial"/>
          <w:sz w:val="15"/>
          <w:szCs w:val="15"/>
          <w:color w:val="auto"/>
        </w:rPr>
        <w:t>Outside the US, our employees are generally covered by a state-run health plan and may be eligible to participate in a supplemental health plan, depending on their geography and position in the Company. Our NEOs based in the UK, Ms. Skeffington and Messrs. McDonald, Huston and Simpson, are eligible to receive Company-paid supplemental private health insurance, group term life insurance, disability insurance, a gym membership and, with exception of Mr. McDonald, tax assistance support.</w:t>
      </w:r>
    </w:p>
    <w:p>
      <w:pPr>
        <w:spacing w:after="0" w:line="229" w:lineRule="exact"/>
        <w:rPr>
          <w:sz w:val="20"/>
          <w:szCs w:val="20"/>
          <w:color w:val="auto"/>
        </w:rPr>
      </w:pPr>
    </w:p>
    <w:p>
      <w:pPr>
        <w:ind w:left="760"/>
        <w:spacing w:after="0"/>
        <w:rPr>
          <w:sz w:val="20"/>
          <w:szCs w:val="20"/>
          <w:color w:val="auto"/>
        </w:rPr>
      </w:pPr>
      <w:r>
        <w:rPr>
          <w:rFonts w:ascii="Arial" w:cs="Arial" w:eastAsia="Arial" w:hAnsi="Arial"/>
          <w:sz w:val="23"/>
          <w:szCs w:val="23"/>
          <w:b w:val="1"/>
          <w:bCs w:val="1"/>
          <w:color w:val="auto"/>
        </w:rPr>
        <w:t>2020 Compensation Program and Other Subsequent Events</w:t>
      </w:r>
    </w:p>
    <w:p>
      <w:pPr>
        <w:spacing w:after="0" w:line="218" w:lineRule="exact"/>
        <w:rPr>
          <w:sz w:val="20"/>
          <w:szCs w:val="20"/>
          <w:color w:val="auto"/>
        </w:rPr>
      </w:pPr>
    </w:p>
    <w:p>
      <w:pPr>
        <w:ind w:left="760"/>
        <w:spacing w:after="0"/>
        <w:rPr>
          <w:sz w:val="20"/>
          <w:szCs w:val="20"/>
          <w:color w:val="auto"/>
        </w:rPr>
      </w:pPr>
      <w:r>
        <w:rPr>
          <w:rFonts w:ascii="Arial" w:cs="Arial" w:eastAsia="Arial" w:hAnsi="Arial"/>
          <w:sz w:val="20"/>
          <w:szCs w:val="20"/>
          <w:b w:val="1"/>
          <w:bCs w:val="1"/>
          <w:color w:val="FF4C4C"/>
        </w:rPr>
        <w:t>Compensation Committee Actions – 2020</w:t>
      </w:r>
    </w:p>
    <w:p>
      <w:pPr>
        <w:spacing w:after="0" w:line="110" w:lineRule="exact"/>
        <w:rPr>
          <w:sz w:val="20"/>
          <w:szCs w:val="20"/>
          <w:color w:val="auto"/>
        </w:rPr>
      </w:pPr>
    </w:p>
    <w:p>
      <w:pPr>
        <w:ind w:left="760"/>
        <w:spacing w:after="0"/>
        <w:rPr>
          <w:sz w:val="20"/>
          <w:szCs w:val="20"/>
          <w:color w:val="auto"/>
        </w:rPr>
      </w:pPr>
      <w:r>
        <w:rPr>
          <w:rFonts w:ascii="Arial" w:cs="Arial" w:eastAsia="Arial" w:hAnsi="Arial"/>
          <w:sz w:val="16"/>
          <w:szCs w:val="16"/>
          <w:color w:val="auto"/>
        </w:rPr>
        <w:t>The Compensation Committee took the following actions in 2020:</w:t>
      </w:r>
    </w:p>
    <w:p>
      <w:pPr>
        <w:spacing w:after="0" w:line="46" w:lineRule="exact"/>
        <w:rPr>
          <w:sz w:val="20"/>
          <w:szCs w:val="20"/>
          <w:color w:val="auto"/>
        </w:rPr>
      </w:pPr>
    </w:p>
    <w:p>
      <w:pPr>
        <w:ind w:left="920" w:hanging="156"/>
        <w:spacing w:after="0"/>
        <w:tabs>
          <w:tab w:leader="none" w:pos="920" w:val="left"/>
        </w:tabs>
        <w:numPr>
          <w:ilvl w:val="0"/>
          <w:numId w:val="60"/>
        </w:numPr>
        <w:rPr>
          <w:rFonts w:ascii="Arial" w:cs="Arial" w:eastAsia="Arial" w:hAnsi="Arial"/>
          <w:sz w:val="16"/>
          <w:szCs w:val="16"/>
          <w:color w:val="4800E6"/>
        </w:rPr>
      </w:pPr>
      <w:r>
        <w:rPr>
          <w:rFonts w:ascii="Arial" w:cs="Arial" w:eastAsia="Arial" w:hAnsi="Arial"/>
          <w:sz w:val="16"/>
          <w:szCs w:val="16"/>
          <w:color w:val="auto"/>
        </w:rPr>
        <w:t>Approved the 2020 STIP and the 2020 LTIP;</w:t>
      </w:r>
    </w:p>
    <w:p>
      <w:pPr>
        <w:spacing w:after="0" w:line="45" w:lineRule="exact"/>
        <w:rPr>
          <w:rFonts w:ascii="Arial" w:cs="Arial" w:eastAsia="Arial" w:hAnsi="Arial"/>
          <w:sz w:val="16"/>
          <w:szCs w:val="16"/>
          <w:color w:val="4800E6"/>
        </w:rPr>
      </w:pPr>
    </w:p>
    <w:p>
      <w:pPr>
        <w:ind w:left="920" w:hanging="156"/>
        <w:spacing w:after="0"/>
        <w:tabs>
          <w:tab w:leader="none" w:pos="920" w:val="left"/>
        </w:tabs>
        <w:numPr>
          <w:ilvl w:val="0"/>
          <w:numId w:val="60"/>
        </w:numPr>
        <w:rPr>
          <w:rFonts w:ascii="Arial" w:cs="Arial" w:eastAsia="Arial" w:hAnsi="Arial"/>
          <w:sz w:val="16"/>
          <w:szCs w:val="16"/>
          <w:color w:val="4800E6"/>
        </w:rPr>
      </w:pPr>
      <w:r>
        <w:rPr>
          <w:rFonts w:ascii="Arial" w:cs="Arial" w:eastAsia="Arial" w:hAnsi="Arial"/>
          <w:sz w:val="16"/>
          <w:szCs w:val="16"/>
          <w:color w:val="auto"/>
        </w:rPr>
        <w:t>Reappointed Pearl Meyer as compensation advisors for the 2020 financial reporting year;</w:t>
      </w:r>
    </w:p>
    <w:p>
      <w:pPr>
        <w:spacing w:after="0" w:line="32" w:lineRule="exact"/>
        <w:rPr>
          <w:rFonts w:ascii="Arial" w:cs="Arial" w:eastAsia="Arial" w:hAnsi="Arial"/>
          <w:sz w:val="16"/>
          <w:szCs w:val="16"/>
          <w:color w:val="4800E6"/>
        </w:rPr>
      </w:pPr>
    </w:p>
    <w:p>
      <w:pPr>
        <w:ind w:left="920" w:hanging="156"/>
        <w:spacing w:after="0"/>
        <w:tabs>
          <w:tab w:leader="none" w:pos="920" w:val="left"/>
        </w:tabs>
        <w:numPr>
          <w:ilvl w:val="0"/>
          <w:numId w:val="60"/>
        </w:numPr>
        <w:rPr>
          <w:rFonts w:ascii="Arial" w:cs="Arial" w:eastAsia="Arial" w:hAnsi="Arial"/>
          <w:sz w:val="16"/>
          <w:szCs w:val="16"/>
          <w:color w:val="4800E6"/>
        </w:rPr>
      </w:pPr>
      <w:r>
        <w:rPr>
          <w:rFonts w:ascii="Arial" w:cs="Arial" w:eastAsia="Arial" w:hAnsi="Arial"/>
          <w:sz w:val="16"/>
          <w:szCs w:val="16"/>
          <w:color w:val="auto"/>
        </w:rPr>
        <w:t>Approved base salaries and STIP percentages for all NEOs;</w:t>
      </w:r>
    </w:p>
    <w:p>
      <w:pPr>
        <w:spacing w:after="0" w:line="45" w:lineRule="exact"/>
        <w:rPr>
          <w:rFonts w:ascii="Arial" w:cs="Arial" w:eastAsia="Arial" w:hAnsi="Arial"/>
          <w:sz w:val="16"/>
          <w:szCs w:val="16"/>
          <w:color w:val="4800E6"/>
        </w:rPr>
      </w:pPr>
    </w:p>
    <w:p>
      <w:pPr>
        <w:ind w:left="920" w:hanging="156"/>
        <w:spacing w:after="0"/>
        <w:tabs>
          <w:tab w:leader="none" w:pos="920" w:val="left"/>
        </w:tabs>
        <w:numPr>
          <w:ilvl w:val="0"/>
          <w:numId w:val="60"/>
        </w:numPr>
        <w:rPr>
          <w:rFonts w:ascii="Arial" w:cs="Arial" w:eastAsia="Arial" w:hAnsi="Arial"/>
          <w:sz w:val="16"/>
          <w:szCs w:val="16"/>
          <w:color w:val="4800E6"/>
        </w:rPr>
      </w:pPr>
      <w:r>
        <w:rPr>
          <w:rFonts w:ascii="Arial" w:cs="Arial" w:eastAsia="Arial" w:hAnsi="Arial"/>
          <w:sz w:val="16"/>
          <w:szCs w:val="16"/>
          <w:color w:val="auto"/>
        </w:rPr>
        <w:t>Approved the 2020 Peer Group; and</w:t>
      </w:r>
    </w:p>
    <w:p>
      <w:pPr>
        <w:spacing w:after="0" w:line="45" w:lineRule="exact"/>
        <w:rPr>
          <w:rFonts w:ascii="Arial" w:cs="Arial" w:eastAsia="Arial" w:hAnsi="Arial"/>
          <w:sz w:val="16"/>
          <w:szCs w:val="16"/>
          <w:color w:val="4800E6"/>
        </w:rPr>
      </w:pPr>
    </w:p>
    <w:p>
      <w:pPr>
        <w:ind w:left="920" w:right="499" w:hanging="156"/>
        <w:spacing w:after="0" w:line="260" w:lineRule="auto"/>
        <w:tabs>
          <w:tab w:leader="none" w:pos="920" w:val="left"/>
        </w:tabs>
        <w:numPr>
          <w:ilvl w:val="0"/>
          <w:numId w:val="60"/>
        </w:numPr>
        <w:rPr>
          <w:rFonts w:ascii="Arial" w:cs="Arial" w:eastAsia="Arial" w:hAnsi="Arial"/>
          <w:sz w:val="16"/>
          <w:szCs w:val="16"/>
          <w:color w:val="4800E6"/>
        </w:rPr>
      </w:pPr>
      <w:r>
        <w:rPr>
          <w:rFonts w:ascii="Arial" w:cs="Arial" w:eastAsia="Arial" w:hAnsi="Arial"/>
          <w:sz w:val="16"/>
          <w:szCs w:val="16"/>
          <w:color w:val="auto"/>
        </w:rPr>
        <w:t>Reduced the 2019 STIP payout to 25% at Target given the Company’s overall financial results. The 2019 STIP payout would otherwise have resulted in a 30% achievement at Target.</w:t>
      </w:r>
    </w:p>
    <w:p>
      <w:pPr>
        <w:spacing w:after="0" w:line="139" w:lineRule="exact"/>
        <w:rPr>
          <w:sz w:val="20"/>
          <w:szCs w:val="20"/>
          <w:color w:val="auto"/>
        </w:rPr>
      </w:pPr>
    </w:p>
    <w:p>
      <w:pPr>
        <w:ind w:left="760"/>
        <w:spacing w:after="0"/>
        <w:rPr>
          <w:sz w:val="20"/>
          <w:szCs w:val="20"/>
          <w:color w:val="auto"/>
        </w:rPr>
      </w:pPr>
      <w:r>
        <w:rPr>
          <w:rFonts w:ascii="Arial" w:cs="Arial" w:eastAsia="Arial" w:hAnsi="Arial"/>
          <w:sz w:val="20"/>
          <w:szCs w:val="20"/>
          <w:b w:val="1"/>
          <w:bCs w:val="1"/>
          <w:color w:val="FF4C4C"/>
        </w:rPr>
        <w:t>2020 Base Salary</w:t>
      </w:r>
    </w:p>
    <w:p>
      <w:pPr>
        <w:spacing w:after="0" w:line="124" w:lineRule="exact"/>
        <w:rPr>
          <w:sz w:val="20"/>
          <w:szCs w:val="20"/>
          <w:color w:val="auto"/>
        </w:rPr>
      </w:pPr>
    </w:p>
    <w:p>
      <w:pPr>
        <w:jc w:val="both"/>
        <w:ind w:left="760" w:right="499"/>
        <w:spacing w:after="0" w:line="253" w:lineRule="auto"/>
        <w:rPr>
          <w:sz w:val="20"/>
          <w:szCs w:val="20"/>
          <w:color w:val="auto"/>
        </w:rPr>
      </w:pPr>
      <w:r>
        <w:rPr>
          <w:rFonts w:ascii="Arial" w:cs="Arial" w:eastAsia="Arial" w:hAnsi="Arial"/>
          <w:sz w:val="16"/>
          <w:szCs w:val="16"/>
          <w:color w:val="auto"/>
        </w:rPr>
        <w:t>On March 30, 2020, the Compensation Committee approved adjustments to the base salaries and Target percentages of Base Salary under the 2020 STIP for our executive officers, including the NEOs (other than Messrs. Andrle and Simpson who are no longer executive officers), effective as of April 1, 2020 as set forth below:</w:t>
      </w:r>
    </w:p>
    <w:p>
      <w:pPr>
        <w:spacing w:after="0" w:line="132" w:lineRule="exact"/>
        <w:rPr>
          <w:sz w:val="20"/>
          <w:szCs w:val="20"/>
          <w:color w:val="auto"/>
        </w:rPr>
      </w:pPr>
    </w:p>
    <w:tbl>
      <w:tblPr>
        <w:tblLayout w:type="fixed"/>
        <w:tblInd w:w="760" w:type="dxa"/>
        <w:tblCellMar>
          <w:top w:w="0" w:type="dxa"/>
          <w:left w:w="0" w:type="dxa"/>
          <w:bottom w:w="0" w:type="dxa"/>
          <w:right w:w="0" w:type="dxa"/>
        </w:tblCellMar>
      </w:tblPr>
      <w:tr>
        <w:trPr>
          <w:trHeight w:val="162"/>
        </w:trPr>
        <w:tc>
          <w:tcPr>
            <w:tcW w:w="3020" w:type="dxa"/>
            <w:vAlign w:val="bottom"/>
          </w:tcPr>
          <w:p>
            <w:pPr>
              <w:spacing w:after="0"/>
              <w:rPr>
                <w:sz w:val="14"/>
                <w:szCs w:val="14"/>
                <w:color w:val="auto"/>
              </w:rPr>
            </w:pPr>
          </w:p>
        </w:tc>
        <w:tc>
          <w:tcPr>
            <w:tcW w:w="3060" w:type="dxa"/>
            <w:vAlign w:val="bottom"/>
          </w:tcPr>
          <w:p>
            <w:pPr>
              <w:jc w:val="right"/>
              <w:ind w:right="85"/>
              <w:spacing w:after="0"/>
              <w:rPr>
                <w:sz w:val="20"/>
                <w:szCs w:val="20"/>
                <w:color w:val="auto"/>
              </w:rPr>
            </w:pPr>
            <w:r>
              <w:rPr>
                <w:rFonts w:ascii="Arial" w:cs="Arial" w:eastAsia="Arial" w:hAnsi="Arial"/>
                <w:sz w:val="14"/>
                <w:szCs w:val="14"/>
                <w:b w:val="1"/>
                <w:bCs w:val="1"/>
                <w:color w:val="4800E6"/>
              </w:rPr>
              <w:t>2020 Base Salary</w:t>
            </w:r>
          </w:p>
        </w:tc>
        <w:tc>
          <w:tcPr>
            <w:tcW w:w="900" w:type="dxa"/>
            <w:vAlign w:val="bottom"/>
          </w:tcPr>
          <w:p>
            <w:pPr>
              <w:jc w:val="right"/>
              <w:ind w:right="85"/>
              <w:spacing w:after="0"/>
              <w:rPr>
                <w:sz w:val="20"/>
                <w:szCs w:val="20"/>
                <w:color w:val="auto"/>
              </w:rPr>
            </w:pPr>
            <w:r>
              <w:rPr>
                <w:rFonts w:ascii="Arial" w:cs="Arial" w:eastAsia="Arial" w:hAnsi="Arial"/>
                <w:sz w:val="14"/>
                <w:szCs w:val="14"/>
                <w:b w:val="1"/>
                <w:bCs w:val="1"/>
                <w:color w:val="4800E6"/>
              </w:rPr>
              <w:t>Increase</w:t>
            </w:r>
          </w:p>
        </w:tc>
        <w:tc>
          <w:tcPr>
            <w:tcW w:w="1120" w:type="dxa"/>
            <w:vAlign w:val="bottom"/>
          </w:tcPr>
          <w:p>
            <w:pPr>
              <w:jc w:val="right"/>
              <w:ind w:right="85"/>
              <w:spacing w:after="0"/>
              <w:rPr>
                <w:sz w:val="20"/>
                <w:szCs w:val="20"/>
                <w:color w:val="auto"/>
              </w:rPr>
            </w:pPr>
            <w:r>
              <w:rPr>
                <w:rFonts w:ascii="Arial" w:cs="Arial" w:eastAsia="Arial" w:hAnsi="Arial"/>
                <w:sz w:val="14"/>
                <w:szCs w:val="14"/>
                <w:b w:val="1"/>
                <w:bCs w:val="1"/>
                <w:color w:val="4800E6"/>
              </w:rPr>
              <w:t>2020 STIP at</w:t>
            </w:r>
          </w:p>
        </w:tc>
        <w:tc>
          <w:tcPr>
            <w:tcW w:w="1080" w:type="dxa"/>
            <w:vAlign w:val="bottom"/>
          </w:tcPr>
          <w:p>
            <w:pPr>
              <w:jc w:val="right"/>
              <w:ind w:right="25"/>
              <w:spacing w:after="0"/>
              <w:rPr>
                <w:sz w:val="20"/>
                <w:szCs w:val="20"/>
                <w:color w:val="auto"/>
              </w:rPr>
            </w:pPr>
            <w:r>
              <w:rPr>
                <w:rFonts w:ascii="Arial" w:cs="Arial" w:eastAsia="Arial" w:hAnsi="Arial"/>
                <w:sz w:val="14"/>
                <w:szCs w:val="14"/>
                <w:b w:val="1"/>
                <w:bCs w:val="1"/>
                <w:color w:val="4800E6"/>
              </w:rPr>
              <w:t>Change from</w:t>
            </w:r>
          </w:p>
        </w:tc>
      </w:tr>
      <w:tr>
        <w:trPr>
          <w:trHeight w:val="196"/>
        </w:trPr>
        <w:tc>
          <w:tcPr>
            <w:tcW w:w="3020" w:type="dxa"/>
            <w:vAlign w:val="bottom"/>
            <w:tcBorders>
              <w:bottom w:val="single" w:sz="8" w:color="4800E6"/>
            </w:tcBorders>
          </w:tcPr>
          <w:p>
            <w:pPr>
              <w:spacing w:after="0"/>
              <w:rPr>
                <w:sz w:val="17"/>
                <w:szCs w:val="17"/>
                <w:color w:val="auto"/>
              </w:rPr>
            </w:pPr>
          </w:p>
        </w:tc>
        <w:tc>
          <w:tcPr>
            <w:tcW w:w="3060" w:type="dxa"/>
            <w:vAlign w:val="bottom"/>
            <w:tcBorders>
              <w:bottom w:val="single" w:sz="8" w:color="4800E6"/>
            </w:tcBorders>
          </w:tcPr>
          <w:p>
            <w:pPr>
              <w:jc w:val="right"/>
              <w:ind w:right="45"/>
              <w:spacing w:after="0"/>
              <w:rPr>
                <w:sz w:val="20"/>
                <w:szCs w:val="20"/>
                <w:color w:val="auto"/>
              </w:rPr>
            </w:pPr>
            <w:r>
              <w:rPr>
                <w:rFonts w:ascii="Arial" w:cs="Arial" w:eastAsia="Arial" w:hAnsi="Arial"/>
                <w:sz w:val="14"/>
                <w:szCs w:val="14"/>
                <w:b w:val="1"/>
                <w:bCs w:val="1"/>
                <w:color w:val="4800E6"/>
              </w:rPr>
              <w:t>($)</w:t>
            </w:r>
          </w:p>
        </w:tc>
        <w:tc>
          <w:tcPr>
            <w:tcW w:w="900" w:type="dxa"/>
            <w:vAlign w:val="bottom"/>
            <w:tcBorders>
              <w:bottom w:val="single" w:sz="8" w:color="4800E6"/>
            </w:tcBorders>
          </w:tcPr>
          <w:p>
            <w:pPr>
              <w:jc w:val="right"/>
              <w:ind w:right="45"/>
              <w:spacing w:after="0"/>
              <w:rPr>
                <w:sz w:val="20"/>
                <w:szCs w:val="20"/>
                <w:color w:val="auto"/>
              </w:rPr>
            </w:pPr>
            <w:r>
              <w:rPr>
                <w:rFonts w:ascii="Arial" w:cs="Arial" w:eastAsia="Arial" w:hAnsi="Arial"/>
                <w:sz w:val="14"/>
                <w:szCs w:val="14"/>
                <w:b w:val="1"/>
                <w:bCs w:val="1"/>
                <w:color w:val="4800E6"/>
              </w:rPr>
              <w:t>from 2019</w:t>
            </w:r>
          </w:p>
        </w:tc>
        <w:tc>
          <w:tcPr>
            <w:tcW w:w="1120" w:type="dxa"/>
            <w:vAlign w:val="bottom"/>
            <w:tcBorders>
              <w:bottom w:val="single" w:sz="8" w:color="4800E6"/>
            </w:tcBorders>
          </w:tcPr>
          <w:p>
            <w:pPr>
              <w:jc w:val="right"/>
              <w:ind w:right="45"/>
              <w:spacing w:after="0"/>
              <w:rPr>
                <w:sz w:val="20"/>
                <w:szCs w:val="20"/>
                <w:color w:val="auto"/>
              </w:rPr>
            </w:pPr>
            <w:r>
              <w:rPr>
                <w:rFonts w:ascii="Arial" w:cs="Arial" w:eastAsia="Arial" w:hAnsi="Arial"/>
                <w:sz w:val="14"/>
                <w:szCs w:val="14"/>
                <w:b w:val="1"/>
                <w:bCs w:val="1"/>
                <w:color w:val="4800E6"/>
              </w:rPr>
              <w:t>Target</w:t>
            </w:r>
          </w:p>
        </w:tc>
        <w:tc>
          <w:tcPr>
            <w:tcW w:w="1080" w:type="dxa"/>
            <w:vAlign w:val="bottom"/>
            <w:tcBorders>
              <w:bottom w:val="single" w:sz="8" w:color="4800E6"/>
            </w:tcBorders>
          </w:tcPr>
          <w:p>
            <w:pPr>
              <w:jc w:val="right"/>
              <w:spacing w:after="0"/>
              <w:rPr>
                <w:sz w:val="20"/>
                <w:szCs w:val="20"/>
                <w:color w:val="auto"/>
              </w:rPr>
            </w:pPr>
            <w:r>
              <w:rPr>
                <w:rFonts w:ascii="Arial" w:cs="Arial" w:eastAsia="Arial" w:hAnsi="Arial"/>
                <w:sz w:val="14"/>
                <w:szCs w:val="14"/>
                <w:b w:val="1"/>
                <w:bCs w:val="1"/>
                <w:color w:val="4800E6"/>
              </w:rPr>
              <w:t>2019</w:t>
            </w:r>
          </w:p>
        </w:tc>
      </w:tr>
      <w:tr>
        <w:trPr>
          <w:trHeight w:val="221"/>
        </w:trPr>
        <w:tc>
          <w:tcPr>
            <w:tcW w:w="3020" w:type="dxa"/>
            <w:vAlign w:val="bottom"/>
          </w:tcPr>
          <w:p>
            <w:pPr>
              <w:ind w:left="40"/>
              <w:spacing w:after="0"/>
              <w:rPr>
                <w:sz w:val="20"/>
                <w:szCs w:val="20"/>
                <w:color w:val="auto"/>
              </w:rPr>
            </w:pPr>
            <w:r>
              <w:rPr>
                <w:rFonts w:ascii="Arial" w:cs="Arial" w:eastAsia="Arial" w:hAnsi="Arial"/>
                <w:sz w:val="15"/>
                <w:szCs w:val="15"/>
                <w:color w:val="auto"/>
              </w:rPr>
              <w:t>Damien McDonald</w:t>
            </w:r>
          </w:p>
        </w:tc>
        <w:tc>
          <w:tcPr>
            <w:tcW w:w="3060" w:type="dxa"/>
            <w:vAlign w:val="bottom"/>
          </w:tcPr>
          <w:p>
            <w:pPr>
              <w:jc w:val="right"/>
              <w:ind w:right="25"/>
              <w:spacing w:after="0"/>
              <w:rPr>
                <w:sz w:val="20"/>
                <w:szCs w:val="20"/>
                <w:color w:val="auto"/>
              </w:rPr>
            </w:pPr>
            <w:r>
              <w:rPr>
                <w:rFonts w:ascii="Arial" w:cs="Arial" w:eastAsia="Arial" w:hAnsi="Arial"/>
                <w:sz w:val="15"/>
                <w:szCs w:val="15"/>
                <w:color w:val="auto"/>
              </w:rPr>
              <w:t>979,862</w:t>
            </w:r>
          </w:p>
        </w:tc>
        <w:tc>
          <w:tcPr>
            <w:tcW w:w="900" w:type="dxa"/>
            <w:vAlign w:val="bottom"/>
          </w:tcPr>
          <w:p>
            <w:pPr>
              <w:jc w:val="right"/>
              <w:ind w:right="25"/>
              <w:spacing w:after="0"/>
              <w:rPr>
                <w:sz w:val="20"/>
                <w:szCs w:val="20"/>
                <w:color w:val="auto"/>
              </w:rPr>
            </w:pPr>
            <w:r>
              <w:rPr>
                <w:rFonts w:ascii="Arial" w:cs="Arial" w:eastAsia="Arial" w:hAnsi="Arial"/>
                <w:sz w:val="15"/>
                <w:szCs w:val="15"/>
                <w:color w:val="auto"/>
              </w:rPr>
              <w:t>5%</w:t>
            </w:r>
          </w:p>
        </w:tc>
        <w:tc>
          <w:tcPr>
            <w:tcW w:w="1120" w:type="dxa"/>
            <w:vAlign w:val="bottom"/>
          </w:tcPr>
          <w:p>
            <w:pPr>
              <w:jc w:val="right"/>
              <w:ind w:right="45"/>
              <w:spacing w:after="0"/>
              <w:rPr>
                <w:sz w:val="20"/>
                <w:szCs w:val="20"/>
                <w:color w:val="auto"/>
              </w:rPr>
            </w:pPr>
            <w:r>
              <w:rPr>
                <w:rFonts w:ascii="Arial" w:cs="Arial" w:eastAsia="Arial" w:hAnsi="Arial"/>
                <w:sz w:val="15"/>
                <w:szCs w:val="15"/>
                <w:color w:val="auto"/>
              </w:rPr>
              <w:t>125%</w:t>
            </w:r>
          </w:p>
        </w:tc>
        <w:tc>
          <w:tcPr>
            <w:tcW w:w="1080" w:type="dxa"/>
            <w:vAlign w:val="bottom"/>
          </w:tcPr>
          <w:p>
            <w:pPr>
              <w:jc w:val="right"/>
              <w:spacing w:after="0"/>
              <w:rPr>
                <w:sz w:val="20"/>
                <w:szCs w:val="20"/>
                <w:color w:val="auto"/>
              </w:rPr>
            </w:pPr>
            <w:r>
              <w:rPr>
                <w:rFonts w:ascii="Arial" w:cs="Arial" w:eastAsia="Arial" w:hAnsi="Arial"/>
                <w:sz w:val="15"/>
                <w:szCs w:val="15"/>
                <w:color w:val="auto"/>
              </w:rPr>
              <w:t>–</w:t>
            </w:r>
          </w:p>
        </w:tc>
      </w:tr>
      <w:tr>
        <w:trPr>
          <w:trHeight w:val="22"/>
        </w:trPr>
        <w:tc>
          <w:tcPr>
            <w:tcW w:w="3020" w:type="dxa"/>
            <w:vAlign w:val="bottom"/>
          </w:tcPr>
          <w:p>
            <w:pPr>
              <w:spacing w:after="0" w:line="20" w:lineRule="exact"/>
              <w:rPr>
                <w:sz w:val="1"/>
                <w:szCs w:val="1"/>
                <w:color w:val="auto"/>
              </w:rPr>
            </w:pPr>
          </w:p>
        </w:tc>
        <w:tc>
          <w:tcPr>
            <w:tcW w:w="306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r>
      <w:tr>
        <w:trPr>
          <w:trHeight w:val="250"/>
        </w:trPr>
        <w:tc>
          <w:tcPr>
            <w:tcW w:w="3020" w:type="dxa"/>
            <w:vAlign w:val="bottom"/>
            <w:tcBorders>
              <w:bottom w:val="single" w:sz="8" w:color="EFE9FC"/>
            </w:tcBorders>
            <w:shd w:val="clear" w:color="auto" w:fill="EFE9FC"/>
          </w:tcPr>
          <w:p>
            <w:pPr>
              <w:ind w:left="40"/>
              <w:spacing w:after="0"/>
              <w:rPr>
                <w:sz w:val="20"/>
                <w:szCs w:val="20"/>
                <w:color w:val="auto"/>
              </w:rPr>
            </w:pPr>
            <w:r>
              <w:rPr>
                <w:rFonts w:ascii="Arial" w:cs="Arial" w:eastAsia="Arial" w:hAnsi="Arial"/>
                <w:sz w:val="15"/>
                <w:szCs w:val="15"/>
                <w:color w:val="auto"/>
              </w:rPr>
              <w:t>Thad Huston</w:t>
            </w:r>
          </w:p>
        </w:tc>
        <w:tc>
          <w:tcPr>
            <w:tcW w:w="3060" w:type="dxa"/>
            <w:vAlign w:val="bottom"/>
            <w:tcBorders>
              <w:bottom w:val="single" w:sz="8" w:color="EFE9FC"/>
            </w:tcBorders>
            <w:shd w:val="clear" w:color="auto" w:fill="EFE9FC"/>
          </w:tcPr>
          <w:p>
            <w:pPr>
              <w:jc w:val="right"/>
              <w:ind w:right="25"/>
              <w:spacing w:after="0"/>
              <w:rPr>
                <w:sz w:val="20"/>
                <w:szCs w:val="20"/>
                <w:color w:val="auto"/>
              </w:rPr>
            </w:pPr>
            <w:r>
              <w:rPr>
                <w:rFonts w:ascii="Arial" w:cs="Arial" w:eastAsia="Arial" w:hAnsi="Arial"/>
                <w:sz w:val="15"/>
                <w:szCs w:val="15"/>
                <w:color w:val="auto"/>
              </w:rPr>
              <w:t>532,174</w:t>
            </w:r>
          </w:p>
        </w:tc>
        <w:tc>
          <w:tcPr>
            <w:tcW w:w="900" w:type="dxa"/>
            <w:vAlign w:val="bottom"/>
            <w:tcBorders>
              <w:bottom w:val="single" w:sz="8" w:color="EFE9FC"/>
            </w:tcBorders>
            <w:shd w:val="clear" w:color="auto" w:fill="EFE9FC"/>
          </w:tcPr>
          <w:p>
            <w:pPr>
              <w:jc w:val="right"/>
              <w:ind w:right="25"/>
              <w:spacing w:after="0"/>
              <w:rPr>
                <w:sz w:val="20"/>
                <w:szCs w:val="20"/>
                <w:color w:val="auto"/>
              </w:rPr>
            </w:pPr>
            <w:r>
              <w:rPr>
                <w:rFonts w:ascii="Arial" w:cs="Arial" w:eastAsia="Arial" w:hAnsi="Arial"/>
                <w:sz w:val="15"/>
                <w:szCs w:val="15"/>
                <w:color w:val="auto"/>
              </w:rPr>
              <w:t>3%</w:t>
            </w:r>
          </w:p>
        </w:tc>
        <w:tc>
          <w:tcPr>
            <w:tcW w:w="1120" w:type="dxa"/>
            <w:vAlign w:val="bottom"/>
            <w:tcBorders>
              <w:bottom w:val="single" w:sz="8" w:color="EFE9FC"/>
            </w:tcBorders>
            <w:shd w:val="clear" w:color="auto" w:fill="EFE9FC"/>
          </w:tcPr>
          <w:p>
            <w:pPr>
              <w:jc w:val="right"/>
              <w:ind w:right="45"/>
              <w:spacing w:after="0"/>
              <w:rPr>
                <w:sz w:val="20"/>
                <w:szCs w:val="20"/>
                <w:color w:val="auto"/>
              </w:rPr>
            </w:pPr>
            <w:r>
              <w:rPr>
                <w:rFonts w:ascii="Arial" w:cs="Arial" w:eastAsia="Arial" w:hAnsi="Arial"/>
                <w:sz w:val="15"/>
                <w:szCs w:val="15"/>
                <w:color w:val="auto"/>
              </w:rPr>
              <w:t>90%</w:t>
            </w:r>
          </w:p>
        </w:tc>
        <w:tc>
          <w:tcPr>
            <w:tcW w:w="1080" w:type="dxa"/>
            <w:vAlign w:val="bottom"/>
            <w:tcBorders>
              <w:bottom w:val="single" w:sz="8" w:color="EFE9FC"/>
            </w:tcBorders>
            <w:shd w:val="clear" w:color="auto" w:fill="EFE9FC"/>
          </w:tcPr>
          <w:p>
            <w:pPr>
              <w:jc w:val="right"/>
              <w:spacing w:after="0"/>
              <w:rPr>
                <w:sz w:val="20"/>
                <w:szCs w:val="20"/>
                <w:color w:val="auto"/>
              </w:rPr>
            </w:pPr>
            <w:r>
              <w:rPr>
                <w:rFonts w:ascii="Arial" w:cs="Arial" w:eastAsia="Arial" w:hAnsi="Arial"/>
                <w:sz w:val="15"/>
                <w:szCs w:val="15"/>
                <w:color w:val="auto"/>
              </w:rPr>
              <w:t>–</w:t>
            </w:r>
          </w:p>
        </w:tc>
      </w:tr>
      <w:tr>
        <w:trPr>
          <w:trHeight w:val="221"/>
        </w:trPr>
        <w:tc>
          <w:tcPr>
            <w:tcW w:w="3020" w:type="dxa"/>
            <w:vAlign w:val="bottom"/>
          </w:tcPr>
          <w:p>
            <w:pPr>
              <w:ind w:left="40"/>
              <w:spacing w:after="0"/>
              <w:rPr>
                <w:sz w:val="20"/>
                <w:szCs w:val="20"/>
                <w:color w:val="auto"/>
              </w:rPr>
            </w:pPr>
            <w:r>
              <w:rPr>
                <w:rFonts w:ascii="Arial" w:cs="Arial" w:eastAsia="Arial" w:hAnsi="Arial"/>
                <w:sz w:val="15"/>
                <w:szCs w:val="15"/>
                <w:color w:val="auto"/>
              </w:rPr>
              <w:t>Keyna Skeffington</w:t>
            </w:r>
          </w:p>
        </w:tc>
        <w:tc>
          <w:tcPr>
            <w:tcW w:w="3060" w:type="dxa"/>
            <w:vAlign w:val="bottom"/>
          </w:tcPr>
          <w:p>
            <w:pPr>
              <w:jc w:val="right"/>
              <w:ind w:right="25"/>
              <w:spacing w:after="0"/>
              <w:rPr>
                <w:sz w:val="20"/>
                <w:szCs w:val="20"/>
                <w:color w:val="auto"/>
              </w:rPr>
            </w:pPr>
            <w:r>
              <w:rPr>
                <w:rFonts w:ascii="Arial" w:cs="Arial" w:eastAsia="Arial" w:hAnsi="Arial"/>
                <w:sz w:val="15"/>
                <w:szCs w:val="15"/>
                <w:color w:val="auto"/>
              </w:rPr>
              <w:t>459,776</w:t>
            </w:r>
          </w:p>
        </w:tc>
        <w:tc>
          <w:tcPr>
            <w:tcW w:w="900" w:type="dxa"/>
            <w:vAlign w:val="bottom"/>
          </w:tcPr>
          <w:p>
            <w:pPr>
              <w:jc w:val="right"/>
              <w:ind w:right="25"/>
              <w:spacing w:after="0"/>
              <w:rPr>
                <w:sz w:val="20"/>
                <w:szCs w:val="20"/>
                <w:color w:val="auto"/>
              </w:rPr>
            </w:pPr>
            <w:r>
              <w:rPr>
                <w:rFonts w:ascii="Arial" w:cs="Arial" w:eastAsia="Arial" w:hAnsi="Arial"/>
                <w:sz w:val="15"/>
                <w:szCs w:val="15"/>
                <w:color w:val="auto"/>
              </w:rPr>
              <w:t>6%</w:t>
            </w:r>
          </w:p>
        </w:tc>
        <w:tc>
          <w:tcPr>
            <w:tcW w:w="1120" w:type="dxa"/>
            <w:vAlign w:val="bottom"/>
          </w:tcPr>
          <w:p>
            <w:pPr>
              <w:jc w:val="right"/>
              <w:ind w:right="45"/>
              <w:spacing w:after="0"/>
              <w:rPr>
                <w:sz w:val="20"/>
                <w:szCs w:val="20"/>
                <w:color w:val="auto"/>
              </w:rPr>
            </w:pPr>
            <w:r>
              <w:rPr>
                <w:rFonts w:ascii="Arial" w:cs="Arial" w:eastAsia="Arial" w:hAnsi="Arial"/>
                <w:sz w:val="15"/>
                <w:szCs w:val="15"/>
                <w:color w:val="auto"/>
              </w:rPr>
              <w:t>70%</w:t>
            </w:r>
          </w:p>
        </w:tc>
        <w:tc>
          <w:tcPr>
            <w:tcW w:w="1080" w:type="dxa"/>
            <w:vAlign w:val="bottom"/>
          </w:tcPr>
          <w:p>
            <w:pPr>
              <w:jc w:val="right"/>
              <w:spacing w:after="0"/>
              <w:rPr>
                <w:sz w:val="20"/>
                <w:szCs w:val="20"/>
                <w:color w:val="auto"/>
              </w:rPr>
            </w:pPr>
            <w:r>
              <w:rPr>
                <w:rFonts w:ascii="Arial" w:cs="Arial" w:eastAsia="Arial" w:hAnsi="Arial"/>
                <w:sz w:val="15"/>
                <w:szCs w:val="15"/>
                <w:color w:val="auto"/>
              </w:rPr>
              <w: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485140</wp:posOffset>
            </wp:positionH>
            <wp:positionV relativeFrom="paragraph">
              <wp:posOffset>13970</wp:posOffset>
            </wp:positionV>
            <wp:extent cx="5829300" cy="8890"/>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5829300" cy="8890"/>
                    </a:xfrm>
                    <a:prstGeom prst="rect">
                      <a:avLst/>
                    </a:prstGeom>
                    <a:noFill/>
                  </pic:spPr>
                </pic:pic>
              </a:graphicData>
            </a:graphic>
          </wp:anchor>
        </w:drawing>
      </w:r>
    </w:p>
    <w:p>
      <w:pPr>
        <w:spacing w:after="0" w:line="27" w:lineRule="exact"/>
        <w:rPr>
          <w:sz w:val="20"/>
          <w:szCs w:val="20"/>
          <w:color w:val="auto"/>
        </w:rPr>
      </w:pPr>
    </w:p>
    <w:p>
      <w:pPr>
        <w:jc w:val="both"/>
        <w:ind w:left="980" w:right="359" w:hanging="216"/>
        <w:spacing w:after="0" w:line="259" w:lineRule="auto"/>
        <w:tabs>
          <w:tab w:leader="none" w:pos="980" w:val="left"/>
        </w:tabs>
        <w:numPr>
          <w:ilvl w:val="0"/>
          <w:numId w:val="61"/>
        </w:numPr>
        <w:rPr>
          <w:rFonts w:ascii="Arial" w:cs="Arial" w:eastAsia="Arial" w:hAnsi="Arial"/>
          <w:sz w:val="13"/>
          <w:szCs w:val="13"/>
          <w:i w:val="1"/>
          <w:iCs w:val="1"/>
          <w:color w:val="auto"/>
        </w:rPr>
      </w:pPr>
      <w:r>
        <w:rPr>
          <w:rFonts w:ascii="Arial" w:cs="Arial" w:eastAsia="Arial" w:hAnsi="Arial"/>
          <w:sz w:val="13"/>
          <w:szCs w:val="13"/>
          <w:i w:val="1"/>
          <w:iCs w:val="1"/>
          <w:color w:val="auto"/>
        </w:rPr>
        <w:t>For salary amounts, we used an exchange rate of $1.275738014 per British Pound, each of which reflects the applicable period average published rate from our BOPC Accounting System between January 1, 2019 and December 31, 2019. The BOPC Accounting System uses Bloomberg as a source to obtain exchange rates.</w:t>
      </w:r>
    </w:p>
    <w:p>
      <w:pPr>
        <w:sectPr>
          <w:pgSz w:w="11900" w:h="16838" w:orient="portrait"/>
          <w:cols w:equalWidth="0" w:num="1">
            <w:col w:w="10139"/>
          </w:cols>
          <w:pgMar w:left="320" w:top="132"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p>
      <w:pPr>
        <w:ind w:left="480"/>
        <w:spacing w:after="0"/>
        <w:tabs>
          <w:tab w:leader="none" w:pos="4400" w:val="left"/>
          <w:tab w:leader="none" w:pos="8760" w:val="left"/>
        </w:tabs>
        <w:rPr>
          <w:sz w:val="20"/>
          <w:szCs w:val="20"/>
          <w:color w:val="auto"/>
        </w:rPr>
      </w:pPr>
      <w:r>
        <w:rPr>
          <w:rFonts w:ascii="Arial" w:cs="Arial" w:eastAsia="Arial" w:hAnsi="Arial"/>
          <w:sz w:val="29"/>
          <w:szCs w:val="29"/>
          <w:b w:val="1"/>
          <w:bCs w:val="1"/>
          <w:color w:val="auto"/>
          <w:vertAlign w:val="subscript"/>
        </w:rPr>
        <w:t>35</w:t>
      </w:r>
      <w:r>
        <w:rPr>
          <w:sz w:val="20"/>
          <w:szCs w:val="20"/>
          <w:color w:val="auto"/>
        </w:rPr>
        <w:tab/>
      </w:r>
      <w:r>
        <w:rPr>
          <w:rFonts w:ascii="Arial" w:cs="Arial" w:eastAsia="Arial" w:hAnsi="Arial"/>
          <w:sz w:val="13"/>
          <w:szCs w:val="13"/>
          <w:b w:val="1"/>
          <w:bCs w:val="1"/>
          <w:color w:val="4800E6"/>
        </w:rPr>
        <w:t xml:space="preserve">LIVANOVA </w:t>
      </w:r>
      <w:r>
        <w:rPr>
          <w:rFonts w:ascii="Arial" w:cs="Arial" w:eastAsia="Arial" w:hAnsi="Arial"/>
          <w:sz w:val="13"/>
          <w:szCs w:val="13"/>
          <w:color w:val="000000"/>
        </w:rPr>
        <w:t>|</w:t>
      </w:r>
      <w:r>
        <w:rPr>
          <w:rFonts w:ascii="Arial" w:cs="Arial" w:eastAsia="Arial" w:hAnsi="Arial"/>
          <w:sz w:val="13"/>
          <w:szCs w:val="13"/>
          <w:b w:val="1"/>
          <w:bCs w:val="1"/>
          <w:color w:val="4800E6"/>
        </w:rPr>
        <w:t xml:space="preserve"> </w:t>
      </w:r>
      <w:r>
        <w:rPr>
          <w:rFonts w:ascii="Arial" w:cs="Arial" w:eastAsia="Arial" w:hAnsi="Arial"/>
          <w:sz w:val="13"/>
          <w:szCs w:val="13"/>
          <w:color w:val="4800E6"/>
        </w:rPr>
        <w:t>2020</w:t>
      </w:r>
      <w:r>
        <w:rPr>
          <w:rFonts w:ascii="Arial" w:cs="Arial" w:eastAsia="Arial" w:hAnsi="Arial"/>
          <w:sz w:val="13"/>
          <w:szCs w:val="13"/>
          <w:b w:val="1"/>
          <w:bCs w:val="1"/>
          <w:color w:val="4800E6"/>
        </w:rPr>
        <w:t xml:space="preserve"> </w:t>
      </w:r>
      <w:r>
        <w:rPr>
          <w:rFonts w:ascii="Arial" w:cs="Arial" w:eastAsia="Arial" w:hAnsi="Arial"/>
          <w:sz w:val="13"/>
          <w:szCs w:val="13"/>
          <w:color w:val="000000"/>
        </w:rPr>
        <w:t>Proxy Statement</w:t>
      </w:r>
      <w:r>
        <w:rPr>
          <w:sz w:val="20"/>
          <w:szCs w:val="20"/>
          <w:color w:val="auto"/>
        </w:rPr>
        <w:tab/>
      </w:r>
      <w:r>
        <w:rPr>
          <w:rFonts w:ascii="Arial" w:cs="Arial" w:eastAsia="Arial" w:hAnsi="Arial"/>
          <w:sz w:val="12"/>
          <w:szCs w:val="12"/>
          <w:b w:val="1"/>
          <w:bCs w:val="1"/>
          <w:color w:val="4800E6"/>
        </w:rPr>
        <w:t>www.livanova.com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561975</wp:posOffset>
            </wp:positionH>
            <wp:positionV relativeFrom="paragraph">
              <wp:posOffset>94615</wp:posOffset>
            </wp:positionV>
            <wp:extent cx="1954530" cy="8890"/>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1954530" cy="8890"/>
                    </a:xfrm>
                    <a:prstGeom prst="rect">
                      <a:avLst/>
                    </a:prstGeom>
                    <a:noFill/>
                  </pic:spPr>
                </pic:pic>
              </a:graphicData>
            </a:graphic>
          </wp:anchor>
        </w:drawing>
        <w:drawing>
          <wp:anchor simplePos="0" relativeHeight="251657728" behindDoc="1" locked="0" layoutInCell="0" allowOverlap="1">
            <wp:simplePos x="0" y="0"/>
            <wp:positionH relativeFrom="column">
              <wp:posOffset>4316730</wp:posOffset>
            </wp:positionH>
            <wp:positionV relativeFrom="paragraph">
              <wp:posOffset>94615</wp:posOffset>
            </wp:positionV>
            <wp:extent cx="1028700" cy="8890"/>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102870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231775</wp:posOffset>
            </wp:positionV>
            <wp:extent cx="6806565" cy="17145"/>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10139"/>
          </w:cols>
          <w:pgMar w:left="320" w:top="132" w:right="1440" w:bottom="1440" w:gutter="0" w:footer="0" w:header="0"/>
          <w:type w:val="continuous"/>
        </w:sectPr>
      </w:pPr>
    </w:p>
    <w:bookmarkStart w:id="39" w:name="page40"/>
    <w:bookmarkEnd w:id="39"/>
    <w:p>
      <w:pPr>
        <w:spacing w:after="0"/>
        <w:rPr>
          <w:rFonts w:ascii="Arial" w:cs="Arial" w:eastAsia="Arial" w:hAnsi="Arial"/>
          <w:sz w:val="14"/>
          <w:szCs w:val="14"/>
          <w:color w:val="003366"/>
        </w:rPr>
      </w:pPr>
      <w:hyperlink w:anchor="page4">
        <w:r>
          <w:rPr>
            <w:rFonts w:ascii="Arial" w:cs="Arial" w:eastAsia="Arial" w:hAnsi="Arial"/>
            <w:sz w:val="14"/>
            <w:szCs w:val="14"/>
            <w:color w:val="003366"/>
          </w:rPr>
          <w:t>TABLE OF CONTENTS</w:t>
        </w:r>
      </w:hyperlink>
    </w:p>
    <w:p>
      <w:pPr>
        <w:spacing w:after="0" w:line="338" w:lineRule="exact"/>
        <w:rPr>
          <w:sz w:val="20"/>
          <w:szCs w:val="20"/>
          <w:color w:val="auto"/>
        </w:rPr>
      </w:pPr>
    </w:p>
    <w:p>
      <w:pPr>
        <w:jc w:val="right"/>
        <w:ind w:right="780"/>
        <w:spacing w:after="0"/>
        <w:rPr>
          <w:sz w:val="20"/>
          <w:szCs w:val="20"/>
          <w:color w:val="auto"/>
        </w:rPr>
      </w:pPr>
      <w:r>
        <w:rPr>
          <w:rFonts w:ascii="Arial" w:cs="Arial" w:eastAsia="Arial" w:hAnsi="Arial"/>
          <w:sz w:val="13"/>
          <w:szCs w:val="13"/>
          <w:b w:val="1"/>
          <w:bCs w:val="1"/>
          <w:color w:val="auto"/>
        </w:rPr>
        <w:t xml:space="preserve">Executive </w:t>
      </w:r>
      <w:r>
        <w:rPr>
          <w:rFonts w:ascii="Arial" w:cs="Arial" w:eastAsia="Arial" w:hAnsi="Arial"/>
          <w:sz w:val="13"/>
          <w:szCs w:val="13"/>
          <w:b w:val="1"/>
          <w:bCs w:val="1"/>
          <w:color w:val="666666"/>
        </w:rPr>
        <w:t>Compensation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485140</wp:posOffset>
            </wp:positionH>
            <wp:positionV relativeFrom="paragraph">
              <wp:posOffset>30480</wp:posOffset>
            </wp:positionV>
            <wp:extent cx="5829300" cy="8890"/>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5829300" cy="8890"/>
                    </a:xfrm>
                    <a:prstGeom prst="rect">
                      <a:avLst/>
                    </a:prstGeom>
                    <a:noFill/>
                  </pic:spPr>
                </pic:pic>
              </a:graphicData>
            </a:graphic>
          </wp:anchor>
        </w:drawing>
      </w:r>
    </w:p>
    <w:p>
      <w:pPr>
        <w:spacing w:after="0" w:line="60" w:lineRule="exact"/>
        <w:rPr>
          <w:sz w:val="20"/>
          <w:szCs w:val="20"/>
          <w:color w:val="auto"/>
        </w:rPr>
      </w:pPr>
    </w:p>
    <w:p>
      <w:pPr>
        <w:jc w:val="right"/>
        <w:ind w:right="780"/>
        <w:spacing w:after="0"/>
        <w:rPr>
          <w:sz w:val="20"/>
          <w:szCs w:val="20"/>
          <w:color w:val="auto"/>
        </w:rPr>
      </w:pPr>
      <w:r>
        <w:rPr>
          <w:rFonts w:ascii="Arial" w:cs="Arial" w:eastAsia="Arial" w:hAnsi="Arial"/>
          <w:sz w:val="13"/>
          <w:szCs w:val="13"/>
          <w:b w:val="1"/>
          <w:bCs w:val="1"/>
          <w:color w:val="4800E6"/>
        </w:rPr>
        <w:t>Compensation Discussion &amp; Analysis</w:t>
      </w: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ind w:left="760"/>
        <w:spacing w:after="0"/>
        <w:rPr>
          <w:sz w:val="20"/>
          <w:szCs w:val="20"/>
          <w:color w:val="auto"/>
        </w:rPr>
      </w:pPr>
      <w:r>
        <w:rPr>
          <w:rFonts w:ascii="Arial" w:cs="Arial" w:eastAsia="Arial" w:hAnsi="Arial"/>
          <w:sz w:val="20"/>
          <w:szCs w:val="20"/>
          <w:b w:val="1"/>
          <w:bCs w:val="1"/>
          <w:color w:val="FF4C4C"/>
        </w:rPr>
        <w:t>2020 STIP</w:t>
      </w:r>
    </w:p>
    <w:p>
      <w:pPr>
        <w:spacing w:after="0" w:line="124" w:lineRule="exact"/>
        <w:rPr>
          <w:sz w:val="20"/>
          <w:szCs w:val="20"/>
          <w:color w:val="auto"/>
        </w:rPr>
      </w:pPr>
    </w:p>
    <w:p>
      <w:pPr>
        <w:ind w:left="760" w:right="840"/>
        <w:spacing w:after="0" w:line="271" w:lineRule="auto"/>
        <w:rPr>
          <w:sz w:val="20"/>
          <w:szCs w:val="20"/>
          <w:color w:val="auto"/>
        </w:rPr>
      </w:pPr>
      <w:r>
        <w:rPr>
          <w:rFonts w:ascii="Arial" w:cs="Arial" w:eastAsia="Arial" w:hAnsi="Arial"/>
          <w:sz w:val="16"/>
          <w:szCs w:val="16"/>
          <w:color w:val="auto"/>
        </w:rPr>
        <w:t>On March 30, 2020, the Compensation Committee also approved the 2020 STIP in which all NEOs participate (other than Messrs. Andrle and Simpson who are no longer executive officers). The 2020 STIP is the same as the 2019 STIP. The current target bonus percentage for each of the NEOs is the same as it was in the 2019 STIP:</w:t>
      </w:r>
    </w:p>
    <w:p>
      <w:pPr>
        <w:spacing w:after="0" w:line="131" w:lineRule="exact"/>
        <w:rPr>
          <w:sz w:val="20"/>
          <w:szCs w:val="20"/>
          <w:color w:val="auto"/>
        </w:rPr>
      </w:pPr>
    </w:p>
    <w:tbl>
      <w:tblPr>
        <w:tblLayout w:type="fixed"/>
        <w:tblInd w:w="760" w:type="dxa"/>
        <w:tblCellMar>
          <w:top w:w="0" w:type="dxa"/>
          <w:left w:w="0" w:type="dxa"/>
          <w:bottom w:w="0" w:type="dxa"/>
          <w:right w:w="0" w:type="dxa"/>
        </w:tblCellMar>
      </w:tblPr>
      <w:tr>
        <w:trPr>
          <w:trHeight w:val="162"/>
        </w:trPr>
        <w:tc>
          <w:tcPr>
            <w:tcW w:w="3440" w:type="dxa"/>
            <w:vAlign w:val="bottom"/>
          </w:tcPr>
          <w:p>
            <w:pPr>
              <w:spacing w:after="0"/>
              <w:rPr>
                <w:sz w:val="14"/>
                <w:szCs w:val="14"/>
                <w:color w:val="auto"/>
              </w:rPr>
            </w:pPr>
          </w:p>
        </w:tc>
        <w:tc>
          <w:tcPr>
            <w:tcW w:w="3300" w:type="dxa"/>
            <w:vAlign w:val="bottom"/>
          </w:tcPr>
          <w:p>
            <w:pPr>
              <w:jc w:val="right"/>
              <w:ind w:right="86"/>
              <w:spacing w:after="0"/>
              <w:rPr>
                <w:sz w:val="20"/>
                <w:szCs w:val="20"/>
                <w:color w:val="auto"/>
              </w:rPr>
            </w:pPr>
            <w:r>
              <w:rPr>
                <w:rFonts w:ascii="Arial" w:cs="Arial" w:eastAsia="Arial" w:hAnsi="Arial"/>
                <w:sz w:val="14"/>
                <w:szCs w:val="14"/>
                <w:b w:val="1"/>
                <w:bCs w:val="1"/>
                <w:color w:val="4800E6"/>
              </w:rPr>
              <w:t>2020 STIP</w:t>
            </w:r>
          </w:p>
        </w:tc>
        <w:tc>
          <w:tcPr>
            <w:tcW w:w="1240" w:type="dxa"/>
            <w:vAlign w:val="bottom"/>
          </w:tcPr>
          <w:p>
            <w:pPr>
              <w:jc w:val="right"/>
              <w:ind w:right="86"/>
              <w:spacing w:after="0"/>
              <w:rPr>
                <w:sz w:val="20"/>
                <w:szCs w:val="20"/>
                <w:color w:val="auto"/>
              </w:rPr>
            </w:pPr>
            <w:r>
              <w:rPr>
                <w:rFonts w:ascii="Arial" w:cs="Arial" w:eastAsia="Arial" w:hAnsi="Arial"/>
                <w:sz w:val="14"/>
                <w:szCs w:val="14"/>
                <w:b w:val="1"/>
                <w:bCs w:val="1"/>
                <w:color w:val="4800E6"/>
              </w:rPr>
              <w:t>2020 STIP</w:t>
            </w:r>
          </w:p>
        </w:tc>
        <w:tc>
          <w:tcPr>
            <w:tcW w:w="1200" w:type="dxa"/>
            <w:vAlign w:val="bottom"/>
          </w:tcPr>
          <w:p>
            <w:pPr>
              <w:jc w:val="right"/>
              <w:ind w:right="26"/>
              <w:spacing w:after="0"/>
              <w:rPr>
                <w:sz w:val="20"/>
                <w:szCs w:val="20"/>
                <w:color w:val="auto"/>
              </w:rPr>
            </w:pPr>
            <w:r>
              <w:rPr>
                <w:rFonts w:ascii="Arial" w:cs="Arial" w:eastAsia="Arial" w:hAnsi="Arial"/>
                <w:sz w:val="14"/>
                <w:szCs w:val="14"/>
                <w:b w:val="1"/>
                <w:bCs w:val="1"/>
                <w:color w:val="4800E6"/>
              </w:rPr>
              <w:t>2020 STIP</w:t>
            </w:r>
          </w:p>
        </w:tc>
      </w:tr>
      <w:tr>
        <w:trPr>
          <w:trHeight w:val="162"/>
        </w:trPr>
        <w:tc>
          <w:tcPr>
            <w:tcW w:w="3440" w:type="dxa"/>
            <w:vAlign w:val="bottom"/>
          </w:tcPr>
          <w:p>
            <w:pPr>
              <w:spacing w:after="0"/>
              <w:rPr>
                <w:sz w:val="14"/>
                <w:szCs w:val="14"/>
                <w:color w:val="auto"/>
              </w:rPr>
            </w:pPr>
          </w:p>
        </w:tc>
        <w:tc>
          <w:tcPr>
            <w:tcW w:w="3300" w:type="dxa"/>
            <w:vAlign w:val="bottom"/>
          </w:tcPr>
          <w:p>
            <w:pPr>
              <w:jc w:val="right"/>
              <w:ind w:right="86"/>
              <w:spacing w:after="0"/>
              <w:rPr>
                <w:sz w:val="20"/>
                <w:szCs w:val="20"/>
                <w:color w:val="auto"/>
              </w:rPr>
            </w:pPr>
            <w:r>
              <w:rPr>
                <w:rFonts w:ascii="Arial" w:cs="Arial" w:eastAsia="Arial" w:hAnsi="Arial"/>
                <w:sz w:val="14"/>
                <w:szCs w:val="14"/>
                <w:b w:val="1"/>
                <w:bCs w:val="1"/>
                <w:color w:val="4800E6"/>
              </w:rPr>
              <w:t>Minimum</w:t>
            </w:r>
          </w:p>
        </w:tc>
        <w:tc>
          <w:tcPr>
            <w:tcW w:w="1240" w:type="dxa"/>
            <w:vAlign w:val="bottom"/>
          </w:tcPr>
          <w:p>
            <w:pPr>
              <w:jc w:val="right"/>
              <w:ind w:right="86"/>
              <w:spacing w:after="0"/>
              <w:rPr>
                <w:sz w:val="20"/>
                <w:szCs w:val="20"/>
                <w:color w:val="auto"/>
              </w:rPr>
            </w:pPr>
            <w:r>
              <w:rPr>
                <w:rFonts w:ascii="Arial" w:cs="Arial" w:eastAsia="Arial" w:hAnsi="Arial"/>
                <w:sz w:val="14"/>
                <w:szCs w:val="14"/>
                <w:b w:val="1"/>
                <w:bCs w:val="1"/>
                <w:color w:val="4800E6"/>
              </w:rPr>
              <w:t>Target</w:t>
            </w:r>
          </w:p>
        </w:tc>
        <w:tc>
          <w:tcPr>
            <w:tcW w:w="1200" w:type="dxa"/>
            <w:vAlign w:val="bottom"/>
          </w:tcPr>
          <w:p>
            <w:pPr>
              <w:jc w:val="right"/>
              <w:ind w:right="26"/>
              <w:spacing w:after="0"/>
              <w:rPr>
                <w:sz w:val="20"/>
                <w:szCs w:val="20"/>
                <w:color w:val="auto"/>
              </w:rPr>
            </w:pPr>
            <w:r>
              <w:rPr>
                <w:rFonts w:ascii="Arial" w:cs="Arial" w:eastAsia="Arial" w:hAnsi="Arial"/>
                <w:sz w:val="14"/>
                <w:szCs w:val="14"/>
                <w:b w:val="1"/>
                <w:bCs w:val="1"/>
                <w:color w:val="4800E6"/>
              </w:rPr>
              <w:t>Maximum</w:t>
            </w:r>
          </w:p>
        </w:tc>
      </w:tr>
      <w:tr>
        <w:trPr>
          <w:trHeight w:val="162"/>
        </w:trPr>
        <w:tc>
          <w:tcPr>
            <w:tcW w:w="3440" w:type="dxa"/>
            <w:vAlign w:val="bottom"/>
          </w:tcPr>
          <w:p>
            <w:pPr>
              <w:spacing w:after="0"/>
              <w:rPr>
                <w:sz w:val="14"/>
                <w:szCs w:val="14"/>
                <w:color w:val="auto"/>
              </w:rPr>
            </w:pPr>
          </w:p>
        </w:tc>
        <w:tc>
          <w:tcPr>
            <w:tcW w:w="3300" w:type="dxa"/>
            <w:vAlign w:val="bottom"/>
          </w:tcPr>
          <w:p>
            <w:pPr>
              <w:jc w:val="right"/>
              <w:ind w:right="86"/>
              <w:spacing w:after="0"/>
              <w:rPr>
                <w:sz w:val="20"/>
                <w:szCs w:val="20"/>
                <w:color w:val="auto"/>
              </w:rPr>
            </w:pPr>
            <w:r>
              <w:rPr>
                <w:rFonts w:ascii="Arial" w:cs="Arial" w:eastAsia="Arial" w:hAnsi="Arial"/>
                <w:sz w:val="14"/>
                <w:szCs w:val="14"/>
                <w:b w:val="1"/>
                <w:bCs w:val="1"/>
                <w:color w:val="4800E6"/>
              </w:rPr>
              <w:t>(Percentage of</w:t>
            </w:r>
          </w:p>
        </w:tc>
        <w:tc>
          <w:tcPr>
            <w:tcW w:w="1240" w:type="dxa"/>
            <w:vAlign w:val="bottom"/>
          </w:tcPr>
          <w:p>
            <w:pPr>
              <w:jc w:val="right"/>
              <w:ind w:right="86"/>
              <w:spacing w:after="0"/>
              <w:rPr>
                <w:sz w:val="20"/>
                <w:szCs w:val="20"/>
                <w:color w:val="auto"/>
              </w:rPr>
            </w:pPr>
            <w:r>
              <w:rPr>
                <w:rFonts w:ascii="Arial" w:cs="Arial" w:eastAsia="Arial" w:hAnsi="Arial"/>
                <w:sz w:val="14"/>
                <w:szCs w:val="14"/>
                <w:b w:val="1"/>
                <w:bCs w:val="1"/>
                <w:color w:val="4800E6"/>
              </w:rPr>
              <w:t>(Percentage of</w:t>
            </w:r>
          </w:p>
        </w:tc>
        <w:tc>
          <w:tcPr>
            <w:tcW w:w="1200" w:type="dxa"/>
            <w:vAlign w:val="bottom"/>
          </w:tcPr>
          <w:p>
            <w:pPr>
              <w:jc w:val="right"/>
              <w:ind w:right="26"/>
              <w:spacing w:after="0"/>
              <w:rPr>
                <w:sz w:val="20"/>
                <w:szCs w:val="20"/>
                <w:color w:val="auto"/>
              </w:rPr>
            </w:pPr>
            <w:r>
              <w:rPr>
                <w:rFonts w:ascii="Arial" w:cs="Arial" w:eastAsia="Arial" w:hAnsi="Arial"/>
                <w:sz w:val="14"/>
                <w:szCs w:val="14"/>
                <w:b w:val="1"/>
                <w:bCs w:val="1"/>
                <w:color w:val="4800E6"/>
              </w:rPr>
              <w:t>(Percentage of</w:t>
            </w:r>
          </w:p>
        </w:tc>
      </w:tr>
      <w:tr>
        <w:trPr>
          <w:trHeight w:val="196"/>
        </w:trPr>
        <w:tc>
          <w:tcPr>
            <w:tcW w:w="3440" w:type="dxa"/>
            <w:vAlign w:val="bottom"/>
            <w:tcBorders>
              <w:bottom w:val="single" w:sz="8" w:color="4800E6"/>
            </w:tcBorders>
          </w:tcPr>
          <w:p>
            <w:pPr>
              <w:spacing w:after="0"/>
              <w:rPr>
                <w:sz w:val="17"/>
                <w:szCs w:val="17"/>
                <w:color w:val="auto"/>
              </w:rPr>
            </w:pPr>
          </w:p>
        </w:tc>
        <w:tc>
          <w:tcPr>
            <w:tcW w:w="3300" w:type="dxa"/>
            <w:vAlign w:val="bottom"/>
            <w:tcBorders>
              <w:bottom w:val="single" w:sz="8" w:color="4800E6"/>
            </w:tcBorders>
          </w:tcPr>
          <w:p>
            <w:pPr>
              <w:jc w:val="right"/>
              <w:ind w:right="46"/>
              <w:spacing w:after="0"/>
              <w:rPr>
                <w:sz w:val="20"/>
                <w:szCs w:val="20"/>
                <w:color w:val="auto"/>
              </w:rPr>
            </w:pPr>
            <w:r>
              <w:rPr>
                <w:rFonts w:ascii="Arial" w:cs="Arial" w:eastAsia="Arial" w:hAnsi="Arial"/>
                <w:sz w:val="14"/>
                <w:szCs w:val="14"/>
                <w:b w:val="1"/>
                <w:bCs w:val="1"/>
                <w:color w:val="4800E6"/>
              </w:rPr>
              <w:t>Base Salary)</w:t>
            </w:r>
          </w:p>
        </w:tc>
        <w:tc>
          <w:tcPr>
            <w:tcW w:w="1240" w:type="dxa"/>
            <w:vAlign w:val="bottom"/>
            <w:tcBorders>
              <w:bottom w:val="single" w:sz="8" w:color="4800E6"/>
            </w:tcBorders>
          </w:tcPr>
          <w:p>
            <w:pPr>
              <w:jc w:val="right"/>
              <w:ind w:right="46"/>
              <w:spacing w:after="0"/>
              <w:rPr>
                <w:sz w:val="20"/>
                <w:szCs w:val="20"/>
                <w:color w:val="auto"/>
              </w:rPr>
            </w:pPr>
            <w:r>
              <w:rPr>
                <w:rFonts w:ascii="Arial" w:cs="Arial" w:eastAsia="Arial" w:hAnsi="Arial"/>
                <w:sz w:val="14"/>
                <w:szCs w:val="14"/>
                <w:b w:val="1"/>
                <w:bCs w:val="1"/>
                <w:color w:val="4800E6"/>
              </w:rPr>
              <w:t>Base Salary)</w:t>
            </w:r>
          </w:p>
        </w:tc>
        <w:tc>
          <w:tcPr>
            <w:tcW w:w="1200" w:type="dxa"/>
            <w:vAlign w:val="bottom"/>
            <w:tcBorders>
              <w:bottom w:val="single" w:sz="8" w:color="4800E6"/>
            </w:tcBorders>
          </w:tcPr>
          <w:p>
            <w:pPr>
              <w:jc w:val="right"/>
              <w:spacing w:after="0"/>
              <w:rPr>
                <w:sz w:val="20"/>
                <w:szCs w:val="20"/>
                <w:color w:val="auto"/>
              </w:rPr>
            </w:pPr>
            <w:r>
              <w:rPr>
                <w:rFonts w:ascii="Arial" w:cs="Arial" w:eastAsia="Arial" w:hAnsi="Arial"/>
                <w:sz w:val="14"/>
                <w:szCs w:val="14"/>
                <w:b w:val="1"/>
                <w:bCs w:val="1"/>
                <w:color w:val="4800E6"/>
              </w:rPr>
              <w:t>Target)</w:t>
            </w:r>
          </w:p>
        </w:tc>
      </w:tr>
      <w:tr>
        <w:trPr>
          <w:trHeight w:val="221"/>
        </w:trPr>
        <w:tc>
          <w:tcPr>
            <w:tcW w:w="3440" w:type="dxa"/>
            <w:vAlign w:val="bottom"/>
          </w:tcPr>
          <w:p>
            <w:pPr>
              <w:ind w:left="40"/>
              <w:spacing w:after="0"/>
              <w:rPr>
                <w:sz w:val="20"/>
                <w:szCs w:val="20"/>
                <w:color w:val="auto"/>
              </w:rPr>
            </w:pPr>
            <w:r>
              <w:rPr>
                <w:rFonts w:ascii="Arial" w:cs="Arial" w:eastAsia="Arial" w:hAnsi="Arial"/>
                <w:sz w:val="15"/>
                <w:szCs w:val="15"/>
                <w:color w:val="auto"/>
              </w:rPr>
              <w:t>Damien McDonald</w:t>
            </w:r>
          </w:p>
        </w:tc>
        <w:tc>
          <w:tcPr>
            <w:tcW w:w="3300" w:type="dxa"/>
            <w:vAlign w:val="bottom"/>
          </w:tcPr>
          <w:p>
            <w:pPr>
              <w:jc w:val="right"/>
              <w:ind w:right="46"/>
              <w:spacing w:after="0"/>
              <w:rPr>
                <w:sz w:val="20"/>
                <w:szCs w:val="20"/>
                <w:color w:val="auto"/>
              </w:rPr>
            </w:pPr>
            <w:r>
              <w:rPr>
                <w:rFonts w:ascii="Arial" w:cs="Arial" w:eastAsia="Arial" w:hAnsi="Arial"/>
                <w:sz w:val="15"/>
                <w:szCs w:val="15"/>
                <w:color w:val="auto"/>
              </w:rPr>
              <w:t>0%</w:t>
            </w:r>
          </w:p>
        </w:tc>
        <w:tc>
          <w:tcPr>
            <w:tcW w:w="1240" w:type="dxa"/>
            <w:vAlign w:val="bottom"/>
          </w:tcPr>
          <w:p>
            <w:pPr>
              <w:jc w:val="right"/>
              <w:ind w:right="26"/>
              <w:spacing w:after="0"/>
              <w:rPr>
                <w:sz w:val="20"/>
                <w:szCs w:val="20"/>
                <w:color w:val="auto"/>
              </w:rPr>
            </w:pPr>
            <w:r>
              <w:rPr>
                <w:rFonts w:ascii="Arial" w:cs="Arial" w:eastAsia="Arial" w:hAnsi="Arial"/>
                <w:sz w:val="15"/>
                <w:szCs w:val="15"/>
                <w:color w:val="auto"/>
              </w:rPr>
              <w:t>125%</w:t>
            </w:r>
          </w:p>
        </w:tc>
        <w:tc>
          <w:tcPr>
            <w:tcW w:w="1200" w:type="dxa"/>
            <w:vAlign w:val="bottom"/>
          </w:tcPr>
          <w:p>
            <w:pPr>
              <w:jc w:val="right"/>
              <w:spacing w:after="0"/>
              <w:rPr>
                <w:sz w:val="20"/>
                <w:szCs w:val="20"/>
                <w:color w:val="auto"/>
              </w:rPr>
            </w:pPr>
            <w:r>
              <w:rPr>
                <w:rFonts w:ascii="Arial" w:cs="Arial" w:eastAsia="Arial" w:hAnsi="Arial"/>
                <w:sz w:val="15"/>
                <w:szCs w:val="15"/>
                <w:color w:val="auto"/>
              </w:rPr>
              <w:t>171%</w:t>
            </w:r>
          </w:p>
        </w:tc>
      </w:tr>
      <w:tr>
        <w:trPr>
          <w:trHeight w:val="22"/>
        </w:trPr>
        <w:tc>
          <w:tcPr>
            <w:tcW w:w="3440" w:type="dxa"/>
            <w:vAlign w:val="bottom"/>
          </w:tcPr>
          <w:p>
            <w:pPr>
              <w:spacing w:after="0" w:line="20" w:lineRule="exact"/>
              <w:rPr>
                <w:sz w:val="1"/>
                <w:szCs w:val="1"/>
                <w:color w:val="auto"/>
              </w:rPr>
            </w:pPr>
          </w:p>
        </w:tc>
        <w:tc>
          <w:tcPr>
            <w:tcW w:w="330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r>
      <w:tr>
        <w:trPr>
          <w:trHeight w:val="250"/>
        </w:trPr>
        <w:tc>
          <w:tcPr>
            <w:tcW w:w="3440" w:type="dxa"/>
            <w:vAlign w:val="bottom"/>
            <w:tcBorders>
              <w:bottom w:val="single" w:sz="8" w:color="EFE9FC"/>
            </w:tcBorders>
            <w:shd w:val="clear" w:color="auto" w:fill="EFE9FC"/>
          </w:tcPr>
          <w:p>
            <w:pPr>
              <w:ind w:left="40"/>
              <w:spacing w:after="0"/>
              <w:rPr>
                <w:sz w:val="20"/>
                <w:szCs w:val="20"/>
                <w:color w:val="auto"/>
              </w:rPr>
            </w:pPr>
            <w:r>
              <w:rPr>
                <w:rFonts w:ascii="Arial" w:cs="Arial" w:eastAsia="Arial" w:hAnsi="Arial"/>
                <w:sz w:val="15"/>
                <w:szCs w:val="15"/>
                <w:color w:val="auto"/>
              </w:rPr>
              <w:t>Thad Huston</w:t>
            </w:r>
          </w:p>
        </w:tc>
        <w:tc>
          <w:tcPr>
            <w:tcW w:w="3300" w:type="dxa"/>
            <w:vAlign w:val="bottom"/>
            <w:tcBorders>
              <w:bottom w:val="single" w:sz="8" w:color="EFE9FC"/>
            </w:tcBorders>
            <w:shd w:val="clear" w:color="auto" w:fill="EFE9FC"/>
          </w:tcPr>
          <w:p>
            <w:pPr>
              <w:jc w:val="right"/>
              <w:ind w:right="46"/>
              <w:spacing w:after="0"/>
              <w:rPr>
                <w:sz w:val="20"/>
                <w:szCs w:val="20"/>
                <w:color w:val="auto"/>
              </w:rPr>
            </w:pPr>
            <w:r>
              <w:rPr>
                <w:rFonts w:ascii="Arial" w:cs="Arial" w:eastAsia="Arial" w:hAnsi="Arial"/>
                <w:sz w:val="15"/>
                <w:szCs w:val="15"/>
                <w:color w:val="auto"/>
              </w:rPr>
              <w:t>0%</w:t>
            </w:r>
          </w:p>
        </w:tc>
        <w:tc>
          <w:tcPr>
            <w:tcW w:w="1240" w:type="dxa"/>
            <w:vAlign w:val="bottom"/>
            <w:tcBorders>
              <w:bottom w:val="single" w:sz="8" w:color="EFE9FC"/>
            </w:tcBorders>
            <w:shd w:val="clear" w:color="auto" w:fill="EFE9FC"/>
          </w:tcPr>
          <w:p>
            <w:pPr>
              <w:jc w:val="right"/>
              <w:ind w:right="26"/>
              <w:spacing w:after="0"/>
              <w:rPr>
                <w:sz w:val="20"/>
                <w:szCs w:val="20"/>
                <w:color w:val="auto"/>
              </w:rPr>
            </w:pPr>
            <w:r>
              <w:rPr>
                <w:rFonts w:ascii="Arial" w:cs="Arial" w:eastAsia="Arial" w:hAnsi="Arial"/>
                <w:sz w:val="15"/>
                <w:szCs w:val="15"/>
                <w:color w:val="auto"/>
              </w:rPr>
              <w:t>90%</w:t>
            </w:r>
          </w:p>
        </w:tc>
        <w:tc>
          <w:tcPr>
            <w:tcW w:w="1200" w:type="dxa"/>
            <w:vAlign w:val="bottom"/>
            <w:tcBorders>
              <w:bottom w:val="single" w:sz="8" w:color="EFE9FC"/>
            </w:tcBorders>
            <w:shd w:val="clear" w:color="auto" w:fill="EFE9FC"/>
          </w:tcPr>
          <w:p>
            <w:pPr>
              <w:jc w:val="right"/>
              <w:spacing w:after="0"/>
              <w:rPr>
                <w:sz w:val="20"/>
                <w:szCs w:val="20"/>
                <w:color w:val="auto"/>
              </w:rPr>
            </w:pPr>
            <w:r>
              <w:rPr>
                <w:rFonts w:ascii="Arial" w:cs="Arial" w:eastAsia="Arial" w:hAnsi="Arial"/>
                <w:sz w:val="15"/>
                <w:szCs w:val="15"/>
                <w:color w:val="auto"/>
              </w:rPr>
              <w:t>160%</w:t>
            </w:r>
          </w:p>
        </w:tc>
      </w:tr>
      <w:tr>
        <w:trPr>
          <w:trHeight w:val="222"/>
        </w:trPr>
        <w:tc>
          <w:tcPr>
            <w:tcW w:w="3440" w:type="dxa"/>
            <w:vAlign w:val="bottom"/>
          </w:tcPr>
          <w:p>
            <w:pPr>
              <w:ind w:left="40"/>
              <w:spacing w:after="0"/>
              <w:rPr>
                <w:sz w:val="20"/>
                <w:szCs w:val="20"/>
                <w:color w:val="auto"/>
              </w:rPr>
            </w:pPr>
            <w:r>
              <w:rPr>
                <w:rFonts w:ascii="Arial" w:cs="Arial" w:eastAsia="Arial" w:hAnsi="Arial"/>
                <w:sz w:val="15"/>
                <w:szCs w:val="15"/>
                <w:color w:val="auto"/>
              </w:rPr>
              <w:t>Keyna Skeffington</w:t>
            </w:r>
          </w:p>
        </w:tc>
        <w:tc>
          <w:tcPr>
            <w:tcW w:w="3300" w:type="dxa"/>
            <w:vAlign w:val="bottom"/>
          </w:tcPr>
          <w:p>
            <w:pPr>
              <w:jc w:val="right"/>
              <w:ind w:right="46"/>
              <w:spacing w:after="0"/>
              <w:rPr>
                <w:sz w:val="20"/>
                <w:szCs w:val="20"/>
                <w:color w:val="auto"/>
              </w:rPr>
            </w:pPr>
            <w:r>
              <w:rPr>
                <w:rFonts w:ascii="Arial" w:cs="Arial" w:eastAsia="Arial" w:hAnsi="Arial"/>
                <w:sz w:val="15"/>
                <w:szCs w:val="15"/>
                <w:color w:val="auto"/>
              </w:rPr>
              <w:t>0%</w:t>
            </w:r>
          </w:p>
        </w:tc>
        <w:tc>
          <w:tcPr>
            <w:tcW w:w="1240" w:type="dxa"/>
            <w:vAlign w:val="bottom"/>
          </w:tcPr>
          <w:p>
            <w:pPr>
              <w:jc w:val="right"/>
              <w:ind w:right="26"/>
              <w:spacing w:after="0"/>
              <w:rPr>
                <w:sz w:val="20"/>
                <w:szCs w:val="20"/>
                <w:color w:val="auto"/>
              </w:rPr>
            </w:pPr>
            <w:r>
              <w:rPr>
                <w:rFonts w:ascii="Arial" w:cs="Arial" w:eastAsia="Arial" w:hAnsi="Arial"/>
                <w:sz w:val="15"/>
                <w:szCs w:val="15"/>
                <w:color w:val="auto"/>
              </w:rPr>
              <w:t>70%</w:t>
            </w:r>
          </w:p>
        </w:tc>
        <w:tc>
          <w:tcPr>
            <w:tcW w:w="1200" w:type="dxa"/>
            <w:vAlign w:val="bottom"/>
          </w:tcPr>
          <w:p>
            <w:pPr>
              <w:jc w:val="right"/>
              <w:spacing w:after="0"/>
              <w:rPr>
                <w:sz w:val="20"/>
                <w:szCs w:val="20"/>
                <w:color w:val="auto"/>
              </w:rPr>
            </w:pPr>
            <w:r>
              <w:rPr>
                <w:rFonts w:ascii="Arial" w:cs="Arial" w:eastAsia="Arial" w:hAnsi="Arial"/>
                <w:sz w:val="15"/>
                <w:szCs w:val="15"/>
                <w:color w:val="auto"/>
              </w:rPr>
              <w:t>160%</w:t>
            </w:r>
          </w:p>
        </w:tc>
      </w:tr>
      <w:tr>
        <w:trPr>
          <w:trHeight w:val="22"/>
        </w:trPr>
        <w:tc>
          <w:tcPr>
            <w:tcW w:w="3440" w:type="dxa"/>
            <w:vAlign w:val="bottom"/>
            <w:tcBorders>
              <w:bottom w:val="single" w:sz="8" w:color="4800E6"/>
            </w:tcBorders>
          </w:tcPr>
          <w:p>
            <w:pPr>
              <w:spacing w:after="0" w:line="20" w:lineRule="exact"/>
              <w:rPr>
                <w:sz w:val="1"/>
                <w:szCs w:val="1"/>
                <w:color w:val="auto"/>
              </w:rPr>
            </w:pPr>
          </w:p>
        </w:tc>
        <w:tc>
          <w:tcPr>
            <w:tcW w:w="3300" w:type="dxa"/>
            <w:vAlign w:val="bottom"/>
            <w:tcBorders>
              <w:bottom w:val="single" w:sz="8" w:color="4800E6"/>
            </w:tcBorders>
          </w:tcPr>
          <w:p>
            <w:pPr>
              <w:spacing w:after="0" w:line="20" w:lineRule="exact"/>
              <w:rPr>
                <w:sz w:val="1"/>
                <w:szCs w:val="1"/>
                <w:color w:val="auto"/>
              </w:rPr>
            </w:pPr>
          </w:p>
        </w:tc>
        <w:tc>
          <w:tcPr>
            <w:tcW w:w="1240" w:type="dxa"/>
            <w:vAlign w:val="bottom"/>
            <w:tcBorders>
              <w:bottom w:val="single" w:sz="8" w:color="4800E6"/>
            </w:tcBorders>
          </w:tcPr>
          <w:p>
            <w:pPr>
              <w:spacing w:after="0" w:line="20" w:lineRule="exact"/>
              <w:rPr>
                <w:sz w:val="1"/>
                <w:szCs w:val="1"/>
                <w:color w:val="auto"/>
              </w:rPr>
            </w:pPr>
          </w:p>
        </w:tc>
        <w:tc>
          <w:tcPr>
            <w:tcW w:w="1200" w:type="dxa"/>
            <w:vAlign w:val="bottom"/>
            <w:tcBorders>
              <w:bottom w:val="single" w:sz="8" w:color="4800E6"/>
            </w:tcBorders>
          </w:tcPr>
          <w:p>
            <w:pPr>
              <w:spacing w:after="0" w:line="20" w:lineRule="exact"/>
              <w:rPr>
                <w:sz w:val="1"/>
                <w:szCs w:val="1"/>
                <w:color w:val="auto"/>
              </w:rPr>
            </w:pPr>
          </w:p>
        </w:tc>
      </w:tr>
    </w:tbl>
    <w:p>
      <w:pPr>
        <w:spacing w:after="0" w:line="231" w:lineRule="exact"/>
        <w:rPr>
          <w:sz w:val="20"/>
          <w:szCs w:val="20"/>
          <w:color w:val="auto"/>
        </w:rPr>
      </w:pPr>
    </w:p>
    <w:p>
      <w:pPr>
        <w:ind w:left="760" w:right="1140"/>
        <w:spacing w:after="0" w:line="271" w:lineRule="auto"/>
        <w:rPr>
          <w:sz w:val="20"/>
          <w:szCs w:val="20"/>
          <w:color w:val="auto"/>
        </w:rPr>
      </w:pPr>
      <w:r>
        <w:rPr>
          <w:rFonts w:ascii="Arial" w:cs="Arial" w:eastAsia="Arial" w:hAnsi="Arial"/>
          <w:sz w:val="16"/>
          <w:szCs w:val="16"/>
          <w:color w:val="auto"/>
        </w:rPr>
        <w:t>Payment of the target bonus amount is conditioned on achievement of certain financial and non-financial objectives. If the threshold for a financial objective is achieved, then the funding for that objective is scaled down or up for underachievement or overachievement, respectively, of the objective, as follows:</w:t>
      </w:r>
    </w:p>
    <w:p>
      <w:pPr>
        <w:spacing w:after="0" w:line="145" w:lineRule="exact"/>
        <w:rPr>
          <w:sz w:val="20"/>
          <w:szCs w:val="20"/>
          <w:color w:val="auto"/>
        </w:rPr>
      </w:pPr>
    </w:p>
    <w:tbl>
      <w:tblPr>
        <w:tblLayout w:type="fixed"/>
        <w:tblInd w:w="760" w:type="dxa"/>
        <w:tblCellMar>
          <w:top w:w="0" w:type="dxa"/>
          <w:left w:w="0" w:type="dxa"/>
          <w:bottom w:w="0" w:type="dxa"/>
          <w:right w:w="0" w:type="dxa"/>
        </w:tblCellMar>
      </w:tblPr>
      <w:tr>
        <w:trPr>
          <w:trHeight w:val="162"/>
        </w:trPr>
        <w:tc>
          <w:tcPr>
            <w:tcW w:w="3000" w:type="dxa"/>
            <w:vAlign w:val="bottom"/>
          </w:tcPr>
          <w:p>
            <w:pPr>
              <w:jc w:val="center"/>
              <w:spacing w:after="0"/>
              <w:rPr>
                <w:sz w:val="20"/>
                <w:szCs w:val="20"/>
                <w:color w:val="auto"/>
              </w:rPr>
            </w:pPr>
            <w:r>
              <w:rPr>
                <w:rFonts w:ascii="Arial" w:cs="Arial" w:eastAsia="Arial" w:hAnsi="Arial"/>
                <w:sz w:val="14"/>
                <w:szCs w:val="14"/>
                <w:b w:val="1"/>
                <w:bCs w:val="1"/>
                <w:color w:val="4800E6"/>
              </w:rPr>
              <w:t>Percent Achievement of Sales</w:t>
            </w:r>
          </w:p>
        </w:tc>
        <w:tc>
          <w:tcPr>
            <w:tcW w:w="2660" w:type="dxa"/>
            <w:vAlign w:val="bottom"/>
          </w:tcPr>
          <w:p>
            <w:pPr>
              <w:jc w:val="center"/>
              <w:ind w:left="405"/>
              <w:spacing w:after="0"/>
              <w:rPr>
                <w:sz w:val="20"/>
                <w:szCs w:val="20"/>
                <w:color w:val="auto"/>
              </w:rPr>
            </w:pPr>
            <w:r>
              <w:rPr>
                <w:rFonts w:ascii="Arial" w:cs="Arial" w:eastAsia="Arial" w:hAnsi="Arial"/>
                <w:sz w:val="14"/>
                <w:szCs w:val="14"/>
                <w:b w:val="1"/>
                <w:bCs w:val="1"/>
                <w:color w:val="4800E6"/>
              </w:rPr>
              <w:t>Percent Achievement of Income</w:t>
            </w:r>
          </w:p>
        </w:tc>
        <w:tc>
          <w:tcPr>
            <w:tcW w:w="3520" w:type="dxa"/>
            <w:vAlign w:val="bottom"/>
          </w:tcPr>
          <w:p>
            <w:pPr>
              <w:jc w:val="center"/>
              <w:ind w:left="405"/>
              <w:spacing w:after="0"/>
              <w:rPr>
                <w:sz w:val="20"/>
                <w:szCs w:val="20"/>
                <w:color w:val="auto"/>
              </w:rPr>
            </w:pPr>
            <w:r>
              <w:rPr>
                <w:rFonts w:ascii="Arial" w:cs="Arial" w:eastAsia="Arial" w:hAnsi="Arial"/>
                <w:sz w:val="14"/>
                <w:szCs w:val="14"/>
                <w:b w:val="1"/>
                <w:bCs w:val="1"/>
                <w:color w:val="4800E6"/>
              </w:rPr>
              <w:t>Percent Funding for</w:t>
            </w:r>
          </w:p>
        </w:tc>
      </w:tr>
      <w:tr>
        <w:trPr>
          <w:trHeight w:val="196"/>
        </w:trPr>
        <w:tc>
          <w:tcPr>
            <w:tcW w:w="3000" w:type="dxa"/>
            <w:vAlign w:val="bottom"/>
            <w:tcBorders>
              <w:bottom w:val="single" w:sz="8" w:color="4800E6"/>
            </w:tcBorders>
          </w:tcPr>
          <w:p>
            <w:pPr>
              <w:jc w:val="center"/>
              <w:spacing w:after="0"/>
              <w:rPr>
                <w:sz w:val="20"/>
                <w:szCs w:val="20"/>
                <w:color w:val="auto"/>
              </w:rPr>
            </w:pPr>
            <w:r>
              <w:rPr>
                <w:rFonts w:ascii="Arial" w:cs="Arial" w:eastAsia="Arial" w:hAnsi="Arial"/>
                <w:sz w:val="14"/>
                <w:szCs w:val="14"/>
                <w:b w:val="1"/>
                <w:bCs w:val="1"/>
                <w:color w:val="4800E6"/>
              </w:rPr>
              <w:t>Objective</w:t>
            </w:r>
          </w:p>
        </w:tc>
        <w:tc>
          <w:tcPr>
            <w:tcW w:w="2660" w:type="dxa"/>
            <w:vAlign w:val="bottom"/>
            <w:tcBorders>
              <w:bottom w:val="single" w:sz="8" w:color="4800E6"/>
            </w:tcBorders>
          </w:tcPr>
          <w:p>
            <w:pPr>
              <w:jc w:val="center"/>
              <w:ind w:left="445"/>
              <w:spacing w:after="0"/>
              <w:rPr>
                <w:sz w:val="20"/>
                <w:szCs w:val="20"/>
                <w:color w:val="auto"/>
              </w:rPr>
            </w:pPr>
            <w:r>
              <w:rPr>
                <w:rFonts w:ascii="Arial" w:cs="Arial" w:eastAsia="Arial" w:hAnsi="Arial"/>
                <w:sz w:val="14"/>
                <w:szCs w:val="14"/>
                <w:b w:val="1"/>
                <w:bCs w:val="1"/>
                <w:color w:val="4800E6"/>
                <w:w w:val="98"/>
              </w:rPr>
              <w:t>Objective</w:t>
            </w:r>
          </w:p>
        </w:tc>
        <w:tc>
          <w:tcPr>
            <w:tcW w:w="3520" w:type="dxa"/>
            <w:vAlign w:val="bottom"/>
            <w:tcBorders>
              <w:bottom w:val="single" w:sz="8" w:color="4800E6"/>
            </w:tcBorders>
          </w:tcPr>
          <w:p>
            <w:pPr>
              <w:jc w:val="center"/>
              <w:ind w:left="445"/>
              <w:spacing w:after="0"/>
              <w:rPr>
                <w:sz w:val="20"/>
                <w:szCs w:val="20"/>
                <w:color w:val="auto"/>
              </w:rPr>
            </w:pPr>
            <w:r>
              <w:rPr>
                <w:rFonts w:ascii="Arial" w:cs="Arial" w:eastAsia="Arial" w:hAnsi="Arial"/>
                <w:sz w:val="14"/>
                <w:szCs w:val="14"/>
                <w:b w:val="1"/>
                <w:bCs w:val="1"/>
                <w:color w:val="4800E6"/>
              </w:rPr>
              <w:t>Objective</w:t>
            </w:r>
          </w:p>
        </w:tc>
      </w:tr>
      <w:tr>
        <w:trPr>
          <w:trHeight w:val="221"/>
        </w:trPr>
        <w:tc>
          <w:tcPr>
            <w:tcW w:w="3000" w:type="dxa"/>
            <w:vAlign w:val="bottom"/>
          </w:tcPr>
          <w:p>
            <w:pPr>
              <w:jc w:val="center"/>
              <w:spacing w:after="0"/>
              <w:rPr>
                <w:sz w:val="20"/>
                <w:szCs w:val="20"/>
                <w:color w:val="auto"/>
              </w:rPr>
            </w:pPr>
            <w:r>
              <w:rPr>
                <w:rFonts w:ascii="Arial" w:cs="Arial" w:eastAsia="Arial" w:hAnsi="Arial"/>
                <w:sz w:val="15"/>
                <w:szCs w:val="15"/>
                <w:color w:val="auto"/>
              </w:rPr>
              <w:t>&gt;110%</w:t>
            </w:r>
          </w:p>
        </w:tc>
        <w:tc>
          <w:tcPr>
            <w:tcW w:w="2660" w:type="dxa"/>
            <w:vAlign w:val="bottom"/>
          </w:tcPr>
          <w:p>
            <w:pPr>
              <w:jc w:val="center"/>
              <w:ind w:left="445"/>
              <w:spacing w:after="0"/>
              <w:rPr>
                <w:sz w:val="20"/>
                <w:szCs w:val="20"/>
                <w:color w:val="auto"/>
              </w:rPr>
            </w:pPr>
            <w:r>
              <w:rPr>
                <w:rFonts w:ascii="Arial" w:cs="Arial" w:eastAsia="Arial" w:hAnsi="Arial"/>
                <w:sz w:val="15"/>
                <w:szCs w:val="15"/>
                <w:color w:val="auto"/>
                <w:w w:val="97"/>
              </w:rPr>
              <w:t>&gt;110%</w:t>
            </w:r>
          </w:p>
        </w:tc>
        <w:tc>
          <w:tcPr>
            <w:tcW w:w="3520" w:type="dxa"/>
            <w:vAlign w:val="bottom"/>
          </w:tcPr>
          <w:p>
            <w:pPr>
              <w:jc w:val="center"/>
              <w:ind w:left="445"/>
              <w:spacing w:after="0"/>
              <w:rPr>
                <w:sz w:val="20"/>
                <w:szCs w:val="20"/>
                <w:color w:val="auto"/>
              </w:rPr>
            </w:pPr>
            <w:r>
              <w:rPr>
                <w:rFonts w:ascii="Arial" w:cs="Arial" w:eastAsia="Arial" w:hAnsi="Arial"/>
                <w:sz w:val="15"/>
                <w:szCs w:val="15"/>
                <w:color w:val="auto"/>
              </w:rPr>
              <w:t>175%</w:t>
            </w:r>
          </w:p>
        </w:tc>
      </w:tr>
      <w:tr>
        <w:trPr>
          <w:trHeight w:val="22"/>
        </w:trPr>
        <w:tc>
          <w:tcPr>
            <w:tcW w:w="3000" w:type="dxa"/>
            <w:vAlign w:val="bottom"/>
          </w:tcPr>
          <w:p>
            <w:pPr>
              <w:spacing w:after="0" w:line="20" w:lineRule="exact"/>
              <w:rPr>
                <w:sz w:val="1"/>
                <w:szCs w:val="1"/>
                <w:color w:val="auto"/>
              </w:rPr>
            </w:pPr>
          </w:p>
        </w:tc>
        <w:tc>
          <w:tcPr>
            <w:tcW w:w="2660" w:type="dxa"/>
            <w:vAlign w:val="bottom"/>
          </w:tcPr>
          <w:p>
            <w:pPr>
              <w:spacing w:after="0" w:line="20" w:lineRule="exact"/>
              <w:rPr>
                <w:sz w:val="1"/>
                <w:szCs w:val="1"/>
                <w:color w:val="auto"/>
              </w:rPr>
            </w:pPr>
          </w:p>
        </w:tc>
        <w:tc>
          <w:tcPr>
            <w:tcW w:w="3520" w:type="dxa"/>
            <w:vAlign w:val="bottom"/>
          </w:tcPr>
          <w:p>
            <w:pPr>
              <w:spacing w:after="0" w:line="20" w:lineRule="exact"/>
              <w:rPr>
                <w:sz w:val="1"/>
                <w:szCs w:val="1"/>
                <w:color w:val="auto"/>
              </w:rPr>
            </w:pPr>
          </w:p>
        </w:tc>
      </w:tr>
      <w:tr>
        <w:trPr>
          <w:trHeight w:val="250"/>
        </w:trPr>
        <w:tc>
          <w:tcPr>
            <w:tcW w:w="3000" w:type="dxa"/>
            <w:vAlign w:val="bottom"/>
            <w:tcBorders>
              <w:bottom w:val="single" w:sz="8" w:color="EFE9FC"/>
            </w:tcBorders>
            <w:shd w:val="clear" w:color="auto" w:fill="EFE9FC"/>
          </w:tcPr>
          <w:p>
            <w:pPr>
              <w:jc w:val="center"/>
              <w:spacing w:after="0"/>
              <w:rPr>
                <w:sz w:val="20"/>
                <w:szCs w:val="20"/>
                <w:color w:val="auto"/>
              </w:rPr>
            </w:pPr>
            <w:r>
              <w:rPr>
                <w:rFonts w:ascii="Arial" w:cs="Arial" w:eastAsia="Arial" w:hAnsi="Arial"/>
                <w:sz w:val="15"/>
                <w:szCs w:val="15"/>
                <w:color w:val="auto"/>
                <w:w w:val="98"/>
              </w:rPr>
              <w:t>110%</w:t>
            </w:r>
          </w:p>
        </w:tc>
        <w:tc>
          <w:tcPr>
            <w:tcW w:w="2660" w:type="dxa"/>
            <w:vAlign w:val="bottom"/>
            <w:tcBorders>
              <w:bottom w:val="single" w:sz="8" w:color="EFE9FC"/>
            </w:tcBorders>
            <w:shd w:val="clear" w:color="auto" w:fill="EFE9FC"/>
          </w:tcPr>
          <w:p>
            <w:pPr>
              <w:jc w:val="center"/>
              <w:ind w:left="445"/>
              <w:spacing w:after="0"/>
              <w:rPr>
                <w:sz w:val="20"/>
                <w:szCs w:val="20"/>
                <w:color w:val="auto"/>
              </w:rPr>
            </w:pPr>
            <w:r>
              <w:rPr>
                <w:rFonts w:ascii="Arial" w:cs="Arial" w:eastAsia="Arial" w:hAnsi="Arial"/>
                <w:sz w:val="15"/>
                <w:szCs w:val="15"/>
                <w:color w:val="auto"/>
                <w:w w:val="98"/>
              </w:rPr>
              <w:t>110%</w:t>
            </w:r>
          </w:p>
        </w:tc>
        <w:tc>
          <w:tcPr>
            <w:tcW w:w="3520" w:type="dxa"/>
            <w:vAlign w:val="bottom"/>
            <w:tcBorders>
              <w:bottom w:val="single" w:sz="8" w:color="EFE9FC"/>
            </w:tcBorders>
            <w:shd w:val="clear" w:color="auto" w:fill="EFE9FC"/>
          </w:tcPr>
          <w:p>
            <w:pPr>
              <w:jc w:val="center"/>
              <w:ind w:left="445"/>
              <w:spacing w:after="0"/>
              <w:rPr>
                <w:sz w:val="20"/>
                <w:szCs w:val="20"/>
                <w:color w:val="auto"/>
              </w:rPr>
            </w:pPr>
            <w:r>
              <w:rPr>
                <w:rFonts w:ascii="Arial" w:cs="Arial" w:eastAsia="Arial" w:hAnsi="Arial"/>
                <w:sz w:val="15"/>
                <w:szCs w:val="15"/>
                <w:color w:val="auto"/>
              </w:rPr>
              <w:t>175%</w:t>
            </w:r>
          </w:p>
        </w:tc>
      </w:tr>
      <w:tr>
        <w:trPr>
          <w:trHeight w:val="221"/>
        </w:trPr>
        <w:tc>
          <w:tcPr>
            <w:tcW w:w="3000" w:type="dxa"/>
            <w:vAlign w:val="bottom"/>
          </w:tcPr>
          <w:p>
            <w:pPr>
              <w:spacing w:after="0"/>
              <w:rPr>
                <w:sz w:val="19"/>
                <w:szCs w:val="19"/>
                <w:color w:val="auto"/>
              </w:rPr>
            </w:pPr>
          </w:p>
        </w:tc>
        <w:tc>
          <w:tcPr>
            <w:tcW w:w="6180" w:type="dxa"/>
            <w:vAlign w:val="bottom"/>
            <w:gridSpan w:val="2"/>
          </w:tcPr>
          <w:p>
            <w:pPr>
              <w:jc w:val="center"/>
              <w:ind w:left="5"/>
              <w:spacing w:after="0"/>
              <w:rPr>
                <w:sz w:val="20"/>
                <w:szCs w:val="20"/>
                <w:color w:val="auto"/>
              </w:rPr>
            </w:pPr>
            <w:r>
              <w:rPr>
                <w:rFonts w:ascii="Arial" w:cs="Arial" w:eastAsia="Arial" w:hAnsi="Arial"/>
                <w:sz w:val="15"/>
                <w:szCs w:val="15"/>
                <w:color w:val="auto"/>
                <w:w w:val="99"/>
              </w:rPr>
              <w:t>Linear Interpolation: 1:7.50</w:t>
            </w:r>
          </w:p>
        </w:tc>
      </w:tr>
      <w:tr>
        <w:trPr>
          <w:trHeight w:val="22"/>
        </w:trPr>
        <w:tc>
          <w:tcPr>
            <w:tcW w:w="3000" w:type="dxa"/>
            <w:vAlign w:val="bottom"/>
          </w:tcPr>
          <w:p>
            <w:pPr>
              <w:spacing w:after="0" w:line="20" w:lineRule="exact"/>
              <w:rPr>
                <w:sz w:val="1"/>
                <w:szCs w:val="1"/>
                <w:color w:val="auto"/>
              </w:rPr>
            </w:pPr>
          </w:p>
        </w:tc>
        <w:tc>
          <w:tcPr>
            <w:tcW w:w="2660" w:type="dxa"/>
            <w:vAlign w:val="bottom"/>
          </w:tcPr>
          <w:p>
            <w:pPr>
              <w:spacing w:after="0" w:line="20" w:lineRule="exact"/>
              <w:rPr>
                <w:sz w:val="1"/>
                <w:szCs w:val="1"/>
                <w:color w:val="auto"/>
              </w:rPr>
            </w:pPr>
          </w:p>
        </w:tc>
        <w:tc>
          <w:tcPr>
            <w:tcW w:w="3520" w:type="dxa"/>
            <w:vAlign w:val="bottom"/>
          </w:tcPr>
          <w:p>
            <w:pPr>
              <w:spacing w:after="0" w:line="20" w:lineRule="exact"/>
              <w:rPr>
                <w:sz w:val="1"/>
                <w:szCs w:val="1"/>
                <w:color w:val="auto"/>
              </w:rPr>
            </w:pPr>
          </w:p>
        </w:tc>
      </w:tr>
      <w:tr>
        <w:trPr>
          <w:trHeight w:val="250"/>
        </w:trPr>
        <w:tc>
          <w:tcPr>
            <w:tcW w:w="3000" w:type="dxa"/>
            <w:vAlign w:val="bottom"/>
            <w:tcBorders>
              <w:bottom w:val="single" w:sz="8" w:color="EFE9FC"/>
            </w:tcBorders>
            <w:shd w:val="clear" w:color="auto" w:fill="EFE9FC"/>
          </w:tcPr>
          <w:p>
            <w:pPr>
              <w:jc w:val="center"/>
              <w:spacing w:after="0"/>
              <w:rPr>
                <w:sz w:val="20"/>
                <w:szCs w:val="20"/>
                <w:color w:val="auto"/>
              </w:rPr>
            </w:pPr>
            <w:r>
              <w:rPr>
                <w:rFonts w:ascii="Arial" w:cs="Arial" w:eastAsia="Arial" w:hAnsi="Arial"/>
                <w:sz w:val="15"/>
                <w:szCs w:val="15"/>
                <w:color w:val="auto"/>
                <w:w w:val="98"/>
              </w:rPr>
              <w:t>100%</w:t>
            </w:r>
          </w:p>
        </w:tc>
        <w:tc>
          <w:tcPr>
            <w:tcW w:w="2660" w:type="dxa"/>
            <w:vAlign w:val="bottom"/>
            <w:tcBorders>
              <w:bottom w:val="single" w:sz="8" w:color="EFE9FC"/>
            </w:tcBorders>
            <w:shd w:val="clear" w:color="auto" w:fill="EFE9FC"/>
          </w:tcPr>
          <w:p>
            <w:pPr>
              <w:jc w:val="center"/>
              <w:ind w:left="445"/>
              <w:spacing w:after="0"/>
              <w:rPr>
                <w:sz w:val="20"/>
                <w:szCs w:val="20"/>
                <w:color w:val="auto"/>
              </w:rPr>
            </w:pPr>
            <w:r>
              <w:rPr>
                <w:rFonts w:ascii="Arial" w:cs="Arial" w:eastAsia="Arial" w:hAnsi="Arial"/>
                <w:sz w:val="15"/>
                <w:szCs w:val="15"/>
                <w:color w:val="auto"/>
                <w:w w:val="98"/>
              </w:rPr>
              <w:t>100%</w:t>
            </w:r>
          </w:p>
        </w:tc>
        <w:tc>
          <w:tcPr>
            <w:tcW w:w="3520" w:type="dxa"/>
            <w:vAlign w:val="bottom"/>
            <w:tcBorders>
              <w:bottom w:val="single" w:sz="8" w:color="EFE9FC"/>
            </w:tcBorders>
            <w:shd w:val="clear" w:color="auto" w:fill="EFE9FC"/>
          </w:tcPr>
          <w:p>
            <w:pPr>
              <w:jc w:val="center"/>
              <w:ind w:left="445"/>
              <w:spacing w:after="0"/>
              <w:rPr>
                <w:sz w:val="20"/>
                <w:szCs w:val="20"/>
                <w:color w:val="auto"/>
              </w:rPr>
            </w:pPr>
            <w:r>
              <w:rPr>
                <w:rFonts w:ascii="Arial" w:cs="Arial" w:eastAsia="Arial" w:hAnsi="Arial"/>
                <w:sz w:val="15"/>
                <w:szCs w:val="15"/>
                <w:color w:val="auto"/>
              </w:rPr>
              <w:t>100%</w:t>
            </w:r>
          </w:p>
        </w:tc>
      </w:tr>
      <w:tr>
        <w:trPr>
          <w:trHeight w:val="222"/>
        </w:trPr>
        <w:tc>
          <w:tcPr>
            <w:tcW w:w="3000" w:type="dxa"/>
            <w:vAlign w:val="bottom"/>
          </w:tcPr>
          <w:p>
            <w:pPr>
              <w:spacing w:after="0"/>
              <w:rPr>
                <w:sz w:val="19"/>
                <w:szCs w:val="19"/>
                <w:color w:val="auto"/>
              </w:rPr>
            </w:pPr>
          </w:p>
        </w:tc>
        <w:tc>
          <w:tcPr>
            <w:tcW w:w="6180" w:type="dxa"/>
            <w:vAlign w:val="bottom"/>
            <w:gridSpan w:val="2"/>
          </w:tcPr>
          <w:p>
            <w:pPr>
              <w:jc w:val="center"/>
              <w:spacing w:after="0"/>
              <w:rPr>
                <w:sz w:val="20"/>
                <w:szCs w:val="20"/>
                <w:color w:val="auto"/>
              </w:rPr>
            </w:pPr>
            <w:r>
              <w:rPr>
                <w:rFonts w:ascii="Arial" w:cs="Arial" w:eastAsia="Arial" w:hAnsi="Arial"/>
                <w:sz w:val="15"/>
                <w:szCs w:val="15"/>
                <w:color w:val="auto"/>
                <w:w w:val="99"/>
              </w:rPr>
              <w:t>Linear Interpolation: 1:16.67 (Sales)</w:t>
            </w:r>
          </w:p>
        </w:tc>
      </w:tr>
      <w:tr>
        <w:trPr>
          <w:trHeight w:val="189"/>
        </w:trPr>
        <w:tc>
          <w:tcPr>
            <w:tcW w:w="3000" w:type="dxa"/>
            <w:vAlign w:val="bottom"/>
          </w:tcPr>
          <w:p>
            <w:pPr>
              <w:spacing w:after="0"/>
              <w:rPr>
                <w:sz w:val="16"/>
                <w:szCs w:val="16"/>
                <w:color w:val="auto"/>
              </w:rPr>
            </w:pPr>
          </w:p>
        </w:tc>
        <w:tc>
          <w:tcPr>
            <w:tcW w:w="2660" w:type="dxa"/>
            <w:vAlign w:val="bottom"/>
          </w:tcPr>
          <w:p>
            <w:pPr>
              <w:spacing w:after="0"/>
              <w:rPr>
                <w:sz w:val="16"/>
                <w:szCs w:val="16"/>
                <w:color w:val="auto"/>
              </w:rPr>
            </w:pPr>
          </w:p>
        </w:tc>
        <w:tc>
          <w:tcPr>
            <w:tcW w:w="3520" w:type="dxa"/>
            <w:vAlign w:val="bottom"/>
          </w:tcPr>
          <w:p>
            <w:pPr>
              <w:jc w:val="center"/>
              <w:ind w:right="2485"/>
              <w:spacing w:after="0"/>
              <w:rPr>
                <w:sz w:val="20"/>
                <w:szCs w:val="20"/>
                <w:color w:val="auto"/>
              </w:rPr>
            </w:pPr>
            <w:r>
              <w:rPr>
                <w:rFonts w:ascii="Arial" w:cs="Arial" w:eastAsia="Arial" w:hAnsi="Arial"/>
                <w:sz w:val="15"/>
                <w:szCs w:val="15"/>
                <w:color w:val="auto"/>
                <w:w w:val="99"/>
              </w:rPr>
              <w:t>1.50 (Income)</w:t>
            </w:r>
          </w:p>
        </w:tc>
      </w:tr>
      <w:tr>
        <w:trPr>
          <w:trHeight w:val="22"/>
        </w:trPr>
        <w:tc>
          <w:tcPr>
            <w:tcW w:w="3000" w:type="dxa"/>
            <w:vAlign w:val="bottom"/>
          </w:tcPr>
          <w:p>
            <w:pPr>
              <w:spacing w:after="0" w:line="20" w:lineRule="exact"/>
              <w:rPr>
                <w:sz w:val="1"/>
                <w:szCs w:val="1"/>
                <w:color w:val="auto"/>
              </w:rPr>
            </w:pPr>
          </w:p>
        </w:tc>
        <w:tc>
          <w:tcPr>
            <w:tcW w:w="2660" w:type="dxa"/>
            <w:vAlign w:val="bottom"/>
          </w:tcPr>
          <w:p>
            <w:pPr>
              <w:spacing w:after="0" w:line="20" w:lineRule="exact"/>
              <w:rPr>
                <w:sz w:val="1"/>
                <w:szCs w:val="1"/>
                <w:color w:val="auto"/>
              </w:rPr>
            </w:pPr>
          </w:p>
        </w:tc>
        <w:tc>
          <w:tcPr>
            <w:tcW w:w="3520" w:type="dxa"/>
            <w:vAlign w:val="bottom"/>
          </w:tcPr>
          <w:p>
            <w:pPr>
              <w:spacing w:after="0" w:line="20" w:lineRule="exact"/>
              <w:rPr>
                <w:sz w:val="1"/>
                <w:szCs w:val="1"/>
                <w:color w:val="auto"/>
              </w:rPr>
            </w:pPr>
          </w:p>
        </w:tc>
      </w:tr>
      <w:tr>
        <w:trPr>
          <w:trHeight w:val="250"/>
        </w:trPr>
        <w:tc>
          <w:tcPr>
            <w:tcW w:w="3000" w:type="dxa"/>
            <w:vAlign w:val="bottom"/>
            <w:tcBorders>
              <w:bottom w:val="single" w:sz="8" w:color="EFE9FC"/>
            </w:tcBorders>
            <w:shd w:val="clear" w:color="auto" w:fill="EFE9FC"/>
          </w:tcPr>
          <w:p>
            <w:pPr>
              <w:jc w:val="center"/>
              <w:spacing w:after="0"/>
              <w:rPr>
                <w:sz w:val="20"/>
                <w:szCs w:val="20"/>
                <w:color w:val="auto"/>
              </w:rPr>
            </w:pPr>
            <w:r>
              <w:rPr>
                <w:rFonts w:ascii="Arial" w:cs="Arial" w:eastAsia="Arial" w:hAnsi="Arial"/>
                <w:sz w:val="15"/>
                <w:szCs w:val="15"/>
                <w:color w:val="auto"/>
                <w:w w:val="99"/>
              </w:rPr>
              <w:t>97%</w:t>
            </w:r>
          </w:p>
        </w:tc>
        <w:tc>
          <w:tcPr>
            <w:tcW w:w="2660" w:type="dxa"/>
            <w:vAlign w:val="bottom"/>
            <w:tcBorders>
              <w:bottom w:val="single" w:sz="8" w:color="EFE9FC"/>
            </w:tcBorders>
            <w:shd w:val="clear" w:color="auto" w:fill="EFE9FC"/>
          </w:tcPr>
          <w:p>
            <w:pPr>
              <w:jc w:val="center"/>
              <w:ind w:left="445"/>
              <w:spacing w:after="0"/>
              <w:rPr>
                <w:sz w:val="20"/>
                <w:szCs w:val="20"/>
                <w:color w:val="auto"/>
              </w:rPr>
            </w:pPr>
            <w:r>
              <w:rPr>
                <w:rFonts w:ascii="Arial" w:cs="Arial" w:eastAsia="Arial" w:hAnsi="Arial"/>
                <w:sz w:val="15"/>
                <w:szCs w:val="15"/>
                <w:color w:val="auto"/>
                <w:w w:val="99"/>
              </w:rPr>
              <w:t>90%</w:t>
            </w:r>
          </w:p>
        </w:tc>
        <w:tc>
          <w:tcPr>
            <w:tcW w:w="3520" w:type="dxa"/>
            <w:vAlign w:val="bottom"/>
            <w:tcBorders>
              <w:bottom w:val="single" w:sz="8" w:color="EFE9FC"/>
            </w:tcBorders>
            <w:shd w:val="clear" w:color="auto" w:fill="EFE9FC"/>
          </w:tcPr>
          <w:p>
            <w:pPr>
              <w:jc w:val="center"/>
              <w:ind w:left="445"/>
              <w:spacing w:after="0"/>
              <w:rPr>
                <w:sz w:val="20"/>
                <w:szCs w:val="20"/>
                <w:color w:val="auto"/>
              </w:rPr>
            </w:pPr>
            <w:r>
              <w:rPr>
                <w:rFonts w:ascii="Arial" w:cs="Arial" w:eastAsia="Arial" w:hAnsi="Arial"/>
                <w:sz w:val="15"/>
                <w:szCs w:val="15"/>
                <w:color w:val="auto"/>
              </w:rPr>
              <w:t>50%</w:t>
            </w:r>
          </w:p>
        </w:tc>
      </w:tr>
      <w:tr>
        <w:trPr>
          <w:trHeight w:val="222"/>
        </w:trPr>
        <w:tc>
          <w:tcPr>
            <w:tcW w:w="3000" w:type="dxa"/>
            <w:vAlign w:val="bottom"/>
          </w:tcPr>
          <w:p>
            <w:pPr>
              <w:jc w:val="center"/>
              <w:spacing w:after="0"/>
              <w:rPr>
                <w:sz w:val="20"/>
                <w:szCs w:val="20"/>
                <w:color w:val="auto"/>
              </w:rPr>
            </w:pPr>
            <w:r>
              <w:rPr>
                <w:rFonts w:ascii="Arial" w:cs="Arial" w:eastAsia="Arial" w:hAnsi="Arial"/>
                <w:sz w:val="15"/>
                <w:szCs w:val="15"/>
                <w:color w:val="auto"/>
              </w:rPr>
              <w:t>&lt;97%</w:t>
            </w:r>
          </w:p>
        </w:tc>
        <w:tc>
          <w:tcPr>
            <w:tcW w:w="2660" w:type="dxa"/>
            <w:vAlign w:val="bottom"/>
          </w:tcPr>
          <w:p>
            <w:pPr>
              <w:jc w:val="center"/>
              <w:ind w:left="445"/>
              <w:spacing w:after="0"/>
              <w:rPr>
                <w:sz w:val="20"/>
                <w:szCs w:val="20"/>
                <w:color w:val="auto"/>
              </w:rPr>
            </w:pPr>
            <w:r>
              <w:rPr>
                <w:rFonts w:ascii="Arial" w:cs="Arial" w:eastAsia="Arial" w:hAnsi="Arial"/>
                <w:sz w:val="15"/>
                <w:szCs w:val="15"/>
                <w:color w:val="auto"/>
                <w:w w:val="97"/>
              </w:rPr>
              <w:t>&lt;90%</w:t>
            </w:r>
          </w:p>
        </w:tc>
        <w:tc>
          <w:tcPr>
            <w:tcW w:w="3520" w:type="dxa"/>
            <w:vAlign w:val="bottom"/>
          </w:tcPr>
          <w:p>
            <w:pPr>
              <w:jc w:val="center"/>
              <w:ind w:left="425"/>
              <w:spacing w:after="0"/>
              <w:rPr>
                <w:sz w:val="20"/>
                <w:szCs w:val="20"/>
                <w:color w:val="auto"/>
              </w:rPr>
            </w:pPr>
            <w:r>
              <w:rPr>
                <w:rFonts w:ascii="Arial" w:cs="Arial" w:eastAsia="Arial" w:hAnsi="Arial"/>
                <w:sz w:val="15"/>
                <w:szCs w:val="15"/>
                <w:color w:val="auto"/>
              </w:rPr>
              <w:t>0%</w:t>
            </w:r>
          </w:p>
        </w:tc>
      </w:tr>
      <w:tr>
        <w:trPr>
          <w:trHeight w:val="21"/>
        </w:trPr>
        <w:tc>
          <w:tcPr>
            <w:tcW w:w="3000" w:type="dxa"/>
            <w:vAlign w:val="bottom"/>
            <w:tcBorders>
              <w:bottom w:val="single" w:sz="8" w:color="4800E6"/>
            </w:tcBorders>
          </w:tcPr>
          <w:p>
            <w:pPr>
              <w:spacing w:after="0" w:line="20" w:lineRule="exact"/>
              <w:rPr>
                <w:sz w:val="1"/>
                <w:szCs w:val="1"/>
                <w:color w:val="auto"/>
              </w:rPr>
            </w:pPr>
          </w:p>
        </w:tc>
        <w:tc>
          <w:tcPr>
            <w:tcW w:w="2660" w:type="dxa"/>
            <w:vAlign w:val="bottom"/>
            <w:tcBorders>
              <w:bottom w:val="single" w:sz="8" w:color="4800E6"/>
            </w:tcBorders>
          </w:tcPr>
          <w:p>
            <w:pPr>
              <w:spacing w:after="0" w:line="20" w:lineRule="exact"/>
              <w:rPr>
                <w:sz w:val="1"/>
                <w:szCs w:val="1"/>
                <w:color w:val="auto"/>
              </w:rPr>
            </w:pPr>
          </w:p>
        </w:tc>
        <w:tc>
          <w:tcPr>
            <w:tcW w:w="3520" w:type="dxa"/>
            <w:vAlign w:val="bottom"/>
            <w:tcBorders>
              <w:bottom w:val="single" w:sz="8" w:color="4800E6"/>
            </w:tcBorders>
          </w:tcPr>
          <w:p>
            <w:pPr>
              <w:spacing w:after="0" w:line="20" w:lineRule="exact"/>
              <w:rPr>
                <w:sz w:val="1"/>
                <w:szCs w:val="1"/>
                <w:color w:val="auto"/>
              </w:rPr>
            </w:pPr>
          </w:p>
        </w:tc>
      </w:tr>
    </w:tbl>
    <w:p>
      <w:pPr>
        <w:spacing w:after="0" w:line="96" w:lineRule="exact"/>
        <w:rPr>
          <w:sz w:val="20"/>
          <w:szCs w:val="20"/>
          <w:color w:val="auto"/>
        </w:rPr>
      </w:pPr>
    </w:p>
    <w:p>
      <w:pPr>
        <w:ind w:left="760" w:right="940"/>
        <w:spacing w:after="0" w:line="266" w:lineRule="auto"/>
        <w:rPr>
          <w:sz w:val="20"/>
          <w:szCs w:val="20"/>
          <w:color w:val="auto"/>
        </w:rPr>
      </w:pPr>
      <w:r>
        <w:rPr>
          <w:rFonts w:ascii="Arial" w:cs="Arial" w:eastAsia="Arial" w:hAnsi="Arial"/>
          <w:sz w:val="16"/>
          <w:szCs w:val="16"/>
          <w:color w:val="auto"/>
        </w:rPr>
        <w:t>The non-financial objectives comprise product development projects that will drive revenue generation beyond 2020, plus a Leadership objective focused on developing our future leaders. The Design projects include two product development projects, each valued at 5% if the objectives are achieved within defined timelines. The Clinical and Regulatory projects are enrollment objectives for three clinical studies, one of which is valued at 10% and the other two of which are valued at 5%. The achievement of one of these last two clinical studies is alternative to a regulatory submission objective. The Commercialization objective is a commercial launch objective valued at 10%. Together, the six product development project objectives represent 25% of each executive’s target bonus, but total 40% if all objectives are achieved, representing a potential overachievement of 15%. The Leadership objective is valued at 15% and cannot be overachieved.</w:t>
      </w:r>
    </w:p>
    <w:p>
      <w:pPr>
        <w:spacing w:after="0" w:line="136" w:lineRule="exact"/>
        <w:rPr>
          <w:sz w:val="20"/>
          <w:szCs w:val="20"/>
          <w:color w:val="auto"/>
        </w:rPr>
      </w:pPr>
    </w:p>
    <w:tbl>
      <w:tblPr>
        <w:tblLayout w:type="fixed"/>
        <w:tblInd w:w="760" w:type="dxa"/>
        <w:tblCellMar>
          <w:top w:w="0" w:type="dxa"/>
          <w:left w:w="0" w:type="dxa"/>
          <w:bottom w:w="0" w:type="dxa"/>
          <w:right w:w="0" w:type="dxa"/>
        </w:tblCellMar>
      </w:tblPr>
      <w:tr>
        <w:trPr>
          <w:trHeight w:val="162"/>
        </w:trPr>
        <w:tc>
          <w:tcPr>
            <w:tcW w:w="3180" w:type="dxa"/>
            <w:vAlign w:val="bottom"/>
          </w:tcPr>
          <w:p>
            <w:pPr>
              <w:spacing w:after="0"/>
              <w:rPr>
                <w:sz w:val="14"/>
                <w:szCs w:val="14"/>
                <w:color w:val="auto"/>
              </w:rPr>
            </w:pPr>
          </w:p>
        </w:tc>
        <w:tc>
          <w:tcPr>
            <w:tcW w:w="2500" w:type="dxa"/>
            <w:vAlign w:val="bottom"/>
          </w:tcPr>
          <w:p>
            <w:pPr>
              <w:spacing w:after="0"/>
              <w:rPr>
                <w:sz w:val="14"/>
                <w:szCs w:val="14"/>
                <w:color w:val="auto"/>
              </w:rPr>
            </w:pPr>
          </w:p>
        </w:tc>
        <w:tc>
          <w:tcPr>
            <w:tcW w:w="1080" w:type="dxa"/>
            <w:vAlign w:val="bottom"/>
          </w:tcPr>
          <w:p>
            <w:pPr>
              <w:jc w:val="right"/>
              <w:ind w:right="105"/>
              <w:spacing w:after="0"/>
              <w:rPr>
                <w:sz w:val="20"/>
                <w:szCs w:val="20"/>
                <w:color w:val="auto"/>
              </w:rPr>
            </w:pPr>
            <w:r>
              <w:rPr>
                <w:rFonts w:ascii="Arial" w:cs="Arial" w:eastAsia="Arial" w:hAnsi="Arial"/>
                <w:sz w:val="14"/>
                <w:szCs w:val="14"/>
                <w:b w:val="1"/>
                <w:bCs w:val="1"/>
                <w:color w:val="4800E6"/>
              </w:rPr>
              <w:t>Clinical and</w:t>
            </w:r>
          </w:p>
        </w:tc>
        <w:tc>
          <w:tcPr>
            <w:tcW w:w="1480" w:type="dxa"/>
            <w:vAlign w:val="bottom"/>
          </w:tcPr>
          <w:p>
            <w:pPr>
              <w:spacing w:after="0"/>
              <w:rPr>
                <w:sz w:val="14"/>
                <w:szCs w:val="14"/>
                <w:color w:val="auto"/>
              </w:rPr>
            </w:pPr>
          </w:p>
        </w:tc>
        <w:tc>
          <w:tcPr>
            <w:tcW w:w="940" w:type="dxa"/>
            <w:vAlign w:val="bottom"/>
          </w:tcPr>
          <w:p>
            <w:pPr>
              <w:spacing w:after="0"/>
              <w:rPr>
                <w:sz w:val="14"/>
                <w:szCs w:val="14"/>
                <w:color w:val="auto"/>
              </w:rPr>
            </w:pPr>
          </w:p>
        </w:tc>
      </w:tr>
      <w:tr>
        <w:trPr>
          <w:trHeight w:val="196"/>
        </w:trPr>
        <w:tc>
          <w:tcPr>
            <w:tcW w:w="3180" w:type="dxa"/>
            <w:vAlign w:val="bottom"/>
            <w:tcBorders>
              <w:bottom w:val="single" w:sz="8" w:color="4800E6"/>
            </w:tcBorders>
          </w:tcPr>
          <w:p>
            <w:pPr>
              <w:spacing w:after="0"/>
              <w:rPr>
                <w:sz w:val="17"/>
                <w:szCs w:val="17"/>
                <w:color w:val="auto"/>
              </w:rPr>
            </w:pPr>
          </w:p>
        </w:tc>
        <w:tc>
          <w:tcPr>
            <w:tcW w:w="2500" w:type="dxa"/>
            <w:vAlign w:val="bottom"/>
            <w:tcBorders>
              <w:bottom w:val="single" w:sz="8" w:color="4800E6"/>
            </w:tcBorders>
          </w:tcPr>
          <w:p>
            <w:pPr>
              <w:jc w:val="right"/>
              <w:ind w:right="45"/>
              <w:spacing w:after="0"/>
              <w:rPr>
                <w:sz w:val="20"/>
                <w:szCs w:val="20"/>
                <w:color w:val="auto"/>
              </w:rPr>
            </w:pPr>
            <w:r>
              <w:rPr>
                <w:rFonts w:ascii="Arial" w:cs="Arial" w:eastAsia="Arial" w:hAnsi="Arial"/>
                <w:sz w:val="14"/>
                <w:szCs w:val="14"/>
                <w:b w:val="1"/>
                <w:bCs w:val="1"/>
                <w:color w:val="4800E6"/>
              </w:rPr>
              <w:t>Design</w:t>
            </w:r>
          </w:p>
        </w:tc>
        <w:tc>
          <w:tcPr>
            <w:tcW w:w="1080" w:type="dxa"/>
            <w:vAlign w:val="bottom"/>
            <w:tcBorders>
              <w:bottom w:val="single" w:sz="8" w:color="4800E6"/>
            </w:tcBorders>
          </w:tcPr>
          <w:p>
            <w:pPr>
              <w:jc w:val="right"/>
              <w:ind w:right="65"/>
              <w:spacing w:after="0"/>
              <w:rPr>
                <w:sz w:val="20"/>
                <w:szCs w:val="20"/>
                <w:color w:val="auto"/>
              </w:rPr>
            </w:pPr>
            <w:r>
              <w:rPr>
                <w:rFonts w:ascii="Arial" w:cs="Arial" w:eastAsia="Arial" w:hAnsi="Arial"/>
                <w:sz w:val="14"/>
                <w:szCs w:val="14"/>
                <w:b w:val="1"/>
                <w:bCs w:val="1"/>
                <w:color w:val="4800E6"/>
              </w:rPr>
              <w:t>Regulatory</w:t>
            </w:r>
          </w:p>
        </w:tc>
        <w:tc>
          <w:tcPr>
            <w:tcW w:w="1480" w:type="dxa"/>
            <w:vAlign w:val="bottom"/>
            <w:tcBorders>
              <w:bottom w:val="single" w:sz="8" w:color="4800E6"/>
            </w:tcBorders>
          </w:tcPr>
          <w:p>
            <w:pPr>
              <w:jc w:val="right"/>
              <w:ind w:right="45"/>
              <w:spacing w:after="0"/>
              <w:rPr>
                <w:sz w:val="20"/>
                <w:szCs w:val="20"/>
                <w:color w:val="auto"/>
              </w:rPr>
            </w:pPr>
            <w:r>
              <w:rPr>
                <w:rFonts w:ascii="Arial" w:cs="Arial" w:eastAsia="Arial" w:hAnsi="Arial"/>
                <w:sz w:val="14"/>
                <w:szCs w:val="14"/>
                <w:b w:val="1"/>
                <w:bCs w:val="1"/>
                <w:color w:val="4800E6"/>
              </w:rPr>
              <w:t>Commercialization</w:t>
            </w:r>
          </w:p>
        </w:tc>
        <w:tc>
          <w:tcPr>
            <w:tcW w:w="940" w:type="dxa"/>
            <w:vAlign w:val="bottom"/>
            <w:tcBorders>
              <w:bottom w:val="single" w:sz="8" w:color="4800E6"/>
            </w:tcBorders>
          </w:tcPr>
          <w:p>
            <w:pPr>
              <w:jc w:val="right"/>
              <w:spacing w:after="0"/>
              <w:rPr>
                <w:sz w:val="20"/>
                <w:szCs w:val="20"/>
                <w:color w:val="auto"/>
              </w:rPr>
            </w:pPr>
            <w:r>
              <w:rPr>
                <w:rFonts w:ascii="Arial" w:cs="Arial" w:eastAsia="Arial" w:hAnsi="Arial"/>
                <w:sz w:val="14"/>
                <w:szCs w:val="14"/>
                <w:b w:val="1"/>
                <w:bCs w:val="1"/>
                <w:color w:val="4800E6"/>
              </w:rPr>
              <w:t>Leadership</w:t>
            </w:r>
          </w:p>
        </w:tc>
      </w:tr>
      <w:tr>
        <w:trPr>
          <w:trHeight w:val="221"/>
        </w:trPr>
        <w:tc>
          <w:tcPr>
            <w:tcW w:w="3180" w:type="dxa"/>
            <w:vAlign w:val="bottom"/>
          </w:tcPr>
          <w:p>
            <w:pPr>
              <w:ind w:left="40"/>
              <w:spacing w:after="0"/>
              <w:rPr>
                <w:sz w:val="20"/>
                <w:szCs w:val="20"/>
                <w:color w:val="auto"/>
              </w:rPr>
            </w:pPr>
            <w:r>
              <w:rPr>
                <w:rFonts w:ascii="Arial" w:cs="Arial" w:eastAsia="Arial" w:hAnsi="Arial"/>
                <w:sz w:val="15"/>
                <w:szCs w:val="15"/>
                <w:color w:val="auto"/>
              </w:rPr>
              <w:t>Damien McDonald</w:t>
            </w:r>
          </w:p>
        </w:tc>
        <w:tc>
          <w:tcPr>
            <w:tcW w:w="2500" w:type="dxa"/>
            <w:vAlign w:val="bottom"/>
          </w:tcPr>
          <w:p>
            <w:pPr>
              <w:jc w:val="right"/>
              <w:ind w:right="45"/>
              <w:spacing w:after="0"/>
              <w:rPr>
                <w:sz w:val="20"/>
                <w:szCs w:val="20"/>
                <w:color w:val="auto"/>
              </w:rPr>
            </w:pPr>
            <w:r>
              <w:rPr>
                <w:rFonts w:ascii="Arial" w:cs="Arial" w:eastAsia="Arial" w:hAnsi="Arial"/>
                <w:sz w:val="15"/>
                <w:szCs w:val="15"/>
                <w:color w:val="auto"/>
              </w:rPr>
              <w:t>10%</w:t>
            </w:r>
          </w:p>
        </w:tc>
        <w:tc>
          <w:tcPr>
            <w:tcW w:w="1080" w:type="dxa"/>
            <w:vAlign w:val="bottom"/>
          </w:tcPr>
          <w:p>
            <w:pPr>
              <w:jc w:val="right"/>
              <w:ind w:right="45"/>
              <w:spacing w:after="0"/>
              <w:rPr>
                <w:sz w:val="20"/>
                <w:szCs w:val="20"/>
                <w:color w:val="auto"/>
              </w:rPr>
            </w:pPr>
            <w:r>
              <w:rPr>
                <w:rFonts w:ascii="Arial" w:cs="Arial" w:eastAsia="Arial" w:hAnsi="Arial"/>
                <w:sz w:val="15"/>
                <w:szCs w:val="15"/>
                <w:color w:val="auto"/>
              </w:rPr>
              <w:t>20%</w:t>
            </w:r>
          </w:p>
        </w:tc>
        <w:tc>
          <w:tcPr>
            <w:tcW w:w="1480" w:type="dxa"/>
            <w:vAlign w:val="bottom"/>
          </w:tcPr>
          <w:p>
            <w:pPr>
              <w:jc w:val="right"/>
              <w:ind w:right="25"/>
              <w:spacing w:after="0"/>
              <w:rPr>
                <w:sz w:val="20"/>
                <w:szCs w:val="20"/>
                <w:color w:val="auto"/>
              </w:rPr>
            </w:pPr>
            <w:r>
              <w:rPr>
                <w:rFonts w:ascii="Arial" w:cs="Arial" w:eastAsia="Arial" w:hAnsi="Arial"/>
                <w:sz w:val="15"/>
                <w:szCs w:val="15"/>
                <w:color w:val="auto"/>
              </w:rPr>
              <w:t>10%</w:t>
            </w:r>
          </w:p>
        </w:tc>
        <w:tc>
          <w:tcPr>
            <w:tcW w:w="940" w:type="dxa"/>
            <w:vAlign w:val="bottom"/>
          </w:tcPr>
          <w:p>
            <w:pPr>
              <w:jc w:val="right"/>
              <w:spacing w:after="0"/>
              <w:rPr>
                <w:sz w:val="20"/>
                <w:szCs w:val="20"/>
                <w:color w:val="auto"/>
              </w:rPr>
            </w:pPr>
            <w:r>
              <w:rPr>
                <w:rFonts w:ascii="Arial" w:cs="Arial" w:eastAsia="Arial" w:hAnsi="Arial"/>
                <w:sz w:val="15"/>
                <w:szCs w:val="15"/>
                <w:color w:val="auto"/>
              </w:rPr>
              <w:t>NA</w:t>
            </w:r>
          </w:p>
        </w:tc>
      </w:tr>
      <w:tr>
        <w:trPr>
          <w:trHeight w:val="22"/>
        </w:trPr>
        <w:tc>
          <w:tcPr>
            <w:tcW w:w="3180" w:type="dxa"/>
            <w:vAlign w:val="bottom"/>
          </w:tcPr>
          <w:p>
            <w:pPr>
              <w:spacing w:after="0" w:line="20" w:lineRule="exact"/>
              <w:rPr>
                <w:sz w:val="1"/>
                <w:szCs w:val="1"/>
                <w:color w:val="auto"/>
              </w:rPr>
            </w:pPr>
          </w:p>
        </w:tc>
        <w:tc>
          <w:tcPr>
            <w:tcW w:w="250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r>
      <w:tr>
        <w:trPr>
          <w:trHeight w:val="250"/>
        </w:trPr>
        <w:tc>
          <w:tcPr>
            <w:tcW w:w="3180" w:type="dxa"/>
            <w:vAlign w:val="bottom"/>
            <w:tcBorders>
              <w:bottom w:val="single" w:sz="8" w:color="EFE9FC"/>
            </w:tcBorders>
            <w:shd w:val="clear" w:color="auto" w:fill="EFE9FC"/>
          </w:tcPr>
          <w:p>
            <w:pPr>
              <w:ind w:left="40"/>
              <w:spacing w:after="0"/>
              <w:rPr>
                <w:sz w:val="20"/>
                <w:szCs w:val="20"/>
                <w:color w:val="auto"/>
              </w:rPr>
            </w:pPr>
            <w:r>
              <w:rPr>
                <w:rFonts w:ascii="Arial" w:cs="Arial" w:eastAsia="Arial" w:hAnsi="Arial"/>
                <w:sz w:val="15"/>
                <w:szCs w:val="15"/>
                <w:color w:val="auto"/>
              </w:rPr>
              <w:t>Thad Huston</w:t>
            </w:r>
          </w:p>
        </w:tc>
        <w:tc>
          <w:tcPr>
            <w:tcW w:w="2500" w:type="dxa"/>
            <w:vAlign w:val="bottom"/>
            <w:tcBorders>
              <w:bottom w:val="single" w:sz="8" w:color="EFE9FC"/>
            </w:tcBorders>
            <w:shd w:val="clear" w:color="auto" w:fill="EFE9FC"/>
          </w:tcPr>
          <w:p>
            <w:pPr>
              <w:jc w:val="right"/>
              <w:ind w:right="45"/>
              <w:spacing w:after="0"/>
              <w:rPr>
                <w:sz w:val="20"/>
                <w:szCs w:val="20"/>
                <w:color w:val="auto"/>
              </w:rPr>
            </w:pPr>
            <w:r>
              <w:rPr>
                <w:rFonts w:ascii="Arial" w:cs="Arial" w:eastAsia="Arial" w:hAnsi="Arial"/>
                <w:sz w:val="15"/>
                <w:szCs w:val="15"/>
                <w:color w:val="auto"/>
              </w:rPr>
              <w:t>10%</w:t>
            </w:r>
          </w:p>
        </w:tc>
        <w:tc>
          <w:tcPr>
            <w:tcW w:w="1080" w:type="dxa"/>
            <w:vAlign w:val="bottom"/>
            <w:tcBorders>
              <w:bottom w:val="single" w:sz="8" w:color="EFE9FC"/>
            </w:tcBorders>
            <w:shd w:val="clear" w:color="auto" w:fill="EFE9FC"/>
          </w:tcPr>
          <w:p>
            <w:pPr>
              <w:jc w:val="right"/>
              <w:ind w:right="45"/>
              <w:spacing w:after="0"/>
              <w:rPr>
                <w:sz w:val="20"/>
                <w:szCs w:val="20"/>
                <w:color w:val="auto"/>
              </w:rPr>
            </w:pPr>
            <w:r>
              <w:rPr>
                <w:rFonts w:ascii="Arial" w:cs="Arial" w:eastAsia="Arial" w:hAnsi="Arial"/>
                <w:sz w:val="15"/>
                <w:szCs w:val="15"/>
                <w:color w:val="auto"/>
              </w:rPr>
              <w:t>20%</w:t>
            </w:r>
          </w:p>
        </w:tc>
        <w:tc>
          <w:tcPr>
            <w:tcW w:w="1480" w:type="dxa"/>
            <w:vAlign w:val="bottom"/>
            <w:tcBorders>
              <w:bottom w:val="single" w:sz="8" w:color="EFE9FC"/>
            </w:tcBorders>
            <w:shd w:val="clear" w:color="auto" w:fill="EFE9FC"/>
          </w:tcPr>
          <w:p>
            <w:pPr>
              <w:jc w:val="right"/>
              <w:ind w:right="25"/>
              <w:spacing w:after="0"/>
              <w:rPr>
                <w:sz w:val="20"/>
                <w:szCs w:val="20"/>
                <w:color w:val="auto"/>
              </w:rPr>
            </w:pPr>
            <w:r>
              <w:rPr>
                <w:rFonts w:ascii="Arial" w:cs="Arial" w:eastAsia="Arial" w:hAnsi="Arial"/>
                <w:sz w:val="15"/>
                <w:szCs w:val="15"/>
                <w:color w:val="auto"/>
              </w:rPr>
              <w:t>10%</w:t>
            </w:r>
          </w:p>
        </w:tc>
        <w:tc>
          <w:tcPr>
            <w:tcW w:w="940" w:type="dxa"/>
            <w:vAlign w:val="bottom"/>
            <w:tcBorders>
              <w:bottom w:val="single" w:sz="8" w:color="EFE9FC"/>
            </w:tcBorders>
            <w:shd w:val="clear" w:color="auto" w:fill="EFE9FC"/>
          </w:tcPr>
          <w:p>
            <w:pPr>
              <w:jc w:val="right"/>
              <w:spacing w:after="0"/>
              <w:rPr>
                <w:sz w:val="20"/>
                <w:szCs w:val="20"/>
                <w:color w:val="auto"/>
              </w:rPr>
            </w:pPr>
            <w:r>
              <w:rPr>
                <w:rFonts w:ascii="Arial" w:cs="Arial" w:eastAsia="Arial" w:hAnsi="Arial"/>
                <w:sz w:val="15"/>
                <w:szCs w:val="15"/>
                <w:color w:val="auto"/>
              </w:rPr>
              <w:t>15%</w:t>
            </w:r>
          </w:p>
        </w:tc>
      </w:tr>
      <w:tr>
        <w:trPr>
          <w:trHeight w:val="221"/>
        </w:trPr>
        <w:tc>
          <w:tcPr>
            <w:tcW w:w="3180" w:type="dxa"/>
            <w:vAlign w:val="bottom"/>
          </w:tcPr>
          <w:p>
            <w:pPr>
              <w:ind w:left="40"/>
              <w:spacing w:after="0"/>
              <w:rPr>
                <w:sz w:val="20"/>
                <w:szCs w:val="20"/>
                <w:color w:val="auto"/>
              </w:rPr>
            </w:pPr>
            <w:r>
              <w:rPr>
                <w:rFonts w:ascii="Arial" w:cs="Arial" w:eastAsia="Arial" w:hAnsi="Arial"/>
                <w:sz w:val="15"/>
                <w:szCs w:val="15"/>
                <w:color w:val="auto"/>
              </w:rPr>
              <w:t>Keyna Skeffington</w:t>
            </w:r>
          </w:p>
        </w:tc>
        <w:tc>
          <w:tcPr>
            <w:tcW w:w="2500" w:type="dxa"/>
            <w:vAlign w:val="bottom"/>
          </w:tcPr>
          <w:p>
            <w:pPr>
              <w:jc w:val="right"/>
              <w:ind w:right="45"/>
              <w:spacing w:after="0"/>
              <w:rPr>
                <w:sz w:val="20"/>
                <w:szCs w:val="20"/>
                <w:color w:val="auto"/>
              </w:rPr>
            </w:pPr>
            <w:r>
              <w:rPr>
                <w:rFonts w:ascii="Arial" w:cs="Arial" w:eastAsia="Arial" w:hAnsi="Arial"/>
                <w:sz w:val="15"/>
                <w:szCs w:val="15"/>
                <w:color w:val="auto"/>
              </w:rPr>
              <w:t>10%</w:t>
            </w:r>
          </w:p>
        </w:tc>
        <w:tc>
          <w:tcPr>
            <w:tcW w:w="1080" w:type="dxa"/>
            <w:vAlign w:val="bottom"/>
          </w:tcPr>
          <w:p>
            <w:pPr>
              <w:jc w:val="right"/>
              <w:ind w:right="45"/>
              <w:spacing w:after="0"/>
              <w:rPr>
                <w:sz w:val="20"/>
                <w:szCs w:val="20"/>
                <w:color w:val="auto"/>
              </w:rPr>
            </w:pPr>
            <w:r>
              <w:rPr>
                <w:rFonts w:ascii="Arial" w:cs="Arial" w:eastAsia="Arial" w:hAnsi="Arial"/>
                <w:sz w:val="15"/>
                <w:szCs w:val="15"/>
                <w:color w:val="auto"/>
              </w:rPr>
              <w:t>20%</w:t>
            </w:r>
          </w:p>
        </w:tc>
        <w:tc>
          <w:tcPr>
            <w:tcW w:w="1480" w:type="dxa"/>
            <w:vAlign w:val="bottom"/>
          </w:tcPr>
          <w:p>
            <w:pPr>
              <w:jc w:val="right"/>
              <w:ind w:right="25"/>
              <w:spacing w:after="0"/>
              <w:rPr>
                <w:sz w:val="20"/>
                <w:szCs w:val="20"/>
                <w:color w:val="auto"/>
              </w:rPr>
            </w:pPr>
            <w:r>
              <w:rPr>
                <w:rFonts w:ascii="Arial" w:cs="Arial" w:eastAsia="Arial" w:hAnsi="Arial"/>
                <w:sz w:val="15"/>
                <w:szCs w:val="15"/>
                <w:color w:val="auto"/>
              </w:rPr>
              <w:t>10%</w:t>
            </w:r>
          </w:p>
        </w:tc>
        <w:tc>
          <w:tcPr>
            <w:tcW w:w="940" w:type="dxa"/>
            <w:vAlign w:val="bottom"/>
          </w:tcPr>
          <w:p>
            <w:pPr>
              <w:jc w:val="right"/>
              <w:spacing w:after="0"/>
              <w:rPr>
                <w:sz w:val="20"/>
                <w:szCs w:val="20"/>
                <w:color w:val="auto"/>
              </w:rPr>
            </w:pPr>
            <w:r>
              <w:rPr>
                <w:rFonts w:ascii="Arial" w:cs="Arial" w:eastAsia="Arial" w:hAnsi="Arial"/>
                <w:sz w:val="15"/>
                <w:szCs w:val="15"/>
                <w:color w:val="auto"/>
              </w:rPr>
              <w:t>15%</w:t>
            </w:r>
          </w:p>
        </w:tc>
      </w:tr>
      <w:tr>
        <w:trPr>
          <w:trHeight w:val="22"/>
        </w:trPr>
        <w:tc>
          <w:tcPr>
            <w:tcW w:w="3180" w:type="dxa"/>
            <w:vAlign w:val="bottom"/>
            <w:tcBorders>
              <w:bottom w:val="single" w:sz="8" w:color="4800E6"/>
            </w:tcBorders>
          </w:tcPr>
          <w:p>
            <w:pPr>
              <w:spacing w:after="0" w:line="20" w:lineRule="exact"/>
              <w:rPr>
                <w:sz w:val="1"/>
                <w:szCs w:val="1"/>
                <w:color w:val="auto"/>
              </w:rPr>
            </w:pPr>
          </w:p>
        </w:tc>
        <w:tc>
          <w:tcPr>
            <w:tcW w:w="2500" w:type="dxa"/>
            <w:vAlign w:val="bottom"/>
            <w:tcBorders>
              <w:bottom w:val="single" w:sz="8" w:color="4800E6"/>
            </w:tcBorders>
          </w:tcPr>
          <w:p>
            <w:pPr>
              <w:spacing w:after="0" w:line="20" w:lineRule="exact"/>
              <w:rPr>
                <w:sz w:val="1"/>
                <w:szCs w:val="1"/>
                <w:color w:val="auto"/>
              </w:rPr>
            </w:pPr>
          </w:p>
        </w:tc>
        <w:tc>
          <w:tcPr>
            <w:tcW w:w="1080" w:type="dxa"/>
            <w:vAlign w:val="bottom"/>
            <w:tcBorders>
              <w:bottom w:val="single" w:sz="8" w:color="4800E6"/>
            </w:tcBorders>
          </w:tcPr>
          <w:p>
            <w:pPr>
              <w:spacing w:after="0" w:line="20" w:lineRule="exact"/>
              <w:rPr>
                <w:sz w:val="1"/>
                <w:szCs w:val="1"/>
                <w:color w:val="auto"/>
              </w:rPr>
            </w:pPr>
          </w:p>
        </w:tc>
        <w:tc>
          <w:tcPr>
            <w:tcW w:w="1480" w:type="dxa"/>
            <w:vAlign w:val="bottom"/>
            <w:tcBorders>
              <w:bottom w:val="single" w:sz="8" w:color="4800E6"/>
            </w:tcBorders>
          </w:tcPr>
          <w:p>
            <w:pPr>
              <w:spacing w:after="0" w:line="20" w:lineRule="exact"/>
              <w:rPr>
                <w:sz w:val="1"/>
                <w:szCs w:val="1"/>
                <w:color w:val="auto"/>
              </w:rPr>
            </w:pPr>
          </w:p>
        </w:tc>
        <w:tc>
          <w:tcPr>
            <w:tcW w:w="940" w:type="dxa"/>
            <w:vAlign w:val="bottom"/>
            <w:tcBorders>
              <w:bottom w:val="single" w:sz="8" w:color="4800E6"/>
            </w:tcBorders>
          </w:tcPr>
          <w:p>
            <w:pPr>
              <w:spacing w:after="0" w:line="20" w:lineRule="exact"/>
              <w:rPr>
                <w:sz w:val="1"/>
                <w:szCs w:val="1"/>
                <w:color w:val="auto"/>
              </w:rPr>
            </w:pPr>
          </w:p>
        </w:tc>
      </w:tr>
    </w:tbl>
    <w:p>
      <w:pPr>
        <w:spacing w:after="0" w:line="188" w:lineRule="exact"/>
        <w:rPr>
          <w:sz w:val="20"/>
          <w:szCs w:val="20"/>
          <w:color w:val="auto"/>
        </w:rPr>
      </w:pPr>
    </w:p>
    <w:p>
      <w:pPr>
        <w:ind w:left="760"/>
        <w:spacing w:after="0"/>
        <w:rPr>
          <w:sz w:val="20"/>
          <w:szCs w:val="20"/>
          <w:color w:val="auto"/>
        </w:rPr>
      </w:pPr>
      <w:r>
        <w:rPr>
          <w:rFonts w:ascii="Arial" w:cs="Arial" w:eastAsia="Arial" w:hAnsi="Arial"/>
          <w:sz w:val="20"/>
          <w:szCs w:val="20"/>
          <w:b w:val="1"/>
          <w:bCs w:val="1"/>
          <w:color w:val="FF4C4C"/>
        </w:rPr>
        <w:t>2020 LTIP</w:t>
      </w:r>
    </w:p>
    <w:p>
      <w:pPr>
        <w:spacing w:after="0" w:line="124" w:lineRule="exact"/>
        <w:rPr>
          <w:sz w:val="20"/>
          <w:szCs w:val="20"/>
          <w:color w:val="auto"/>
        </w:rPr>
      </w:pPr>
    </w:p>
    <w:p>
      <w:pPr>
        <w:ind w:left="760" w:right="1040"/>
        <w:spacing w:after="0" w:line="271" w:lineRule="auto"/>
        <w:rPr>
          <w:sz w:val="20"/>
          <w:szCs w:val="20"/>
          <w:color w:val="auto"/>
        </w:rPr>
      </w:pPr>
      <w:r>
        <w:rPr>
          <w:rFonts w:ascii="Arial" w:cs="Arial" w:eastAsia="Arial" w:hAnsi="Arial"/>
          <w:sz w:val="16"/>
          <w:szCs w:val="16"/>
          <w:color w:val="auto"/>
        </w:rPr>
        <w:t>On March 30, 2020, the Compensation Committee approved our 2020 LTIP in which all NEOs (other than Messrs. Andrle and Simpson who are no longer executive officers) participate. Pursuant to the 2020 LTIP, the Committee approved an equity award value for each of four award vehicles for each participant with an effective date of March 30, 2020, as follows:</w:t>
      </w:r>
    </w:p>
    <w:p>
      <w:pPr>
        <w:spacing w:after="0" w:line="131"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7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3080" w:type="dxa"/>
            <w:vAlign w:val="bottom"/>
          </w:tcPr>
          <w:p>
            <w:pPr>
              <w:spacing w:after="0"/>
              <w:rPr>
                <w:sz w:val="17"/>
                <w:szCs w:val="17"/>
                <w:color w:val="auto"/>
              </w:rPr>
            </w:pPr>
          </w:p>
        </w:tc>
        <w:tc>
          <w:tcPr>
            <w:tcW w:w="2800" w:type="dxa"/>
            <w:vAlign w:val="bottom"/>
          </w:tcPr>
          <w:p>
            <w:pPr>
              <w:jc w:val="right"/>
              <w:ind w:right="7"/>
              <w:spacing w:after="0"/>
              <w:rPr>
                <w:sz w:val="20"/>
                <w:szCs w:val="20"/>
                <w:color w:val="auto"/>
              </w:rPr>
            </w:pPr>
            <w:r>
              <w:rPr>
                <w:rFonts w:ascii="Arial" w:cs="Arial" w:eastAsia="Arial" w:hAnsi="Arial"/>
                <w:sz w:val="14"/>
                <w:szCs w:val="14"/>
                <w:b w:val="1"/>
                <w:bCs w:val="1"/>
                <w:color w:val="4800E6"/>
              </w:rPr>
              <w:t>RSUs ($)</w:t>
            </w:r>
          </w:p>
        </w:tc>
        <w:tc>
          <w:tcPr>
            <w:tcW w:w="960" w:type="dxa"/>
            <w:vAlign w:val="bottom"/>
          </w:tcPr>
          <w:p>
            <w:pPr>
              <w:jc w:val="right"/>
              <w:ind w:right="45"/>
              <w:spacing w:after="0"/>
              <w:rPr>
                <w:sz w:val="20"/>
                <w:szCs w:val="20"/>
                <w:color w:val="auto"/>
              </w:rPr>
            </w:pPr>
            <w:r>
              <w:rPr>
                <w:rFonts w:ascii="Arial" w:cs="Arial" w:eastAsia="Arial" w:hAnsi="Arial"/>
                <w:sz w:val="14"/>
                <w:szCs w:val="14"/>
                <w:b w:val="1"/>
                <w:bCs w:val="1"/>
                <w:color w:val="4800E6"/>
              </w:rPr>
              <w:t>SARs ($)</w:t>
            </w:r>
          </w:p>
        </w:tc>
        <w:tc>
          <w:tcPr>
            <w:tcW w:w="1200" w:type="dxa"/>
            <w:vAlign w:val="bottom"/>
          </w:tcPr>
          <w:p>
            <w:pPr>
              <w:jc w:val="right"/>
              <w:ind w:right="45"/>
              <w:spacing w:after="0"/>
              <w:rPr>
                <w:sz w:val="20"/>
                <w:szCs w:val="20"/>
                <w:color w:val="auto"/>
              </w:rPr>
            </w:pPr>
            <w:r>
              <w:rPr>
                <w:rFonts w:ascii="Arial" w:cs="Arial" w:eastAsia="Arial" w:hAnsi="Arial"/>
                <w:sz w:val="14"/>
                <w:szCs w:val="14"/>
                <w:b w:val="1"/>
                <w:bCs w:val="1"/>
                <w:color w:val="4800E6"/>
              </w:rPr>
              <w:t>rTSR PSUs ($)</w:t>
            </w:r>
          </w:p>
        </w:tc>
        <w:tc>
          <w:tcPr>
            <w:tcW w:w="1860" w:type="dxa"/>
            <w:vAlign w:val="bottom"/>
            <w:gridSpan w:val="3"/>
          </w:tcPr>
          <w:p>
            <w:pPr>
              <w:jc w:val="right"/>
              <w:ind w:right="840"/>
              <w:spacing w:after="0"/>
              <w:rPr>
                <w:sz w:val="20"/>
                <w:szCs w:val="20"/>
                <w:color w:val="auto"/>
              </w:rPr>
            </w:pPr>
            <w:r>
              <w:rPr>
                <w:rFonts w:ascii="Arial" w:cs="Arial" w:eastAsia="Arial" w:hAnsi="Arial"/>
                <w:sz w:val="14"/>
                <w:szCs w:val="14"/>
                <w:b w:val="1"/>
                <w:bCs w:val="1"/>
                <w:color w:val="4800E6"/>
              </w:rPr>
              <w:t>FCF PSUs ($)</w:t>
            </w:r>
          </w:p>
        </w:tc>
        <w:tc>
          <w:tcPr>
            <w:tcW w:w="0" w:type="dxa"/>
            <w:vAlign w:val="bottom"/>
          </w:tcPr>
          <w:p>
            <w:pPr>
              <w:spacing w:after="0"/>
              <w:rPr>
                <w:sz w:val="1"/>
                <w:szCs w:val="1"/>
                <w:color w:val="auto"/>
              </w:rPr>
            </w:pPr>
          </w:p>
        </w:tc>
      </w:tr>
      <w:tr>
        <w:trPr>
          <w:trHeight w:val="221"/>
        </w:trPr>
        <w:tc>
          <w:tcPr>
            <w:tcW w:w="760" w:type="dxa"/>
            <w:vAlign w:val="bottom"/>
          </w:tcPr>
          <w:p>
            <w:pPr>
              <w:spacing w:after="0"/>
              <w:rPr>
                <w:sz w:val="19"/>
                <w:szCs w:val="19"/>
                <w:color w:val="auto"/>
              </w:rPr>
            </w:pPr>
          </w:p>
        </w:tc>
        <w:tc>
          <w:tcPr>
            <w:tcW w:w="3140" w:type="dxa"/>
            <w:vAlign w:val="bottom"/>
            <w:tcBorders>
              <w:top w:val="single" w:sz="8" w:color="4800E6"/>
            </w:tcBorders>
            <w:gridSpan w:val="2"/>
          </w:tcPr>
          <w:p>
            <w:pPr>
              <w:ind w:left="40"/>
              <w:spacing w:after="0"/>
              <w:rPr>
                <w:sz w:val="20"/>
                <w:szCs w:val="20"/>
                <w:color w:val="auto"/>
              </w:rPr>
            </w:pPr>
            <w:r>
              <w:rPr>
                <w:rFonts w:ascii="Arial" w:cs="Arial" w:eastAsia="Arial" w:hAnsi="Arial"/>
                <w:sz w:val="15"/>
                <w:szCs w:val="15"/>
                <w:color w:val="auto"/>
              </w:rPr>
              <w:t>Damien McDonald</w:t>
            </w:r>
          </w:p>
        </w:tc>
        <w:tc>
          <w:tcPr>
            <w:tcW w:w="2800" w:type="dxa"/>
            <w:vAlign w:val="bottom"/>
            <w:tcBorders>
              <w:top w:val="single" w:sz="8" w:color="4800E6"/>
            </w:tcBorders>
          </w:tcPr>
          <w:p>
            <w:pPr>
              <w:jc w:val="right"/>
              <w:ind w:right="7"/>
              <w:spacing w:after="0"/>
              <w:rPr>
                <w:sz w:val="20"/>
                <w:szCs w:val="20"/>
                <w:color w:val="auto"/>
              </w:rPr>
            </w:pPr>
            <w:r>
              <w:rPr>
                <w:rFonts w:ascii="Arial" w:cs="Arial" w:eastAsia="Arial" w:hAnsi="Arial"/>
                <w:sz w:val="15"/>
                <w:szCs w:val="15"/>
                <w:color w:val="auto"/>
              </w:rPr>
              <w:t>1,500,000</w:t>
            </w:r>
          </w:p>
        </w:tc>
        <w:tc>
          <w:tcPr>
            <w:tcW w:w="960" w:type="dxa"/>
            <w:vAlign w:val="bottom"/>
            <w:tcBorders>
              <w:top w:val="single" w:sz="8" w:color="4800E6"/>
            </w:tcBorders>
          </w:tcPr>
          <w:p>
            <w:pPr>
              <w:jc w:val="right"/>
              <w:ind w:right="45"/>
              <w:spacing w:after="0"/>
              <w:rPr>
                <w:sz w:val="20"/>
                <w:szCs w:val="20"/>
                <w:color w:val="auto"/>
              </w:rPr>
            </w:pPr>
            <w:r>
              <w:rPr>
                <w:rFonts w:ascii="Arial" w:cs="Arial" w:eastAsia="Arial" w:hAnsi="Arial"/>
                <w:sz w:val="15"/>
                <w:szCs w:val="15"/>
                <w:color w:val="auto"/>
              </w:rPr>
              <w:t>1,250,000</w:t>
            </w:r>
          </w:p>
        </w:tc>
        <w:tc>
          <w:tcPr>
            <w:tcW w:w="1200" w:type="dxa"/>
            <w:vAlign w:val="bottom"/>
            <w:tcBorders>
              <w:top w:val="single" w:sz="8" w:color="4800E6"/>
            </w:tcBorders>
          </w:tcPr>
          <w:p>
            <w:pPr>
              <w:jc w:val="right"/>
              <w:ind w:right="45"/>
              <w:spacing w:after="0"/>
              <w:rPr>
                <w:sz w:val="20"/>
                <w:szCs w:val="20"/>
                <w:color w:val="auto"/>
              </w:rPr>
            </w:pPr>
            <w:r>
              <w:rPr>
                <w:rFonts w:ascii="Arial" w:cs="Arial" w:eastAsia="Arial" w:hAnsi="Arial"/>
                <w:sz w:val="15"/>
                <w:szCs w:val="15"/>
                <w:color w:val="auto"/>
              </w:rPr>
              <w:t>1,500,000</w:t>
            </w:r>
          </w:p>
        </w:tc>
        <w:tc>
          <w:tcPr>
            <w:tcW w:w="1080" w:type="dxa"/>
            <w:vAlign w:val="bottom"/>
            <w:tcBorders>
              <w:top w:val="single" w:sz="8" w:color="4800E6"/>
            </w:tcBorders>
            <w:gridSpan w:val="2"/>
          </w:tcPr>
          <w:p>
            <w:pPr>
              <w:jc w:val="right"/>
              <w:spacing w:after="0"/>
              <w:rPr>
                <w:sz w:val="20"/>
                <w:szCs w:val="20"/>
                <w:color w:val="auto"/>
              </w:rPr>
            </w:pPr>
            <w:r>
              <w:rPr>
                <w:rFonts w:ascii="Arial" w:cs="Arial" w:eastAsia="Arial" w:hAnsi="Arial"/>
                <w:sz w:val="15"/>
                <w:szCs w:val="15"/>
                <w:color w:val="auto"/>
              </w:rPr>
              <w:t>1,500,000</w:t>
            </w:r>
          </w:p>
        </w:tc>
        <w:tc>
          <w:tcPr>
            <w:tcW w:w="7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
        </w:trPr>
        <w:tc>
          <w:tcPr>
            <w:tcW w:w="7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080" w:type="dxa"/>
            <w:vAlign w:val="bottom"/>
          </w:tcPr>
          <w:p>
            <w:pPr>
              <w:spacing w:after="0" w:line="20" w:lineRule="exact"/>
              <w:rPr>
                <w:sz w:val="1"/>
                <w:szCs w:val="1"/>
                <w:color w:val="auto"/>
              </w:rPr>
            </w:pPr>
          </w:p>
        </w:tc>
        <w:tc>
          <w:tcPr>
            <w:tcW w:w="280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760" w:type="dxa"/>
            <w:vAlign w:val="bottom"/>
          </w:tcPr>
          <w:p>
            <w:pPr>
              <w:spacing w:after="0"/>
              <w:rPr>
                <w:sz w:val="21"/>
                <w:szCs w:val="21"/>
                <w:color w:val="auto"/>
              </w:rPr>
            </w:pPr>
          </w:p>
        </w:tc>
        <w:tc>
          <w:tcPr>
            <w:tcW w:w="3140" w:type="dxa"/>
            <w:vAlign w:val="bottom"/>
            <w:tcBorders>
              <w:bottom w:val="single" w:sz="8" w:color="EFE9FC"/>
            </w:tcBorders>
            <w:gridSpan w:val="2"/>
            <w:shd w:val="clear" w:color="auto" w:fill="EFE9FC"/>
          </w:tcPr>
          <w:p>
            <w:pPr>
              <w:ind w:left="40"/>
              <w:spacing w:after="0"/>
              <w:rPr>
                <w:sz w:val="20"/>
                <w:szCs w:val="20"/>
                <w:color w:val="auto"/>
              </w:rPr>
            </w:pPr>
            <w:r>
              <w:rPr>
                <w:rFonts w:ascii="Arial" w:cs="Arial" w:eastAsia="Arial" w:hAnsi="Arial"/>
                <w:sz w:val="15"/>
                <w:szCs w:val="15"/>
                <w:color w:val="auto"/>
              </w:rPr>
              <w:t>Thad Huston</w:t>
            </w:r>
          </w:p>
        </w:tc>
        <w:tc>
          <w:tcPr>
            <w:tcW w:w="2800" w:type="dxa"/>
            <w:vAlign w:val="bottom"/>
            <w:tcBorders>
              <w:bottom w:val="single" w:sz="8" w:color="EFE9FC"/>
            </w:tcBorders>
            <w:shd w:val="clear" w:color="auto" w:fill="EFE9FC"/>
          </w:tcPr>
          <w:p>
            <w:pPr>
              <w:jc w:val="right"/>
              <w:ind w:right="7"/>
              <w:spacing w:after="0"/>
              <w:rPr>
                <w:sz w:val="20"/>
                <w:szCs w:val="20"/>
                <w:color w:val="auto"/>
              </w:rPr>
            </w:pPr>
            <w:r>
              <w:rPr>
                <w:rFonts w:ascii="Arial" w:cs="Arial" w:eastAsia="Arial" w:hAnsi="Arial"/>
                <w:sz w:val="15"/>
                <w:szCs w:val="15"/>
                <w:color w:val="auto"/>
              </w:rPr>
              <w:t>500,000</w:t>
            </w:r>
          </w:p>
        </w:tc>
        <w:tc>
          <w:tcPr>
            <w:tcW w:w="960" w:type="dxa"/>
            <w:vAlign w:val="bottom"/>
            <w:tcBorders>
              <w:bottom w:val="single" w:sz="8" w:color="EFE9FC"/>
            </w:tcBorders>
            <w:shd w:val="clear" w:color="auto" w:fill="EFE9FC"/>
          </w:tcPr>
          <w:p>
            <w:pPr>
              <w:jc w:val="right"/>
              <w:ind w:right="45"/>
              <w:spacing w:after="0"/>
              <w:rPr>
                <w:sz w:val="20"/>
                <w:szCs w:val="20"/>
                <w:color w:val="auto"/>
              </w:rPr>
            </w:pPr>
            <w:r>
              <w:rPr>
                <w:rFonts w:ascii="Arial" w:cs="Arial" w:eastAsia="Arial" w:hAnsi="Arial"/>
                <w:sz w:val="15"/>
                <w:szCs w:val="15"/>
                <w:color w:val="auto"/>
              </w:rPr>
              <w:t>500,000</w:t>
            </w:r>
          </w:p>
        </w:tc>
        <w:tc>
          <w:tcPr>
            <w:tcW w:w="1200" w:type="dxa"/>
            <w:vAlign w:val="bottom"/>
            <w:tcBorders>
              <w:bottom w:val="single" w:sz="8" w:color="EFE9FC"/>
            </w:tcBorders>
            <w:shd w:val="clear" w:color="auto" w:fill="EFE9FC"/>
          </w:tcPr>
          <w:p>
            <w:pPr>
              <w:jc w:val="right"/>
              <w:ind w:right="45"/>
              <w:spacing w:after="0"/>
              <w:rPr>
                <w:sz w:val="20"/>
                <w:szCs w:val="20"/>
                <w:color w:val="auto"/>
              </w:rPr>
            </w:pPr>
            <w:r>
              <w:rPr>
                <w:rFonts w:ascii="Arial" w:cs="Arial" w:eastAsia="Arial" w:hAnsi="Arial"/>
                <w:sz w:val="15"/>
                <w:szCs w:val="15"/>
                <w:color w:val="auto"/>
              </w:rPr>
              <w:t>500,000</w:t>
            </w:r>
          </w:p>
        </w:tc>
        <w:tc>
          <w:tcPr>
            <w:tcW w:w="1080" w:type="dxa"/>
            <w:vAlign w:val="bottom"/>
            <w:tcBorders>
              <w:bottom w:val="single" w:sz="8" w:color="EFE9FC"/>
            </w:tcBorders>
            <w:gridSpan w:val="2"/>
            <w:shd w:val="clear" w:color="auto" w:fill="EFE9FC"/>
          </w:tcPr>
          <w:p>
            <w:pPr>
              <w:jc w:val="right"/>
              <w:spacing w:after="0"/>
              <w:rPr>
                <w:sz w:val="20"/>
                <w:szCs w:val="20"/>
                <w:color w:val="auto"/>
              </w:rPr>
            </w:pPr>
            <w:r>
              <w:rPr>
                <w:rFonts w:ascii="Arial" w:cs="Arial" w:eastAsia="Arial" w:hAnsi="Arial"/>
                <w:sz w:val="15"/>
                <w:szCs w:val="15"/>
                <w:color w:val="auto"/>
              </w:rPr>
              <w:t>500,000</w:t>
            </w:r>
          </w:p>
        </w:tc>
        <w:tc>
          <w:tcPr>
            <w:tcW w:w="7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2"/>
        </w:trPr>
        <w:tc>
          <w:tcPr>
            <w:tcW w:w="760" w:type="dxa"/>
            <w:vAlign w:val="bottom"/>
          </w:tcPr>
          <w:p>
            <w:pPr>
              <w:spacing w:after="0"/>
              <w:rPr>
                <w:sz w:val="19"/>
                <w:szCs w:val="19"/>
                <w:color w:val="auto"/>
              </w:rPr>
            </w:pPr>
          </w:p>
        </w:tc>
        <w:tc>
          <w:tcPr>
            <w:tcW w:w="3140" w:type="dxa"/>
            <w:vAlign w:val="bottom"/>
            <w:gridSpan w:val="2"/>
          </w:tcPr>
          <w:p>
            <w:pPr>
              <w:ind w:left="40"/>
              <w:spacing w:after="0"/>
              <w:rPr>
                <w:sz w:val="20"/>
                <w:szCs w:val="20"/>
                <w:color w:val="auto"/>
              </w:rPr>
            </w:pPr>
            <w:r>
              <w:rPr>
                <w:rFonts w:ascii="Arial" w:cs="Arial" w:eastAsia="Arial" w:hAnsi="Arial"/>
                <w:sz w:val="15"/>
                <w:szCs w:val="15"/>
                <w:color w:val="auto"/>
              </w:rPr>
              <w:t>Keyna Skeffington</w:t>
            </w:r>
          </w:p>
        </w:tc>
        <w:tc>
          <w:tcPr>
            <w:tcW w:w="2800" w:type="dxa"/>
            <w:vAlign w:val="bottom"/>
          </w:tcPr>
          <w:p>
            <w:pPr>
              <w:jc w:val="right"/>
              <w:ind w:right="7"/>
              <w:spacing w:after="0"/>
              <w:rPr>
                <w:sz w:val="20"/>
                <w:szCs w:val="20"/>
                <w:color w:val="auto"/>
              </w:rPr>
            </w:pPr>
            <w:r>
              <w:rPr>
                <w:rFonts w:ascii="Arial" w:cs="Arial" w:eastAsia="Arial" w:hAnsi="Arial"/>
                <w:sz w:val="15"/>
                <w:szCs w:val="15"/>
                <w:color w:val="auto"/>
              </w:rPr>
              <w:t>250,000</w:t>
            </w:r>
          </w:p>
        </w:tc>
        <w:tc>
          <w:tcPr>
            <w:tcW w:w="960" w:type="dxa"/>
            <w:vAlign w:val="bottom"/>
          </w:tcPr>
          <w:p>
            <w:pPr>
              <w:jc w:val="right"/>
              <w:ind w:right="45"/>
              <w:spacing w:after="0"/>
              <w:rPr>
                <w:sz w:val="20"/>
                <w:szCs w:val="20"/>
                <w:color w:val="auto"/>
              </w:rPr>
            </w:pPr>
            <w:r>
              <w:rPr>
                <w:rFonts w:ascii="Arial" w:cs="Arial" w:eastAsia="Arial" w:hAnsi="Arial"/>
                <w:sz w:val="15"/>
                <w:szCs w:val="15"/>
                <w:color w:val="auto"/>
              </w:rPr>
              <w:t>250,000</w:t>
            </w:r>
          </w:p>
        </w:tc>
        <w:tc>
          <w:tcPr>
            <w:tcW w:w="1200" w:type="dxa"/>
            <w:vAlign w:val="bottom"/>
          </w:tcPr>
          <w:p>
            <w:pPr>
              <w:jc w:val="right"/>
              <w:ind w:right="45"/>
              <w:spacing w:after="0"/>
              <w:rPr>
                <w:sz w:val="20"/>
                <w:szCs w:val="20"/>
                <w:color w:val="auto"/>
              </w:rPr>
            </w:pPr>
            <w:r>
              <w:rPr>
                <w:rFonts w:ascii="Arial" w:cs="Arial" w:eastAsia="Arial" w:hAnsi="Arial"/>
                <w:sz w:val="15"/>
                <w:szCs w:val="15"/>
                <w:color w:val="auto"/>
              </w:rPr>
              <w:t>250,000</w:t>
            </w:r>
          </w:p>
        </w:tc>
        <w:tc>
          <w:tcPr>
            <w:tcW w:w="1080" w:type="dxa"/>
            <w:vAlign w:val="bottom"/>
            <w:gridSpan w:val="2"/>
          </w:tcPr>
          <w:p>
            <w:pPr>
              <w:jc w:val="right"/>
              <w:spacing w:after="0"/>
              <w:rPr>
                <w:sz w:val="20"/>
                <w:szCs w:val="20"/>
                <w:color w:val="auto"/>
              </w:rPr>
            </w:pPr>
            <w:r>
              <w:rPr>
                <w:rFonts w:ascii="Arial" w:cs="Arial" w:eastAsia="Arial" w:hAnsi="Arial"/>
                <w:sz w:val="15"/>
                <w:szCs w:val="15"/>
                <w:color w:val="auto"/>
              </w:rPr>
              <w:t>250,000</w:t>
            </w:r>
          </w:p>
        </w:tc>
        <w:tc>
          <w:tcPr>
            <w:tcW w:w="7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
        </w:trPr>
        <w:tc>
          <w:tcPr>
            <w:tcW w:w="760" w:type="dxa"/>
            <w:vAlign w:val="bottom"/>
          </w:tcPr>
          <w:p>
            <w:pPr>
              <w:spacing w:after="0" w:line="20" w:lineRule="exact"/>
              <w:rPr>
                <w:sz w:val="1"/>
                <w:szCs w:val="1"/>
                <w:color w:val="auto"/>
              </w:rPr>
            </w:pPr>
          </w:p>
        </w:tc>
        <w:tc>
          <w:tcPr>
            <w:tcW w:w="60" w:type="dxa"/>
            <w:vAlign w:val="bottom"/>
            <w:tcBorders>
              <w:bottom w:val="single" w:sz="8" w:color="4800E6"/>
            </w:tcBorders>
          </w:tcPr>
          <w:p>
            <w:pPr>
              <w:spacing w:after="0" w:line="20" w:lineRule="exact"/>
              <w:rPr>
                <w:sz w:val="1"/>
                <w:szCs w:val="1"/>
                <w:color w:val="auto"/>
              </w:rPr>
            </w:pPr>
          </w:p>
        </w:tc>
        <w:tc>
          <w:tcPr>
            <w:tcW w:w="3080" w:type="dxa"/>
            <w:vAlign w:val="bottom"/>
            <w:tcBorders>
              <w:bottom w:val="single" w:sz="8" w:color="4800E6"/>
            </w:tcBorders>
          </w:tcPr>
          <w:p>
            <w:pPr>
              <w:spacing w:after="0" w:line="20" w:lineRule="exact"/>
              <w:rPr>
                <w:sz w:val="1"/>
                <w:szCs w:val="1"/>
                <w:color w:val="auto"/>
              </w:rPr>
            </w:pPr>
          </w:p>
        </w:tc>
        <w:tc>
          <w:tcPr>
            <w:tcW w:w="2800" w:type="dxa"/>
            <w:vAlign w:val="bottom"/>
            <w:tcBorders>
              <w:bottom w:val="single" w:sz="8" w:color="4800E6"/>
            </w:tcBorders>
          </w:tcPr>
          <w:p>
            <w:pPr>
              <w:spacing w:after="0" w:line="20" w:lineRule="exact"/>
              <w:rPr>
                <w:sz w:val="1"/>
                <w:szCs w:val="1"/>
                <w:color w:val="auto"/>
              </w:rPr>
            </w:pPr>
          </w:p>
        </w:tc>
        <w:tc>
          <w:tcPr>
            <w:tcW w:w="960" w:type="dxa"/>
            <w:vAlign w:val="bottom"/>
            <w:tcBorders>
              <w:bottom w:val="single" w:sz="8" w:color="4800E6"/>
            </w:tcBorders>
          </w:tcPr>
          <w:p>
            <w:pPr>
              <w:spacing w:after="0" w:line="20" w:lineRule="exact"/>
              <w:rPr>
                <w:sz w:val="1"/>
                <w:szCs w:val="1"/>
                <w:color w:val="auto"/>
              </w:rPr>
            </w:pPr>
          </w:p>
        </w:tc>
        <w:tc>
          <w:tcPr>
            <w:tcW w:w="1200" w:type="dxa"/>
            <w:vAlign w:val="bottom"/>
            <w:tcBorders>
              <w:bottom w:val="single" w:sz="8" w:color="4800E6"/>
            </w:tcBorders>
          </w:tcPr>
          <w:p>
            <w:pPr>
              <w:spacing w:after="0" w:line="20" w:lineRule="exact"/>
              <w:rPr>
                <w:sz w:val="1"/>
                <w:szCs w:val="1"/>
                <w:color w:val="auto"/>
              </w:rPr>
            </w:pPr>
          </w:p>
        </w:tc>
        <w:tc>
          <w:tcPr>
            <w:tcW w:w="920" w:type="dxa"/>
            <w:vAlign w:val="bottom"/>
            <w:tcBorders>
              <w:bottom w:val="single" w:sz="8" w:color="4800E6"/>
            </w:tcBorders>
          </w:tcPr>
          <w:p>
            <w:pPr>
              <w:spacing w:after="0" w:line="20" w:lineRule="exact"/>
              <w:rPr>
                <w:sz w:val="1"/>
                <w:szCs w:val="1"/>
                <w:color w:val="auto"/>
              </w:rPr>
            </w:pPr>
          </w:p>
        </w:tc>
        <w:tc>
          <w:tcPr>
            <w:tcW w:w="160" w:type="dxa"/>
            <w:vAlign w:val="bottom"/>
            <w:tcBorders>
              <w:bottom w:val="single" w:sz="8" w:color="4800E6"/>
            </w:tcBorders>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25"/>
        </w:trPr>
        <w:tc>
          <w:tcPr>
            <w:tcW w:w="7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080" w:type="dxa"/>
            <w:vAlign w:val="bottom"/>
            <w:tcBorders>
              <w:bottom w:val="single" w:sz="8" w:color="auto"/>
            </w:tcBorders>
          </w:tcPr>
          <w:p>
            <w:pPr>
              <w:spacing w:after="0"/>
              <w:rPr>
                <w:sz w:val="24"/>
                <w:szCs w:val="24"/>
                <w:color w:val="auto"/>
              </w:rPr>
            </w:pPr>
          </w:p>
        </w:tc>
        <w:tc>
          <w:tcPr>
            <w:tcW w:w="2800" w:type="dxa"/>
            <w:vAlign w:val="bottom"/>
            <w:vMerge w:val="restart"/>
          </w:tcPr>
          <w:p>
            <w:pPr>
              <w:jc w:val="right"/>
              <w:ind w:right="307"/>
              <w:spacing w:after="0"/>
              <w:rPr>
                <w:sz w:val="20"/>
                <w:szCs w:val="20"/>
                <w:color w:val="auto"/>
              </w:rPr>
            </w:pPr>
            <w:r>
              <w:rPr>
                <w:rFonts w:ascii="Arial" w:cs="Arial" w:eastAsia="Arial" w:hAnsi="Arial"/>
                <w:sz w:val="13"/>
                <w:szCs w:val="13"/>
                <w:b w:val="1"/>
                <w:bCs w:val="1"/>
                <w:color w:val="4800E6"/>
              </w:rPr>
              <w:t xml:space="preserve">LIVANOVA </w:t>
            </w:r>
            <w:r>
              <w:rPr>
                <w:rFonts w:ascii="Arial" w:cs="Arial" w:eastAsia="Arial" w:hAnsi="Arial"/>
                <w:sz w:val="13"/>
                <w:szCs w:val="13"/>
                <w:color w:val="000000"/>
              </w:rPr>
              <w:t>|</w:t>
            </w:r>
            <w:r>
              <w:rPr>
                <w:rFonts w:ascii="Arial" w:cs="Arial" w:eastAsia="Arial" w:hAnsi="Arial"/>
                <w:sz w:val="13"/>
                <w:szCs w:val="13"/>
                <w:b w:val="1"/>
                <w:bCs w:val="1"/>
                <w:color w:val="4800E6"/>
              </w:rPr>
              <w:t xml:space="preserve"> </w:t>
            </w:r>
            <w:r>
              <w:rPr>
                <w:rFonts w:ascii="Arial" w:cs="Arial" w:eastAsia="Arial" w:hAnsi="Arial"/>
                <w:sz w:val="13"/>
                <w:szCs w:val="13"/>
                <w:color w:val="4800E6"/>
              </w:rPr>
              <w:t>2020</w:t>
            </w:r>
            <w:r>
              <w:rPr>
                <w:rFonts w:ascii="Arial" w:cs="Arial" w:eastAsia="Arial" w:hAnsi="Arial"/>
                <w:sz w:val="13"/>
                <w:szCs w:val="13"/>
                <w:b w:val="1"/>
                <w:bCs w:val="1"/>
                <w:color w:val="4800E6"/>
              </w:rPr>
              <w:t xml:space="preserve"> </w:t>
            </w:r>
            <w:r>
              <w:rPr>
                <w:rFonts w:ascii="Arial" w:cs="Arial" w:eastAsia="Arial" w:hAnsi="Arial"/>
                <w:sz w:val="13"/>
                <w:szCs w:val="13"/>
                <w:color w:val="000000"/>
              </w:rPr>
              <w:t>Proxy Statement</w:t>
            </w:r>
          </w:p>
        </w:tc>
        <w:tc>
          <w:tcPr>
            <w:tcW w:w="960" w:type="dxa"/>
            <w:vAlign w:val="bottom"/>
            <w:tcBorders>
              <w:bottom w:val="single" w:sz="8" w:color="auto"/>
            </w:tcBorders>
          </w:tcPr>
          <w:p>
            <w:pPr>
              <w:spacing w:after="0"/>
              <w:rPr>
                <w:sz w:val="24"/>
                <w:szCs w:val="24"/>
                <w:color w:val="auto"/>
              </w:rPr>
            </w:pPr>
          </w:p>
        </w:tc>
        <w:tc>
          <w:tcPr>
            <w:tcW w:w="120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940" w:type="dxa"/>
            <w:vAlign w:val="bottom"/>
            <w:gridSpan w:val="2"/>
            <w:vMerge w:val="restart"/>
          </w:tcPr>
          <w:p>
            <w:pPr>
              <w:jc w:val="right"/>
              <w:ind w:right="540"/>
              <w:spacing w:after="0"/>
              <w:rPr>
                <w:sz w:val="20"/>
                <w:szCs w:val="20"/>
                <w:color w:val="auto"/>
              </w:rPr>
            </w:pPr>
            <w:r>
              <w:rPr>
                <w:rFonts w:ascii="Arial" w:cs="Arial" w:eastAsia="Arial" w:hAnsi="Arial"/>
                <w:sz w:val="14"/>
                <w:szCs w:val="14"/>
                <w:b w:val="1"/>
                <w:bCs w:val="1"/>
                <w:color w:val="auto"/>
              </w:rPr>
              <w:t>36</w:t>
            </w:r>
          </w:p>
        </w:tc>
        <w:tc>
          <w:tcPr>
            <w:tcW w:w="0" w:type="dxa"/>
            <w:vAlign w:val="bottom"/>
          </w:tcPr>
          <w:p>
            <w:pPr>
              <w:spacing w:after="0"/>
              <w:rPr>
                <w:sz w:val="1"/>
                <w:szCs w:val="1"/>
                <w:color w:val="auto"/>
              </w:rPr>
            </w:pPr>
          </w:p>
        </w:tc>
      </w:tr>
      <w:tr>
        <w:trPr>
          <w:trHeight w:val="49"/>
        </w:trPr>
        <w:tc>
          <w:tcPr>
            <w:tcW w:w="760" w:type="dxa"/>
            <w:vAlign w:val="bottom"/>
          </w:tcPr>
          <w:p>
            <w:pPr>
              <w:spacing w:after="0"/>
              <w:rPr>
                <w:sz w:val="4"/>
                <w:szCs w:val="4"/>
                <w:color w:val="auto"/>
              </w:rPr>
            </w:pPr>
          </w:p>
        </w:tc>
        <w:tc>
          <w:tcPr>
            <w:tcW w:w="60" w:type="dxa"/>
            <w:vAlign w:val="bottom"/>
          </w:tcPr>
          <w:p>
            <w:pPr>
              <w:spacing w:after="0"/>
              <w:rPr>
                <w:sz w:val="4"/>
                <w:szCs w:val="4"/>
                <w:color w:val="auto"/>
              </w:rPr>
            </w:pPr>
          </w:p>
        </w:tc>
        <w:tc>
          <w:tcPr>
            <w:tcW w:w="3080" w:type="dxa"/>
            <w:vAlign w:val="bottom"/>
          </w:tcPr>
          <w:p>
            <w:pPr>
              <w:spacing w:after="0"/>
              <w:rPr>
                <w:sz w:val="4"/>
                <w:szCs w:val="4"/>
                <w:color w:val="auto"/>
              </w:rPr>
            </w:pPr>
          </w:p>
        </w:tc>
        <w:tc>
          <w:tcPr>
            <w:tcW w:w="2800" w:type="dxa"/>
            <w:vAlign w:val="bottom"/>
            <w:vMerge w:val="continue"/>
          </w:tcPr>
          <w:p>
            <w:pPr>
              <w:spacing w:after="0"/>
              <w:rPr>
                <w:sz w:val="4"/>
                <w:szCs w:val="4"/>
                <w:color w:val="auto"/>
              </w:rPr>
            </w:pPr>
          </w:p>
        </w:tc>
        <w:tc>
          <w:tcPr>
            <w:tcW w:w="960" w:type="dxa"/>
            <w:vAlign w:val="bottom"/>
          </w:tcPr>
          <w:p>
            <w:pPr>
              <w:spacing w:after="0"/>
              <w:rPr>
                <w:sz w:val="4"/>
                <w:szCs w:val="4"/>
                <w:color w:val="auto"/>
              </w:rPr>
            </w:pPr>
          </w:p>
        </w:tc>
        <w:tc>
          <w:tcPr>
            <w:tcW w:w="1200" w:type="dxa"/>
            <w:vAlign w:val="bottom"/>
          </w:tcPr>
          <w:p>
            <w:pPr>
              <w:spacing w:after="0"/>
              <w:rPr>
                <w:sz w:val="4"/>
                <w:szCs w:val="4"/>
                <w:color w:val="auto"/>
              </w:rPr>
            </w:pPr>
          </w:p>
        </w:tc>
        <w:tc>
          <w:tcPr>
            <w:tcW w:w="920" w:type="dxa"/>
            <w:vAlign w:val="bottom"/>
          </w:tcPr>
          <w:p>
            <w:pPr>
              <w:spacing w:after="0"/>
              <w:rPr>
                <w:sz w:val="4"/>
                <w:szCs w:val="4"/>
                <w:color w:val="auto"/>
              </w:rPr>
            </w:pPr>
          </w:p>
        </w:tc>
        <w:tc>
          <w:tcPr>
            <w:tcW w:w="940" w:type="dxa"/>
            <w:vAlign w:val="bottom"/>
            <w:gridSpan w:val="2"/>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40"/>
        </w:trPr>
        <w:tc>
          <w:tcPr>
            <w:tcW w:w="760" w:type="dxa"/>
            <w:vAlign w:val="bottom"/>
            <w:tcBorders>
              <w:bottom w:val="single" w:sz="8" w:color="9A9A9A"/>
            </w:tcBorders>
          </w:tcPr>
          <w:p>
            <w:pPr>
              <w:spacing w:after="0"/>
              <w:rPr>
                <w:sz w:val="12"/>
                <w:szCs w:val="12"/>
                <w:color w:val="auto"/>
              </w:rPr>
            </w:pPr>
          </w:p>
        </w:tc>
        <w:tc>
          <w:tcPr>
            <w:tcW w:w="60" w:type="dxa"/>
            <w:vAlign w:val="bottom"/>
            <w:tcBorders>
              <w:bottom w:val="single" w:sz="8" w:color="9A9A9A"/>
            </w:tcBorders>
          </w:tcPr>
          <w:p>
            <w:pPr>
              <w:spacing w:after="0"/>
              <w:rPr>
                <w:sz w:val="12"/>
                <w:szCs w:val="12"/>
                <w:color w:val="auto"/>
              </w:rPr>
            </w:pPr>
          </w:p>
        </w:tc>
        <w:tc>
          <w:tcPr>
            <w:tcW w:w="3080" w:type="dxa"/>
            <w:vAlign w:val="bottom"/>
            <w:tcBorders>
              <w:bottom w:val="single" w:sz="8" w:color="9A9A9A"/>
            </w:tcBorders>
          </w:tcPr>
          <w:p>
            <w:pPr>
              <w:spacing w:after="0"/>
              <w:rPr>
                <w:sz w:val="12"/>
                <w:szCs w:val="12"/>
                <w:color w:val="auto"/>
              </w:rPr>
            </w:pPr>
          </w:p>
        </w:tc>
        <w:tc>
          <w:tcPr>
            <w:tcW w:w="2800" w:type="dxa"/>
            <w:vAlign w:val="bottom"/>
            <w:tcBorders>
              <w:bottom w:val="single" w:sz="8" w:color="9A9A9A"/>
            </w:tcBorders>
          </w:tcPr>
          <w:p>
            <w:pPr>
              <w:spacing w:after="0"/>
              <w:rPr>
                <w:sz w:val="12"/>
                <w:szCs w:val="12"/>
                <w:color w:val="auto"/>
              </w:rPr>
            </w:pPr>
          </w:p>
        </w:tc>
        <w:tc>
          <w:tcPr>
            <w:tcW w:w="960" w:type="dxa"/>
            <w:vAlign w:val="bottom"/>
            <w:tcBorders>
              <w:bottom w:val="single" w:sz="8" w:color="9A9A9A"/>
            </w:tcBorders>
          </w:tcPr>
          <w:p>
            <w:pPr>
              <w:spacing w:after="0"/>
              <w:rPr>
                <w:sz w:val="12"/>
                <w:szCs w:val="12"/>
                <w:color w:val="auto"/>
              </w:rPr>
            </w:pPr>
          </w:p>
        </w:tc>
        <w:tc>
          <w:tcPr>
            <w:tcW w:w="1200" w:type="dxa"/>
            <w:vAlign w:val="bottom"/>
            <w:tcBorders>
              <w:bottom w:val="single" w:sz="8" w:color="9A9A9A"/>
            </w:tcBorders>
          </w:tcPr>
          <w:p>
            <w:pPr>
              <w:spacing w:after="0"/>
              <w:rPr>
                <w:sz w:val="12"/>
                <w:szCs w:val="12"/>
                <w:color w:val="auto"/>
              </w:rPr>
            </w:pPr>
          </w:p>
        </w:tc>
        <w:tc>
          <w:tcPr>
            <w:tcW w:w="920" w:type="dxa"/>
            <w:vAlign w:val="bottom"/>
            <w:tcBorders>
              <w:bottom w:val="single" w:sz="8" w:color="9A9A9A"/>
            </w:tcBorders>
          </w:tcPr>
          <w:p>
            <w:pPr>
              <w:spacing w:after="0"/>
              <w:rPr>
                <w:sz w:val="12"/>
                <w:szCs w:val="12"/>
                <w:color w:val="auto"/>
              </w:rPr>
            </w:pPr>
          </w:p>
        </w:tc>
        <w:tc>
          <w:tcPr>
            <w:tcW w:w="160" w:type="dxa"/>
            <w:vAlign w:val="bottom"/>
            <w:tcBorders>
              <w:bottom w:val="single" w:sz="8" w:color="9A9A9A"/>
            </w:tcBorders>
          </w:tcPr>
          <w:p>
            <w:pPr>
              <w:spacing w:after="0"/>
              <w:rPr>
                <w:sz w:val="12"/>
                <w:szCs w:val="12"/>
                <w:color w:val="auto"/>
              </w:rPr>
            </w:pPr>
          </w:p>
        </w:tc>
        <w:tc>
          <w:tcPr>
            <w:tcW w:w="780" w:type="dxa"/>
            <w:vAlign w:val="bottom"/>
            <w:tcBorders>
              <w:bottom w:val="single" w:sz="8" w:color="9A9A9A"/>
            </w:tcBorders>
          </w:tcPr>
          <w:p>
            <w:pPr>
              <w:spacing w:after="0"/>
              <w:rPr>
                <w:sz w:val="12"/>
                <w:szCs w:val="12"/>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6802755</wp:posOffset>
            </wp:positionH>
            <wp:positionV relativeFrom="paragraph">
              <wp:posOffset>-7620</wp:posOffset>
            </wp:positionV>
            <wp:extent cx="8255" cy="8255"/>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wp:posOffset>
            </wp:positionV>
            <wp:extent cx="8890" cy="17145"/>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sectPr>
          <w:pgSz w:w="11900" w:h="16838" w:orient="portrait"/>
          <w:cols w:equalWidth="0" w:num="1">
            <w:col w:w="10720"/>
          </w:cols>
          <w:pgMar w:left="320" w:top="132" w:right="859" w:bottom="1440" w:gutter="0" w:footer="0" w:header="0"/>
        </w:sectPr>
      </w:pPr>
    </w:p>
    <w:bookmarkStart w:id="40" w:name="page41"/>
    <w:bookmarkEnd w:id="40"/>
    <w:p>
      <w:pPr>
        <w:spacing w:after="0"/>
        <w:rPr>
          <w:rFonts w:ascii="Arial" w:cs="Arial" w:eastAsia="Arial" w:hAnsi="Arial"/>
          <w:sz w:val="14"/>
          <w:szCs w:val="14"/>
          <w:color w:val="003366"/>
        </w:rPr>
      </w:pPr>
      <w:hyperlink w:anchor="page4">
        <w:r>
          <w:rPr>
            <w:rFonts w:ascii="Arial" w:cs="Arial" w:eastAsia="Arial" w:hAnsi="Arial"/>
            <w:sz w:val="14"/>
            <w:szCs w:val="14"/>
            <w:color w:val="003366"/>
          </w:rPr>
          <w:t>TABLE OF CONTENTS</w:t>
        </w:r>
      </w:hyperlink>
    </w:p>
    <w:p>
      <w:pPr>
        <w:spacing w:after="0" w:line="338" w:lineRule="exact"/>
        <w:rPr>
          <w:sz w:val="20"/>
          <w:szCs w:val="20"/>
          <w:color w:val="auto"/>
        </w:rPr>
      </w:pPr>
    </w:p>
    <w:p>
      <w:pPr>
        <w:ind w:left="760"/>
        <w:spacing w:after="0"/>
        <w:rPr>
          <w:sz w:val="20"/>
          <w:szCs w:val="20"/>
          <w:color w:val="auto"/>
        </w:rPr>
      </w:pPr>
      <w:r>
        <w:rPr>
          <w:rFonts w:ascii="Arial" w:cs="Arial" w:eastAsia="Arial" w:hAnsi="Arial"/>
          <w:sz w:val="13"/>
          <w:szCs w:val="13"/>
          <w:b w:val="1"/>
          <w:bCs w:val="1"/>
          <w:color w:val="auto"/>
        </w:rPr>
        <w:t xml:space="preserve">Executive </w:t>
      </w:r>
      <w:r>
        <w:rPr>
          <w:rFonts w:ascii="Arial" w:cs="Arial" w:eastAsia="Arial" w:hAnsi="Arial"/>
          <w:sz w:val="13"/>
          <w:szCs w:val="13"/>
          <w:b w:val="1"/>
          <w:bCs w:val="1"/>
          <w:color w:val="666666"/>
        </w:rPr>
        <w:t>Compensation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485140</wp:posOffset>
            </wp:positionH>
            <wp:positionV relativeFrom="paragraph">
              <wp:posOffset>30480</wp:posOffset>
            </wp:positionV>
            <wp:extent cx="5829300" cy="8255"/>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5829300" cy="8255"/>
                    </a:xfrm>
                    <a:prstGeom prst="rect">
                      <a:avLst/>
                    </a:prstGeom>
                    <a:noFill/>
                  </pic:spPr>
                </pic:pic>
              </a:graphicData>
            </a:graphic>
          </wp:anchor>
        </w:drawing>
      </w:r>
    </w:p>
    <w:p>
      <w:pPr>
        <w:spacing w:after="0" w:line="60" w:lineRule="exact"/>
        <w:rPr>
          <w:sz w:val="20"/>
          <w:szCs w:val="20"/>
          <w:color w:val="auto"/>
        </w:rPr>
      </w:pPr>
    </w:p>
    <w:p>
      <w:pPr>
        <w:ind w:left="760"/>
        <w:spacing w:after="0"/>
        <w:rPr>
          <w:sz w:val="20"/>
          <w:szCs w:val="20"/>
          <w:color w:val="auto"/>
        </w:rPr>
      </w:pPr>
      <w:r>
        <w:rPr>
          <w:rFonts w:ascii="Arial" w:cs="Arial" w:eastAsia="Arial" w:hAnsi="Arial"/>
          <w:sz w:val="13"/>
          <w:szCs w:val="13"/>
          <w:b w:val="1"/>
          <w:bCs w:val="1"/>
          <w:color w:val="4800E6"/>
        </w:rPr>
        <w:t>Compensation Discussion &amp; Analysis</w:t>
      </w: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ind w:left="760"/>
        <w:spacing w:after="0"/>
        <w:rPr>
          <w:sz w:val="20"/>
          <w:szCs w:val="20"/>
          <w:color w:val="auto"/>
        </w:rPr>
      </w:pPr>
      <w:r>
        <w:rPr>
          <w:rFonts w:ascii="Arial" w:cs="Arial" w:eastAsia="Arial" w:hAnsi="Arial"/>
          <w:sz w:val="18"/>
          <w:szCs w:val="18"/>
          <w:b w:val="1"/>
          <w:bCs w:val="1"/>
          <w:color w:val="auto"/>
        </w:rPr>
        <w:t>Service-Based Elements:</w:t>
      </w:r>
    </w:p>
    <w:p>
      <w:pPr>
        <w:spacing w:after="0" w:line="162" w:lineRule="exact"/>
        <w:rPr>
          <w:sz w:val="20"/>
          <w:szCs w:val="20"/>
          <w:color w:val="auto"/>
        </w:rPr>
      </w:pPr>
    </w:p>
    <w:p>
      <w:pPr>
        <w:ind w:left="760"/>
        <w:spacing w:after="0"/>
        <w:rPr>
          <w:sz w:val="20"/>
          <w:szCs w:val="20"/>
          <w:color w:val="auto"/>
        </w:rPr>
      </w:pPr>
      <w:r>
        <w:rPr>
          <w:rFonts w:ascii="Arial" w:cs="Arial" w:eastAsia="Arial" w:hAnsi="Arial"/>
          <w:sz w:val="16"/>
          <w:szCs w:val="16"/>
          <w:b w:val="1"/>
          <w:bCs w:val="1"/>
          <w:color w:val="4800E6"/>
        </w:rPr>
        <w:t>RSUs</w:t>
      </w:r>
    </w:p>
    <w:p>
      <w:pPr>
        <w:spacing w:after="0" w:line="120" w:lineRule="exact"/>
        <w:rPr>
          <w:sz w:val="20"/>
          <w:szCs w:val="20"/>
          <w:color w:val="auto"/>
        </w:rPr>
      </w:pPr>
    </w:p>
    <w:p>
      <w:pPr>
        <w:ind w:left="760" w:right="219"/>
        <w:spacing w:after="0" w:line="251" w:lineRule="auto"/>
        <w:rPr>
          <w:sz w:val="20"/>
          <w:szCs w:val="20"/>
          <w:color w:val="auto"/>
        </w:rPr>
      </w:pPr>
      <w:r>
        <w:rPr>
          <w:rFonts w:ascii="Arial" w:cs="Arial" w:eastAsia="Arial" w:hAnsi="Arial"/>
          <w:sz w:val="16"/>
          <w:szCs w:val="16"/>
          <w:color w:val="auto"/>
        </w:rPr>
        <w:t>Each participant received an award of service-based RSUs vesting in equal or substantially equal amounts on each of the first four anniversaries of the grant date. The Committee determined the number of RSUs awarded to each participant by dividing the award value by the most recent closing price of an ordinary share of our stock on Nasdaq as of the grant date and rounding down to the nearest whole unit.</w:t>
      </w:r>
    </w:p>
    <w:p>
      <w:pPr>
        <w:spacing w:after="0" w:line="101" w:lineRule="exact"/>
        <w:rPr>
          <w:sz w:val="20"/>
          <w:szCs w:val="20"/>
          <w:color w:val="auto"/>
        </w:rPr>
      </w:pPr>
    </w:p>
    <w:p>
      <w:pPr>
        <w:ind w:left="760"/>
        <w:spacing w:after="0"/>
        <w:rPr>
          <w:sz w:val="20"/>
          <w:szCs w:val="20"/>
          <w:color w:val="auto"/>
        </w:rPr>
      </w:pPr>
      <w:r>
        <w:rPr>
          <w:rFonts w:ascii="Arial" w:cs="Arial" w:eastAsia="Arial" w:hAnsi="Arial"/>
          <w:sz w:val="16"/>
          <w:szCs w:val="16"/>
          <w:b w:val="1"/>
          <w:bCs w:val="1"/>
          <w:color w:val="4800E6"/>
        </w:rPr>
        <w:t>SARs</w:t>
      </w:r>
    </w:p>
    <w:p>
      <w:pPr>
        <w:spacing w:after="0" w:line="120" w:lineRule="exact"/>
        <w:rPr>
          <w:sz w:val="20"/>
          <w:szCs w:val="20"/>
          <w:color w:val="auto"/>
        </w:rPr>
      </w:pPr>
    </w:p>
    <w:p>
      <w:pPr>
        <w:jc w:val="both"/>
        <w:ind w:left="760" w:right="299"/>
        <w:spacing w:after="0" w:line="251" w:lineRule="auto"/>
        <w:rPr>
          <w:sz w:val="20"/>
          <w:szCs w:val="20"/>
          <w:color w:val="auto"/>
        </w:rPr>
      </w:pPr>
      <w:r>
        <w:rPr>
          <w:rFonts w:ascii="Arial" w:cs="Arial" w:eastAsia="Arial" w:hAnsi="Arial"/>
          <w:sz w:val="16"/>
          <w:szCs w:val="16"/>
          <w:color w:val="auto"/>
        </w:rPr>
        <w:t>Each participant received an award of SARs vesting in equal or substantially equal amounts on each of the first four anniversaries of the grant date. The Committee determined the number of SARs awarded to each participant by dividing the award value by the Black-Scholes value of a SAR based on the most recent closing price of an ordinary share of our stock on Nasdaq as of the grant date and rounding down to the nearest whole right.</w:t>
      </w:r>
    </w:p>
    <w:p>
      <w:pPr>
        <w:spacing w:after="0" w:line="259" w:lineRule="exact"/>
        <w:rPr>
          <w:sz w:val="20"/>
          <w:szCs w:val="20"/>
          <w:color w:val="auto"/>
        </w:rPr>
      </w:pPr>
    </w:p>
    <w:p>
      <w:pPr>
        <w:ind w:left="760"/>
        <w:spacing w:after="0"/>
        <w:rPr>
          <w:sz w:val="20"/>
          <w:szCs w:val="20"/>
          <w:color w:val="auto"/>
        </w:rPr>
      </w:pPr>
      <w:r>
        <w:rPr>
          <w:rFonts w:ascii="Arial" w:cs="Arial" w:eastAsia="Arial" w:hAnsi="Arial"/>
          <w:sz w:val="18"/>
          <w:szCs w:val="18"/>
          <w:b w:val="1"/>
          <w:bCs w:val="1"/>
          <w:color w:val="auto"/>
        </w:rPr>
        <w:t>Performance-Based Elements:</w:t>
      </w:r>
    </w:p>
    <w:p>
      <w:pPr>
        <w:spacing w:after="0" w:line="162" w:lineRule="exact"/>
        <w:rPr>
          <w:sz w:val="20"/>
          <w:szCs w:val="20"/>
          <w:color w:val="auto"/>
        </w:rPr>
      </w:pPr>
    </w:p>
    <w:p>
      <w:pPr>
        <w:ind w:left="760"/>
        <w:spacing w:after="0"/>
        <w:rPr>
          <w:sz w:val="20"/>
          <w:szCs w:val="20"/>
          <w:color w:val="auto"/>
        </w:rPr>
      </w:pPr>
      <w:r>
        <w:rPr>
          <w:rFonts w:ascii="Arial" w:cs="Arial" w:eastAsia="Arial" w:hAnsi="Arial"/>
          <w:sz w:val="16"/>
          <w:szCs w:val="16"/>
          <w:b w:val="1"/>
          <w:bCs w:val="1"/>
          <w:color w:val="4800E6"/>
        </w:rPr>
        <w:t>rTSR PSUs</w:t>
      </w:r>
    </w:p>
    <w:p>
      <w:pPr>
        <w:spacing w:after="0" w:line="120" w:lineRule="exact"/>
        <w:rPr>
          <w:sz w:val="20"/>
          <w:szCs w:val="20"/>
          <w:color w:val="auto"/>
        </w:rPr>
      </w:pPr>
    </w:p>
    <w:p>
      <w:pPr>
        <w:ind w:left="760" w:right="339"/>
        <w:spacing w:after="0" w:line="250" w:lineRule="auto"/>
        <w:rPr>
          <w:sz w:val="20"/>
          <w:szCs w:val="20"/>
          <w:color w:val="auto"/>
        </w:rPr>
      </w:pPr>
      <w:r>
        <w:rPr>
          <w:rFonts w:ascii="Arial" w:cs="Arial" w:eastAsia="Arial" w:hAnsi="Arial"/>
          <w:sz w:val="16"/>
          <w:szCs w:val="16"/>
          <w:color w:val="auto"/>
        </w:rPr>
        <w:t>Each participant received an award of PSUs subject to a three-year rTSR market condition. At the end of calendar year 2022, our TSR for the three-year period 2020 through 2022 will be compared to the TSR for a group of 30 companies (the “2020 rTSR Comparator Group”) selected by the Committee’s compensation consultant, Pearl Meyer, and the number of shares of our stock actually delivered to the participants will be determined by the following chart, with linear interpolation applied between specified levels.</w:t>
      </w:r>
    </w:p>
    <w:p>
      <w:pPr>
        <w:spacing w:after="0" w:line="188" w:lineRule="exact"/>
        <w:rPr>
          <w:sz w:val="20"/>
          <w:szCs w:val="20"/>
          <w:color w:val="auto"/>
        </w:rPr>
      </w:pPr>
    </w:p>
    <w:tbl>
      <w:tblPr>
        <w:tblLayout w:type="fixed"/>
        <w:tblInd w:w="760" w:type="dxa"/>
        <w:tblCellMar>
          <w:top w:w="0" w:type="dxa"/>
          <w:left w:w="0" w:type="dxa"/>
          <w:bottom w:w="0" w:type="dxa"/>
          <w:right w:w="0" w:type="dxa"/>
        </w:tblCellMar>
      </w:tblPr>
      <w:tr>
        <w:trPr>
          <w:trHeight w:val="162"/>
        </w:trPr>
        <w:tc>
          <w:tcPr>
            <w:tcW w:w="4600" w:type="dxa"/>
            <w:vAlign w:val="bottom"/>
          </w:tcPr>
          <w:p>
            <w:pPr>
              <w:ind w:left="40"/>
              <w:spacing w:after="0"/>
              <w:rPr>
                <w:sz w:val="20"/>
                <w:szCs w:val="20"/>
                <w:color w:val="auto"/>
              </w:rPr>
            </w:pPr>
            <w:r>
              <w:rPr>
                <w:rFonts w:ascii="Arial" w:cs="Arial" w:eastAsia="Arial" w:hAnsi="Arial"/>
                <w:sz w:val="14"/>
                <w:szCs w:val="14"/>
                <w:b w:val="1"/>
                <w:bCs w:val="1"/>
                <w:color w:val="4800E6"/>
              </w:rPr>
              <w:t>TSR Performance</w:t>
            </w:r>
          </w:p>
        </w:tc>
        <w:tc>
          <w:tcPr>
            <w:tcW w:w="4580" w:type="dxa"/>
            <w:vAlign w:val="bottom"/>
          </w:tcPr>
          <w:p>
            <w:pPr>
              <w:jc w:val="right"/>
              <w:ind w:right="25"/>
              <w:spacing w:after="0"/>
              <w:rPr>
                <w:sz w:val="20"/>
                <w:szCs w:val="20"/>
                <w:color w:val="auto"/>
              </w:rPr>
            </w:pPr>
            <w:r>
              <w:rPr>
                <w:rFonts w:ascii="Arial" w:cs="Arial" w:eastAsia="Arial" w:hAnsi="Arial"/>
                <w:sz w:val="14"/>
                <w:szCs w:val="14"/>
                <w:b w:val="1"/>
                <w:bCs w:val="1"/>
                <w:color w:val="4800E6"/>
              </w:rPr>
              <w:t>Percent Funding</w:t>
            </w:r>
          </w:p>
        </w:tc>
      </w:tr>
      <w:tr>
        <w:trPr>
          <w:trHeight w:val="196"/>
        </w:trPr>
        <w:tc>
          <w:tcPr>
            <w:tcW w:w="4600" w:type="dxa"/>
            <w:vAlign w:val="bottom"/>
            <w:tcBorders>
              <w:bottom w:val="single" w:sz="8" w:color="4800E6"/>
            </w:tcBorders>
          </w:tcPr>
          <w:p>
            <w:pPr>
              <w:ind w:left="40"/>
              <w:spacing w:after="0"/>
              <w:rPr>
                <w:sz w:val="20"/>
                <w:szCs w:val="20"/>
                <w:color w:val="auto"/>
              </w:rPr>
            </w:pPr>
            <w:r>
              <w:rPr>
                <w:rFonts w:ascii="Arial" w:cs="Arial" w:eastAsia="Arial" w:hAnsi="Arial"/>
                <w:sz w:val="14"/>
                <w:szCs w:val="14"/>
                <w:b w:val="1"/>
                <w:bCs w:val="1"/>
                <w:color w:val="4800E6"/>
              </w:rPr>
              <w:t>Percentile Rank</w:t>
            </w:r>
          </w:p>
        </w:tc>
        <w:tc>
          <w:tcPr>
            <w:tcW w:w="4580" w:type="dxa"/>
            <w:vAlign w:val="bottom"/>
            <w:tcBorders>
              <w:bottom w:val="single" w:sz="8" w:color="4800E6"/>
            </w:tcBorders>
          </w:tcPr>
          <w:p>
            <w:pPr>
              <w:jc w:val="right"/>
              <w:spacing w:after="0"/>
              <w:rPr>
                <w:sz w:val="20"/>
                <w:szCs w:val="20"/>
                <w:color w:val="auto"/>
              </w:rPr>
            </w:pPr>
            <w:r>
              <w:rPr>
                <w:rFonts w:ascii="Arial" w:cs="Arial" w:eastAsia="Arial" w:hAnsi="Arial"/>
                <w:sz w:val="14"/>
                <w:szCs w:val="14"/>
                <w:b w:val="1"/>
                <w:bCs w:val="1"/>
                <w:color w:val="4800E6"/>
              </w:rPr>
              <w:t>for Objective</w:t>
            </w:r>
          </w:p>
        </w:tc>
      </w:tr>
      <w:tr>
        <w:trPr>
          <w:trHeight w:val="256"/>
        </w:trPr>
        <w:tc>
          <w:tcPr>
            <w:tcW w:w="4600" w:type="dxa"/>
            <w:vAlign w:val="bottom"/>
          </w:tcPr>
          <w:p>
            <w:pPr>
              <w:ind w:left="40"/>
              <w:spacing w:after="0" w:line="256" w:lineRule="exact"/>
              <w:rPr>
                <w:sz w:val="20"/>
                <w:szCs w:val="20"/>
                <w:color w:val="auto"/>
              </w:rPr>
            </w:pPr>
            <w:r>
              <w:rPr>
                <w:rFonts w:ascii="Arial" w:cs="Arial" w:eastAsia="Arial" w:hAnsi="Arial"/>
                <w:sz w:val="15"/>
                <w:szCs w:val="15"/>
                <w:color w:val="auto"/>
              </w:rPr>
              <w:t>≥90</w:t>
            </w:r>
            <w:r>
              <w:rPr>
                <w:rFonts w:ascii="Arial" w:cs="Arial" w:eastAsia="Arial" w:hAnsi="Arial"/>
                <w:sz w:val="23"/>
                <w:szCs w:val="23"/>
                <w:color w:val="auto"/>
                <w:vertAlign w:val="superscript"/>
              </w:rPr>
              <w:t>th</w:t>
            </w:r>
          </w:p>
        </w:tc>
        <w:tc>
          <w:tcPr>
            <w:tcW w:w="4580" w:type="dxa"/>
            <w:vAlign w:val="bottom"/>
          </w:tcPr>
          <w:p>
            <w:pPr>
              <w:jc w:val="right"/>
              <w:spacing w:after="0"/>
              <w:rPr>
                <w:sz w:val="20"/>
                <w:szCs w:val="20"/>
                <w:color w:val="auto"/>
              </w:rPr>
            </w:pPr>
            <w:r>
              <w:rPr>
                <w:rFonts w:ascii="Arial" w:cs="Arial" w:eastAsia="Arial" w:hAnsi="Arial"/>
                <w:sz w:val="15"/>
                <w:szCs w:val="15"/>
                <w:color w:val="auto"/>
              </w:rPr>
              <w:t>200%</w:t>
            </w:r>
          </w:p>
        </w:tc>
      </w:tr>
      <w:tr>
        <w:trPr>
          <w:trHeight w:val="284"/>
        </w:trPr>
        <w:tc>
          <w:tcPr>
            <w:tcW w:w="4600" w:type="dxa"/>
            <w:vAlign w:val="bottom"/>
            <w:shd w:val="clear" w:color="auto" w:fill="EFE9FC"/>
          </w:tcPr>
          <w:p>
            <w:pPr>
              <w:ind w:left="40"/>
              <w:spacing w:after="0"/>
              <w:rPr>
                <w:sz w:val="20"/>
                <w:szCs w:val="20"/>
                <w:color w:val="auto"/>
              </w:rPr>
            </w:pPr>
            <w:r>
              <w:rPr>
                <w:rFonts w:ascii="Arial" w:cs="Arial" w:eastAsia="Arial" w:hAnsi="Arial"/>
                <w:sz w:val="15"/>
                <w:szCs w:val="15"/>
                <w:color w:val="auto"/>
              </w:rPr>
              <w:t>80</w:t>
            </w:r>
            <w:r>
              <w:rPr>
                <w:rFonts w:ascii="Arial" w:cs="Arial" w:eastAsia="Arial" w:hAnsi="Arial"/>
                <w:sz w:val="23"/>
                <w:szCs w:val="23"/>
                <w:color w:val="auto"/>
                <w:vertAlign w:val="superscript"/>
              </w:rPr>
              <w:t>th</w:t>
            </w:r>
          </w:p>
        </w:tc>
        <w:tc>
          <w:tcPr>
            <w:tcW w:w="4580" w:type="dxa"/>
            <w:vAlign w:val="bottom"/>
            <w:shd w:val="clear" w:color="auto" w:fill="EFE9FC"/>
          </w:tcPr>
          <w:p>
            <w:pPr>
              <w:jc w:val="right"/>
              <w:spacing w:after="0"/>
              <w:rPr>
                <w:sz w:val="20"/>
                <w:szCs w:val="20"/>
                <w:color w:val="auto"/>
              </w:rPr>
            </w:pPr>
            <w:r>
              <w:rPr>
                <w:rFonts w:ascii="Arial" w:cs="Arial" w:eastAsia="Arial" w:hAnsi="Arial"/>
                <w:sz w:val="15"/>
                <w:szCs w:val="15"/>
                <w:color w:val="auto"/>
              </w:rPr>
              <w:t>150%</w:t>
            </w:r>
          </w:p>
        </w:tc>
      </w:tr>
      <w:tr>
        <w:trPr>
          <w:trHeight w:val="256"/>
        </w:trPr>
        <w:tc>
          <w:tcPr>
            <w:tcW w:w="4600" w:type="dxa"/>
            <w:vAlign w:val="bottom"/>
          </w:tcPr>
          <w:p>
            <w:pPr>
              <w:ind w:left="40"/>
              <w:spacing w:after="0" w:line="256" w:lineRule="exact"/>
              <w:rPr>
                <w:sz w:val="20"/>
                <w:szCs w:val="20"/>
                <w:color w:val="auto"/>
              </w:rPr>
            </w:pPr>
            <w:r>
              <w:rPr>
                <w:rFonts w:ascii="Arial" w:cs="Arial" w:eastAsia="Arial" w:hAnsi="Arial"/>
                <w:sz w:val="15"/>
                <w:szCs w:val="15"/>
                <w:color w:val="auto"/>
              </w:rPr>
              <w:t>50</w:t>
            </w:r>
            <w:r>
              <w:rPr>
                <w:rFonts w:ascii="Arial" w:cs="Arial" w:eastAsia="Arial" w:hAnsi="Arial"/>
                <w:sz w:val="23"/>
                <w:szCs w:val="23"/>
                <w:color w:val="auto"/>
                <w:vertAlign w:val="superscript"/>
              </w:rPr>
              <w:t>th</w:t>
            </w:r>
          </w:p>
        </w:tc>
        <w:tc>
          <w:tcPr>
            <w:tcW w:w="4580" w:type="dxa"/>
            <w:vAlign w:val="bottom"/>
          </w:tcPr>
          <w:p>
            <w:pPr>
              <w:jc w:val="right"/>
              <w:spacing w:after="0"/>
              <w:rPr>
                <w:sz w:val="20"/>
                <w:szCs w:val="20"/>
                <w:color w:val="auto"/>
              </w:rPr>
            </w:pPr>
            <w:r>
              <w:rPr>
                <w:rFonts w:ascii="Arial" w:cs="Arial" w:eastAsia="Arial" w:hAnsi="Arial"/>
                <w:sz w:val="15"/>
                <w:szCs w:val="15"/>
                <w:color w:val="auto"/>
              </w:rPr>
              <w:t>100%</w:t>
            </w:r>
          </w:p>
        </w:tc>
      </w:tr>
      <w:tr>
        <w:trPr>
          <w:trHeight w:val="284"/>
        </w:trPr>
        <w:tc>
          <w:tcPr>
            <w:tcW w:w="4600" w:type="dxa"/>
            <w:vAlign w:val="bottom"/>
            <w:shd w:val="clear" w:color="auto" w:fill="EFE9FC"/>
          </w:tcPr>
          <w:p>
            <w:pPr>
              <w:ind w:left="40"/>
              <w:spacing w:after="0"/>
              <w:rPr>
                <w:sz w:val="20"/>
                <w:szCs w:val="20"/>
                <w:color w:val="auto"/>
              </w:rPr>
            </w:pPr>
            <w:r>
              <w:rPr>
                <w:rFonts w:ascii="Arial" w:cs="Arial" w:eastAsia="Arial" w:hAnsi="Arial"/>
                <w:sz w:val="15"/>
                <w:szCs w:val="15"/>
                <w:color w:val="auto"/>
              </w:rPr>
              <w:t>30</w:t>
            </w:r>
            <w:r>
              <w:rPr>
                <w:rFonts w:ascii="Arial" w:cs="Arial" w:eastAsia="Arial" w:hAnsi="Arial"/>
                <w:sz w:val="23"/>
                <w:szCs w:val="23"/>
                <w:color w:val="auto"/>
                <w:vertAlign w:val="superscript"/>
              </w:rPr>
              <w:t>th</w:t>
            </w:r>
          </w:p>
        </w:tc>
        <w:tc>
          <w:tcPr>
            <w:tcW w:w="4580" w:type="dxa"/>
            <w:vAlign w:val="bottom"/>
            <w:shd w:val="clear" w:color="auto" w:fill="EFE9FC"/>
          </w:tcPr>
          <w:p>
            <w:pPr>
              <w:jc w:val="right"/>
              <w:spacing w:after="0"/>
              <w:rPr>
                <w:sz w:val="20"/>
                <w:szCs w:val="20"/>
                <w:color w:val="auto"/>
              </w:rPr>
            </w:pPr>
            <w:r>
              <w:rPr>
                <w:rFonts w:ascii="Arial" w:cs="Arial" w:eastAsia="Arial" w:hAnsi="Arial"/>
                <w:sz w:val="15"/>
                <w:szCs w:val="15"/>
                <w:color w:val="auto"/>
              </w:rPr>
              <w:t>40%</w:t>
            </w:r>
          </w:p>
        </w:tc>
      </w:tr>
      <w:tr>
        <w:trPr>
          <w:trHeight w:val="256"/>
        </w:trPr>
        <w:tc>
          <w:tcPr>
            <w:tcW w:w="4600" w:type="dxa"/>
            <w:vAlign w:val="bottom"/>
            <w:tcBorders>
              <w:bottom w:val="single" w:sz="8" w:color="4800E6"/>
            </w:tcBorders>
          </w:tcPr>
          <w:p>
            <w:pPr>
              <w:ind w:left="40"/>
              <w:spacing w:after="0" w:line="256" w:lineRule="exact"/>
              <w:rPr>
                <w:sz w:val="20"/>
                <w:szCs w:val="20"/>
                <w:color w:val="auto"/>
              </w:rPr>
            </w:pPr>
            <w:r>
              <w:rPr>
                <w:rFonts w:ascii="Arial" w:cs="Arial" w:eastAsia="Arial" w:hAnsi="Arial"/>
                <w:sz w:val="15"/>
                <w:szCs w:val="15"/>
                <w:color w:val="auto"/>
              </w:rPr>
              <w:t>&lt;30</w:t>
            </w:r>
            <w:r>
              <w:rPr>
                <w:rFonts w:ascii="Arial" w:cs="Arial" w:eastAsia="Arial" w:hAnsi="Arial"/>
                <w:sz w:val="23"/>
                <w:szCs w:val="23"/>
                <w:color w:val="auto"/>
                <w:vertAlign w:val="superscript"/>
              </w:rPr>
              <w:t>th</w:t>
            </w:r>
          </w:p>
        </w:tc>
        <w:tc>
          <w:tcPr>
            <w:tcW w:w="4580" w:type="dxa"/>
            <w:vAlign w:val="bottom"/>
            <w:tcBorders>
              <w:bottom w:val="single" w:sz="8" w:color="4800E6"/>
            </w:tcBorders>
          </w:tcPr>
          <w:p>
            <w:pPr>
              <w:jc w:val="right"/>
              <w:spacing w:after="0"/>
              <w:rPr>
                <w:sz w:val="20"/>
                <w:szCs w:val="20"/>
                <w:color w:val="auto"/>
              </w:rPr>
            </w:pPr>
            <w:r>
              <w:rPr>
                <w:rFonts w:ascii="Arial" w:cs="Arial" w:eastAsia="Arial" w:hAnsi="Arial"/>
                <w:sz w:val="15"/>
                <w:szCs w:val="15"/>
                <w:color w:val="auto"/>
              </w:rPr>
              <w:t>0%</w:t>
            </w:r>
          </w:p>
        </w:tc>
      </w:tr>
    </w:tbl>
    <w:p>
      <w:pPr>
        <w:spacing w:after="0" w:line="83" w:lineRule="exact"/>
        <w:rPr>
          <w:sz w:val="20"/>
          <w:szCs w:val="20"/>
          <w:color w:val="auto"/>
        </w:rPr>
      </w:pPr>
    </w:p>
    <w:p>
      <w:pPr>
        <w:ind w:left="760"/>
        <w:spacing w:after="0"/>
        <w:rPr>
          <w:sz w:val="20"/>
          <w:szCs w:val="20"/>
          <w:color w:val="auto"/>
        </w:rPr>
      </w:pPr>
      <w:r>
        <w:rPr>
          <w:rFonts w:ascii="Arial" w:cs="Arial" w:eastAsia="Arial" w:hAnsi="Arial"/>
          <w:sz w:val="16"/>
          <w:szCs w:val="16"/>
          <w:color w:val="auto"/>
        </w:rPr>
        <w:t>The following companies comprise the 2020 rTSR Comparator Group:</w:t>
      </w:r>
    </w:p>
    <w:p>
      <w:pPr>
        <w:sectPr>
          <w:pgSz w:w="11900" w:h="16838" w:orient="portrait"/>
          <w:cols w:equalWidth="0" w:num="1">
            <w:col w:w="10139"/>
          </w:cols>
          <w:pgMar w:left="320" w:top="132" w:right="1440" w:bottom="1440" w:gutter="0" w:footer="0" w:header="0"/>
        </w:sectPr>
      </w:pPr>
    </w:p>
    <w:p>
      <w:pPr>
        <w:spacing w:after="0" w:line="140" w:lineRule="exact"/>
        <w:rPr>
          <w:sz w:val="20"/>
          <w:szCs w:val="20"/>
          <w:color w:val="auto"/>
        </w:rPr>
      </w:pPr>
    </w:p>
    <w:p>
      <w:pPr>
        <w:ind w:left="1120"/>
        <w:spacing w:after="0"/>
        <w:rPr>
          <w:sz w:val="20"/>
          <w:szCs w:val="20"/>
          <w:color w:val="auto"/>
        </w:rPr>
      </w:pPr>
      <w:r>
        <w:rPr>
          <w:rFonts w:ascii="Arial" w:cs="Arial" w:eastAsia="Arial" w:hAnsi="Arial"/>
          <w:sz w:val="15"/>
          <w:szCs w:val="15"/>
          <w:color w:val="auto"/>
        </w:rPr>
        <w:t>ABIOMED, Inc.</w:t>
      </w:r>
    </w:p>
    <w:p>
      <w:pPr>
        <w:spacing w:after="0" w:line="20" w:lineRule="exact"/>
        <w:rPr>
          <w:sz w:val="20"/>
          <w:szCs w:val="20"/>
          <w:color w:val="auto"/>
        </w:rPr>
      </w:pPr>
      <w:r>
        <w:rPr>
          <w:sz w:val="20"/>
          <w:szCs w:val="20"/>
          <w:color w:val="auto"/>
        </w:rPr>
        <w:br w:type="column"/>
      </w:r>
    </w:p>
    <w:p>
      <w:pPr>
        <w:spacing w:after="0" w:line="120" w:lineRule="exact"/>
        <w:rPr>
          <w:sz w:val="20"/>
          <w:szCs w:val="20"/>
          <w:color w:val="auto"/>
        </w:rPr>
      </w:pPr>
    </w:p>
    <w:p>
      <w:pPr>
        <w:jc w:val="center"/>
        <w:ind w:right="3179"/>
        <w:spacing w:after="0"/>
        <w:rPr>
          <w:sz w:val="20"/>
          <w:szCs w:val="20"/>
          <w:color w:val="auto"/>
        </w:rPr>
      </w:pPr>
      <w:r>
        <w:rPr>
          <w:rFonts w:ascii="Arial" w:cs="Arial" w:eastAsia="Arial" w:hAnsi="Arial"/>
          <w:sz w:val="15"/>
          <w:szCs w:val="15"/>
          <w:color w:val="auto"/>
        </w:rPr>
        <w:t>Intuitive Surgical, Inc.</w:t>
      </w:r>
    </w:p>
    <w:p>
      <w:pPr>
        <w:spacing w:after="0" w:line="71" w:lineRule="exact"/>
        <w:rPr>
          <w:sz w:val="20"/>
          <w:szCs w:val="20"/>
          <w:color w:val="auto"/>
        </w:rPr>
      </w:pPr>
    </w:p>
    <w:p>
      <w:pPr>
        <w:sectPr>
          <w:pgSz w:w="11900" w:h="16838" w:orient="portrait"/>
          <w:cols w:equalWidth="0" w:num="2">
            <w:col w:w="4740" w:space="720"/>
            <w:col w:w="4679"/>
          </w:cols>
          <w:pgMar w:left="320" w:top="132" w:right="1440" w:bottom="1440" w:gutter="0" w:footer="0" w:header="0"/>
          <w:type w:val="continuous"/>
        </w:sectPr>
      </w:pPr>
    </w:p>
    <w:p>
      <w:pPr>
        <w:ind w:left="1120"/>
        <w:spacing w:after="0"/>
        <w:rPr>
          <w:sz w:val="20"/>
          <w:szCs w:val="20"/>
          <w:color w:val="auto"/>
        </w:rPr>
      </w:pPr>
      <w:r>
        <w:rPr>
          <w:rFonts w:ascii="Arial" w:cs="Arial" w:eastAsia="Arial" w:hAnsi="Arial"/>
          <w:sz w:val="15"/>
          <w:szCs w:val="15"/>
          <w:color w:val="auto"/>
        </w:rPr>
        <w:t>Baxter International Inc.</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5"/>
          <w:szCs w:val="15"/>
          <w:color w:val="auto"/>
        </w:rPr>
        <w:t>Invacare Corporation</w:t>
      </w:r>
    </w:p>
    <w:p>
      <w:pPr>
        <w:spacing w:after="0" w:line="71" w:lineRule="exact"/>
        <w:rPr>
          <w:sz w:val="20"/>
          <w:szCs w:val="20"/>
          <w:color w:val="auto"/>
        </w:rPr>
      </w:pPr>
    </w:p>
    <w:p>
      <w:pPr>
        <w:sectPr>
          <w:pgSz w:w="11900" w:h="16838" w:orient="portrait"/>
          <w:cols w:equalWidth="0" w:num="2">
            <w:col w:w="4740" w:space="720"/>
            <w:col w:w="4679"/>
          </w:cols>
          <w:pgMar w:left="320" w:top="132" w:right="1440" w:bottom="1440" w:gutter="0" w:footer="0" w:header="0"/>
          <w:type w:val="continuous"/>
        </w:sectPr>
      </w:pPr>
    </w:p>
    <w:p>
      <w:pPr>
        <w:ind w:left="1120"/>
        <w:spacing w:after="0"/>
        <w:rPr>
          <w:sz w:val="20"/>
          <w:szCs w:val="20"/>
          <w:color w:val="auto"/>
        </w:rPr>
      </w:pPr>
      <w:r>
        <w:rPr>
          <w:rFonts w:ascii="Arial" w:cs="Arial" w:eastAsia="Arial" w:hAnsi="Arial"/>
          <w:sz w:val="15"/>
          <w:szCs w:val="15"/>
          <w:color w:val="auto"/>
        </w:rPr>
        <w:t>Becton, Dickinson and Company</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5"/>
          <w:szCs w:val="15"/>
          <w:color w:val="auto"/>
        </w:rPr>
        <w:t>Masimo Corporation</w:t>
      </w:r>
    </w:p>
    <w:p>
      <w:pPr>
        <w:spacing w:after="0" w:line="71" w:lineRule="exact"/>
        <w:rPr>
          <w:sz w:val="20"/>
          <w:szCs w:val="20"/>
          <w:color w:val="auto"/>
        </w:rPr>
      </w:pPr>
    </w:p>
    <w:p>
      <w:pPr>
        <w:sectPr>
          <w:pgSz w:w="11900" w:h="16838" w:orient="portrait"/>
          <w:cols w:equalWidth="0" w:num="2">
            <w:col w:w="4740" w:space="720"/>
            <w:col w:w="4679"/>
          </w:cols>
          <w:pgMar w:left="320" w:top="132" w:right="1440" w:bottom="1440" w:gutter="0" w:footer="0" w:header="0"/>
          <w:type w:val="continuous"/>
        </w:sectPr>
      </w:pPr>
    </w:p>
    <w:p>
      <w:pPr>
        <w:ind w:left="1120"/>
        <w:spacing w:after="0"/>
        <w:rPr>
          <w:sz w:val="20"/>
          <w:szCs w:val="20"/>
          <w:color w:val="auto"/>
        </w:rPr>
      </w:pPr>
      <w:r>
        <w:rPr>
          <w:rFonts w:ascii="Arial" w:cs="Arial" w:eastAsia="Arial" w:hAnsi="Arial"/>
          <w:sz w:val="15"/>
          <w:szCs w:val="15"/>
          <w:color w:val="auto"/>
        </w:rPr>
        <w:t>Boston Scientific Corporation</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5"/>
          <w:szCs w:val="15"/>
          <w:color w:val="auto"/>
        </w:rPr>
        <w:t>Medtronic plc</w:t>
      </w:r>
    </w:p>
    <w:p>
      <w:pPr>
        <w:spacing w:after="0" w:line="71" w:lineRule="exact"/>
        <w:rPr>
          <w:sz w:val="20"/>
          <w:szCs w:val="20"/>
          <w:color w:val="auto"/>
        </w:rPr>
      </w:pPr>
    </w:p>
    <w:p>
      <w:pPr>
        <w:sectPr>
          <w:pgSz w:w="11900" w:h="16838" w:orient="portrait"/>
          <w:cols w:equalWidth="0" w:num="2">
            <w:col w:w="4740" w:space="720"/>
            <w:col w:w="4679"/>
          </w:cols>
          <w:pgMar w:left="320" w:top="132" w:right="1440" w:bottom="1440" w:gutter="0" w:footer="0" w:header="0"/>
          <w:type w:val="continuous"/>
        </w:sectPr>
      </w:pPr>
    </w:p>
    <w:p>
      <w:pPr>
        <w:ind w:left="1120"/>
        <w:spacing w:after="0"/>
        <w:rPr>
          <w:sz w:val="20"/>
          <w:szCs w:val="20"/>
          <w:color w:val="auto"/>
        </w:rPr>
      </w:pPr>
      <w:r>
        <w:rPr>
          <w:rFonts w:ascii="Arial" w:cs="Arial" w:eastAsia="Arial" w:hAnsi="Arial"/>
          <w:sz w:val="15"/>
          <w:szCs w:val="15"/>
          <w:color w:val="auto"/>
        </w:rPr>
        <w:t>Cantel Medical Corp.</w:t>
      </w:r>
    </w:p>
    <w:p>
      <w:pPr>
        <w:spacing w:after="0" w:line="20" w:lineRule="exact"/>
        <w:rPr>
          <w:sz w:val="20"/>
          <w:szCs w:val="20"/>
          <w:color w:val="auto"/>
        </w:rPr>
      </w:pPr>
      <w:r>
        <w:rPr>
          <w:sz w:val="20"/>
          <w:szCs w:val="20"/>
          <w:color w:val="auto"/>
        </w:rPr>
        <w:br w:type="column"/>
      </w:r>
    </w:p>
    <w:p>
      <w:pPr>
        <w:jc w:val="center"/>
        <w:ind w:right="2739"/>
        <w:spacing w:after="0"/>
        <w:rPr>
          <w:sz w:val="20"/>
          <w:szCs w:val="20"/>
          <w:color w:val="auto"/>
        </w:rPr>
      </w:pPr>
      <w:r>
        <w:rPr>
          <w:rFonts w:ascii="Arial" w:cs="Arial" w:eastAsia="Arial" w:hAnsi="Arial"/>
          <w:sz w:val="15"/>
          <w:szCs w:val="15"/>
          <w:color w:val="auto"/>
        </w:rPr>
        <w:t>Natus Medical Incorporated</w:t>
      </w:r>
    </w:p>
    <w:p>
      <w:pPr>
        <w:spacing w:after="0" w:line="71" w:lineRule="exact"/>
        <w:rPr>
          <w:sz w:val="20"/>
          <w:szCs w:val="20"/>
          <w:color w:val="auto"/>
        </w:rPr>
      </w:pPr>
    </w:p>
    <w:p>
      <w:pPr>
        <w:sectPr>
          <w:pgSz w:w="11900" w:h="16838" w:orient="portrait"/>
          <w:cols w:equalWidth="0" w:num="2">
            <w:col w:w="4740" w:space="720"/>
            <w:col w:w="4679"/>
          </w:cols>
          <w:pgMar w:left="320" w:top="132" w:right="1440" w:bottom="1440" w:gutter="0" w:footer="0" w:header="0"/>
          <w:type w:val="continuous"/>
        </w:sectPr>
      </w:pPr>
    </w:p>
    <w:p>
      <w:pPr>
        <w:ind w:left="1120"/>
        <w:spacing w:after="0"/>
        <w:rPr>
          <w:sz w:val="20"/>
          <w:szCs w:val="20"/>
          <w:color w:val="auto"/>
        </w:rPr>
      </w:pPr>
      <w:r>
        <w:rPr>
          <w:rFonts w:ascii="Arial" w:cs="Arial" w:eastAsia="Arial" w:hAnsi="Arial"/>
          <w:sz w:val="15"/>
          <w:szCs w:val="15"/>
          <w:color w:val="auto"/>
        </w:rPr>
        <w:t>CONMED Corporation</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5"/>
          <w:szCs w:val="15"/>
          <w:color w:val="auto"/>
        </w:rPr>
        <w:t>Nevro Corp.</w:t>
      </w:r>
    </w:p>
    <w:p>
      <w:pPr>
        <w:spacing w:after="0" w:line="71" w:lineRule="exact"/>
        <w:rPr>
          <w:sz w:val="20"/>
          <w:szCs w:val="20"/>
          <w:color w:val="auto"/>
        </w:rPr>
      </w:pPr>
    </w:p>
    <w:p>
      <w:pPr>
        <w:sectPr>
          <w:pgSz w:w="11900" w:h="16838" w:orient="portrait"/>
          <w:cols w:equalWidth="0" w:num="2">
            <w:col w:w="4740" w:space="720"/>
            <w:col w:w="4679"/>
          </w:cols>
          <w:pgMar w:left="320" w:top="132" w:right="1440" w:bottom="1440" w:gutter="0" w:footer="0" w:header="0"/>
          <w:type w:val="continuous"/>
        </w:sectPr>
      </w:pPr>
    </w:p>
    <w:p>
      <w:pPr>
        <w:ind w:left="1120"/>
        <w:spacing w:after="0"/>
        <w:rPr>
          <w:sz w:val="20"/>
          <w:szCs w:val="20"/>
          <w:color w:val="auto"/>
        </w:rPr>
      </w:pPr>
      <w:r>
        <w:rPr>
          <w:rFonts w:ascii="Arial" w:cs="Arial" w:eastAsia="Arial" w:hAnsi="Arial"/>
          <w:sz w:val="15"/>
          <w:szCs w:val="15"/>
          <w:color w:val="auto"/>
        </w:rPr>
        <w:t>DexCom, Inc.</w:t>
      </w:r>
    </w:p>
    <w:p>
      <w:pPr>
        <w:spacing w:after="0" w:line="20" w:lineRule="exact"/>
        <w:rPr>
          <w:sz w:val="20"/>
          <w:szCs w:val="20"/>
          <w:color w:val="auto"/>
        </w:rPr>
      </w:pPr>
      <w:r>
        <w:rPr>
          <w:sz w:val="20"/>
          <w:szCs w:val="20"/>
          <w:color w:val="auto"/>
        </w:rPr>
        <w:br w:type="column"/>
      </w:r>
    </w:p>
    <w:p>
      <w:pPr>
        <w:jc w:val="center"/>
        <w:ind w:right="3679"/>
        <w:spacing w:after="0"/>
        <w:rPr>
          <w:sz w:val="20"/>
          <w:szCs w:val="20"/>
          <w:color w:val="auto"/>
        </w:rPr>
      </w:pPr>
      <w:r>
        <w:rPr>
          <w:rFonts w:ascii="Arial" w:cs="Arial" w:eastAsia="Arial" w:hAnsi="Arial"/>
          <w:sz w:val="15"/>
          <w:szCs w:val="15"/>
          <w:color w:val="auto"/>
        </w:rPr>
        <w:t>NuVasive, Inc.</w:t>
      </w:r>
    </w:p>
    <w:p>
      <w:pPr>
        <w:spacing w:after="0" w:line="71" w:lineRule="exact"/>
        <w:rPr>
          <w:sz w:val="20"/>
          <w:szCs w:val="20"/>
          <w:color w:val="auto"/>
        </w:rPr>
      </w:pPr>
    </w:p>
    <w:p>
      <w:pPr>
        <w:sectPr>
          <w:pgSz w:w="11900" w:h="16838" w:orient="portrait"/>
          <w:cols w:equalWidth="0" w:num="2">
            <w:col w:w="4740" w:space="720"/>
            <w:col w:w="4679"/>
          </w:cols>
          <w:pgMar w:left="320" w:top="132" w:right="1440" w:bottom="1440" w:gutter="0" w:footer="0" w:header="0"/>
          <w:type w:val="continuous"/>
        </w:sectPr>
      </w:pPr>
    </w:p>
    <w:p>
      <w:pPr>
        <w:ind w:left="1120"/>
        <w:spacing w:after="0"/>
        <w:rPr>
          <w:sz w:val="20"/>
          <w:szCs w:val="20"/>
          <w:color w:val="auto"/>
        </w:rPr>
      </w:pPr>
      <w:r>
        <w:rPr>
          <w:rFonts w:ascii="Arial" w:cs="Arial" w:eastAsia="Arial" w:hAnsi="Arial"/>
          <w:sz w:val="15"/>
          <w:szCs w:val="15"/>
          <w:color w:val="auto"/>
        </w:rPr>
        <w:t>Edwards Lifesciences Corporation</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5"/>
          <w:szCs w:val="15"/>
          <w:color w:val="auto"/>
        </w:rPr>
        <w:t>Penumbra Inc.</w:t>
      </w:r>
    </w:p>
    <w:p>
      <w:pPr>
        <w:spacing w:after="0" w:line="71" w:lineRule="exact"/>
        <w:rPr>
          <w:sz w:val="20"/>
          <w:szCs w:val="20"/>
          <w:color w:val="auto"/>
        </w:rPr>
      </w:pPr>
    </w:p>
    <w:p>
      <w:pPr>
        <w:sectPr>
          <w:pgSz w:w="11900" w:h="16838" w:orient="portrait"/>
          <w:cols w:equalWidth="0" w:num="2">
            <w:col w:w="4740" w:space="720"/>
            <w:col w:w="4679"/>
          </w:cols>
          <w:pgMar w:left="320" w:top="132" w:right="1440" w:bottom="1440" w:gutter="0" w:footer="0" w:header="0"/>
          <w:type w:val="continuous"/>
        </w:sectPr>
      </w:pPr>
    </w:p>
    <w:p>
      <w:pPr>
        <w:ind w:left="1120"/>
        <w:spacing w:after="0"/>
        <w:rPr>
          <w:sz w:val="20"/>
          <w:szCs w:val="20"/>
          <w:color w:val="auto"/>
        </w:rPr>
      </w:pPr>
      <w:r>
        <w:rPr>
          <w:rFonts w:ascii="Arial" w:cs="Arial" w:eastAsia="Arial" w:hAnsi="Arial"/>
          <w:sz w:val="15"/>
          <w:szCs w:val="15"/>
          <w:color w:val="auto"/>
        </w:rPr>
        <w:t>Globus Medical, Inc.</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ResMed Inc.</w:t>
      </w:r>
    </w:p>
    <w:p>
      <w:pPr>
        <w:spacing w:after="0" w:line="59" w:lineRule="exact"/>
        <w:rPr>
          <w:sz w:val="20"/>
          <w:szCs w:val="20"/>
          <w:color w:val="auto"/>
        </w:rPr>
      </w:pPr>
    </w:p>
    <w:p>
      <w:pPr>
        <w:sectPr>
          <w:pgSz w:w="11900" w:h="16838" w:orient="portrait"/>
          <w:cols w:equalWidth="0" w:num="2">
            <w:col w:w="4740" w:space="720"/>
            <w:col w:w="4679"/>
          </w:cols>
          <w:pgMar w:left="320" w:top="132" w:right="1440" w:bottom="1440" w:gutter="0" w:footer="0" w:header="0"/>
          <w:type w:val="continuous"/>
        </w:sectPr>
      </w:pPr>
    </w:p>
    <w:p>
      <w:pPr>
        <w:ind w:left="1120"/>
        <w:spacing w:after="0"/>
        <w:rPr>
          <w:sz w:val="20"/>
          <w:szCs w:val="20"/>
          <w:color w:val="auto"/>
        </w:rPr>
      </w:pPr>
      <w:r>
        <w:rPr>
          <w:rFonts w:ascii="Arial" w:cs="Arial" w:eastAsia="Arial" w:hAnsi="Arial"/>
          <w:sz w:val="15"/>
          <w:szCs w:val="15"/>
          <w:color w:val="auto"/>
        </w:rPr>
        <w:t>Haemonetics Corporation</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5"/>
          <w:szCs w:val="15"/>
          <w:color w:val="auto"/>
        </w:rPr>
        <w:t>Smith &amp; Nephew plc</w:t>
      </w:r>
    </w:p>
    <w:p>
      <w:pPr>
        <w:spacing w:after="0" w:line="71" w:lineRule="exact"/>
        <w:rPr>
          <w:sz w:val="20"/>
          <w:szCs w:val="20"/>
          <w:color w:val="auto"/>
        </w:rPr>
      </w:pPr>
    </w:p>
    <w:p>
      <w:pPr>
        <w:sectPr>
          <w:pgSz w:w="11900" w:h="16838" w:orient="portrait"/>
          <w:cols w:equalWidth="0" w:num="2">
            <w:col w:w="4740" w:space="720"/>
            <w:col w:w="4679"/>
          </w:cols>
          <w:pgMar w:left="320" w:top="132" w:right="1440" w:bottom="1440" w:gutter="0" w:footer="0" w:header="0"/>
          <w:type w:val="continuous"/>
        </w:sectPr>
      </w:pPr>
    </w:p>
    <w:p>
      <w:pPr>
        <w:ind w:left="1120"/>
        <w:spacing w:after="0"/>
        <w:rPr>
          <w:sz w:val="20"/>
          <w:szCs w:val="20"/>
          <w:color w:val="auto"/>
        </w:rPr>
      </w:pPr>
      <w:r>
        <w:rPr>
          <w:rFonts w:ascii="Arial" w:cs="Arial" w:eastAsia="Arial" w:hAnsi="Arial"/>
          <w:sz w:val="15"/>
          <w:szCs w:val="15"/>
          <w:color w:val="auto"/>
        </w:rPr>
        <w:t>Hill-Rom Holdings, Inc.</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5"/>
          <w:szCs w:val="15"/>
          <w:color w:val="auto"/>
        </w:rPr>
        <w:t>Stryker Corporation</w:t>
      </w:r>
    </w:p>
    <w:p>
      <w:pPr>
        <w:spacing w:after="0" w:line="71" w:lineRule="exact"/>
        <w:rPr>
          <w:sz w:val="20"/>
          <w:szCs w:val="20"/>
          <w:color w:val="auto"/>
        </w:rPr>
      </w:pPr>
    </w:p>
    <w:p>
      <w:pPr>
        <w:sectPr>
          <w:pgSz w:w="11900" w:h="16838" w:orient="portrait"/>
          <w:cols w:equalWidth="0" w:num="2">
            <w:col w:w="4740" w:space="720"/>
            <w:col w:w="4679"/>
          </w:cols>
          <w:pgMar w:left="320" w:top="132" w:right="1440" w:bottom="1440" w:gutter="0" w:footer="0" w:header="0"/>
          <w:type w:val="continuous"/>
        </w:sectPr>
      </w:pPr>
    </w:p>
    <w:p>
      <w:pPr>
        <w:ind w:left="1120"/>
        <w:spacing w:after="0"/>
        <w:rPr>
          <w:sz w:val="20"/>
          <w:szCs w:val="20"/>
          <w:color w:val="auto"/>
        </w:rPr>
      </w:pPr>
      <w:r>
        <w:rPr>
          <w:rFonts w:ascii="Arial" w:cs="Arial" w:eastAsia="Arial" w:hAnsi="Arial"/>
          <w:sz w:val="15"/>
          <w:szCs w:val="15"/>
          <w:color w:val="auto"/>
        </w:rPr>
        <w:t>Hologic, Inc.</w:t>
      </w:r>
    </w:p>
    <w:p>
      <w:pPr>
        <w:spacing w:after="0" w:line="20" w:lineRule="exact"/>
        <w:rPr>
          <w:sz w:val="20"/>
          <w:szCs w:val="20"/>
          <w:color w:val="auto"/>
        </w:rPr>
      </w:pPr>
      <w:r>
        <w:rPr>
          <w:sz w:val="20"/>
          <w:szCs w:val="20"/>
          <w:color w:val="auto"/>
        </w:rPr>
        <w:br w:type="column"/>
      </w:r>
    </w:p>
    <w:p>
      <w:pPr>
        <w:jc w:val="center"/>
        <w:ind w:right="3219"/>
        <w:spacing w:after="0"/>
        <w:rPr>
          <w:sz w:val="20"/>
          <w:szCs w:val="20"/>
          <w:color w:val="auto"/>
        </w:rPr>
      </w:pPr>
      <w:r>
        <w:rPr>
          <w:rFonts w:ascii="Arial" w:cs="Arial" w:eastAsia="Arial" w:hAnsi="Arial"/>
          <w:sz w:val="15"/>
          <w:szCs w:val="15"/>
          <w:color w:val="auto"/>
        </w:rPr>
        <w:t>Teleflex Incorporated</w:t>
      </w:r>
    </w:p>
    <w:p>
      <w:pPr>
        <w:spacing w:after="0" w:line="71" w:lineRule="exact"/>
        <w:rPr>
          <w:sz w:val="20"/>
          <w:szCs w:val="20"/>
          <w:color w:val="auto"/>
        </w:rPr>
      </w:pPr>
    </w:p>
    <w:p>
      <w:pPr>
        <w:sectPr>
          <w:pgSz w:w="11900" w:h="16838" w:orient="portrait"/>
          <w:cols w:equalWidth="0" w:num="2">
            <w:col w:w="4740" w:space="720"/>
            <w:col w:w="4679"/>
          </w:cols>
          <w:pgMar w:left="320" w:top="132" w:right="1440" w:bottom="1440" w:gutter="0" w:footer="0" w:header="0"/>
          <w:type w:val="continuous"/>
        </w:sectPr>
      </w:pPr>
    </w:p>
    <w:p>
      <w:pPr>
        <w:ind w:left="1120"/>
        <w:spacing w:after="0"/>
        <w:rPr>
          <w:sz w:val="20"/>
          <w:szCs w:val="20"/>
          <w:color w:val="auto"/>
        </w:rPr>
      </w:pPr>
      <w:r>
        <w:rPr>
          <w:rFonts w:ascii="Arial" w:cs="Arial" w:eastAsia="Arial" w:hAnsi="Arial"/>
          <w:sz w:val="15"/>
          <w:szCs w:val="15"/>
          <w:color w:val="auto"/>
        </w:rPr>
        <w:t>Insulet Corporation</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5"/>
          <w:szCs w:val="15"/>
          <w:color w:val="auto"/>
        </w:rPr>
        <w:t>Varian Medical Systems, Inc.</w:t>
      </w:r>
    </w:p>
    <w:p>
      <w:pPr>
        <w:spacing w:after="0" w:line="71" w:lineRule="exact"/>
        <w:rPr>
          <w:sz w:val="20"/>
          <w:szCs w:val="20"/>
          <w:color w:val="auto"/>
        </w:rPr>
      </w:pPr>
    </w:p>
    <w:p>
      <w:pPr>
        <w:sectPr>
          <w:pgSz w:w="11900" w:h="16838" w:orient="portrait"/>
          <w:cols w:equalWidth="0" w:num="2">
            <w:col w:w="4740" w:space="720"/>
            <w:col w:w="4679"/>
          </w:cols>
          <w:pgMar w:left="320" w:top="132" w:right="1440" w:bottom="1440" w:gutter="0" w:footer="0" w:header="0"/>
          <w:type w:val="continuous"/>
        </w:sectPr>
      </w:pPr>
    </w:p>
    <w:p>
      <w:pPr>
        <w:ind w:left="1120"/>
        <w:spacing w:after="0"/>
        <w:rPr>
          <w:sz w:val="20"/>
          <w:szCs w:val="20"/>
          <w:color w:val="auto"/>
        </w:rPr>
      </w:pPr>
      <w:r>
        <w:rPr>
          <w:rFonts w:ascii="Arial" w:cs="Arial" w:eastAsia="Arial" w:hAnsi="Arial"/>
          <w:sz w:val="15"/>
          <w:szCs w:val="15"/>
          <w:color w:val="auto"/>
        </w:rPr>
        <w:t>Integer Holdings Corporation</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5"/>
          <w:szCs w:val="15"/>
          <w:color w:val="auto"/>
        </w:rPr>
        <w:t>Wright Medical Group N.V.</w:t>
      </w:r>
    </w:p>
    <w:p>
      <w:pPr>
        <w:spacing w:after="0" w:line="71" w:lineRule="exact"/>
        <w:rPr>
          <w:sz w:val="20"/>
          <w:szCs w:val="20"/>
          <w:color w:val="auto"/>
        </w:rPr>
      </w:pPr>
    </w:p>
    <w:p>
      <w:pPr>
        <w:sectPr>
          <w:pgSz w:w="11900" w:h="16838" w:orient="portrait"/>
          <w:cols w:equalWidth="0" w:num="2">
            <w:col w:w="4740" w:space="720"/>
            <w:col w:w="4679"/>
          </w:cols>
          <w:pgMar w:left="320" w:top="132" w:right="1440" w:bottom="1440" w:gutter="0" w:footer="0" w:header="0"/>
          <w:type w:val="continuous"/>
        </w:sectPr>
      </w:pPr>
    </w:p>
    <w:p>
      <w:pPr>
        <w:ind w:left="1120"/>
        <w:spacing w:after="0"/>
        <w:rPr>
          <w:sz w:val="20"/>
          <w:szCs w:val="20"/>
          <w:color w:val="auto"/>
        </w:rPr>
      </w:pPr>
      <w:r>
        <w:rPr>
          <w:rFonts w:ascii="Arial" w:cs="Arial" w:eastAsia="Arial" w:hAnsi="Arial"/>
          <w:sz w:val="15"/>
          <w:szCs w:val="15"/>
          <w:color w:val="auto"/>
        </w:rPr>
        <w:t>Integra LifeSciences Holdings Corp.</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5"/>
          <w:szCs w:val="15"/>
          <w:color w:val="auto"/>
        </w:rPr>
        <w:t>Zimmer Biomet Holdings, Inc.</w:t>
      </w:r>
    </w:p>
    <w:p>
      <w:pPr>
        <w:spacing w:after="0" w:line="200" w:lineRule="exact"/>
        <w:rPr>
          <w:sz w:val="20"/>
          <w:szCs w:val="20"/>
          <w:color w:val="auto"/>
        </w:rPr>
      </w:pPr>
    </w:p>
    <w:p>
      <w:pPr>
        <w:sectPr>
          <w:pgSz w:w="11900" w:h="16838" w:orient="portrait"/>
          <w:cols w:equalWidth="0" w:num="2">
            <w:col w:w="4740" w:space="720"/>
            <w:col w:w="4679"/>
          </w:cols>
          <w:pgMar w:left="320" w:top="132" w:right="1440" w:bottom="1440" w:gutter="0" w:footer="0" w:header="0"/>
          <w:type w:val="continuous"/>
        </w:sectPr>
      </w:pPr>
    </w:p>
    <w:p>
      <w:pPr>
        <w:spacing w:after="0" w:line="94" w:lineRule="exact"/>
        <w:rPr>
          <w:sz w:val="20"/>
          <w:szCs w:val="20"/>
          <w:color w:val="auto"/>
        </w:rPr>
      </w:pPr>
    </w:p>
    <w:p>
      <w:pPr>
        <w:ind w:left="760"/>
        <w:spacing w:after="0"/>
        <w:rPr>
          <w:sz w:val="20"/>
          <w:szCs w:val="20"/>
          <w:color w:val="auto"/>
        </w:rPr>
      </w:pPr>
      <w:r>
        <w:rPr>
          <w:rFonts w:ascii="Arial" w:cs="Arial" w:eastAsia="Arial" w:hAnsi="Arial"/>
          <w:sz w:val="16"/>
          <w:szCs w:val="16"/>
          <w:b w:val="1"/>
          <w:bCs w:val="1"/>
          <w:color w:val="4800E6"/>
        </w:rPr>
        <w:t>Adjusted Free Cash Flow PSUs</w:t>
      </w:r>
    </w:p>
    <w:p>
      <w:pPr>
        <w:spacing w:after="0" w:line="120" w:lineRule="exact"/>
        <w:rPr>
          <w:sz w:val="20"/>
          <w:szCs w:val="20"/>
          <w:color w:val="auto"/>
        </w:rPr>
      </w:pPr>
    </w:p>
    <w:p>
      <w:pPr>
        <w:ind w:left="760" w:right="259"/>
        <w:spacing w:after="0" w:line="260" w:lineRule="auto"/>
        <w:rPr>
          <w:sz w:val="20"/>
          <w:szCs w:val="20"/>
          <w:color w:val="auto"/>
        </w:rPr>
      </w:pPr>
      <w:r>
        <w:rPr>
          <w:rFonts w:ascii="Arial" w:cs="Arial" w:eastAsia="Arial" w:hAnsi="Arial"/>
          <w:sz w:val="16"/>
          <w:szCs w:val="16"/>
          <w:color w:val="auto"/>
        </w:rPr>
        <w:t>Each participant received an award of PSUs subject to achievement of a three-year cumulative adjusted FCF Target. At the end of calendar year 2022, cumulative adjusted free cash flow for the period 2020 through 2022 will be compared to the FCF</w:t>
      </w:r>
    </w:p>
    <w:p>
      <w:pPr>
        <w:ind w:left="480"/>
        <w:spacing w:after="0"/>
        <w:tabs>
          <w:tab w:leader="none" w:pos="4400" w:val="left"/>
          <w:tab w:leader="none" w:pos="8760" w:val="left"/>
        </w:tabs>
        <w:rPr>
          <w:sz w:val="20"/>
          <w:szCs w:val="20"/>
          <w:color w:val="auto"/>
        </w:rPr>
      </w:pPr>
      <w:r>
        <w:rPr>
          <w:rFonts w:ascii="Arial" w:cs="Arial" w:eastAsia="Arial" w:hAnsi="Arial"/>
          <w:sz w:val="29"/>
          <w:szCs w:val="29"/>
          <w:b w:val="1"/>
          <w:bCs w:val="1"/>
          <w:color w:val="auto"/>
          <w:vertAlign w:val="subscript"/>
        </w:rPr>
        <w:t>37</w:t>
      </w:r>
      <w:r>
        <w:rPr>
          <w:sz w:val="20"/>
          <w:szCs w:val="20"/>
          <w:color w:val="auto"/>
        </w:rPr>
        <w:tab/>
      </w:r>
      <w:r>
        <w:rPr>
          <w:rFonts w:ascii="Arial" w:cs="Arial" w:eastAsia="Arial" w:hAnsi="Arial"/>
          <w:sz w:val="13"/>
          <w:szCs w:val="13"/>
          <w:b w:val="1"/>
          <w:bCs w:val="1"/>
          <w:color w:val="4800E6"/>
        </w:rPr>
        <w:t xml:space="preserve">LIVANOVA </w:t>
      </w:r>
      <w:r>
        <w:rPr>
          <w:rFonts w:ascii="Arial" w:cs="Arial" w:eastAsia="Arial" w:hAnsi="Arial"/>
          <w:sz w:val="13"/>
          <w:szCs w:val="13"/>
          <w:color w:val="000000"/>
        </w:rPr>
        <w:t>|</w:t>
      </w:r>
      <w:r>
        <w:rPr>
          <w:rFonts w:ascii="Arial" w:cs="Arial" w:eastAsia="Arial" w:hAnsi="Arial"/>
          <w:sz w:val="13"/>
          <w:szCs w:val="13"/>
          <w:b w:val="1"/>
          <w:bCs w:val="1"/>
          <w:color w:val="4800E6"/>
        </w:rPr>
        <w:t xml:space="preserve"> </w:t>
      </w:r>
      <w:r>
        <w:rPr>
          <w:rFonts w:ascii="Arial" w:cs="Arial" w:eastAsia="Arial" w:hAnsi="Arial"/>
          <w:sz w:val="13"/>
          <w:szCs w:val="13"/>
          <w:color w:val="4800E6"/>
        </w:rPr>
        <w:t>2020</w:t>
      </w:r>
      <w:r>
        <w:rPr>
          <w:rFonts w:ascii="Arial" w:cs="Arial" w:eastAsia="Arial" w:hAnsi="Arial"/>
          <w:sz w:val="13"/>
          <w:szCs w:val="13"/>
          <w:b w:val="1"/>
          <w:bCs w:val="1"/>
          <w:color w:val="4800E6"/>
        </w:rPr>
        <w:t xml:space="preserve"> </w:t>
      </w:r>
      <w:r>
        <w:rPr>
          <w:rFonts w:ascii="Arial" w:cs="Arial" w:eastAsia="Arial" w:hAnsi="Arial"/>
          <w:sz w:val="13"/>
          <w:szCs w:val="13"/>
          <w:color w:val="000000"/>
        </w:rPr>
        <w:t>Proxy Statement</w:t>
      </w:r>
      <w:r>
        <w:rPr>
          <w:sz w:val="20"/>
          <w:szCs w:val="20"/>
          <w:color w:val="auto"/>
        </w:rPr>
        <w:tab/>
      </w:r>
      <w:r>
        <w:rPr>
          <w:rFonts w:ascii="Arial" w:cs="Arial" w:eastAsia="Arial" w:hAnsi="Arial"/>
          <w:sz w:val="12"/>
          <w:szCs w:val="12"/>
          <w:b w:val="1"/>
          <w:bCs w:val="1"/>
          <w:color w:val="4800E6"/>
        </w:rPr>
        <w:t>www.livanova.com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561975</wp:posOffset>
            </wp:positionH>
            <wp:positionV relativeFrom="paragraph">
              <wp:posOffset>86360</wp:posOffset>
            </wp:positionV>
            <wp:extent cx="1954530" cy="8890"/>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1954530" cy="8890"/>
                    </a:xfrm>
                    <a:prstGeom prst="rect">
                      <a:avLst/>
                    </a:prstGeom>
                    <a:noFill/>
                  </pic:spPr>
                </pic:pic>
              </a:graphicData>
            </a:graphic>
          </wp:anchor>
        </w:drawing>
        <w:drawing>
          <wp:anchor simplePos="0" relativeHeight="251657728" behindDoc="1" locked="0" layoutInCell="0" allowOverlap="1">
            <wp:simplePos x="0" y="0"/>
            <wp:positionH relativeFrom="column">
              <wp:posOffset>4316730</wp:posOffset>
            </wp:positionH>
            <wp:positionV relativeFrom="paragraph">
              <wp:posOffset>86360</wp:posOffset>
            </wp:positionV>
            <wp:extent cx="1028700" cy="8890"/>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102870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223520</wp:posOffset>
            </wp:positionV>
            <wp:extent cx="6806565" cy="17145"/>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10139"/>
          </w:cols>
          <w:pgMar w:left="320" w:top="132" w:right="1440" w:bottom="1440" w:gutter="0" w:footer="0" w:header="0"/>
          <w:type w:val="continuous"/>
        </w:sectPr>
      </w:pPr>
    </w:p>
    <w:bookmarkStart w:id="41" w:name="page42"/>
    <w:bookmarkEnd w:id="41"/>
    <w:p>
      <w:pPr>
        <w:spacing w:after="0"/>
        <w:rPr>
          <w:rFonts w:ascii="Arial" w:cs="Arial" w:eastAsia="Arial" w:hAnsi="Arial"/>
          <w:sz w:val="14"/>
          <w:szCs w:val="14"/>
          <w:color w:val="003366"/>
        </w:rPr>
      </w:pPr>
      <w:hyperlink w:anchor="page4">
        <w:r>
          <w:rPr>
            <w:rFonts w:ascii="Arial" w:cs="Arial" w:eastAsia="Arial" w:hAnsi="Arial"/>
            <w:sz w:val="14"/>
            <w:szCs w:val="14"/>
            <w:color w:val="003366"/>
          </w:rPr>
          <w:t>TABLE OF CONTENTS</w:t>
        </w:r>
      </w:hyperlink>
    </w:p>
    <w:p>
      <w:pPr>
        <w:spacing w:after="0" w:line="338" w:lineRule="exact"/>
        <w:rPr>
          <w:sz w:val="20"/>
          <w:szCs w:val="20"/>
          <w:color w:val="auto"/>
        </w:rPr>
      </w:pPr>
    </w:p>
    <w:p>
      <w:pPr>
        <w:jc w:val="right"/>
        <w:ind w:right="240"/>
        <w:spacing w:after="0"/>
        <w:rPr>
          <w:sz w:val="20"/>
          <w:szCs w:val="20"/>
          <w:color w:val="auto"/>
        </w:rPr>
      </w:pPr>
      <w:r>
        <w:rPr>
          <w:rFonts w:ascii="Arial" w:cs="Arial" w:eastAsia="Arial" w:hAnsi="Arial"/>
          <w:sz w:val="13"/>
          <w:szCs w:val="13"/>
          <w:b w:val="1"/>
          <w:bCs w:val="1"/>
          <w:color w:val="auto"/>
        </w:rPr>
        <w:t xml:space="preserve">Executive </w:t>
      </w:r>
      <w:r>
        <w:rPr>
          <w:rFonts w:ascii="Arial" w:cs="Arial" w:eastAsia="Arial" w:hAnsi="Arial"/>
          <w:sz w:val="13"/>
          <w:szCs w:val="13"/>
          <w:b w:val="1"/>
          <w:bCs w:val="1"/>
          <w:color w:val="666666"/>
        </w:rPr>
        <w:t>Compensation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485140</wp:posOffset>
            </wp:positionH>
            <wp:positionV relativeFrom="paragraph">
              <wp:posOffset>30480</wp:posOffset>
            </wp:positionV>
            <wp:extent cx="5829300" cy="8255"/>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5829300" cy="8255"/>
                    </a:xfrm>
                    <a:prstGeom prst="rect">
                      <a:avLst/>
                    </a:prstGeom>
                    <a:noFill/>
                  </pic:spPr>
                </pic:pic>
              </a:graphicData>
            </a:graphic>
          </wp:anchor>
        </w:drawing>
      </w:r>
    </w:p>
    <w:p>
      <w:pPr>
        <w:spacing w:after="0" w:line="60" w:lineRule="exact"/>
        <w:rPr>
          <w:sz w:val="20"/>
          <w:szCs w:val="20"/>
          <w:color w:val="auto"/>
        </w:rPr>
      </w:pPr>
    </w:p>
    <w:p>
      <w:pPr>
        <w:jc w:val="right"/>
        <w:ind w:right="240"/>
        <w:spacing w:after="0"/>
        <w:rPr>
          <w:sz w:val="20"/>
          <w:szCs w:val="20"/>
          <w:color w:val="auto"/>
        </w:rPr>
      </w:pPr>
      <w:r>
        <w:rPr>
          <w:rFonts w:ascii="Arial" w:cs="Arial" w:eastAsia="Arial" w:hAnsi="Arial"/>
          <w:sz w:val="13"/>
          <w:szCs w:val="13"/>
          <w:b w:val="1"/>
          <w:bCs w:val="1"/>
          <w:color w:val="4800E6"/>
        </w:rPr>
        <w:t>Compensation Discussion &amp; Analysis</w:t>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ind w:left="760" w:right="440"/>
        <w:spacing w:after="0" w:line="260" w:lineRule="auto"/>
        <w:rPr>
          <w:sz w:val="20"/>
          <w:szCs w:val="20"/>
          <w:color w:val="auto"/>
        </w:rPr>
      </w:pPr>
      <w:r>
        <w:rPr>
          <w:rFonts w:ascii="Arial" w:cs="Arial" w:eastAsia="Arial" w:hAnsi="Arial"/>
          <w:sz w:val="16"/>
          <w:szCs w:val="16"/>
          <w:color w:val="auto"/>
        </w:rPr>
        <w:t>Target, and the number of shares of our stock actually delivered to the participants will be determined by the following chart, with linear interpolation applied between specified levels:</w:t>
      </w:r>
    </w:p>
    <w:p>
      <w:pPr>
        <w:spacing w:after="0" w:line="140" w:lineRule="exact"/>
        <w:rPr>
          <w:sz w:val="20"/>
          <w:szCs w:val="20"/>
          <w:color w:val="auto"/>
        </w:rPr>
      </w:pPr>
    </w:p>
    <w:tbl>
      <w:tblPr>
        <w:tblLayout w:type="fixed"/>
        <w:tblInd w:w="760" w:type="dxa"/>
        <w:tblCellMar>
          <w:top w:w="0" w:type="dxa"/>
          <w:left w:w="0" w:type="dxa"/>
          <w:bottom w:w="0" w:type="dxa"/>
          <w:right w:w="0" w:type="dxa"/>
        </w:tblCellMar>
      </w:tblPr>
      <w:tr>
        <w:trPr>
          <w:trHeight w:val="162"/>
        </w:trPr>
        <w:tc>
          <w:tcPr>
            <w:tcW w:w="4740" w:type="dxa"/>
            <w:vAlign w:val="bottom"/>
          </w:tcPr>
          <w:p>
            <w:pPr>
              <w:ind w:left="40"/>
              <w:spacing w:after="0"/>
              <w:rPr>
                <w:sz w:val="20"/>
                <w:szCs w:val="20"/>
                <w:color w:val="auto"/>
              </w:rPr>
            </w:pPr>
            <w:r>
              <w:rPr>
                <w:rFonts w:ascii="Arial" w:cs="Arial" w:eastAsia="Arial" w:hAnsi="Arial"/>
                <w:sz w:val="14"/>
                <w:szCs w:val="14"/>
                <w:b w:val="1"/>
                <w:bCs w:val="1"/>
                <w:color w:val="4800E6"/>
              </w:rPr>
              <w:t>FCF Achievement</w:t>
            </w:r>
          </w:p>
        </w:tc>
        <w:tc>
          <w:tcPr>
            <w:tcW w:w="4440" w:type="dxa"/>
            <w:vAlign w:val="bottom"/>
          </w:tcPr>
          <w:p>
            <w:pPr>
              <w:jc w:val="right"/>
              <w:ind w:right="25"/>
              <w:spacing w:after="0"/>
              <w:rPr>
                <w:sz w:val="20"/>
                <w:szCs w:val="20"/>
                <w:color w:val="auto"/>
              </w:rPr>
            </w:pPr>
            <w:r>
              <w:rPr>
                <w:rFonts w:ascii="Arial" w:cs="Arial" w:eastAsia="Arial" w:hAnsi="Arial"/>
                <w:sz w:val="14"/>
                <w:szCs w:val="14"/>
                <w:b w:val="1"/>
                <w:bCs w:val="1"/>
                <w:color w:val="4800E6"/>
              </w:rPr>
              <w:t>Percent Funding</w:t>
            </w:r>
          </w:p>
        </w:tc>
      </w:tr>
      <w:tr>
        <w:trPr>
          <w:trHeight w:val="196"/>
        </w:trPr>
        <w:tc>
          <w:tcPr>
            <w:tcW w:w="4740" w:type="dxa"/>
            <w:vAlign w:val="bottom"/>
            <w:tcBorders>
              <w:bottom w:val="single" w:sz="8" w:color="4800E6"/>
            </w:tcBorders>
          </w:tcPr>
          <w:p>
            <w:pPr>
              <w:ind w:left="40"/>
              <w:spacing w:after="0"/>
              <w:rPr>
                <w:sz w:val="20"/>
                <w:szCs w:val="20"/>
                <w:color w:val="auto"/>
              </w:rPr>
            </w:pPr>
            <w:r>
              <w:rPr>
                <w:rFonts w:ascii="Arial" w:cs="Arial" w:eastAsia="Arial" w:hAnsi="Arial"/>
                <w:sz w:val="14"/>
                <w:szCs w:val="14"/>
                <w:b w:val="1"/>
                <w:bCs w:val="1"/>
                <w:color w:val="4800E6"/>
              </w:rPr>
              <w:t>Relative to FCF Target</w:t>
            </w:r>
          </w:p>
        </w:tc>
        <w:tc>
          <w:tcPr>
            <w:tcW w:w="4440" w:type="dxa"/>
            <w:vAlign w:val="bottom"/>
            <w:tcBorders>
              <w:bottom w:val="single" w:sz="8" w:color="4800E6"/>
            </w:tcBorders>
          </w:tcPr>
          <w:p>
            <w:pPr>
              <w:jc w:val="right"/>
              <w:spacing w:after="0"/>
              <w:rPr>
                <w:sz w:val="20"/>
                <w:szCs w:val="20"/>
                <w:color w:val="auto"/>
              </w:rPr>
            </w:pPr>
            <w:r>
              <w:rPr>
                <w:rFonts w:ascii="Arial" w:cs="Arial" w:eastAsia="Arial" w:hAnsi="Arial"/>
                <w:sz w:val="14"/>
                <w:szCs w:val="14"/>
                <w:b w:val="1"/>
                <w:bCs w:val="1"/>
                <w:color w:val="4800E6"/>
              </w:rPr>
              <w:t>for Objective</w:t>
            </w:r>
          </w:p>
        </w:tc>
      </w:tr>
      <w:tr>
        <w:trPr>
          <w:trHeight w:val="221"/>
        </w:trPr>
        <w:tc>
          <w:tcPr>
            <w:tcW w:w="4740" w:type="dxa"/>
            <w:vAlign w:val="bottom"/>
          </w:tcPr>
          <w:p>
            <w:pPr>
              <w:ind w:left="40"/>
              <w:spacing w:after="0"/>
              <w:rPr>
                <w:sz w:val="20"/>
                <w:szCs w:val="20"/>
                <w:color w:val="auto"/>
              </w:rPr>
            </w:pPr>
            <w:r>
              <w:rPr>
                <w:rFonts w:ascii="Arial" w:cs="Arial" w:eastAsia="Arial" w:hAnsi="Arial"/>
                <w:sz w:val="15"/>
                <w:szCs w:val="15"/>
                <w:color w:val="auto"/>
              </w:rPr>
              <w:t>≥150%</w:t>
            </w:r>
          </w:p>
        </w:tc>
        <w:tc>
          <w:tcPr>
            <w:tcW w:w="4440" w:type="dxa"/>
            <w:vAlign w:val="bottom"/>
          </w:tcPr>
          <w:p>
            <w:pPr>
              <w:jc w:val="right"/>
              <w:spacing w:after="0"/>
              <w:rPr>
                <w:sz w:val="20"/>
                <w:szCs w:val="20"/>
                <w:color w:val="auto"/>
              </w:rPr>
            </w:pPr>
            <w:r>
              <w:rPr>
                <w:rFonts w:ascii="Arial" w:cs="Arial" w:eastAsia="Arial" w:hAnsi="Arial"/>
                <w:sz w:val="15"/>
                <w:szCs w:val="15"/>
                <w:color w:val="auto"/>
              </w:rPr>
              <w:t>200%</w:t>
            </w:r>
          </w:p>
        </w:tc>
      </w:tr>
      <w:tr>
        <w:trPr>
          <w:trHeight w:val="22"/>
        </w:trPr>
        <w:tc>
          <w:tcPr>
            <w:tcW w:w="4740" w:type="dxa"/>
            <w:vAlign w:val="bottom"/>
          </w:tcPr>
          <w:p>
            <w:pPr>
              <w:spacing w:after="0" w:line="20" w:lineRule="exact"/>
              <w:rPr>
                <w:sz w:val="1"/>
                <w:szCs w:val="1"/>
                <w:color w:val="auto"/>
              </w:rPr>
            </w:pPr>
          </w:p>
        </w:tc>
        <w:tc>
          <w:tcPr>
            <w:tcW w:w="4440" w:type="dxa"/>
            <w:vAlign w:val="bottom"/>
          </w:tcPr>
          <w:p>
            <w:pPr>
              <w:spacing w:after="0" w:line="20" w:lineRule="exact"/>
              <w:rPr>
                <w:sz w:val="1"/>
                <w:szCs w:val="1"/>
                <w:color w:val="auto"/>
              </w:rPr>
            </w:pPr>
          </w:p>
        </w:tc>
      </w:tr>
      <w:tr>
        <w:trPr>
          <w:trHeight w:val="250"/>
        </w:trPr>
        <w:tc>
          <w:tcPr>
            <w:tcW w:w="4740" w:type="dxa"/>
            <w:vAlign w:val="bottom"/>
            <w:tcBorders>
              <w:bottom w:val="single" w:sz="8" w:color="EFE9FC"/>
            </w:tcBorders>
            <w:shd w:val="clear" w:color="auto" w:fill="EFE9FC"/>
          </w:tcPr>
          <w:p>
            <w:pPr>
              <w:ind w:left="40"/>
              <w:spacing w:after="0"/>
              <w:rPr>
                <w:sz w:val="20"/>
                <w:szCs w:val="20"/>
                <w:color w:val="auto"/>
              </w:rPr>
            </w:pPr>
            <w:r>
              <w:rPr>
                <w:rFonts w:ascii="Arial" w:cs="Arial" w:eastAsia="Arial" w:hAnsi="Arial"/>
                <w:sz w:val="15"/>
                <w:szCs w:val="15"/>
                <w:color w:val="auto"/>
              </w:rPr>
              <w:t>125%</w:t>
            </w:r>
          </w:p>
        </w:tc>
        <w:tc>
          <w:tcPr>
            <w:tcW w:w="4440" w:type="dxa"/>
            <w:vAlign w:val="bottom"/>
            <w:tcBorders>
              <w:bottom w:val="single" w:sz="8" w:color="EFE9FC"/>
            </w:tcBorders>
            <w:shd w:val="clear" w:color="auto" w:fill="EFE9FC"/>
          </w:tcPr>
          <w:p>
            <w:pPr>
              <w:jc w:val="right"/>
              <w:spacing w:after="0"/>
              <w:rPr>
                <w:sz w:val="20"/>
                <w:szCs w:val="20"/>
                <w:color w:val="auto"/>
              </w:rPr>
            </w:pPr>
            <w:r>
              <w:rPr>
                <w:rFonts w:ascii="Arial" w:cs="Arial" w:eastAsia="Arial" w:hAnsi="Arial"/>
                <w:sz w:val="15"/>
                <w:szCs w:val="15"/>
                <w:color w:val="auto"/>
              </w:rPr>
              <w:t>150%</w:t>
            </w:r>
          </w:p>
        </w:tc>
      </w:tr>
      <w:tr>
        <w:trPr>
          <w:trHeight w:val="221"/>
        </w:trPr>
        <w:tc>
          <w:tcPr>
            <w:tcW w:w="4740" w:type="dxa"/>
            <w:vAlign w:val="bottom"/>
          </w:tcPr>
          <w:p>
            <w:pPr>
              <w:ind w:left="40"/>
              <w:spacing w:after="0"/>
              <w:rPr>
                <w:sz w:val="20"/>
                <w:szCs w:val="20"/>
                <w:color w:val="auto"/>
              </w:rPr>
            </w:pPr>
            <w:r>
              <w:rPr>
                <w:rFonts w:ascii="Arial" w:cs="Arial" w:eastAsia="Arial" w:hAnsi="Arial"/>
                <w:sz w:val="15"/>
                <w:szCs w:val="15"/>
                <w:color w:val="auto"/>
              </w:rPr>
              <w:t>100%</w:t>
            </w:r>
          </w:p>
        </w:tc>
        <w:tc>
          <w:tcPr>
            <w:tcW w:w="4440" w:type="dxa"/>
            <w:vAlign w:val="bottom"/>
          </w:tcPr>
          <w:p>
            <w:pPr>
              <w:jc w:val="right"/>
              <w:spacing w:after="0"/>
              <w:rPr>
                <w:sz w:val="20"/>
                <w:szCs w:val="20"/>
                <w:color w:val="auto"/>
              </w:rPr>
            </w:pPr>
            <w:r>
              <w:rPr>
                <w:rFonts w:ascii="Arial" w:cs="Arial" w:eastAsia="Arial" w:hAnsi="Arial"/>
                <w:sz w:val="15"/>
                <w:szCs w:val="15"/>
                <w:color w:val="auto"/>
              </w:rPr>
              <w:t>100%</w:t>
            </w:r>
          </w:p>
        </w:tc>
      </w:tr>
      <w:tr>
        <w:trPr>
          <w:trHeight w:val="22"/>
        </w:trPr>
        <w:tc>
          <w:tcPr>
            <w:tcW w:w="4740" w:type="dxa"/>
            <w:vAlign w:val="bottom"/>
          </w:tcPr>
          <w:p>
            <w:pPr>
              <w:spacing w:after="0" w:line="20" w:lineRule="exact"/>
              <w:rPr>
                <w:sz w:val="1"/>
                <w:szCs w:val="1"/>
                <w:color w:val="auto"/>
              </w:rPr>
            </w:pPr>
          </w:p>
        </w:tc>
        <w:tc>
          <w:tcPr>
            <w:tcW w:w="4440" w:type="dxa"/>
            <w:vAlign w:val="bottom"/>
          </w:tcPr>
          <w:p>
            <w:pPr>
              <w:spacing w:after="0" w:line="20" w:lineRule="exact"/>
              <w:rPr>
                <w:sz w:val="1"/>
                <w:szCs w:val="1"/>
                <w:color w:val="auto"/>
              </w:rPr>
            </w:pPr>
          </w:p>
        </w:tc>
      </w:tr>
      <w:tr>
        <w:trPr>
          <w:trHeight w:val="250"/>
        </w:trPr>
        <w:tc>
          <w:tcPr>
            <w:tcW w:w="4740" w:type="dxa"/>
            <w:vAlign w:val="bottom"/>
            <w:tcBorders>
              <w:bottom w:val="single" w:sz="8" w:color="EFE9FC"/>
            </w:tcBorders>
            <w:shd w:val="clear" w:color="auto" w:fill="EFE9FC"/>
          </w:tcPr>
          <w:p>
            <w:pPr>
              <w:ind w:left="40"/>
              <w:spacing w:after="0"/>
              <w:rPr>
                <w:sz w:val="20"/>
                <w:szCs w:val="20"/>
                <w:color w:val="auto"/>
              </w:rPr>
            </w:pPr>
            <w:r>
              <w:rPr>
                <w:rFonts w:ascii="Arial" w:cs="Arial" w:eastAsia="Arial" w:hAnsi="Arial"/>
                <w:sz w:val="15"/>
                <w:szCs w:val="15"/>
                <w:color w:val="auto"/>
              </w:rPr>
              <w:t>60%</w:t>
            </w:r>
          </w:p>
        </w:tc>
        <w:tc>
          <w:tcPr>
            <w:tcW w:w="4440" w:type="dxa"/>
            <w:vAlign w:val="bottom"/>
            <w:tcBorders>
              <w:bottom w:val="single" w:sz="8" w:color="EFE9FC"/>
            </w:tcBorders>
            <w:shd w:val="clear" w:color="auto" w:fill="EFE9FC"/>
          </w:tcPr>
          <w:p>
            <w:pPr>
              <w:jc w:val="right"/>
              <w:spacing w:after="0"/>
              <w:rPr>
                <w:sz w:val="20"/>
                <w:szCs w:val="20"/>
                <w:color w:val="auto"/>
              </w:rPr>
            </w:pPr>
            <w:r>
              <w:rPr>
                <w:rFonts w:ascii="Arial" w:cs="Arial" w:eastAsia="Arial" w:hAnsi="Arial"/>
                <w:sz w:val="15"/>
                <w:szCs w:val="15"/>
                <w:color w:val="auto"/>
              </w:rPr>
              <w:t>20%</w:t>
            </w:r>
          </w:p>
        </w:tc>
      </w:tr>
      <w:tr>
        <w:trPr>
          <w:trHeight w:val="222"/>
        </w:trPr>
        <w:tc>
          <w:tcPr>
            <w:tcW w:w="4740" w:type="dxa"/>
            <w:vAlign w:val="bottom"/>
          </w:tcPr>
          <w:p>
            <w:pPr>
              <w:ind w:left="40"/>
              <w:spacing w:after="0"/>
              <w:rPr>
                <w:sz w:val="20"/>
                <w:szCs w:val="20"/>
                <w:color w:val="auto"/>
              </w:rPr>
            </w:pPr>
            <w:r>
              <w:rPr>
                <w:rFonts w:ascii="Arial" w:cs="Arial" w:eastAsia="Arial" w:hAnsi="Arial"/>
                <w:sz w:val="15"/>
                <w:szCs w:val="15"/>
                <w:color w:val="auto"/>
              </w:rPr>
              <w:t>&lt;60%</w:t>
            </w:r>
          </w:p>
        </w:tc>
        <w:tc>
          <w:tcPr>
            <w:tcW w:w="4440" w:type="dxa"/>
            <w:vAlign w:val="bottom"/>
          </w:tcPr>
          <w:p>
            <w:pPr>
              <w:jc w:val="right"/>
              <w:spacing w:after="0"/>
              <w:rPr>
                <w:sz w:val="20"/>
                <w:szCs w:val="20"/>
                <w:color w:val="auto"/>
              </w:rPr>
            </w:pPr>
            <w:r>
              <w:rPr>
                <w:rFonts w:ascii="Arial" w:cs="Arial" w:eastAsia="Arial" w:hAnsi="Arial"/>
                <w:sz w:val="15"/>
                <w:szCs w:val="15"/>
                <w:color w:val="auto"/>
              </w:rPr>
              <w:t>0%</w:t>
            </w:r>
          </w:p>
        </w:tc>
      </w:tr>
      <w:tr>
        <w:trPr>
          <w:trHeight w:val="22"/>
        </w:trPr>
        <w:tc>
          <w:tcPr>
            <w:tcW w:w="4740" w:type="dxa"/>
            <w:vAlign w:val="bottom"/>
            <w:tcBorders>
              <w:bottom w:val="single" w:sz="8" w:color="4800E6"/>
            </w:tcBorders>
          </w:tcPr>
          <w:p>
            <w:pPr>
              <w:spacing w:after="0" w:line="20" w:lineRule="exact"/>
              <w:rPr>
                <w:sz w:val="1"/>
                <w:szCs w:val="1"/>
                <w:color w:val="auto"/>
              </w:rPr>
            </w:pPr>
          </w:p>
        </w:tc>
        <w:tc>
          <w:tcPr>
            <w:tcW w:w="4440" w:type="dxa"/>
            <w:vAlign w:val="bottom"/>
            <w:tcBorders>
              <w:bottom w:val="single" w:sz="8" w:color="4800E6"/>
            </w:tcBorders>
          </w:tcPr>
          <w:p>
            <w:pPr>
              <w:spacing w:after="0" w:line="20" w:lineRule="exact"/>
              <w:rPr>
                <w:sz w:val="1"/>
                <w:szCs w:val="1"/>
                <w:color w:val="auto"/>
              </w:rPr>
            </w:pPr>
          </w:p>
        </w:tc>
      </w:tr>
    </w:tbl>
    <w:p>
      <w:pPr>
        <w:spacing w:after="0" w:line="246" w:lineRule="exact"/>
        <w:rPr>
          <w:sz w:val="20"/>
          <w:szCs w:val="20"/>
          <w:color w:val="auto"/>
        </w:rPr>
      </w:pPr>
    </w:p>
    <w:p>
      <w:pPr>
        <w:ind w:left="760"/>
        <w:spacing w:after="0"/>
        <w:rPr>
          <w:sz w:val="20"/>
          <w:szCs w:val="20"/>
          <w:color w:val="auto"/>
        </w:rPr>
      </w:pPr>
      <w:r>
        <w:rPr>
          <w:rFonts w:ascii="Arial" w:cs="Arial" w:eastAsia="Arial" w:hAnsi="Arial"/>
          <w:sz w:val="23"/>
          <w:szCs w:val="23"/>
          <w:b w:val="1"/>
          <w:bCs w:val="1"/>
          <w:color w:val="auto"/>
        </w:rPr>
        <w:t>Other Benefits and Perquisites</w:t>
      </w:r>
    </w:p>
    <w:p>
      <w:pPr>
        <w:spacing w:after="0" w:line="139" w:lineRule="exact"/>
        <w:rPr>
          <w:sz w:val="20"/>
          <w:szCs w:val="20"/>
          <w:color w:val="auto"/>
        </w:rPr>
      </w:pPr>
    </w:p>
    <w:p>
      <w:pPr>
        <w:ind w:left="760"/>
        <w:spacing w:after="0"/>
        <w:rPr>
          <w:sz w:val="20"/>
          <w:szCs w:val="20"/>
          <w:color w:val="auto"/>
        </w:rPr>
      </w:pPr>
      <w:r>
        <w:rPr>
          <w:rFonts w:ascii="Arial" w:cs="Arial" w:eastAsia="Arial" w:hAnsi="Arial"/>
          <w:sz w:val="16"/>
          <w:szCs w:val="16"/>
          <w:color w:val="auto"/>
        </w:rPr>
        <w:t>The Compensation Committee did not make any changes to the benefits and perquisites provided to the NEOs in 2019.</w:t>
      </w:r>
    </w:p>
    <w:p>
      <w:pPr>
        <w:sectPr>
          <w:pgSz w:w="11900" w:h="16838" w:orient="portrait"/>
          <w:cols w:equalWidth="0" w:num="1">
            <w:col w:w="10180"/>
          </w:cols>
          <w:pgMar w:left="320" w:top="132" w:right="139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ind w:left="4340"/>
        <w:spacing w:after="0"/>
        <w:tabs>
          <w:tab w:leader="none" w:pos="10000" w:val="left"/>
        </w:tabs>
        <w:rPr>
          <w:sz w:val="20"/>
          <w:szCs w:val="20"/>
          <w:color w:val="auto"/>
        </w:rPr>
      </w:pPr>
      <w:r>
        <w:rPr>
          <w:rFonts w:ascii="Arial" w:cs="Arial" w:eastAsia="Arial" w:hAnsi="Arial"/>
          <w:sz w:val="13"/>
          <w:szCs w:val="13"/>
          <w:b w:val="1"/>
          <w:bCs w:val="1"/>
          <w:color w:val="4800E6"/>
        </w:rPr>
        <w:t xml:space="preserve">LIVANOVA </w:t>
      </w:r>
      <w:r>
        <w:rPr>
          <w:rFonts w:ascii="Arial" w:cs="Arial" w:eastAsia="Arial" w:hAnsi="Arial"/>
          <w:sz w:val="13"/>
          <w:szCs w:val="13"/>
          <w:color w:val="000000"/>
        </w:rPr>
        <w:t>|</w:t>
      </w:r>
      <w:r>
        <w:rPr>
          <w:rFonts w:ascii="Arial" w:cs="Arial" w:eastAsia="Arial" w:hAnsi="Arial"/>
          <w:sz w:val="13"/>
          <w:szCs w:val="13"/>
          <w:b w:val="1"/>
          <w:bCs w:val="1"/>
          <w:color w:val="4800E6"/>
        </w:rPr>
        <w:t xml:space="preserve"> </w:t>
      </w:r>
      <w:r>
        <w:rPr>
          <w:rFonts w:ascii="Arial" w:cs="Arial" w:eastAsia="Arial" w:hAnsi="Arial"/>
          <w:sz w:val="13"/>
          <w:szCs w:val="13"/>
          <w:color w:val="4800E6"/>
        </w:rPr>
        <w:t>2020</w:t>
      </w:r>
      <w:r>
        <w:rPr>
          <w:rFonts w:ascii="Arial" w:cs="Arial" w:eastAsia="Arial" w:hAnsi="Arial"/>
          <w:sz w:val="13"/>
          <w:szCs w:val="13"/>
          <w:b w:val="1"/>
          <w:bCs w:val="1"/>
          <w:color w:val="4800E6"/>
        </w:rPr>
        <w:t xml:space="preserve"> </w:t>
      </w:r>
      <w:r>
        <w:rPr>
          <w:rFonts w:ascii="Arial" w:cs="Arial" w:eastAsia="Arial" w:hAnsi="Arial"/>
          <w:sz w:val="13"/>
          <w:szCs w:val="13"/>
          <w:color w:val="000000"/>
        </w:rPr>
        <w:t>Proxy Statement</w:t>
      </w:r>
      <w:r>
        <w:rPr>
          <w:sz w:val="20"/>
          <w:szCs w:val="20"/>
          <w:color w:val="auto"/>
        </w:rPr>
        <w:tab/>
      </w:r>
      <w:r>
        <w:rPr>
          <w:rFonts w:ascii="Arial" w:cs="Arial" w:eastAsia="Arial" w:hAnsi="Arial"/>
          <w:sz w:val="21"/>
          <w:szCs w:val="21"/>
          <w:b w:val="1"/>
          <w:bCs w:val="1"/>
          <w:color w:val="auto"/>
          <w:vertAlign w:val="subscript"/>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519430</wp:posOffset>
            </wp:positionH>
            <wp:positionV relativeFrom="paragraph">
              <wp:posOffset>47625</wp:posOffset>
            </wp:positionV>
            <wp:extent cx="1954530" cy="8890"/>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1954530" cy="8890"/>
                    </a:xfrm>
                    <a:prstGeom prst="rect">
                      <a:avLst/>
                    </a:prstGeom>
                    <a:noFill/>
                  </pic:spPr>
                </pic:pic>
              </a:graphicData>
            </a:graphic>
          </wp:anchor>
        </w:drawing>
        <w:drawing>
          <wp:anchor simplePos="0" relativeHeight="251657728" behindDoc="1" locked="0" layoutInCell="0" allowOverlap="1">
            <wp:simplePos x="0" y="0"/>
            <wp:positionH relativeFrom="column">
              <wp:posOffset>4257040</wp:posOffset>
            </wp:positionH>
            <wp:positionV relativeFrom="paragraph">
              <wp:posOffset>47625</wp:posOffset>
            </wp:positionV>
            <wp:extent cx="1954530" cy="8890"/>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195453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184785</wp:posOffset>
            </wp:positionV>
            <wp:extent cx="6806565" cy="17145"/>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10180"/>
          </w:cols>
          <w:pgMar w:left="320" w:top="132" w:right="1399" w:bottom="1440" w:gutter="0" w:footer="0" w:header="0"/>
          <w:type w:val="continuous"/>
        </w:sectPr>
      </w:pPr>
    </w:p>
    <w:bookmarkStart w:id="42" w:name="page43"/>
    <w:bookmarkEnd w:id="42"/>
    <w:p>
      <w:pPr>
        <w:spacing w:after="0"/>
        <w:rPr>
          <w:rFonts w:ascii="Arial" w:cs="Arial" w:eastAsia="Arial" w:hAnsi="Arial"/>
          <w:sz w:val="14"/>
          <w:szCs w:val="14"/>
          <w:color w:val="003366"/>
        </w:rPr>
      </w:pPr>
      <w:hyperlink w:anchor="page5">
        <w:r>
          <w:rPr>
            <w:rFonts w:ascii="Arial" w:cs="Arial" w:eastAsia="Arial" w:hAnsi="Arial"/>
            <w:sz w:val="14"/>
            <w:szCs w:val="14"/>
            <w:color w:val="003366"/>
          </w:rPr>
          <w:t>TABLE OF CONTENTS</w:t>
        </w:r>
      </w:hyperlink>
    </w:p>
    <w:p>
      <w:pPr>
        <w:spacing w:after="0" w:line="338" w:lineRule="exact"/>
        <w:rPr>
          <w:sz w:val="20"/>
          <w:szCs w:val="20"/>
          <w:color w:val="auto"/>
        </w:rPr>
      </w:pPr>
    </w:p>
    <w:p>
      <w:pPr>
        <w:ind w:left="760"/>
        <w:spacing w:after="0"/>
        <w:rPr>
          <w:sz w:val="20"/>
          <w:szCs w:val="20"/>
          <w:color w:val="auto"/>
        </w:rPr>
      </w:pPr>
      <w:r>
        <w:rPr>
          <w:rFonts w:ascii="Arial" w:cs="Arial" w:eastAsia="Arial" w:hAnsi="Arial"/>
          <w:sz w:val="13"/>
          <w:szCs w:val="13"/>
          <w:b w:val="1"/>
          <w:bCs w:val="1"/>
          <w:color w:val="auto"/>
        </w:rPr>
        <w:t xml:space="preserve">Executive </w:t>
      </w:r>
      <w:r>
        <w:rPr>
          <w:rFonts w:ascii="Arial" w:cs="Arial" w:eastAsia="Arial" w:hAnsi="Arial"/>
          <w:sz w:val="13"/>
          <w:szCs w:val="13"/>
          <w:b w:val="1"/>
          <w:bCs w:val="1"/>
          <w:color w:val="666666"/>
        </w:rPr>
        <w:t>Compensation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485140</wp:posOffset>
            </wp:positionH>
            <wp:positionV relativeFrom="paragraph">
              <wp:posOffset>30480</wp:posOffset>
            </wp:positionV>
            <wp:extent cx="5829300" cy="8255"/>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5829300" cy="8255"/>
                    </a:xfrm>
                    <a:prstGeom prst="rect">
                      <a:avLst/>
                    </a:prstGeom>
                    <a:noFill/>
                  </pic:spPr>
                </pic:pic>
              </a:graphicData>
            </a:graphic>
          </wp:anchor>
        </w:drawing>
      </w:r>
    </w:p>
    <w:p>
      <w:pPr>
        <w:spacing w:after="0" w:line="60" w:lineRule="exact"/>
        <w:rPr>
          <w:sz w:val="20"/>
          <w:szCs w:val="20"/>
          <w:color w:val="auto"/>
        </w:rPr>
      </w:pPr>
    </w:p>
    <w:p>
      <w:pPr>
        <w:ind w:left="760"/>
        <w:spacing w:after="0"/>
        <w:rPr>
          <w:sz w:val="20"/>
          <w:szCs w:val="20"/>
          <w:color w:val="auto"/>
        </w:rPr>
      </w:pPr>
      <w:r>
        <w:rPr>
          <w:rFonts w:ascii="Arial" w:cs="Arial" w:eastAsia="Arial" w:hAnsi="Arial"/>
          <w:sz w:val="13"/>
          <w:szCs w:val="13"/>
          <w:b w:val="1"/>
          <w:bCs w:val="1"/>
          <w:color w:val="4800E6"/>
        </w:rPr>
        <w:t>Compensation of Executive Officers and Directors</w:t>
      </w:r>
    </w:p>
    <w:p>
      <w:pPr>
        <w:spacing w:after="0" w:line="200" w:lineRule="exact"/>
        <w:rPr>
          <w:sz w:val="20"/>
          <w:szCs w:val="20"/>
          <w:color w:val="auto"/>
        </w:rPr>
      </w:pPr>
    </w:p>
    <w:p>
      <w:pPr>
        <w:spacing w:after="0" w:line="387" w:lineRule="exact"/>
        <w:rPr>
          <w:sz w:val="20"/>
          <w:szCs w:val="20"/>
          <w:color w:val="auto"/>
        </w:rPr>
      </w:pPr>
    </w:p>
    <w:p>
      <w:pPr>
        <w:ind w:left="760"/>
        <w:spacing w:after="0"/>
        <w:rPr>
          <w:sz w:val="20"/>
          <w:szCs w:val="20"/>
          <w:color w:val="auto"/>
        </w:rPr>
      </w:pPr>
      <w:r>
        <w:rPr>
          <w:rFonts w:ascii="Arial" w:cs="Arial" w:eastAsia="Arial" w:hAnsi="Arial"/>
          <w:sz w:val="31"/>
          <w:szCs w:val="31"/>
          <w:b w:val="1"/>
          <w:bCs w:val="1"/>
          <w:color w:val="4800E6"/>
        </w:rPr>
        <w:t>Compensation of Executive Officers and Directors</w:t>
      </w:r>
    </w:p>
    <w:p>
      <w:pPr>
        <w:spacing w:after="0" w:line="323" w:lineRule="exact"/>
        <w:rPr>
          <w:sz w:val="20"/>
          <w:szCs w:val="20"/>
          <w:color w:val="auto"/>
        </w:rPr>
      </w:pPr>
    </w:p>
    <w:p>
      <w:pPr>
        <w:ind w:left="760"/>
        <w:spacing w:after="0"/>
        <w:rPr>
          <w:sz w:val="20"/>
          <w:szCs w:val="20"/>
          <w:color w:val="auto"/>
        </w:rPr>
      </w:pPr>
      <w:r>
        <w:rPr>
          <w:rFonts w:ascii="Arial" w:cs="Arial" w:eastAsia="Arial" w:hAnsi="Arial"/>
          <w:sz w:val="23"/>
          <w:szCs w:val="23"/>
          <w:b w:val="1"/>
          <w:bCs w:val="1"/>
          <w:color w:val="auto"/>
        </w:rPr>
        <w:t>Compensation Tables</w:t>
      </w:r>
    </w:p>
    <w:p>
      <w:pPr>
        <w:spacing w:after="0" w:line="204" w:lineRule="exact"/>
        <w:rPr>
          <w:sz w:val="20"/>
          <w:szCs w:val="20"/>
          <w:color w:val="auto"/>
        </w:rPr>
      </w:pPr>
    </w:p>
    <w:p>
      <w:pPr>
        <w:ind w:left="760"/>
        <w:spacing w:after="0"/>
        <w:rPr>
          <w:sz w:val="20"/>
          <w:szCs w:val="20"/>
          <w:color w:val="auto"/>
        </w:rPr>
      </w:pPr>
      <w:r>
        <w:rPr>
          <w:rFonts w:ascii="Arial" w:cs="Arial" w:eastAsia="Arial" w:hAnsi="Arial"/>
          <w:sz w:val="20"/>
          <w:szCs w:val="20"/>
          <w:b w:val="1"/>
          <w:bCs w:val="1"/>
          <w:color w:val="FF4C4C"/>
        </w:rPr>
        <w:t>2019 Summary Compensation Table</w:t>
      </w:r>
    </w:p>
    <w:p>
      <w:pPr>
        <w:spacing w:after="0" w:line="124" w:lineRule="exact"/>
        <w:rPr>
          <w:sz w:val="20"/>
          <w:szCs w:val="20"/>
          <w:color w:val="auto"/>
        </w:rPr>
      </w:pPr>
    </w:p>
    <w:p>
      <w:pPr>
        <w:ind w:left="760" w:right="799"/>
        <w:spacing w:after="0" w:line="260" w:lineRule="auto"/>
        <w:rPr>
          <w:sz w:val="20"/>
          <w:szCs w:val="20"/>
          <w:color w:val="auto"/>
        </w:rPr>
      </w:pPr>
      <w:r>
        <w:rPr>
          <w:rFonts w:ascii="Arial" w:cs="Arial" w:eastAsia="Arial" w:hAnsi="Arial"/>
          <w:sz w:val="16"/>
          <w:szCs w:val="16"/>
          <w:color w:val="auto"/>
        </w:rPr>
        <w:t>The following table contains information about the compensation earned by each of our NEOs during each of the last three financial years unless such individual was an NEO for fewer than three years.</w:t>
      </w:r>
    </w:p>
    <w:p>
      <w:pPr>
        <w:spacing w:after="0" w:line="86" w:lineRule="exact"/>
        <w:rPr>
          <w:sz w:val="20"/>
          <w:szCs w:val="20"/>
          <w:color w:val="auto"/>
        </w:rPr>
      </w:pPr>
    </w:p>
    <w:tbl>
      <w:tblPr>
        <w:tblLayout w:type="fixed"/>
        <w:tblInd w:w="760" w:type="dxa"/>
        <w:tblCellMar>
          <w:top w:w="0" w:type="dxa"/>
          <w:left w:w="0" w:type="dxa"/>
          <w:bottom w:w="0" w:type="dxa"/>
          <w:right w:w="0" w:type="dxa"/>
        </w:tblCellMar>
      </w:tblPr>
      <w:tr>
        <w:trPr>
          <w:trHeight w:val="162"/>
        </w:trPr>
        <w:tc>
          <w:tcPr>
            <w:tcW w:w="31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180" w:type="dxa"/>
            <w:vAlign w:val="bottom"/>
          </w:tcPr>
          <w:p>
            <w:pPr>
              <w:jc w:val="right"/>
              <w:ind w:right="46"/>
              <w:spacing w:after="0"/>
              <w:rPr>
                <w:sz w:val="20"/>
                <w:szCs w:val="20"/>
                <w:color w:val="auto"/>
              </w:rPr>
            </w:pPr>
            <w:r>
              <w:rPr>
                <w:rFonts w:ascii="Arial" w:cs="Arial" w:eastAsia="Arial" w:hAnsi="Arial"/>
                <w:sz w:val="14"/>
                <w:szCs w:val="14"/>
                <w:b w:val="1"/>
                <w:bCs w:val="1"/>
                <w:color w:val="4800E6"/>
              </w:rPr>
              <w:t>Non-Equity</w:t>
            </w:r>
          </w:p>
        </w:tc>
        <w:tc>
          <w:tcPr>
            <w:tcW w:w="12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31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840" w:type="dxa"/>
            <w:vAlign w:val="bottom"/>
          </w:tcPr>
          <w:p>
            <w:pPr>
              <w:jc w:val="right"/>
              <w:ind w:right="44"/>
              <w:spacing w:after="0"/>
              <w:rPr>
                <w:sz w:val="20"/>
                <w:szCs w:val="20"/>
                <w:color w:val="auto"/>
              </w:rPr>
            </w:pPr>
            <w:r>
              <w:rPr>
                <w:rFonts w:ascii="Arial" w:cs="Arial" w:eastAsia="Arial" w:hAnsi="Arial"/>
                <w:sz w:val="14"/>
                <w:szCs w:val="14"/>
                <w:b w:val="1"/>
                <w:bCs w:val="1"/>
                <w:color w:val="4800E6"/>
              </w:rPr>
              <w:t>Stock</w:t>
            </w:r>
          </w:p>
        </w:tc>
        <w:tc>
          <w:tcPr>
            <w:tcW w:w="840" w:type="dxa"/>
            <w:vAlign w:val="bottom"/>
          </w:tcPr>
          <w:p>
            <w:pPr>
              <w:jc w:val="right"/>
              <w:ind w:right="44"/>
              <w:spacing w:after="0"/>
              <w:rPr>
                <w:sz w:val="20"/>
                <w:szCs w:val="20"/>
                <w:color w:val="auto"/>
              </w:rPr>
            </w:pPr>
            <w:r>
              <w:rPr>
                <w:rFonts w:ascii="Arial" w:cs="Arial" w:eastAsia="Arial" w:hAnsi="Arial"/>
                <w:sz w:val="14"/>
                <w:szCs w:val="14"/>
                <w:b w:val="1"/>
                <w:bCs w:val="1"/>
                <w:color w:val="4800E6"/>
              </w:rPr>
              <w:t>Option</w:t>
            </w:r>
          </w:p>
        </w:tc>
        <w:tc>
          <w:tcPr>
            <w:tcW w:w="1180" w:type="dxa"/>
            <w:vAlign w:val="bottom"/>
          </w:tcPr>
          <w:p>
            <w:pPr>
              <w:jc w:val="right"/>
              <w:ind w:right="46"/>
              <w:spacing w:after="0"/>
              <w:rPr>
                <w:sz w:val="20"/>
                <w:szCs w:val="20"/>
                <w:color w:val="auto"/>
              </w:rPr>
            </w:pPr>
            <w:r>
              <w:rPr>
                <w:rFonts w:ascii="Arial" w:cs="Arial" w:eastAsia="Arial" w:hAnsi="Arial"/>
                <w:sz w:val="14"/>
                <w:szCs w:val="14"/>
                <w:b w:val="1"/>
                <w:bCs w:val="1"/>
                <w:color w:val="4800E6"/>
              </w:rPr>
              <w:t>Incentive Plan</w:t>
            </w:r>
          </w:p>
        </w:tc>
        <w:tc>
          <w:tcPr>
            <w:tcW w:w="1200" w:type="dxa"/>
            <w:vAlign w:val="bottom"/>
          </w:tcPr>
          <w:p>
            <w:pPr>
              <w:jc w:val="right"/>
              <w:ind w:right="66"/>
              <w:spacing w:after="0"/>
              <w:rPr>
                <w:sz w:val="20"/>
                <w:szCs w:val="20"/>
                <w:color w:val="auto"/>
              </w:rPr>
            </w:pPr>
            <w:r>
              <w:rPr>
                <w:rFonts w:ascii="Arial" w:cs="Arial" w:eastAsia="Arial" w:hAnsi="Arial"/>
                <w:sz w:val="14"/>
                <w:szCs w:val="14"/>
                <w:b w:val="1"/>
                <w:bCs w:val="1"/>
                <w:color w:val="4800E6"/>
              </w:rPr>
              <w:t>All Other</w:t>
            </w:r>
          </w:p>
        </w:tc>
        <w:tc>
          <w:tcPr>
            <w:tcW w:w="8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8"/>
        </w:trPr>
        <w:tc>
          <w:tcPr>
            <w:tcW w:w="310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700" w:type="dxa"/>
            <w:vAlign w:val="bottom"/>
          </w:tcPr>
          <w:p>
            <w:pPr>
              <w:jc w:val="right"/>
              <w:ind w:right="44"/>
              <w:spacing w:after="0" w:line="159" w:lineRule="exact"/>
              <w:rPr>
                <w:sz w:val="20"/>
                <w:szCs w:val="20"/>
                <w:color w:val="auto"/>
              </w:rPr>
            </w:pPr>
            <w:r>
              <w:rPr>
                <w:rFonts w:ascii="Arial" w:cs="Arial" w:eastAsia="Arial" w:hAnsi="Arial"/>
                <w:sz w:val="14"/>
                <w:szCs w:val="14"/>
                <w:b w:val="1"/>
                <w:bCs w:val="1"/>
                <w:color w:val="4800E6"/>
              </w:rPr>
              <w:t>Salary</w:t>
            </w:r>
          </w:p>
        </w:tc>
        <w:tc>
          <w:tcPr>
            <w:tcW w:w="840" w:type="dxa"/>
            <w:vAlign w:val="bottom"/>
          </w:tcPr>
          <w:p>
            <w:pPr>
              <w:jc w:val="right"/>
              <w:ind w:right="44"/>
              <w:spacing w:after="0" w:line="159" w:lineRule="exact"/>
              <w:rPr>
                <w:sz w:val="20"/>
                <w:szCs w:val="20"/>
                <w:color w:val="auto"/>
              </w:rPr>
            </w:pPr>
            <w:r>
              <w:rPr>
                <w:rFonts w:ascii="Arial" w:cs="Arial" w:eastAsia="Arial" w:hAnsi="Arial"/>
                <w:sz w:val="14"/>
                <w:szCs w:val="14"/>
                <w:b w:val="1"/>
                <w:bCs w:val="1"/>
                <w:color w:val="4800E6"/>
              </w:rPr>
              <w:t>Awards</w:t>
            </w:r>
          </w:p>
        </w:tc>
        <w:tc>
          <w:tcPr>
            <w:tcW w:w="840" w:type="dxa"/>
            <w:vAlign w:val="bottom"/>
          </w:tcPr>
          <w:p>
            <w:pPr>
              <w:jc w:val="right"/>
              <w:ind w:right="44"/>
              <w:spacing w:after="0" w:line="159" w:lineRule="exact"/>
              <w:rPr>
                <w:sz w:val="20"/>
                <w:szCs w:val="20"/>
                <w:color w:val="auto"/>
              </w:rPr>
            </w:pPr>
            <w:r>
              <w:rPr>
                <w:rFonts w:ascii="Arial" w:cs="Arial" w:eastAsia="Arial" w:hAnsi="Arial"/>
                <w:sz w:val="14"/>
                <w:szCs w:val="14"/>
                <w:b w:val="1"/>
                <w:bCs w:val="1"/>
                <w:color w:val="4800E6"/>
              </w:rPr>
              <w:t>Awards</w:t>
            </w:r>
          </w:p>
        </w:tc>
        <w:tc>
          <w:tcPr>
            <w:tcW w:w="1180" w:type="dxa"/>
            <w:vAlign w:val="bottom"/>
          </w:tcPr>
          <w:p>
            <w:pPr>
              <w:jc w:val="right"/>
              <w:ind w:right="46"/>
              <w:spacing w:after="0" w:line="159" w:lineRule="exact"/>
              <w:rPr>
                <w:sz w:val="20"/>
                <w:szCs w:val="20"/>
                <w:color w:val="auto"/>
              </w:rPr>
            </w:pPr>
            <w:r>
              <w:rPr>
                <w:rFonts w:ascii="Arial" w:cs="Arial" w:eastAsia="Arial" w:hAnsi="Arial"/>
                <w:sz w:val="14"/>
                <w:szCs w:val="14"/>
                <w:b w:val="1"/>
                <w:bCs w:val="1"/>
                <w:color w:val="4800E6"/>
              </w:rPr>
              <w:t>Compensation</w:t>
            </w:r>
          </w:p>
        </w:tc>
        <w:tc>
          <w:tcPr>
            <w:tcW w:w="1200" w:type="dxa"/>
            <w:vAlign w:val="bottom"/>
          </w:tcPr>
          <w:p>
            <w:pPr>
              <w:jc w:val="right"/>
              <w:ind w:right="66"/>
              <w:spacing w:after="0" w:line="159" w:lineRule="exact"/>
              <w:rPr>
                <w:sz w:val="20"/>
                <w:szCs w:val="20"/>
                <w:color w:val="auto"/>
              </w:rPr>
            </w:pPr>
            <w:r>
              <w:rPr>
                <w:rFonts w:ascii="Arial" w:cs="Arial" w:eastAsia="Arial" w:hAnsi="Arial"/>
                <w:sz w:val="14"/>
                <w:szCs w:val="14"/>
                <w:b w:val="1"/>
                <w:bCs w:val="1"/>
                <w:color w:val="4800E6"/>
              </w:rPr>
              <w:t>Compensation</w:t>
            </w:r>
          </w:p>
        </w:tc>
        <w:tc>
          <w:tcPr>
            <w:tcW w:w="820" w:type="dxa"/>
            <w:vAlign w:val="bottom"/>
          </w:tcPr>
          <w:p>
            <w:pPr>
              <w:jc w:val="right"/>
              <w:ind w:right="24"/>
              <w:spacing w:after="0" w:line="159" w:lineRule="exact"/>
              <w:rPr>
                <w:sz w:val="20"/>
                <w:szCs w:val="20"/>
                <w:color w:val="auto"/>
              </w:rPr>
            </w:pPr>
            <w:r>
              <w:rPr>
                <w:rFonts w:ascii="Arial" w:cs="Arial" w:eastAsia="Arial" w:hAnsi="Arial"/>
                <w:sz w:val="14"/>
                <w:szCs w:val="14"/>
                <w:b w:val="1"/>
                <w:bCs w:val="1"/>
                <w:color w:val="4800E6"/>
              </w:rPr>
              <w:t>Total</w:t>
            </w:r>
          </w:p>
        </w:tc>
        <w:tc>
          <w:tcPr>
            <w:tcW w:w="0" w:type="dxa"/>
            <w:vAlign w:val="bottom"/>
          </w:tcPr>
          <w:p>
            <w:pPr>
              <w:spacing w:after="0"/>
              <w:rPr>
                <w:sz w:val="1"/>
                <w:szCs w:val="1"/>
                <w:color w:val="auto"/>
              </w:rPr>
            </w:pPr>
          </w:p>
        </w:tc>
      </w:tr>
      <w:tr>
        <w:trPr>
          <w:trHeight w:val="233"/>
        </w:trPr>
        <w:tc>
          <w:tcPr>
            <w:tcW w:w="3100" w:type="dxa"/>
            <w:vAlign w:val="bottom"/>
            <w:tcBorders>
              <w:bottom w:val="single" w:sz="8" w:color="4800E6"/>
            </w:tcBorders>
          </w:tcPr>
          <w:p>
            <w:pPr>
              <w:ind w:left="40"/>
              <w:spacing w:after="0"/>
              <w:rPr>
                <w:sz w:val="20"/>
                <w:szCs w:val="20"/>
                <w:color w:val="auto"/>
              </w:rPr>
            </w:pPr>
            <w:r>
              <w:rPr>
                <w:rFonts w:ascii="Arial" w:cs="Arial" w:eastAsia="Arial" w:hAnsi="Arial"/>
                <w:sz w:val="14"/>
                <w:szCs w:val="14"/>
                <w:b w:val="1"/>
                <w:bCs w:val="1"/>
                <w:color w:val="4800E6"/>
              </w:rPr>
              <w:t>Name and Principal Position</w:t>
            </w:r>
          </w:p>
        </w:tc>
        <w:tc>
          <w:tcPr>
            <w:tcW w:w="500" w:type="dxa"/>
            <w:vAlign w:val="bottom"/>
            <w:tcBorders>
              <w:bottom w:val="single" w:sz="8" w:color="4800E6"/>
            </w:tcBorders>
          </w:tcPr>
          <w:p>
            <w:pPr>
              <w:jc w:val="center"/>
              <w:spacing w:after="0"/>
              <w:rPr>
                <w:sz w:val="20"/>
                <w:szCs w:val="20"/>
                <w:color w:val="auto"/>
              </w:rPr>
            </w:pPr>
            <w:r>
              <w:rPr>
                <w:rFonts w:ascii="Arial" w:cs="Arial" w:eastAsia="Arial" w:hAnsi="Arial"/>
                <w:sz w:val="14"/>
                <w:szCs w:val="14"/>
                <w:b w:val="1"/>
                <w:bCs w:val="1"/>
                <w:color w:val="4800E6"/>
                <w:w w:val="98"/>
              </w:rPr>
              <w:t>Year</w:t>
            </w:r>
          </w:p>
        </w:tc>
        <w:tc>
          <w:tcPr>
            <w:tcW w:w="700" w:type="dxa"/>
            <w:vAlign w:val="bottom"/>
            <w:tcBorders>
              <w:bottom w:val="single" w:sz="8" w:color="4800E6"/>
            </w:tcBorders>
          </w:tcPr>
          <w:p>
            <w:pPr>
              <w:jc w:val="right"/>
              <w:ind w:right="4"/>
              <w:spacing w:after="0" w:line="233" w:lineRule="exact"/>
              <w:rPr>
                <w:sz w:val="20"/>
                <w:szCs w:val="20"/>
                <w:color w:val="auto"/>
              </w:rPr>
            </w:pPr>
            <w:r>
              <w:rPr>
                <w:rFonts w:ascii="Arial" w:cs="Arial" w:eastAsia="Arial" w:hAnsi="Arial"/>
                <w:sz w:val="14"/>
                <w:szCs w:val="14"/>
                <w:b w:val="1"/>
                <w:bCs w:val="1"/>
                <w:color w:val="4800E6"/>
              </w:rPr>
              <w:t>($)</w:t>
            </w:r>
            <w:r>
              <w:rPr>
                <w:rFonts w:ascii="Arial" w:cs="Arial" w:eastAsia="Arial" w:hAnsi="Arial"/>
                <w:sz w:val="21"/>
                <w:szCs w:val="21"/>
                <w:b w:val="1"/>
                <w:bCs w:val="1"/>
                <w:color w:val="4800E6"/>
                <w:vertAlign w:val="superscript"/>
              </w:rPr>
              <w:t>(1)</w:t>
            </w:r>
          </w:p>
        </w:tc>
        <w:tc>
          <w:tcPr>
            <w:tcW w:w="840" w:type="dxa"/>
            <w:vAlign w:val="bottom"/>
            <w:tcBorders>
              <w:bottom w:val="single" w:sz="8" w:color="4800E6"/>
            </w:tcBorders>
          </w:tcPr>
          <w:p>
            <w:pPr>
              <w:jc w:val="right"/>
              <w:ind w:right="4"/>
              <w:spacing w:after="0" w:line="233" w:lineRule="exact"/>
              <w:rPr>
                <w:sz w:val="20"/>
                <w:szCs w:val="20"/>
                <w:color w:val="auto"/>
              </w:rPr>
            </w:pPr>
            <w:r>
              <w:rPr>
                <w:rFonts w:ascii="Arial" w:cs="Arial" w:eastAsia="Arial" w:hAnsi="Arial"/>
                <w:sz w:val="14"/>
                <w:szCs w:val="14"/>
                <w:b w:val="1"/>
                <w:bCs w:val="1"/>
                <w:color w:val="4800E6"/>
              </w:rPr>
              <w:t>($)</w:t>
            </w:r>
            <w:r>
              <w:rPr>
                <w:rFonts w:ascii="Arial" w:cs="Arial" w:eastAsia="Arial" w:hAnsi="Arial"/>
                <w:sz w:val="21"/>
                <w:szCs w:val="21"/>
                <w:b w:val="1"/>
                <w:bCs w:val="1"/>
                <w:color w:val="4800E6"/>
                <w:vertAlign w:val="superscript"/>
              </w:rPr>
              <w:t>(2)</w:t>
            </w:r>
          </w:p>
        </w:tc>
        <w:tc>
          <w:tcPr>
            <w:tcW w:w="840" w:type="dxa"/>
            <w:vAlign w:val="bottom"/>
            <w:tcBorders>
              <w:bottom w:val="single" w:sz="8" w:color="4800E6"/>
            </w:tcBorders>
          </w:tcPr>
          <w:p>
            <w:pPr>
              <w:jc w:val="right"/>
              <w:ind w:right="4"/>
              <w:spacing w:after="0" w:line="233" w:lineRule="exact"/>
              <w:rPr>
                <w:sz w:val="20"/>
                <w:szCs w:val="20"/>
                <w:color w:val="auto"/>
              </w:rPr>
            </w:pPr>
            <w:r>
              <w:rPr>
                <w:rFonts w:ascii="Arial" w:cs="Arial" w:eastAsia="Arial" w:hAnsi="Arial"/>
                <w:sz w:val="14"/>
                <w:szCs w:val="14"/>
                <w:b w:val="1"/>
                <w:bCs w:val="1"/>
                <w:color w:val="4800E6"/>
              </w:rPr>
              <w:t>($)</w:t>
            </w:r>
            <w:r>
              <w:rPr>
                <w:rFonts w:ascii="Arial" w:cs="Arial" w:eastAsia="Arial" w:hAnsi="Arial"/>
                <w:sz w:val="21"/>
                <w:szCs w:val="21"/>
                <w:b w:val="1"/>
                <w:bCs w:val="1"/>
                <w:color w:val="4800E6"/>
                <w:vertAlign w:val="superscript"/>
              </w:rPr>
              <w:t>(2)</w:t>
            </w:r>
          </w:p>
        </w:tc>
        <w:tc>
          <w:tcPr>
            <w:tcW w:w="1180" w:type="dxa"/>
            <w:vAlign w:val="bottom"/>
            <w:tcBorders>
              <w:bottom w:val="single" w:sz="8" w:color="4800E6"/>
            </w:tcBorders>
          </w:tcPr>
          <w:p>
            <w:pPr>
              <w:jc w:val="right"/>
              <w:ind w:right="6"/>
              <w:spacing w:after="0" w:line="232" w:lineRule="exact"/>
              <w:rPr>
                <w:sz w:val="20"/>
                <w:szCs w:val="20"/>
                <w:color w:val="auto"/>
              </w:rPr>
            </w:pPr>
            <w:r>
              <w:rPr>
                <w:rFonts w:ascii="Arial" w:cs="Arial" w:eastAsia="Arial" w:hAnsi="Arial"/>
                <w:sz w:val="26"/>
                <w:szCs w:val="26"/>
                <w:b w:val="1"/>
                <w:bCs w:val="1"/>
                <w:color w:val="4800E6"/>
                <w:vertAlign w:val="subscript"/>
              </w:rPr>
              <w:t>($)</w:t>
            </w:r>
            <w:r>
              <w:rPr>
                <w:rFonts w:ascii="Arial" w:cs="Arial" w:eastAsia="Arial" w:hAnsi="Arial"/>
                <w:sz w:val="10"/>
                <w:szCs w:val="10"/>
                <w:b w:val="1"/>
                <w:bCs w:val="1"/>
                <w:color w:val="4800E6"/>
              </w:rPr>
              <w:t>(1)(3)</w:t>
            </w:r>
          </w:p>
        </w:tc>
        <w:tc>
          <w:tcPr>
            <w:tcW w:w="1200" w:type="dxa"/>
            <w:vAlign w:val="bottom"/>
            <w:tcBorders>
              <w:bottom w:val="single" w:sz="8" w:color="4800E6"/>
            </w:tcBorders>
          </w:tcPr>
          <w:p>
            <w:pPr>
              <w:jc w:val="right"/>
              <w:ind w:right="26"/>
              <w:spacing w:after="0" w:line="232" w:lineRule="exact"/>
              <w:rPr>
                <w:sz w:val="20"/>
                <w:szCs w:val="20"/>
                <w:color w:val="auto"/>
              </w:rPr>
            </w:pPr>
            <w:r>
              <w:rPr>
                <w:rFonts w:ascii="Arial" w:cs="Arial" w:eastAsia="Arial" w:hAnsi="Arial"/>
                <w:sz w:val="26"/>
                <w:szCs w:val="26"/>
                <w:b w:val="1"/>
                <w:bCs w:val="1"/>
                <w:color w:val="4800E6"/>
                <w:vertAlign w:val="subscript"/>
              </w:rPr>
              <w:t>($)</w:t>
            </w:r>
            <w:r>
              <w:rPr>
                <w:rFonts w:ascii="Arial" w:cs="Arial" w:eastAsia="Arial" w:hAnsi="Arial"/>
                <w:sz w:val="10"/>
                <w:szCs w:val="10"/>
                <w:b w:val="1"/>
                <w:bCs w:val="1"/>
                <w:color w:val="4800E6"/>
              </w:rPr>
              <w:t>(1)(4)</w:t>
            </w:r>
          </w:p>
        </w:tc>
        <w:tc>
          <w:tcPr>
            <w:tcW w:w="820" w:type="dxa"/>
            <w:vAlign w:val="bottom"/>
            <w:tcBorders>
              <w:bottom w:val="single" w:sz="8" w:color="4800E6"/>
            </w:tcBorders>
          </w:tcPr>
          <w:p>
            <w:pPr>
              <w:jc w:val="right"/>
              <w:spacing w:after="0"/>
              <w:rPr>
                <w:sz w:val="20"/>
                <w:szCs w:val="20"/>
                <w:color w:val="auto"/>
              </w:rPr>
            </w:pPr>
            <w:r>
              <w:rPr>
                <w:rFonts w:ascii="Arial" w:cs="Arial" w:eastAsia="Arial" w:hAnsi="Arial"/>
                <w:sz w:val="14"/>
                <w:szCs w:val="14"/>
                <w:b w:val="1"/>
                <w:bCs w:val="1"/>
                <w:color w:val="4800E6"/>
              </w:rPr>
              <w:t>($)</w:t>
            </w:r>
          </w:p>
        </w:tc>
        <w:tc>
          <w:tcPr>
            <w:tcW w:w="0" w:type="dxa"/>
            <w:vAlign w:val="bottom"/>
          </w:tcPr>
          <w:p>
            <w:pPr>
              <w:spacing w:after="0"/>
              <w:rPr>
                <w:sz w:val="1"/>
                <w:szCs w:val="1"/>
                <w:color w:val="auto"/>
              </w:rPr>
            </w:pPr>
          </w:p>
        </w:tc>
      </w:tr>
      <w:tr>
        <w:trPr>
          <w:trHeight w:val="242"/>
        </w:trPr>
        <w:tc>
          <w:tcPr>
            <w:tcW w:w="3100" w:type="dxa"/>
            <w:vAlign w:val="bottom"/>
          </w:tcPr>
          <w:p>
            <w:pPr>
              <w:ind w:left="40"/>
              <w:spacing w:after="0"/>
              <w:rPr>
                <w:sz w:val="20"/>
                <w:szCs w:val="20"/>
                <w:color w:val="auto"/>
              </w:rPr>
            </w:pPr>
            <w:r>
              <w:rPr>
                <w:rFonts w:ascii="Arial" w:cs="Arial" w:eastAsia="Arial" w:hAnsi="Arial"/>
                <w:sz w:val="15"/>
                <w:szCs w:val="15"/>
                <w:b w:val="1"/>
                <w:bCs w:val="1"/>
                <w:color w:val="auto"/>
              </w:rPr>
              <w:t>Damien McDonald</w:t>
            </w:r>
          </w:p>
        </w:tc>
        <w:tc>
          <w:tcPr>
            <w:tcW w:w="500" w:type="dxa"/>
            <w:vAlign w:val="bottom"/>
          </w:tcPr>
          <w:p>
            <w:pPr>
              <w:jc w:val="center"/>
              <w:spacing w:after="0"/>
              <w:rPr>
                <w:sz w:val="20"/>
                <w:szCs w:val="20"/>
                <w:color w:val="auto"/>
              </w:rPr>
            </w:pPr>
            <w:r>
              <w:rPr>
                <w:rFonts w:ascii="Arial" w:cs="Arial" w:eastAsia="Arial" w:hAnsi="Arial"/>
                <w:sz w:val="15"/>
                <w:szCs w:val="15"/>
                <w:color w:val="auto"/>
              </w:rPr>
              <w:t>2019</w:t>
            </w:r>
          </w:p>
        </w:tc>
        <w:tc>
          <w:tcPr>
            <w:tcW w:w="700" w:type="dxa"/>
            <w:vAlign w:val="bottom"/>
          </w:tcPr>
          <w:p>
            <w:pPr>
              <w:jc w:val="right"/>
              <w:ind w:right="4"/>
              <w:spacing w:after="0"/>
              <w:rPr>
                <w:sz w:val="20"/>
                <w:szCs w:val="20"/>
                <w:color w:val="auto"/>
              </w:rPr>
            </w:pPr>
            <w:r>
              <w:rPr>
                <w:rFonts w:ascii="Arial" w:cs="Arial" w:eastAsia="Arial" w:hAnsi="Arial"/>
                <w:sz w:val="15"/>
                <w:szCs w:val="15"/>
                <w:color w:val="auto"/>
              </w:rPr>
              <w:t>933,202</w:t>
            </w:r>
          </w:p>
        </w:tc>
        <w:tc>
          <w:tcPr>
            <w:tcW w:w="840" w:type="dxa"/>
            <w:vAlign w:val="bottom"/>
          </w:tcPr>
          <w:p>
            <w:pPr>
              <w:jc w:val="right"/>
              <w:ind w:right="4"/>
              <w:spacing w:after="0"/>
              <w:rPr>
                <w:sz w:val="20"/>
                <w:szCs w:val="20"/>
                <w:color w:val="auto"/>
              </w:rPr>
            </w:pPr>
            <w:r>
              <w:rPr>
                <w:rFonts w:ascii="Arial" w:cs="Arial" w:eastAsia="Arial" w:hAnsi="Arial"/>
                <w:sz w:val="15"/>
                <w:szCs w:val="15"/>
                <w:color w:val="auto"/>
              </w:rPr>
              <w:t>4,309,277</w:t>
            </w:r>
          </w:p>
        </w:tc>
        <w:tc>
          <w:tcPr>
            <w:tcW w:w="840" w:type="dxa"/>
            <w:vAlign w:val="bottom"/>
          </w:tcPr>
          <w:p>
            <w:pPr>
              <w:jc w:val="right"/>
              <w:ind w:right="4"/>
              <w:spacing w:after="0"/>
              <w:rPr>
                <w:sz w:val="20"/>
                <w:szCs w:val="20"/>
                <w:color w:val="auto"/>
              </w:rPr>
            </w:pPr>
            <w:r>
              <w:rPr>
                <w:rFonts w:ascii="Arial" w:cs="Arial" w:eastAsia="Arial" w:hAnsi="Arial"/>
                <w:sz w:val="15"/>
                <w:szCs w:val="15"/>
                <w:color w:val="auto"/>
              </w:rPr>
              <w:t>1,249,978</w:t>
            </w:r>
          </w:p>
        </w:tc>
        <w:tc>
          <w:tcPr>
            <w:tcW w:w="1180" w:type="dxa"/>
            <w:vAlign w:val="bottom"/>
          </w:tcPr>
          <w:p>
            <w:pPr>
              <w:jc w:val="right"/>
              <w:ind w:right="6"/>
              <w:spacing w:after="0"/>
              <w:rPr>
                <w:sz w:val="20"/>
                <w:szCs w:val="20"/>
                <w:color w:val="auto"/>
              </w:rPr>
            </w:pPr>
            <w:r>
              <w:rPr>
                <w:rFonts w:ascii="Arial" w:cs="Arial" w:eastAsia="Arial" w:hAnsi="Arial"/>
                <w:sz w:val="15"/>
                <w:szCs w:val="15"/>
                <w:color w:val="auto"/>
              </w:rPr>
              <w:t>277,244</w:t>
            </w:r>
          </w:p>
        </w:tc>
        <w:tc>
          <w:tcPr>
            <w:tcW w:w="1200" w:type="dxa"/>
            <w:vAlign w:val="bottom"/>
          </w:tcPr>
          <w:p>
            <w:pPr>
              <w:jc w:val="right"/>
              <w:ind w:right="26"/>
              <w:spacing w:after="0"/>
              <w:rPr>
                <w:sz w:val="20"/>
                <w:szCs w:val="20"/>
                <w:color w:val="auto"/>
              </w:rPr>
            </w:pPr>
            <w:r>
              <w:rPr>
                <w:rFonts w:ascii="Arial" w:cs="Arial" w:eastAsia="Arial" w:hAnsi="Arial"/>
                <w:sz w:val="15"/>
                <w:szCs w:val="15"/>
                <w:color w:val="auto"/>
              </w:rPr>
              <w:t>362,226</w:t>
            </w:r>
          </w:p>
        </w:tc>
        <w:tc>
          <w:tcPr>
            <w:tcW w:w="820" w:type="dxa"/>
            <w:vAlign w:val="bottom"/>
          </w:tcPr>
          <w:p>
            <w:pPr>
              <w:jc w:val="right"/>
              <w:spacing w:after="0"/>
              <w:rPr>
                <w:sz w:val="20"/>
                <w:szCs w:val="20"/>
                <w:color w:val="auto"/>
              </w:rPr>
            </w:pPr>
            <w:r>
              <w:rPr>
                <w:rFonts w:ascii="Arial" w:cs="Arial" w:eastAsia="Arial" w:hAnsi="Arial"/>
                <w:sz w:val="15"/>
                <w:szCs w:val="15"/>
                <w:color w:val="auto"/>
              </w:rPr>
              <w:t>7,131,927</w:t>
            </w:r>
          </w:p>
        </w:tc>
        <w:tc>
          <w:tcPr>
            <w:tcW w:w="0" w:type="dxa"/>
            <w:vAlign w:val="bottom"/>
          </w:tcPr>
          <w:p>
            <w:pPr>
              <w:spacing w:after="0"/>
              <w:rPr>
                <w:sz w:val="1"/>
                <w:szCs w:val="1"/>
                <w:color w:val="auto"/>
              </w:rPr>
            </w:pPr>
          </w:p>
        </w:tc>
      </w:tr>
      <w:tr>
        <w:trPr>
          <w:trHeight w:val="35"/>
        </w:trPr>
        <w:tc>
          <w:tcPr>
            <w:tcW w:w="3100" w:type="dxa"/>
            <w:vAlign w:val="bottom"/>
            <w:vMerge w:val="restart"/>
          </w:tcPr>
          <w:p>
            <w:pPr>
              <w:ind w:left="200"/>
              <w:spacing w:after="0"/>
              <w:rPr>
                <w:sz w:val="20"/>
                <w:szCs w:val="20"/>
                <w:color w:val="auto"/>
              </w:rPr>
            </w:pPr>
            <w:r>
              <w:rPr>
                <w:rFonts w:ascii="Arial" w:cs="Arial" w:eastAsia="Arial" w:hAnsi="Arial"/>
                <w:sz w:val="15"/>
                <w:szCs w:val="15"/>
                <w:color w:val="auto"/>
              </w:rPr>
              <w:t>Chief Executive Officer</w:t>
            </w:r>
          </w:p>
        </w:tc>
        <w:tc>
          <w:tcPr>
            <w:tcW w:w="500" w:type="dxa"/>
            <w:vAlign w:val="bottom"/>
          </w:tcPr>
          <w:p>
            <w:pPr>
              <w:spacing w:after="0"/>
              <w:rPr>
                <w:sz w:val="3"/>
                <w:szCs w:val="3"/>
                <w:color w:val="auto"/>
              </w:rPr>
            </w:pPr>
          </w:p>
        </w:tc>
        <w:tc>
          <w:tcPr>
            <w:tcW w:w="700" w:type="dxa"/>
            <w:vAlign w:val="bottom"/>
          </w:tcPr>
          <w:p>
            <w:pPr>
              <w:spacing w:after="0"/>
              <w:rPr>
                <w:sz w:val="3"/>
                <w:szCs w:val="3"/>
                <w:color w:val="auto"/>
              </w:rPr>
            </w:pPr>
          </w:p>
        </w:tc>
        <w:tc>
          <w:tcPr>
            <w:tcW w:w="840" w:type="dxa"/>
            <w:vAlign w:val="bottom"/>
          </w:tcPr>
          <w:p>
            <w:pPr>
              <w:spacing w:after="0"/>
              <w:rPr>
                <w:sz w:val="3"/>
                <w:szCs w:val="3"/>
                <w:color w:val="auto"/>
              </w:rPr>
            </w:pPr>
          </w:p>
        </w:tc>
        <w:tc>
          <w:tcPr>
            <w:tcW w:w="840" w:type="dxa"/>
            <w:vAlign w:val="bottom"/>
          </w:tcPr>
          <w:p>
            <w:pPr>
              <w:spacing w:after="0"/>
              <w:rPr>
                <w:sz w:val="3"/>
                <w:szCs w:val="3"/>
                <w:color w:val="auto"/>
              </w:rPr>
            </w:pPr>
          </w:p>
        </w:tc>
        <w:tc>
          <w:tcPr>
            <w:tcW w:w="1180" w:type="dxa"/>
            <w:vAlign w:val="bottom"/>
          </w:tcPr>
          <w:p>
            <w:pPr>
              <w:spacing w:after="0"/>
              <w:rPr>
                <w:sz w:val="3"/>
                <w:szCs w:val="3"/>
                <w:color w:val="auto"/>
              </w:rPr>
            </w:pPr>
          </w:p>
        </w:tc>
        <w:tc>
          <w:tcPr>
            <w:tcW w:w="1200" w:type="dxa"/>
            <w:vAlign w:val="bottom"/>
          </w:tcPr>
          <w:p>
            <w:pPr>
              <w:spacing w:after="0"/>
              <w:rPr>
                <w:sz w:val="3"/>
                <w:szCs w:val="3"/>
                <w:color w:val="auto"/>
              </w:rPr>
            </w:pPr>
          </w:p>
        </w:tc>
        <w:tc>
          <w:tcPr>
            <w:tcW w:w="8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54"/>
        </w:trPr>
        <w:tc>
          <w:tcPr>
            <w:tcW w:w="3100" w:type="dxa"/>
            <w:vAlign w:val="bottom"/>
            <w:vMerge w:val="continue"/>
          </w:tcPr>
          <w:p>
            <w:pPr>
              <w:spacing w:after="0"/>
              <w:rPr>
                <w:sz w:val="13"/>
                <w:szCs w:val="13"/>
                <w:color w:val="auto"/>
              </w:rPr>
            </w:pPr>
          </w:p>
        </w:tc>
        <w:tc>
          <w:tcPr>
            <w:tcW w:w="500" w:type="dxa"/>
            <w:vAlign w:val="bottom"/>
            <w:vMerge w:val="restart"/>
            <w:shd w:val="clear" w:color="auto" w:fill="EFE9FC"/>
          </w:tcPr>
          <w:p>
            <w:pPr>
              <w:jc w:val="center"/>
              <w:spacing w:after="0"/>
              <w:rPr>
                <w:sz w:val="20"/>
                <w:szCs w:val="20"/>
                <w:color w:val="auto"/>
              </w:rPr>
            </w:pPr>
            <w:r>
              <w:rPr>
                <w:rFonts w:ascii="Arial" w:cs="Arial" w:eastAsia="Arial" w:hAnsi="Arial"/>
                <w:sz w:val="15"/>
                <w:szCs w:val="15"/>
                <w:color w:val="auto"/>
              </w:rPr>
              <w:t>2018</w:t>
            </w:r>
          </w:p>
        </w:tc>
        <w:tc>
          <w:tcPr>
            <w:tcW w:w="700" w:type="dxa"/>
            <w:vAlign w:val="bottom"/>
            <w:vMerge w:val="restart"/>
            <w:shd w:val="clear" w:color="auto" w:fill="EFE9FC"/>
          </w:tcPr>
          <w:p>
            <w:pPr>
              <w:jc w:val="right"/>
              <w:ind w:right="4"/>
              <w:spacing w:after="0"/>
              <w:rPr>
                <w:sz w:val="20"/>
                <w:szCs w:val="20"/>
                <w:color w:val="auto"/>
              </w:rPr>
            </w:pPr>
            <w:r>
              <w:rPr>
                <w:rFonts w:ascii="Arial" w:cs="Arial" w:eastAsia="Arial" w:hAnsi="Arial"/>
                <w:sz w:val="15"/>
                <w:szCs w:val="15"/>
                <w:color w:val="auto"/>
              </w:rPr>
              <w:t>951,218</w:t>
            </w:r>
          </w:p>
        </w:tc>
        <w:tc>
          <w:tcPr>
            <w:tcW w:w="840" w:type="dxa"/>
            <w:vAlign w:val="bottom"/>
            <w:vMerge w:val="restart"/>
            <w:shd w:val="clear" w:color="auto" w:fill="EFE9FC"/>
          </w:tcPr>
          <w:p>
            <w:pPr>
              <w:jc w:val="right"/>
              <w:ind w:right="4"/>
              <w:spacing w:after="0"/>
              <w:rPr>
                <w:sz w:val="20"/>
                <w:szCs w:val="20"/>
                <w:color w:val="auto"/>
              </w:rPr>
            </w:pPr>
            <w:r>
              <w:rPr>
                <w:rFonts w:ascii="Arial" w:cs="Arial" w:eastAsia="Arial" w:hAnsi="Arial"/>
                <w:sz w:val="15"/>
                <w:szCs w:val="15"/>
                <w:color w:val="auto"/>
              </w:rPr>
              <w:t>3,522,492</w:t>
            </w:r>
          </w:p>
        </w:tc>
        <w:tc>
          <w:tcPr>
            <w:tcW w:w="840" w:type="dxa"/>
            <w:vAlign w:val="bottom"/>
            <w:vMerge w:val="restart"/>
            <w:shd w:val="clear" w:color="auto" w:fill="EFE9FC"/>
          </w:tcPr>
          <w:p>
            <w:pPr>
              <w:jc w:val="right"/>
              <w:ind w:right="4"/>
              <w:spacing w:after="0"/>
              <w:rPr>
                <w:sz w:val="20"/>
                <w:szCs w:val="20"/>
                <w:color w:val="auto"/>
              </w:rPr>
            </w:pPr>
            <w:r>
              <w:rPr>
                <w:rFonts w:ascii="Arial" w:cs="Arial" w:eastAsia="Arial" w:hAnsi="Arial"/>
                <w:sz w:val="15"/>
                <w:szCs w:val="15"/>
                <w:color w:val="auto"/>
              </w:rPr>
              <w:t>1,124,847</w:t>
            </w:r>
          </w:p>
        </w:tc>
        <w:tc>
          <w:tcPr>
            <w:tcW w:w="1180" w:type="dxa"/>
            <w:vAlign w:val="bottom"/>
            <w:vMerge w:val="restart"/>
            <w:shd w:val="clear" w:color="auto" w:fill="EFE9FC"/>
          </w:tcPr>
          <w:p>
            <w:pPr>
              <w:jc w:val="right"/>
              <w:ind w:right="6"/>
              <w:spacing w:after="0"/>
              <w:rPr>
                <w:sz w:val="20"/>
                <w:szCs w:val="20"/>
                <w:color w:val="auto"/>
              </w:rPr>
            </w:pPr>
            <w:r>
              <w:rPr>
                <w:rFonts w:ascii="Arial" w:cs="Arial" w:eastAsia="Arial" w:hAnsi="Arial"/>
                <w:sz w:val="15"/>
                <w:szCs w:val="15"/>
                <w:color w:val="auto"/>
              </w:rPr>
              <w:t>999,131</w:t>
            </w:r>
          </w:p>
        </w:tc>
        <w:tc>
          <w:tcPr>
            <w:tcW w:w="1200" w:type="dxa"/>
            <w:vAlign w:val="bottom"/>
            <w:vMerge w:val="restart"/>
            <w:shd w:val="clear" w:color="auto" w:fill="EFE9FC"/>
          </w:tcPr>
          <w:p>
            <w:pPr>
              <w:jc w:val="right"/>
              <w:ind w:right="26"/>
              <w:spacing w:after="0"/>
              <w:rPr>
                <w:sz w:val="20"/>
                <w:szCs w:val="20"/>
                <w:color w:val="auto"/>
              </w:rPr>
            </w:pPr>
            <w:r>
              <w:rPr>
                <w:rFonts w:ascii="Arial" w:cs="Arial" w:eastAsia="Arial" w:hAnsi="Arial"/>
                <w:sz w:val="15"/>
                <w:szCs w:val="15"/>
                <w:color w:val="auto"/>
              </w:rPr>
              <w:t>514,940</w:t>
            </w:r>
          </w:p>
        </w:tc>
        <w:tc>
          <w:tcPr>
            <w:tcW w:w="820" w:type="dxa"/>
            <w:vAlign w:val="bottom"/>
            <w:vMerge w:val="restart"/>
            <w:shd w:val="clear" w:color="auto" w:fill="EFE9FC"/>
          </w:tcPr>
          <w:p>
            <w:pPr>
              <w:jc w:val="right"/>
              <w:spacing w:after="0"/>
              <w:rPr>
                <w:sz w:val="20"/>
                <w:szCs w:val="20"/>
                <w:color w:val="auto"/>
              </w:rPr>
            </w:pPr>
            <w:r>
              <w:rPr>
                <w:rFonts w:ascii="Arial" w:cs="Arial" w:eastAsia="Arial" w:hAnsi="Arial"/>
                <w:sz w:val="15"/>
                <w:szCs w:val="15"/>
                <w:color w:val="auto"/>
              </w:rPr>
              <w:t>7,112,628</w:t>
            </w:r>
          </w:p>
        </w:tc>
        <w:tc>
          <w:tcPr>
            <w:tcW w:w="0" w:type="dxa"/>
            <w:vAlign w:val="bottom"/>
          </w:tcPr>
          <w:p>
            <w:pPr>
              <w:spacing w:after="0"/>
              <w:rPr>
                <w:sz w:val="1"/>
                <w:szCs w:val="1"/>
                <w:color w:val="auto"/>
              </w:rPr>
            </w:pPr>
          </w:p>
        </w:tc>
      </w:tr>
      <w:tr>
        <w:trPr>
          <w:trHeight w:val="101"/>
        </w:trPr>
        <w:tc>
          <w:tcPr>
            <w:tcW w:w="3100" w:type="dxa"/>
            <w:vAlign w:val="bottom"/>
          </w:tcPr>
          <w:p>
            <w:pPr>
              <w:spacing w:after="0"/>
              <w:rPr>
                <w:sz w:val="8"/>
                <w:szCs w:val="8"/>
                <w:color w:val="auto"/>
              </w:rPr>
            </w:pPr>
          </w:p>
        </w:tc>
        <w:tc>
          <w:tcPr>
            <w:tcW w:w="500" w:type="dxa"/>
            <w:vAlign w:val="bottom"/>
            <w:tcBorders>
              <w:bottom w:val="single" w:sz="8" w:color="EFE9FC"/>
            </w:tcBorders>
            <w:vMerge w:val="continue"/>
            <w:shd w:val="clear" w:color="auto" w:fill="EFE9FC"/>
          </w:tcPr>
          <w:p>
            <w:pPr>
              <w:spacing w:after="0"/>
              <w:rPr>
                <w:sz w:val="8"/>
                <w:szCs w:val="8"/>
                <w:color w:val="auto"/>
              </w:rPr>
            </w:pPr>
          </w:p>
        </w:tc>
        <w:tc>
          <w:tcPr>
            <w:tcW w:w="700" w:type="dxa"/>
            <w:vAlign w:val="bottom"/>
            <w:tcBorders>
              <w:bottom w:val="single" w:sz="8" w:color="EFE9FC"/>
            </w:tcBorders>
            <w:vMerge w:val="continue"/>
            <w:shd w:val="clear" w:color="auto" w:fill="EFE9FC"/>
          </w:tcPr>
          <w:p>
            <w:pPr>
              <w:spacing w:after="0"/>
              <w:rPr>
                <w:sz w:val="8"/>
                <w:szCs w:val="8"/>
                <w:color w:val="auto"/>
              </w:rPr>
            </w:pPr>
          </w:p>
        </w:tc>
        <w:tc>
          <w:tcPr>
            <w:tcW w:w="840" w:type="dxa"/>
            <w:vAlign w:val="bottom"/>
            <w:tcBorders>
              <w:bottom w:val="single" w:sz="8" w:color="EFE9FC"/>
            </w:tcBorders>
            <w:vMerge w:val="continue"/>
            <w:shd w:val="clear" w:color="auto" w:fill="EFE9FC"/>
          </w:tcPr>
          <w:p>
            <w:pPr>
              <w:spacing w:after="0"/>
              <w:rPr>
                <w:sz w:val="8"/>
                <w:szCs w:val="8"/>
                <w:color w:val="auto"/>
              </w:rPr>
            </w:pPr>
          </w:p>
        </w:tc>
        <w:tc>
          <w:tcPr>
            <w:tcW w:w="840" w:type="dxa"/>
            <w:vAlign w:val="bottom"/>
            <w:tcBorders>
              <w:bottom w:val="single" w:sz="8" w:color="EFE9FC"/>
            </w:tcBorders>
            <w:vMerge w:val="continue"/>
            <w:shd w:val="clear" w:color="auto" w:fill="EFE9FC"/>
          </w:tcPr>
          <w:p>
            <w:pPr>
              <w:spacing w:after="0"/>
              <w:rPr>
                <w:sz w:val="8"/>
                <w:szCs w:val="8"/>
                <w:color w:val="auto"/>
              </w:rPr>
            </w:pPr>
          </w:p>
        </w:tc>
        <w:tc>
          <w:tcPr>
            <w:tcW w:w="1180" w:type="dxa"/>
            <w:vAlign w:val="bottom"/>
            <w:tcBorders>
              <w:bottom w:val="single" w:sz="8" w:color="EFE9FC"/>
            </w:tcBorders>
            <w:vMerge w:val="continue"/>
            <w:shd w:val="clear" w:color="auto" w:fill="EFE9FC"/>
          </w:tcPr>
          <w:p>
            <w:pPr>
              <w:spacing w:after="0"/>
              <w:rPr>
                <w:sz w:val="8"/>
                <w:szCs w:val="8"/>
                <w:color w:val="auto"/>
              </w:rPr>
            </w:pPr>
          </w:p>
        </w:tc>
        <w:tc>
          <w:tcPr>
            <w:tcW w:w="1200" w:type="dxa"/>
            <w:vAlign w:val="bottom"/>
            <w:tcBorders>
              <w:bottom w:val="single" w:sz="8" w:color="EFE9FC"/>
            </w:tcBorders>
            <w:vMerge w:val="continue"/>
            <w:shd w:val="clear" w:color="auto" w:fill="EFE9FC"/>
          </w:tcPr>
          <w:p>
            <w:pPr>
              <w:spacing w:after="0"/>
              <w:rPr>
                <w:sz w:val="8"/>
                <w:szCs w:val="8"/>
                <w:color w:val="auto"/>
              </w:rPr>
            </w:pPr>
          </w:p>
        </w:tc>
        <w:tc>
          <w:tcPr>
            <w:tcW w:w="820" w:type="dxa"/>
            <w:vAlign w:val="bottom"/>
            <w:tcBorders>
              <w:bottom w:val="single" w:sz="8" w:color="EFE9FC"/>
            </w:tcBorders>
            <w:vMerge w:val="continue"/>
            <w:shd w:val="clear" w:color="auto" w:fill="EFE9FC"/>
          </w:tcPr>
          <w:p>
            <w:pPr>
              <w:spacing w:after="0"/>
              <w:rPr>
                <w:sz w:val="8"/>
                <w:szCs w:val="8"/>
                <w:color w:val="auto"/>
              </w:rPr>
            </w:pPr>
          </w:p>
        </w:tc>
        <w:tc>
          <w:tcPr>
            <w:tcW w:w="0" w:type="dxa"/>
            <w:vAlign w:val="bottom"/>
          </w:tcPr>
          <w:p>
            <w:pPr>
              <w:spacing w:after="0"/>
              <w:rPr>
                <w:sz w:val="1"/>
                <w:szCs w:val="1"/>
                <w:color w:val="auto"/>
              </w:rPr>
            </w:pPr>
          </w:p>
        </w:tc>
      </w:tr>
      <w:tr>
        <w:trPr>
          <w:trHeight w:val="222"/>
        </w:trPr>
        <w:tc>
          <w:tcPr>
            <w:tcW w:w="3100" w:type="dxa"/>
            <w:vAlign w:val="bottom"/>
          </w:tcPr>
          <w:p>
            <w:pPr>
              <w:spacing w:after="0"/>
              <w:rPr>
                <w:sz w:val="19"/>
                <w:szCs w:val="19"/>
                <w:color w:val="auto"/>
              </w:rPr>
            </w:pPr>
          </w:p>
        </w:tc>
        <w:tc>
          <w:tcPr>
            <w:tcW w:w="500" w:type="dxa"/>
            <w:vAlign w:val="bottom"/>
          </w:tcPr>
          <w:p>
            <w:pPr>
              <w:jc w:val="center"/>
              <w:spacing w:after="0"/>
              <w:rPr>
                <w:sz w:val="20"/>
                <w:szCs w:val="20"/>
                <w:color w:val="auto"/>
              </w:rPr>
            </w:pPr>
            <w:r>
              <w:rPr>
                <w:rFonts w:ascii="Arial" w:cs="Arial" w:eastAsia="Arial" w:hAnsi="Arial"/>
                <w:sz w:val="15"/>
                <w:szCs w:val="15"/>
                <w:color w:val="auto"/>
              </w:rPr>
              <w:t>2017</w:t>
            </w:r>
          </w:p>
        </w:tc>
        <w:tc>
          <w:tcPr>
            <w:tcW w:w="700" w:type="dxa"/>
            <w:vAlign w:val="bottom"/>
          </w:tcPr>
          <w:p>
            <w:pPr>
              <w:jc w:val="right"/>
              <w:ind w:right="4"/>
              <w:spacing w:after="0"/>
              <w:rPr>
                <w:sz w:val="20"/>
                <w:szCs w:val="20"/>
                <w:color w:val="auto"/>
              </w:rPr>
            </w:pPr>
            <w:r>
              <w:rPr>
                <w:rFonts w:ascii="Arial" w:cs="Arial" w:eastAsia="Arial" w:hAnsi="Arial"/>
                <w:sz w:val="15"/>
                <w:szCs w:val="15"/>
                <w:color w:val="auto"/>
              </w:rPr>
              <w:t>847,925</w:t>
            </w:r>
          </w:p>
        </w:tc>
        <w:tc>
          <w:tcPr>
            <w:tcW w:w="840" w:type="dxa"/>
            <w:vAlign w:val="bottom"/>
          </w:tcPr>
          <w:p>
            <w:pPr>
              <w:jc w:val="right"/>
              <w:ind w:right="4"/>
              <w:spacing w:after="0"/>
              <w:rPr>
                <w:sz w:val="20"/>
                <w:szCs w:val="20"/>
                <w:color w:val="auto"/>
              </w:rPr>
            </w:pPr>
            <w:r>
              <w:rPr>
                <w:rFonts w:ascii="Arial" w:cs="Arial" w:eastAsia="Arial" w:hAnsi="Arial"/>
                <w:sz w:val="15"/>
                <w:szCs w:val="15"/>
                <w:color w:val="auto"/>
              </w:rPr>
              <w:t>2,350,821</w:t>
            </w:r>
          </w:p>
        </w:tc>
        <w:tc>
          <w:tcPr>
            <w:tcW w:w="840" w:type="dxa"/>
            <w:vAlign w:val="bottom"/>
          </w:tcPr>
          <w:p>
            <w:pPr>
              <w:jc w:val="right"/>
              <w:ind w:right="4"/>
              <w:spacing w:after="0"/>
              <w:rPr>
                <w:sz w:val="20"/>
                <w:szCs w:val="20"/>
                <w:color w:val="auto"/>
              </w:rPr>
            </w:pPr>
            <w:r>
              <w:rPr>
                <w:rFonts w:ascii="Arial" w:cs="Arial" w:eastAsia="Arial" w:hAnsi="Arial"/>
                <w:sz w:val="15"/>
                <w:szCs w:val="15"/>
                <w:color w:val="auto"/>
              </w:rPr>
              <w:t>–</w:t>
            </w:r>
          </w:p>
        </w:tc>
        <w:tc>
          <w:tcPr>
            <w:tcW w:w="1180" w:type="dxa"/>
            <w:vAlign w:val="bottom"/>
          </w:tcPr>
          <w:p>
            <w:pPr>
              <w:jc w:val="right"/>
              <w:ind w:right="6"/>
              <w:spacing w:after="0"/>
              <w:rPr>
                <w:sz w:val="20"/>
                <w:szCs w:val="20"/>
                <w:color w:val="auto"/>
              </w:rPr>
            </w:pPr>
            <w:r>
              <w:rPr>
                <w:rFonts w:ascii="Arial" w:cs="Arial" w:eastAsia="Arial" w:hAnsi="Arial"/>
                <w:sz w:val="15"/>
                <w:szCs w:val="15"/>
                <w:color w:val="auto"/>
              </w:rPr>
              <w:t>848,095</w:t>
            </w:r>
          </w:p>
        </w:tc>
        <w:tc>
          <w:tcPr>
            <w:tcW w:w="1200" w:type="dxa"/>
            <w:vAlign w:val="bottom"/>
          </w:tcPr>
          <w:p>
            <w:pPr>
              <w:jc w:val="right"/>
              <w:ind w:right="26"/>
              <w:spacing w:after="0"/>
              <w:rPr>
                <w:sz w:val="20"/>
                <w:szCs w:val="20"/>
                <w:color w:val="auto"/>
              </w:rPr>
            </w:pPr>
            <w:r>
              <w:rPr>
                <w:rFonts w:ascii="Arial" w:cs="Arial" w:eastAsia="Arial" w:hAnsi="Arial"/>
                <w:sz w:val="15"/>
                <w:szCs w:val="15"/>
                <w:color w:val="auto"/>
              </w:rPr>
              <w:t>1,368,920</w:t>
            </w:r>
          </w:p>
        </w:tc>
        <w:tc>
          <w:tcPr>
            <w:tcW w:w="820" w:type="dxa"/>
            <w:vAlign w:val="bottom"/>
          </w:tcPr>
          <w:p>
            <w:pPr>
              <w:jc w:val="right"/>
              <w:spacing w:after="0"/>
              <w:rPr>
                <w:sz w:val="20"/>
                <w:szCs w:val="20"/>
                <w:color w:val="auto"/>
              </w:rPr>
            </w:pPr>
            <w:r>
              <w:rPr>
                <w:rFonts w:ascii="Arial" w:cs="Arial" w:eastAsia="Arial" w:hAnsi="Arial"/>
                <w:sz w:val="15"/>
                <w:szCs w:val="15"/>
                <w:color w:val="auto"/>
              </w:rPr>
              <w:t>5,415,761</w:t>
            </w:r>
          </w:p>
        </w:tc>
        <w:tc>
          <w:tcPr>
            <w:tcW w:w="0" w:type="dxa"/>
            <w:vAlign w:val="bottom"/>
          </w:tcPr>
          <w:p>
            <w:pPr>
              <w:spacing w:after="0"/>
              <w:rPr>
                <w:sz w:val="1"/>
                <w:szCs w:val="1"/>
                <w:color w:val="auto"/>
              </w:rPr>
            </w:pPr>
          </w:p>
        </w:tc>
      </w:tr>
      <w:tr>
        <w:trPr>
          <w:trHeight w:val="22"/>
        </w:trPr>
        <w:tc>
          <w:tcPr>
            <w:tcW w:w="3100" w:type="dxa"/>
            <w:vAlign w:val="bottom"/>
            <w:tcBorders>
              <w:bottom w:val="single" w:sz="8" w:color="4800E6"/>
            </w:tcBorders>
          </w:tcPr>
          <w:p>
            <w:pPr>
              <w:spacing w:after="0" w:line="20" w:lineRule="exact"/>
              <w:rPr>
                <w:sz w:val="1"/>
                <w:szCs w:val="1"/>
                <w:color w:val="auto"/>
              </w:rPr>
            </w:pPr>
          </w:p>
        </w:tc>
        <w:tc>
          <w:tcPr>
            <w:tcW w:w="500" w:type="dxa"/>
            <w:vAlign w:val="bottom"/>
            <w:tcBorders>
              <w:bottom w:val="single" w:sz="8" w:color="4800E6"/>
            </w:tcBorders>
          </w:tcPr>
          <w:p>
            <w:pPr>
              <w:spacing w:after="0" w:line="20" w:lineRule="exact"/>
              <w:rPr>
                <w:sz w:val="1"/>
                <w:szCs w:val="1"/>
                <w:color w:val="auto"/>
              </w:rPr>
            </w:pPr>
          </w:p>
        </w:tc>
        <w:tc>
          <w:tcPr>
            <w:tcW w:w="700" w:type="dxa"/>
            <w:vAlign w:val="bottom"/>
            <w:tcBorders>
              <w:bottom w:val="single" w:sz="8" w:color="4800E6"/>
            </w:tcBorders>
          </w:tcPr>
          <w:p>
            <w:pPr>
              <w:spacing w:after="0" w:line="20" w:lineRule="exact"/>
              <w:rPr>
                <w:sz w:val="1"/>
                <w:szCs w:val="1"/>
                <w:color w:val="auto"/>
              </w:rPr>
            </w:pPr>
          </w:p>
        </w:tc>
        <w:tc>
          <w:tcPr>
            <w:tcW w:w="840" w:type="dxa"/>
            <w:vAlign w:val="bottom"/>
            <w:tcBorders>
              <w:bottom w:val="single" w:sz="8" w:color="4800E6"/>
            </w:tcBorders>
          </w:tcPr>
          <w:p>
            <w:pPr>
              <w:spacing w:after="0" w:line="20" w:lineRule="exact"/>
              <w:rPr>
                <w:sz w:val="1"/>
                <w:szCs w:val="1"/>
                <w:color w:val="auto"/>
              </w:rPr>
            </w:pPr>
          </w:p>
        </w:tc>
        <w:tc>
          <w:tcPr>
            <w:tcW w:w="840" w:type="dxa"/>
            <w:vAlign w:val="bottom"/>
            <w:tcBorders>
              <w:bottom w:val="single" w:sz="8" w:color="4800E6"/>
            </w:tcBorders>
          </w:tcPr>
          <w:p>
            <w:pPr>
              <w:spacing w:after="0" w:line="20" w:lineRule="exact"/>
              <w:rPr>
                <w:sz w:val="1"/>
                <w:szCs w:val="1"/>
                <w:color w:val="auto"/>
              </w:rPr>
            </w:pPr>
          </w:p>
        </w:tc>
        <w:tc>
          <w:tcPr>
            <w:tcW w:w="1180" w:type="dxa"/>
            <w:vAlign w:val="bottom"/>
            <w:tcBorders>
              <w:bottom w:val="single" w:sz="8" w:color="4800E6"/>
            </w:tcBorders>
          </w:tcPr>
          <w:p>
            <w:pPr>
              <w:spacing w:after="0" w:line="20" w:lineRule="exact"/>
              <w:rPr>
                <w:sz w:val="1"/>
                <w:szCs w:val="1"/>
                <w:color w:val="auto"/>
              </w:rPr>
            </w:pPr>
          </w:p>
        </w:tc>
        <w:tc>
          <w:tcPr>
            <w:tcW w:w="1200" w:type="dxa"/>
            <w:vAlign w:val="bottom"/>
            <w:tcBorders>
              <w:bottom w:val="single" w:sz="8" w:color="4800E6"/>
            </w:tcBorders>
          </w:tcPr>
          <w:p>
            <w:pPr>
              <w:spacing w:after="0" w:line="20" w:lineRule="exact"/>
              <w:rPr>
                <w:sz w:val="1"/>
                <w:szCs w:val="1"/>
                <w:color w:val="auto"/>
              </w:rPr>
            </w:pPr>
          </w:p>
        </w:tc>
        <w:tc>
          <w:tcPr>
            <w:tcW w:w="820" w:type="dxa"/>
            <w:vAlign w:val="bottom"/>
            <w:tcBorders>
              <w:bottom w:val="single" w:sz="8" w:color="4800E6"/>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42"/>
        </w:trPr>
        <w:tc>
          <w:tcPr>
            <w:tcW w:w="3100" w:type="dxa"/>
            <w:vAlign w:val="bottom"/>
          </w:tcPr>
          <w:p>
            <w:pPr>
              <w:ind w:left="40"/>
              <w:spacing w:after="0"/>
              <w:rPr>
                <w:sz w:val="20"/>
                <w:szCs w:val="20"/>
                <w:color w:val="auto"/>
              </w:rPr>
            </w:pPr>
            <w:r>
              <w:rPr>
                <w:rFonts w:ascii="Arial" w:cs="Arial" w:eastAsia="Arial" w:hAnsi="Arial"/>
                <w:sz w:val="15"/>
                <w:szCs w:val="15"/>
                <w:b w:val="1"/>
                <w:bCs w:val="1"/>
                <w:color w:val="auto"/>
              </w:rPr>
              <w:t>Thad Huston</w:t>
            </w:r>
          </w:p>
        </w:tc>
        <w:tc>
          <w:tcPr>
            <w:tcW w:w="500" w:type="dxa"/>
            <w:vAlign w:val="bottom"/>
          </w:tcPr>
          <w:p>
            <w:pPr>
              <w:jc w:val="center"/>
              <w:spacing w:after="0"/>
              <w:rPr>
                <w:sz w:val="20"/>
                <w:szCs w:val="20"/>
                <w:color w:val="auto"/>
              </w:rPr>
            </w:pPr>
            <w:r>
              <w:rPr>
                <w:rFonts w:ascii="Arial" w:cs="Arial" w:eastAsia="Arial" w:hAnsi="Arial"/>
                <w:sz w:val="15"/>
                <w:szCs w:val="15"/>
                <w:color w:val="auto"/>
              </w:rPr>
              <w:t>2019</w:t>
            </w:r>
          </w:p>
        </w:tc>
        <w:tc>
          <w:tcPr>
            <w:tcW w:w="700" w:type="dxa"/>
            <w:vAlign w:val="bottom"/>
          </w:tcPr>
          <w:p>
            <w:pPr>
              <w:jc w:val="right"/>
              <w:ind w:right="4"/>
              <w:spacing w:after="0"/>
              <w:rPr>
                <w:sz w:val="20"/>
                <w:szCs w:val="20"/>
                <w:color w:val="auto"/>
              </w:rPr>
            </w:pPr>
            <w:r>
              <w:rPr>
                <w:rFonts w:ascii="Arial" w:cs="Arial" w:eastAsia="Arial" w:hAnsi="Arial"/>
                <w:sz w:val="15"/>
                <w:szCs w:val="15"/>
                <w:color w:val="auto"/>
              </w:rPr>
              <w:t>510,694</w:t>
            </w:r>
          </w:p>
        </w:tc>
        <w:tc>
          <w:tcPr>
            <w:tcW w:w="840" w:type="dxa"/>
            <w:vAlign w:val="bottom"/>
          </w:tcPr>
          <w:p>
            <w:pPr>
              <w:jc w:val="right"/>
              <w:ind w:right="4"/>
              <w:spacing w:after="0"/>
              <w:rPr>
                <w:sz w:val="20"/>
                <w:szCs w:val="20"/>
                <w:color w:val="auto"/>
              </w:rPr>
            </w:pPr>
            <w:r>
              <w:rPr>
                <w:rFonts w:ascii="Arial" w:cs="Arial" w:eastAsia="Arial" w:hAnsi="Arial"/>
                <w:sz w:val="15"/>
                <w:szCs w:val="15"/>
                <w:color w:val="auto"/>
              </w:rPr>
              <w:t>1,519,670</w:t>
            </w:r>
          </w:p>
        </w:tc>
        <w:tc>
          <w:tcPr>
            <w:tcW w:w="840" w:type="dxa"/>
            <w:vAlign w:val="bottom"/>
          </w:tcPr>
          <w:p>
            <w:pPr>
              <w:jc w:val="right"/>
              <w:ind w:right="4"/>
              <w:spacing w:after="0"/>
              <w:rPr>
                <w:sz w:val="20"/>
                <w:szCs w:val="20"/>
                <w:color w:val="auto"/>
              </w:rPr>
            </w:pPr>
            <w:r>
              <w:rPr>
                <w:rFonts w:ascii="Arial" w:cs="Arial" w:eastAsia="Arial" w:hAnsi="Arial"/>
                <w:sz w:val="15"/>
                <w:szCs w:val="15"/>
                <w:color w:val="auto"/>
              </w:rPr>
              <w:t>499,998</w:t>
            </w:r>
          </w:p>
        </w:tc>
        <w:tc>
          <w:tcPr>
            <w:tcW w:w="1180" w:type="dxa"/>
            <w:vAlign w:val="bottom"/>
          </w:tcPr>
          <w:p>
            <w:pPr>
              <w:jc w:val="right"/>
              <w:ind w:right="6"/>
              <w:spacing w:after="0"/>
              <w:rPr>
                <w:sz w:val="20"/>
                <w:szCs w:val="20"/>
                <w:color w:val="auto"/>
              </w:rPr>
            </w:pPr>
            <w:r>
              <w:rPr>
                <w:rFonts w:ascii="Arial" w:cs="Arial" w:eastAsia="Arial" w:hAnsi="Arial"/>
                <w:sz w:val="15"/>
                <w:szCs w:val="15"/>
                <w:color w:val="auto"/>
              </w:rPr>
              <w:t>170,088</w:t>
            </w:r>
          </w:p>
        </w:tc>
        <w:tc>
          <w:tcPr>
            <w:tcW w:w="1200" w:type="dxa"/>
            <w:vAlign w:val="bottom"/>
          </w:tcPr>
          <w:p>
            <w:pPr>
              <w:jc w:val="right"/>
              <w:ind w:right="26"/>
              <w:spacing w:after="0"/>
              <w:rPr>
                <w:sz w:val="20"/>
                <w:szCs w:val="20"/>
                <w:color w:val="auto"/>
              </w:rPr>
            </w:pPr>
            <w:r>
              <w:rPr>
                <w:rFonts w:ascii="Arial" w:cs="Arial" w:eastAsia="Arial" w:hAnsi="Arial"/>
                <w:sz w:val="15"/>
                <w:szCs w:val="15"/>
                <w:color w:val="auto"/>
              </w:rPr>
              <w:t>139,192</w:t>
            </w:r>
          </w:p>
        </w:tc>
        <w:tc>
          <w:tcPr>
            <w:tcW w:w="820" w:type="dxa"/>
            <w:vAlign w:val="bottom"/>
          </w:tcPr>
          <w:p>
            <w:pPr>
              <w:jc w:val="right"/>
              <w:spacing w:after="0"/>
              <w:rPr>
                <w:sz w:val="20"/>
                <w:szCs w:val="20"/>
                <w:color w:val="auto"/>
              </w:rPr>
            </w:pPr>
            <w:r>
              <w:rPr>
                <w:rFonts w:ascii="Arial" w:cs="Arial" w:eastAsia="Arial" w:hAnsi="Arial"/>
                <w:sz w:val="15"/>
                <w:szCs w:val="15"/>
                <w:color w:val="auto"/>
              </w:rPr>
              <w:t>2,839,642</w:t>
            </w:r>
          </w:p>
        </w:tc>
        <w:tc>
          <w:tcPr>
            <w:tcW w:w="0" w:type="dxa"/>
            <w:vAlign w:val="bottom"/>
          </w:tcPr>
          <w:p>
            <w:pPr>
              <w:spacing w:after="0"/>
              <w:rPr>
                <w:sz w:val="1"/>
                <w:szCs w:val="1"/>
                <w:color w:val="auto"/>
              </w:rPr>
            </w:pPr>
          </w:p>
        </w:tc>
      </w:tr>
      <w:tr>
        <w:trPr>
          <w:trHeight w:val="35"/>
        </w:trPr>
        <w:tc>
          <w:tcPr>
            <w:tcW w:w="3100" w:type="dxa"/>
            <w:vAlign w:val="bottom"/>
            <w:vMerge w:val="restart"/>
          </w:tcPr>
          <w:p>
            <w:pPr>
              <w:ind w:left="200"/>
              <w:spacing w:after="0"/>
              <w:rPr>
                <w:sz w:val="20"/>
                <w:szCs w:val="20"/>
                <w:color w:val="auto"/>
              </w:rPr>
            </w:pPr>
            <w:r>
              <w:rPr>
                <w:rFonts w:ascii="Arial" w:cs="Arial" w:eastAsia="Arial" w:hAnsi="Arial"/>
                <w:sz w:val="15"/>
                <w:szCs w:val="15"/>
                <w:color w:val="auto"/>
              </w:rPr>
              <w:t>Chief Financial Officer</w:t>
            </w:r>
          </w:p>
        </w:tc>
        <w:tc>
          <w:tcPr>
            <w:tcW w:w="500" w:type="dxa"/>
            <w:vAlign w:val="bottom"/>
          </w:tcPr>
          <w:p>
            <w:pPr>
              <w:spacing w:after="0"/>
              <w:rPr>
                <w:sz w:val="3"/>
                <w:szCs w:val="3"/>
                <w:color w:val="auto"/>
              </w:rPr>
            </w:pPr>
          </w:p>
        </w:tc>
        <w:tc>
          <w:tcPr>
            <w:tcW w:w="700" w:type="dxa"/>
            <w:vAlign w:val="bottom"/>
          </w:tcPr>
          <w:p>
            <w:pPr>
              <w:spacing w:after="0"/>
              <w:rPr>
                <w:sz w:val="3"/>
                <w:szCs w:val="3"/>
                <w:color w:val="auto"/>
              </w:rPr>
            </w:pPr>
          </w:p>
        </w:tc>
        <w:tc>
          <w:tcPr>
            <w:tcW w:w="840" w:type="dxa"/>
            <w:vAlign w:val="bottom"/>
          </w:tcPr>
          <w:p>
            <w:pPr>
              <w:spacing w:after="0"/>
              <w:rPr>
                <w:sz w:val="3"/>
                <w:szCs w:val="3"/>
                <w:color w:val="auto"/>
              </w:rPr>
            </w:pPr>
          </w:p>
        </w:tc>
        <w:tc>
          <w:tcPr>
            <w:tcW w:w="840" w:type="dxa"/>
            <w:vAlign w:val="bottom"/>
          </w:tcPr>
          <w:p>
            <w:pPr>
              <w:spacing w:after="0"/>
              <w:rPr>
                <w:sz w:val="3"/>
                <w:szCs w:val="3"/>
                <w:color w:val="auto"/>
              </w:rPr>
            </w:pPr>
          </w:p>
        </w:tc>
        <w:tc>
          <w:tcPr>
            <w:tcW w:w="1180" w:type="dxa"/>
            <w:vAlign w:val="bottom"/>
          </w:tcPr>
          <w:p>
            <w:pPr>
              <w:spacing w:after="0"/>
              <w:rPr>
                <w:sz w:val="3"/>
                <w:szCs w:val="3"/>
                <w:color w:val="auto"/>
              </w:rPr>
            </w:pPr>
          </w:p>
        </w:tc>
        <w:tc>
          <w:tcPr>
            <w:tcW w:w="1200" w:type="dxa"/>
            <w:vAlign w:val="bottom"/>
          </w:tcPr>
          <w:p>
            <w:pPr>
              <w:spacing w:after="0"/>
              <w:rPr>
                <w:sz w:val="3"/>
                <w:szCs w:val="3"/>
                <w:color w:val="auto"/>
              </w:rPr>
            </w:pPr>
          </w:p>
        </w:tc>
        <w:tc>
          <w:tcPr>
            <w:tcW w:w="8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54"/>
        </w:trPr>
        <w:tc>
          <w:tcPr>
            <w:tcW w:w="3100" w:type="dxa"/>
            <w:vAlign w:val="bottom"/>
            <w:vMerge w:val="continue"/>
          </w:tcPr>
          <w:p>
            <w:pPr>
              <w:spacing w:after="0"/>
              <w:rPr>
                <w:sz w:val="13"/>
                <w:szCs w:val="13"/>
                <w:color w:val="auto"/>
              </w:rPr>
            </w:pPr>
          </w:p>
        </w:tc>
        <w:tc>
          <w:tcPr>
            <w:tcW w:w="500" w:type="dxa"/>
            <w:vAlign w:val="bottom"/>
            <w:vMerge w:val="restart"/>
            <w:shd w:val="clear" w:color="auto" w:fill="EFE9FC"/>
          </w:tcPr>
          <w:p>
            <w:pPr>
              <w:jc w:val="center"/>
              <w:spacing w:after="0"/>
              <w:rPr>
                <w:sz w:val="20"/>
                <w:szCs w:val="20"/>
                <w:color w:val="auto"/>
              </w:rPr>
            </w:pPr>
            <w:r>
              <w:rPr>
                <w:rFonts w:ascii="Arial" w:cs="Arial" w:eastAsia="Arial" w:hAnsi="Arial"/>
                <w:sz w:val="15"/>
                <w:szCs w:val="15"/>
                <w:color w:val="auto"/>
              </w:rPr>
              <w:t>2018</w:t>
            </w:r>
          </w:p>
        </w:tc>
        <w:tc>
          <w:tcPr>
            <w:tcW w:w="700" w:type="dxa"/>
            <w:vAlign w:val="bottom"/>
            <w:vMerge w:val="restart"/>
            <w:shd w:val="clear" w:color="auto" w:fill="EFE9FC"/>
          </w:tcPr>
          <w:p>
            <w:pPr>
              <w:jc w:val="right"/>
              <w:ind w:right="4"/>
              <w:spacing w:after="0"/>
              <w:rPr>
                <w:sz w:val="20"/>
                <w:szCs w:val="20"/>
                <w:color w:val="auto"/>
              </w:rPr>
            </w:pPr>
            <w:r>
              <w:rPr>
                <w:rFonts w:ascii="Arial" w:cs="Arial" w:eastAsia="Arial" w:hAnsi="Arial"/>
                <w:sz w:val="15"/>
                <w:szCs w:val="15"/>
                <w:color w:val="auto"/>
              </w:rPr>
              <w:t>511,458</w:t>
            </w:r>
          </w:p>
        </w:tc>
        <w:tc>
          <w:tcPr>
            <w:tcW w:w="840" w:type="dxa"/>
            <w:vAlign w:val="bottom"/>
            <w:vMerge w:val="restart"/>
            <w:shd w:val="clear" w:color="auto" w:fill="EFE9FC"/>
          </w:tcPr>
          <w:p>
            <w:pPr>
              <w:jc w:val="right"/>
              <w:ind w:right="4"/>
              <w:spacing w:after="0"/>
              <w:rPr>
                <w:sz w:val="20"/>
                <w:szCs w:val="20"/>
                <w:color w:val="auto"/>
              </w:rPr>
            </w:pPr>
            <w:r>
              <w:rPr>
                <w:rFonts w:ascii="Arial" w:cs="Arial" w:eastAsia="Arial" w:hAnsi="Arial"/>
                <w:sz w:val="15"/>
                <w:szCs w:val="15"/>
                <w:color w:val="auto"/>
              </w:rPr>
              <w:t>1,174,164</w:t>
            </w:r>
          </w:p>
        </w:tc>
        <w:tc>
          <w:tcPr>
            <w:tcW w:w="840" w:type="dxa"/>
            <w:vAlign w:val="bottom"/>
            <w:vMerge w:val="restart"/>
            <w:shd w:val="clear" w:color="auto" w:fill="EFE9FC"/>
          </w:tcPr>
          <w:p>
            <w:pPr>
              <w:jc w:val="right"/>
              <w:ind w:right="4"/>
              <w:spacing w:after="0"/>
              <w:rPr>
                <w:sz w:val="20"/>
                <w:szCs w:val="20"/>
                <w:color w:val="auto"/>
              </w:rPr>
            </w:pPr>
            <w:r>
              <w:rPr>
                <w:rFonts w:ascii="Arial" w:cs="Arial" w:eastAsia="Arial" w:hAnsi="Arial"/>
                <w:sz w:val="15"/>
                <w:szCs w:val="15"/>
                <w:color w:val="auto"/>
              </w:rPr>
              <w:t>374,940</w:t>
            </w:r>
          </w:p>
        </w:tc>
        <w:tc>
          <w:tcPr>
            <w:tcW w:w="1180" w:type="dxa"/>
            <w:vAlign w:val="bottom"/>
            <w:vMerge w:val="restart"/>
            <w:shd w:val="clear" w:color="auto" w:fill="EFE9FC"/>
          </w:tcPr>
          <w:p>
            <w:pPr>
              <w:jc w:val="right"/>
              <w:ind w:right="6"/>
              <w:spacing w:after="0"/>
              <w:rPr>
                <w:sz w:val="20"/>
                <w:szCs w:val="20"/>
                <w:color w:val="auto"/>
              </w:rPr>
            </w:pPr>
            <w:r>
              <w:rPr>
                <w:rFonts w:ascii="Arial" w:cs="Arial" w:eastAsia="Arial" w:hAnsi="Arial"/>
                <w:sz w:val="15"/>
                <w:szCs w:val="15"/>
                <w:color w:val="auto"/>
              </w:rPr>
              <w:t>480,257</w:t>
            </w:r>
          </w:p>
        </w:tc>
        <w:tc>
          <w:tcPr>
            <w:tcW w:w="1200" w:type="dxa"/>
            <w:vAlign w:val="bottom"/>
            <w:vMerge w:val="restart"/>
            <w:shd w:val="clear" w:color="auto" w:fill="EFE9FC"/>
          </w:tcPr>
          <w:p>
            <w:pPr>
              <w:jc w:val="right"/>
              <w:ind w:right="26"/>
              <w:spacing w:after="0"/>
              <w:rPr>
                <w:sz w:val="20"/>
                <w:szCs w:val="20"/>
                <w:color w:val="auto"/>
              </w:rPr>
            </w:pPr>
            <w:r>
              <w:rPr>
                <w:rFonts w:ascii="Arial" w:cs="Arial" w:eastAsia="Arial" w:hAnsi="Arial"/>
                <w:sz w:val="15"/>
                <w:szCs w:val="15"/>
                <w:color w:val="auto"/>
              </w:rPr>
              <w:t>431,233</w:t>
            </w:r>
          </w:p>
        </w:tc>
        <w:tc>
          <w:tcPr>
            <w:tcW w:w="820" w:type="dxa"/>
            <w:vAlign w:val="bottom"/>
            <w:vMerge w:val="restart"/>
            <w:shd w:val="clear" w:color="auto" w:fill="EFE9FC"/>
          </w:tcPr>
          <w:p>
            <w:pPr>
              <w:jc w:val="right"/>
              <w:spacing w:after="0"/>
              <w:rPr>
                <w:sz w:val="20"/>
                <w:szCs w:val="20"/>
                <w:color w:val="auto"/>
              </w:rPr>
            </w:pPr>
            <w:r>
              <w:rPr>
                <w:rFonts w:ascii="Arial" w:cs="Arial" w:eastAsia="Arial" w:hAnsi="Arial"/>
                <w:sz w:val="15"/>
                <w:szCs w:val="15"/>
                <w:color w:val="auto"/>
              </w:rPr>
              <w:t>2,972,052</w:t>
            </w:r>
          </w:p>
        </w:tc>
        <w:tc>
          <w:tcPr>
            <w:tcW w:w="0" w:type="dxa"/>
            <w:vAlign w:val="bottom"/>
          </w:tcPr>
          <w:p>
            <w:pPr>
              <w:spacing w:after="0"/>
              <w:rPr>
                <w:sz w:val="1"/>
                <w:szCs w:val="1"/>
                <w:color w:val="auto"/>
              </w:rPr>
            </w:pPr>
          </w:p>
        </w:tc>
      </w:tr>
      <w:tr>
        <w:trPr>
          <w:trHeight w:val="101"/>
        </w:trPr>
        <w:tc>
          <w:tcPr>
            <w:tcW w:w="3100" w:type="dxa"/>
            <w:vAlign w:val="bottom"/>
          </w:tcPr>
          <w:p>
            <w:pPr>
              <w:spacing w:after="0"/>
              <w:rPr>
                <w:sz w:val="8"/>
                <w:szCs w:val="8"/>
                <w:color w:val="auto"/>
              </w:rPr>
            </w:pPr>
          </w:p>
        </w:tc>
        <w:tc>
          <w:tcPr>
            <w:tcW w:w="500" w:type="dxa"/>
            <w:vAlign w:val="bottom"/>
            <w:tcBorders>
              <w:bottom w:val="single" w:sz="8" w:color="EFE9FC"/>
            </w:tcBorders>
            <w:vMerge w:val="continue"/>
            <w:shd w:val="clear" w:color="auto" w:fill="EFE9FC"/>
          </w:tcPr>
          <w:p>
            <w:pPr>
              <w:spacing w:after="0"/>
              <w:rPr>
                <w:sz w:val="8"/>
                <w:szCs w:val="8"/>
                <w:color w:val="auto"/>
              </w:rPr>
            </w:pPr>
          </w:p>
        </w:tc>
        <w:tc>
          <w:tcPr>
            <w:tcW w:w="700" w:type="dxa"/>
            <w:vAlign w:val="bottom"/>
            <w:tcBorders>
              <w:bottom w:val="single" w:sz="8" w:color="EFE9FC"/>
            </w:tcBorders>
            <w:vMerge w:val="continue"/>
            <w:shd w:val="clear" w:color="auto" w:fill="EFE9FC"/>
          </w:tcPr>
          <w:p>
            <w:pPr>
              <w:spacing w:after="0"/>
              <w:rPr>
                <w:sz w:val="8"/>
                <w:szCs w:val="8"/>
                <w:color w:val="auto"/>
              </w:rPr>
            </w:pPr>
          </w:p>
        </w:tc>
        <w:tc>
          <w:tcPr>
            <w:tcW w:w="840" w:type="dxa"/>
            <w:vAlign w:val="bottom"/>
            <w:tcBorders>
              <w:bottom w:val="single" w:sz="8" w:color="EFE9FC"/>
            </w:tcBorders>
            <w:vMerge w:val="continue"/>
            <w:shd w:val="clear" w:color="auto" w:fill="EFE9FC"/>
          </w:tcPr>
          <w:p>
            <w:pPr>
              <w:spacing w:after="0"/>
              <w:rPr>
                <w:sz w:val="8"/>
                <w:szCs w:val="8"/>
                <w:color w:val="auto"/>
              </w:rPr>
            </w:pPr>
          </w:p>
        </w:tc>
        <w:tc>
          <w:tcPr>
            <w:tcW w:w="840" w:type="dxa"/>
            <w:vAlign w:val="bottom"/>
            <w:tcBorders>
              <w:bottom w:val="single" w:sz="8" w:color="EFE9FC"/>
            </w:tcBorders>
            <w:vMerge w:val="continue"/>
            <w:shd w:val="clear" w:color="auto" w:fill="EFE9FC"/>
          </w:tcPr>
          <w:p>
            <w:pPr>
              <w:spacing w:after="0"/>
              <w:rPr>
                <w:sz w:val="8"/>
                <w:szCs w:val="8"/>
                <w:color w:val="auto"/>
              </w:rPr>
            </w:pPr>
          </w:p>
        </w:tc>
        <w:tc>
          <w:tcPr>
            <w:tcW w:w="1180" w:type="dxa"/>
            <w:vAlign w:val="bottom"/>
            <w:tcBorders>
              <w:bottom w:val="single" w:sz="8" w:color="EFE9FC"/>
            </w:tcBorders>
            <w:vMerge w:val="continue"/>
            <w:shd w:val="clear" w:color="auto" w:fill="EFE9FC"/>
          </w:tcPr>
          <w:p>
            <w:pPr>
              <w:spacing w:after="0"/>
              <w:rPr>
                <w:sz w:val="8"/>
                <w:szCs w:val="8"/>
                <w:color w:val="auto"/>
              </w:rPr>
            </w:pPr>
          </w:p>
        </w:tc>
        <w:tc>
          <w:tcPr>
            <w:tcW w:w="1200" w:type="dxa"/>
            <w:vAlign w:val="bottom"/>
            <w:tcBorders>
              <w:bottom w:val="single" w:sz="8" w:color="EFE9FC"/>
            </w:tcBorders>
            <w:vMerge w:val="continue"/>
            <w:shd w:val="clear" w:color="auto" w:fill="EFE9FC"/>
          </w:tcPr>
          <w:p>
            <w:pPr>
              <w:spacing w:after="0"/>
              <w:rPr>
                <w:sz w:val="8"/>
                <w:szCs w:val="8"/>
                <w:color w:val="auto"/>
              </w:rPr>
            </w:pPr>
          </w:p>
        </w:tc>
        <w:tc>
          <w:tcPr>
            <w:tcW w:w="820" w:type="dxa"/>
            <w:vAlign w:val="bottom"/>
            <w:tcBorders>
              <w:bottom w:val="single" w:sz="8" w:color="EFE9FC"/>
            </w:tcBorders>
            <w:vMerge w:val="continue"/>
            <w:shd w:val="clear" w:color="auto" w:fill="EFE9FC"/>
          </w:tcPr>
          <w:p>
            <w:pPr>
              <w:spacing w:after="0"/>
              <w:rPr>
                <w:sz w:val="8"/>
                <w:szCs w:val="8"/>
                <w:color w:val="auto"/>
              </w:rPr>
            </w:pPr>
          </w:p>
        </w:tc>
        <w:tc>
          <w:tcPr>
            <w:tcW w:w="0" w:type="dxa"/>
            <w:vAlign w:val="bottom"/>
          </w:tcPr>
          <w:p>
            <w:pPr>
              <w:spacing w:after="0"/>
              <w:rPr>
                <w:sz w:val="1"/>
                <w:szCs w:val="1"/>
                <w:color w:val="auto"/>
              </w:rPr>
            </w:pPr>
          </w:p>
        </w:tc>
      </w:tr>
      <w:tr>
        <w:trPr>
          <w:trHeight w:val="222"/>
        </w:trPr>
        <w:tc>
          <w:tcPr>
            <w:tcW w:w="3100" w:type="dxa"/>
            <w:vAlign w:val="bottom"/>
          </w:tcPr>
          <w:p>
            <w:pPr>
              <w:spacing w:after="0"/>
              <w:rPr>
                <w:sz w:val="19"/>
                <w:szCs w:val="19"/>
                <w:color w:val="auto"/>
              </w:rPr>
            </w:pPr>
          </w:p>
        </w:tc>
        <w:tc>
          <w:tcPr>
            <w:tcW w:w="500" w:type="dxa"/>
            <w:vAlign w:val="bottom"/>
          </w:tcPr>
          <w:p>
            <w:pPr>
              <w:jc w:val="center"/>
              <w:spacing w:after="0"/>
              <w:rPr>
                <w:sz w:val="20"/>
                <w:szCs w:val="20"/>
                <w:color w:val="auto"/>
              </w:rPr>
            </w:pPr>
            <w:r>
              <w:rPr>
                <w:rFonts w:ascii="Arial" w:cs="Arial" w:eastAsia="Arial" w:hAnsi="Arial"/>
                <w:sz w:val="15"/>
                <w:szCs w:val="15"/>
                <w:color w:val="auto"/>
              </w:rPr>
              <w:t>2017</w:t>
            </w:r>
          </w:p>
        </w:tc>
        <w:tc>
          <w:tcPr>
            <w:tcW w:w="700" w:type="dxa"/>
            <w:vAlign w:val="bottom"/>
          </w:tcPr>
          <w:p>
            <w:pPr>
              <w:jc w:val="right"/>
              <w:ind w:right="4"/>
              <w:spacing w:after="0"/>
              <w:rPr>
                <w:sz w:val="20"/>
                <w:szCs w:val="20"/>
                <w:color w:val="auto"/>
              </w:rPr>
            </w:pPr>
            <w:r>
              <w:rPr>
                <w:rFonts w:ascii="Arial" w:cs="Arial" w:eastAsia="Arial" w:hAnsi="Arial"/>
                <w:sz w:val="15"/>
                <w:szCs w:val="15"/>
                <w:color w:val="auto"/>
              </w:rPr>
              <w:t>296,759</w:t>
            </w:r>
          </w:p>
        </w:tc>
        <w:tc>
          <w:tcPr>
            <w:tcW w:w="840" w:type="dxa"/>
            <w:vAlign w:val="bottom"/>
          </w:tcPr>
          <w:p>
            <w:pPr>
              <w:jc w:val="right"/>
              <w:ind w:right="4"/>
              <w:spacing w:after="0"/>
              <w:rPr>
                <w:sz w:val="20"/>
                <w:szCs w:val="20"/>
                <w:color w:val="auto"/>
              </w:rPr>
            </w:pPr>
            <w:r>
              <w:rPr>
                <w:rFonts w:ascii="Arial" w:cs="Arial" w:eastAsia="Arial" w:hAnsi="Arial"/>
                <w:sz w:val="15"/>
                <w:szCs w:val="15"/>
                <w:color w:val="auto"/>
              </w:rPr>
              <w:t>3,158,878</w:t>
            </w:r>
          </w:p>
        </w:tc>
        <w:tc>
          <w:tcPr>
            <w:tcW w:w="840" w:type="dxa"/>
            <w:vAlign w:val="bottom"/>
          </w:tcPr>
          <w:p>
            <w:pPr>
              <w:jc w:val="right"/>
              <w:ind w:right="4"/>
              <w:spacing w:after="0"/>
              <w:rPr>
                <w:sz w:val="20"/>
                <w:szCs w:val="20"/>
                <w:color w:val="auto"/>
              </w:rPr>
            </w:pPr>
            <w:r>
              <w:rPr>
                <w:rFonts w:ascii="Arial" w:cs="Arial" w:eastAsia="Arial" w:hAnsi="Arial"/>
                <w:sz w:val="15"/>
                <w:szCs w:val="15"/>
                <w:color w:val="auto"/>
              </w:rPr>
              <w:t>–</w:t>
            </w:r>
          </w:p>
        </w:tc>
        <w:tc>
          <w:tcPr>
            <w:tcW w:w="1180" w:type="dxa"/>
            <w:vAlign w:val="bottom"/>
          </w:tcPr>
          <w:p>
            <w:pPr>
              <w:jc w:val="right"/>
              <w:ind w:right="6"/>
              <w:spacing w:after="0"/>
              <w:rPr>
                <w:sz w:val="20"/>
                <w:szCs w:val="20"/>
                <w:color w:val="auto"/>
              </w:rPr>
            </w:pPr>
            <w:r>
              <w:rPr>
                <w:rFonts w:ascii="Arial" w:cs="Arial" w:eastAsia="Arial" w:hAnsi="Arial"/>
                <w:sz w:val="15"/>
                <w:szCs w:val="15"/>
                <w:color w:val="auto"/>
              </w:rPr>
              <w:t>269,641</w:t>
            </w:r>
          </w:p>
        </w:tc>
        <w:tc>
          <w:tcPr>
            <w:tcW w:w="1200" w:type="dxa"/>
            <w:vAlign w:val="bottom"/>
          </w:tcPr>
          <w:p>
            <w:pPr>
              <w:jc w:val="right"/>
              <w:ind w:right="26"/>
              <w:spacing w:after="0"/>
              <w:rPr>
                <w:sz w:val="20"/>
                <w:szCs w:val="20"/>
                <w:color w:val="auto"/>
              </w:rPr>
            </w:pPr>
            <w:r>
              <w:rPr>
                <w:rFonts w:ascii="Arial" w:cs="Arial" w:eastAsia="Arial" w:hAnsi="Arial"/>
                <w:sz w:val="15"/>
                <w:szCs w:val="15"/>
                <w:color w:val="auto"/>
              </w:rPr>
              <w:t>157,907</w:t>
            </w:r>
          </w:p>
        </w:tc>
        <w:tc>
          <w:tcPr>
            <w:tcW w:w="820" w:type="dxa"/>
            <w:vAlign w:val="bottom"/>
          </w:tcPr>
          <w:p>
            <w:pPr>
              <w:jc w:val="right"/>
              <w:spacing w:after="0"/>
              <w:rPr>
                <w:sz w:val="20"/>
                <w:szCs w:val="20"/>
                <w:color w:val="auto"/>
              </w:rPr>
            </w:pPr>
            <w:r>
              <w:rPr>
                <w:rFonts w:ascii="Arial" w:cs="Arial" w:eastAsia="Arial" w:hAnsi="Arial"/>
                <w:sz w:val="15"/>
                <w:szCs w:val="15"/>
                <w:color w:val="auto"/>
              </w:rPr>
              <w:t>3,883,185</w:t>
            </w:r>
          </w:p>
        </w:tc>
        <w:tc>
          <w:tcPr>
            <w:tcW w:w="0" w:type="dxa"/>
            <w:vAlign w:val="bottom"/>
          </w:tcPr>
          <w:p>
            <w:pPr>
              <w:spacing w:after="0"/>
              <w:rPr>
                <w:sz w:val="1"/>
                <w:szCs w:val="1"/>
                <w:color w:val="auto"/>
              </w:rPr>
            </w:pPr>
          </w:p>
        </w:tc>
      </w:tr>
      <w:tr>
        <w:trPr>
          <w:trHeight w:val="22"/>
        </w:trPr>
        <w:tc>
          <w:tcPr>
            <w:tcW w:w="3100" w:type="dxa"/>
            <w:vAlign w:val="bottom"/>
            <w:tcBorders>
              <w:bottom w:val="single" w:sz="8" w:color="4800E6"/>
            </w:tcBorders>
          </w:tcPr>
          <w:p>
            <w:pPr>
              <w:spacing w:after="0" w:line="20" w:lineRule="exact"/>
              <w:rPr>
                <w:sz w:val="1"/>
                <w:szCs w:val="1"/>
                <w:color w:val="auto"/>
              </w:rPr>
            </w:pPr>
          </w:p>
        </w:tc>
        <w:tc>
          <w:tcPr>
            <w:tcW w:w="500" w:type="dxa"/>
            <w:vAlign w:val="bottom"/>
            <w:tcBorders>
              <w:bottom w:val="single" w:sz="8" w:color="4800E6"/>
            </w:tcBorders>
          </w:tcPr>
          <w:p>
            <w:pPr>
              <w:spacing w:after="0" w:line="20" w:lineRule="exact"/>
              <w:rPr>
                <w:sz w:val="1"/>
                <w:szCs w:val="1"/>
                <w:color w:val="auto"/>
              </w:rPr>
            </w:pPr>
          </w:p>
        </w:tc>
        <w:tc>
          <w:tcPr>
            <w:tcW w:w="700" w:type="dxa"/>
            <w:vAlign w:val="bottom"/>
            <w:tcBorders>
              <w:bottom w:val="single" w:sz="8" w:color="4800E6"/>
            </w:tcBorders>
          </w:tcPr>
          <w:p>
            <w:pPr>
              <w:spacing w:after="0" w:line="20" w:lineRule="exact"/>
              <w:rPr>
                <w:sz w:val="1"/>
                <w:szCs w:val="1"/>
                <w:color w:val="auto"/>
              </w:rPr>
            </w:pPr>
          </w:p>
        </w:tc>
        <w:tc>
          <w:tcPr>
            <w:tcW w:w="840" w:type="dxa"/>
            <w:vAlign w:val="bottom"/>
            <w:tcBorders>
              <w:bottom w:val="single" w:sz="8" w:color="4800E6"/>
            </w:tcBorders>
          </w:tcPr>
          <w:p>
            <w:pPr>
              <w:spacing w:after="0" w:line="20" w:lineRule="exact"/>
              <w:rPr>
                <w:sz w:val="1"/>
                <w:szCs w:val="1"/>
                <w:color w:val="auto"/>
              </w:rPr>
            </w:pPr>
          </w:p>
        </w:tc>
        <w:tc>
          <w:tcPr>
            <w:tcW w:w="840" w:type="dxa"/>
            <w:vAlign w:val="bottom"/>
            <w:tcBorders>
              <w:bottom w:val="single" w:sz="8" w:color="4800E6"/>
            </w:tcBorders>
          </w:tcPr>
          <w:p>
            <w:pPr>
              <w:spacing w:after="0" w:line="20" w:lineRule="exact"/>
              <w:rPr>
                <w:sz w:val="1"/>
                <w:szCs w:val="1"/>
                <w:color w:val="auto"/>
              </w:rPr>
            </w:pPr>
          </w:p>
        </w:tc>
        <w:tc>
          <w:tcPr>
            <w:tcW w:w="1180" w:type="dxa"/>
            <w:vAlign w:val="bottom"/>
            <w:tcBorders>
              <w:bottom w:val="single" w:sz="8" w:color="4800E6"/>
            </w:tcBorders>
          </w:tcPr>
          <w:p>
            <w:pPr>
              <w:spacing w:after="0" w:line="20" w:lineRule="exact"/>
              <w:rPr>
                <w:sz w:val="1"/>
                <w:szCs w:val="1"/>
                <w:color w:val="auto"/>
              </w:rPr>
            </w:pPr>
          </w:p>
        </w:tc>
        <w:tc>
          <w:tcPr>
            <w:tcW w:w="1200" w:type="dxa"/>
            <w:vAlign w:val="bottom"/>
            <w:tcBorders>
              <w:bottom w:val="single" w:sz="8" w:color="4800E6"/>
            </w:tcBorders>
          </w:tcPr>
          <w:p>
            <w:pPr>
              <w:spacing w:after="0" w:line="20" w:lineRule="exact"/>
              <w:rPr>
                <w:sz w:val="1"/>
                <w:szCs w:val="1"/>
                <w:color w:val="auto"/>
              </w:rPr>
            </w:pPr>
          </w:p>
        </w:tc>
        <w:tc>
          <w:tcPr>
            <w:tcW w:w="820" w:type="dxa"/>
            <w:vAlign w:val="bottom"/>
            <w:tcBorders>
              <w:bottom w:val="single" w:sz="8" w:color="4800E6"/>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42"/>
        </w:trPr>
        <w:tc>
          <w:tcPr>
            <w:tcW w:w="3100" w:type="dxa"/>
            <w:vAlign w:val="bottom"/>
          </w:tcPr>
          <w:p>
            <w:pPr>
              <w:ind w:left="40"/>
              <w:spacing w:after="0"/>
              <w:rPr>
                <w:sz w:val="20"/>
                <w:szCs w:val="20"/>
                <w:color w:val="auto"/>
              </w:rPr>
            </w:pPr>
            <w:r>
              <w:rPr>
                <w:rFonts w:ascii="Arial" w:cs="Arial" w:eastAsia="Arial" w:hAnsi="Arial"/>
                <w:sz w:val="15"/>
                <w:szCs w:val="15"/>
                <w:b w:val="1"/>
                <w:bCs w:val="1"/>
                <w:color w:val="auto"/>
              </w:rPr>
              <w:t>Keyna Skeffington</w:t>
            </w:r>
          </w:p>
        </w:tc>
        <w:tc>
          <w:tcPr>
            <w:tcW w:w="500" w:type="dxa"/>
            <w:vAlign w:val="bottom"/>
          </w:tcPr>
          <w:p>
            <w:pPr>
              <w:jc w:val="center"/>
              <w:spacing w:after="0"/>
              <w:rPr>
                <w:sz w:val="20"/>
                <w:szCs w:val="20"/>
                <w:color w:val="auto"/>
              </w:rPr>
            </w:pPr>
            <w:r>
              <w:rPr>
                <w:rFonts w:ascii="Arial" w:cs="Arial" w:eastAsia="Arial" w:hAnsi="Arial"/>
                <w:sz w:val="15"/>
                <w:szCs w:val="15"/>
                <w:color w:val="auto"/>
              </w:rPr>
              <w:t>2019</w:t>
            </w:r>
          </w:p>
        </w:tc>
        <w:tc>
          <w:tcPr>
            <w:tcW w:w="700" w:type="dxa"/>
            <w:vAlign w:val="bottom"/>
          </w:tcPr>
          <w:p>
            <w:pPr>
              <w:jc w:val="right"/>
              <w:ind w:right="4"/>
              <w:spacing w:after="0"/>
              <w:rPr>
                <w:sz w:val="20"/>
                <w:szCs w:val="20"/>
                <w:color w:val="auto"/>
              </w:rPr>
            </w:pPr>
            <w:r>
              <w:rPr>
                <w:rFonts w:ascii="Arial" w:cs="Arial" w:eastAsia="Arial" w:hAnsi="Arial"/>
                <w:sz w:val="15"/>
                <w:szCs w:val="15"/>
                <w:color w:val="auto"/>
              </w:rPr>
              <w:t>424,183</w:t>
            </w:r>
          </w:p>
        </w:tc>
        <w:tc>
          <w:tcPr>
            <w:tcW w:w="840" w:type="dxa"/>
            <w:vAlign w:val="bottom"/>
          </w:tcPr>
          <w:p>
            <w:pPr>
              <w:jc w:val="right"/>
              <w:ind w:right="4"/>
              <w:spacing w:after="0"/>
              <w:rPr>
                <w:sz w:val="20"/>
                <w:szCs w:val="20"/>
                <w:color w:val="auto"/>
              </w:rPr>
            </w:pPr>
            <w:r>
              <w:rPr>
                <w:rFonts w:ascii="Arial" w:cs="Arial" w:eastAsia="Arial" w:hAnsi="Arial"/>
                <w:sz w:val="15"/>
                <w:szCs w:val="15"/>
                <w:color w:val="auto"/>
              </w:rPr>
              <w:t>683,719</w:t>
            </w:r>
          </w:p>
        </w:tc>
        <w:tc>
          <w:tcPr>
            <w:tcW w:w="840" w:type="dxa"/>
            <w:vAlign w:val="bottom"/>
          </w:tcPr>
          <w:p>
            <w:pPr>
              <w:jc w:val="right"/>
              <w:ind w:right="4"/>
              <w:spacing w:after="0"/>
              <w:rPr>
                <w:sz w:val="20"/>
                <w:szCs w:val="20"/>
                <w:color w:val="auto"/>
              </w:rPr>
            </w:pPr>
            <w:r>
              <w:rPr>
                <w:rFonts w:ascii="Arial" w:cs="Arial" w:eastAsia="Arial" w:hAnsi="Arial"/>
                <w:sz w:val="15"/>
                <w:szCs w:val="15"/>
                <w:color w:val="auto"/>
              </w:rPr>
              <w:t>224,988</w:t>
            </w:r>
          </w:p>
        </w:tc>
        <w:tc>
          <w:tcPr>
            <w:tcW w:w="1180" w:type="dxa"/>
            <w:vAlign w:val="bottom"/>
          </w:tcPr>
          <w:p>
            <w:pPr>
              <w:jc w:val="right"/>
              <w:ind w:right="6"/>
              <w:spacing w:after="0"/>
              <w:rPr>
                <w:sz w:val="20"/>
                <w:szCs w:val="20"/>
                <w:color w:val="auto"/>
              </w:rPr>
            </w:pPr>
            <w:r>
              <w:rPr>
                <w:rFonts w:ascii="Arial" w:cs="Arial" w:eastAsia="Arial" w:hAnsi="Arial"/>
                <w:sz w:val="15"/>
                <w:szCs w:val="15"/>
                <w:color w:val="auto"/>
              </w:rPr>
              <w:t>106,289</w:t>
            </w:r>
          </w:p>
        </w:tc>
        <w:tc>
          <w:tcPr>
            <w:tcW w:w="1200" w:type="dxa"/>
            <w:vAlign w:val="bottom"/>
          </w:tcPr>
          <w:p>
            <w:pPr>
              <w:jc w:val="right"/>
              <w:ind w:right="26"/>
              <w:spacing w:after="0"/>
              <w:rPr>
                <w:sz w:val="20"/>
                <w:szCs w:val="20"/>
                <w:color w:val="auto"/>
              </w:rPr>
            </w:pPr>
            <w:r>
              <w:rPr>
                <w:rFonts w:ascii="Arial" w:cs="Arial" w:eastAsia="Arial" w:hAnsi="Arial"/>
                <w:sz w:val="15"/>
                <w:szCs w:val="15"/>
                <w:color w:val="auto"/>
              </w:rPr>
              <w:t>128,751</w:t>
            </w:r>
          </w:p>
        </w:tc>
        <w:tc>
          <w:tcPr>
            <w:tcW w:w="820" w:type="dxa"/>
            <w:vAlign w:val="bottom"/>
          </w:tcPr>
          <w:p>
            <w:pPr>
              <w:jc w:val="right"/>
              <w:spacing w:after="0"/>
              <w:rPr>
                <w:sz w:val="20"/>
                <w:szCs w:val="20"/>
                <w:color w:val="auto"/>
              </w:rPr>
            </w:pPr>
            <w:r>
              <w:rPr>
                <w:rFonts w:ascii="Arial" w:cs="Arial" w:eastAsia="Arial" w:hAnsi="Arial"/>
                <w:sz w:val="15"/>
                <w:szCs w:val="15"/>
                <w:color w:val="auto"/>
              </w:rPr>
              <w:t>1,567,930</w:t>
            </w:r>
          </w:p>
        </w:tc>
        <w:tc>
          <w:tcPr>
            <w:tcW w:w="0" w:type="dxa"/>
            <w:vAlign w:val="bottom"/>
          </w:tcPr>
          <w:p>
            <w:pPr>
              <w:spacing w:after="0"/>
              <w:rPr>
                <w:sz w:val="1"/>
                <w:szCs w:val="1"/>
                <w:color w:val="auto"/>
              </w:rPr>
            </w:pPr>
          </w:p>
        </w:tc>
      </w:tr>
      <w:tr>
        <w:trPr>
          <w:trHeight w:val="35"/>
        </w:trPr>
        <w:tc>
          <w:tcPr>
            <w:tcW w:w="3100" w:type="dxa"/>
            <w:vAlign w:val="bottom"/>
            <w:vMerge w:val="restart"/>
          </w:tcPr>
          <w:p>
            <w:pPr>
              <w:ind w:left="200"/>
              <w:spacing w:after="0"/>
              <w:rPr>
                <w:sz w:val="20"/>
                <w:szCs w:val="20"/>
                <w:color w:val="auto"/>
              </w:rPr>
            </w:pPr>
            <w:r>
              <w:rPr>
                <w:rFonts w:ascii="Arial" w:cs="Arial" w:eastAsia="Arial" w:hAnsi="Arial"/>
                <w:sz w:val="15"/>
                <w:szCs w:val="15"/>
                <w:color w:val="auto"/>
              </w:rPr>
              <w:t>Senior Vice President, General Counsel</w:t>
            </w:r>
          </w:p>
        </w:tc>
        <w:tc>
          <w:tcPr>
            <w:tcW w:w="500" w:type="dxa"/>
            <w:vAlign w:val="bottom"/>
          </w:tcPr>
          <w:p>
            <w:pPr>
              <w:spacing w:after="0"/>
              <w:rPr>
                <w:sz w:val="3"/>
                <w:szCs w:val="3"/>
                <w:color w:val="auto"/>
              </w:rPr>
            </w:pPr>
          </w:p>
        </w:tc>
        <w:tc>
          <w:tcPr>
            <w:tcW w:w="700" w:type="dxa"/>
            <w:vAlign w:val="bottom"/>
          </w:tcPr>
          <w:p>
            <w:pPr>
              <w:spacing w:after="0"/>
              <w:rPr>
                <w:sz w:val="3"/>
                <w:szCs w:val="3"/>
                <w:color w:val="auto"/>
              </w:rPr>
            </w:pPr>
          </w:p>
        </w:tc>
        <w:tc>
          <w:tcPr>
            <w:tcW w:w="840" w:type="dxa"/>
            <w:vAlign w:val="bottom"/>
          </w:tcPr>
          <w:p>
            <w:pPr>
              <w:spacing w:after="0"/>
              <w:rPr>
                <w:sz w:val="3"/>
                <w:szCs w:val="3"/>
                <w:color w:val="auto"/>
              </w:rPr>
            </w:pPr>
          </w:p>
        </w:tc>
        <w:tc>
          <w:tcPr>
            <w:tcW w:w="840" w:type="dxa"/>
            <w:vAlign w:val="bottom"/>
          </w:tcPr>
          <w:p>
            <w:pPr>
              <w:spacing w:after="0"/>
              <w:rPr>
                <w:sz w:val="3"/>
                <w:szCs w:val="3"/>
                <w:color w:val="auto"/>
              </w:rPr>
            </w:pPr>
          </w:p>
        </w:tc>
        <w:tc>
          <w:tcPr>
            <w:tcW w:w="1180" w:type="dxa"/>
            <w:vAlign w:val="bottom"/>
          </w:tcPr>
          <w:p>
            <w:pPr>
              <w:spacing w:after="0"/>
              <w:rPr>
                <w:sz w:val="3"/>
                <w:szCs w:val="3"/>
                <w:color w:val="auto"/>
              </w:rPr>
            </w:pPr>
          </w:p>
        </w:tc>
        <w:tc>
          <w:tcPr>
            <w:tcW w:w="1200" w:type="dxa"/>
            <w:vAlign w:val="bottom"/>
          </w:tcPr>
          <w:p>
            <w:pPr>
              <w:spacing w:after="0"/>
              <w:rPr>
                <w:sz w:val="3"/>
                <w:szCs w:val="3"/>
                <w:color w:val="auto"/>
              </w:rPr>
            </w:pPr>
          </w:p>
        </w:tc>
        <w:tc>
          <w:tcPr>
            <w:tcW w:w="8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54"/>
        </w:trPr>
        <w:tc>
          <w:tcPr>
            <w:tcW w:w="3100" w:type="dxa"/>
            <w:vAlign w:val="bottom"/>
            <w:vMerge w:val="continue"/>
          </w:tcPr>
          <w:p>
            <w:pPr>
              <w:spacing w:after="0"/>
              <w:rPr>
                <w:sz w:val="13"/>
                <w:szCs w:val="13"/>
                <w:color w:val="auto"/>
              </w:rPr>
            </w:pPr>
          </w:p>
        </w:tc>
        <w:tc>
          <w:tcPr>
            <w:tcW w:w="500" w:type="dxa"/>
            <w:vAlign w:val="bottom"/>
            <w:vMerge w:val="restart"/>
            <w:shd w:val="clear" w:color="auto" w:fill="EFE9FC"/>
          </w:tcPr>
          <w:p>
            <w:pPr>
              <w:jc w:val="center"/>
              <w:spacing w:after="0"/>
              <w:rPr>
                <w:sz w:val="20"/>
                <w:szCs w:val="20"/>
                <w:color w:val="auto"/>
              </w:rPr>
            </w:pPr>
            <w:r>
              <w:rPr>
                <w:rFonts w:ascii="Arial" w:cs="Arial" w:eastAsia="Arial" w:hAnsi="Arial"/>
                <w:sz w:val="15"/>
                <w:szCs w:val="15"/>
                <w:color w:val="auto"/>
              </w:rPr>
              <w:t>2018</w:t>
            </w:r>
          </w:p>
        </w:tc>
        <w:tc>
          <w:tcPr>
            <w:tcW w:w="700" w:type="dxa"/>
            <w:vAlign w:val="bottom"/>
            <w:vMerge w:val="restart"/>
            <w:shd w:val="clear" w:color="auto" w:fill="EFE9FC"/>
          </w:tcPr>
          <w:p>
            <w:pPr>
              <w:jc w:val="right"/>
              <w:ind w:right="4"/>
              <w:spacing w:after="0"/>
              <w:rPr>
                <w:sz w:val="20"/>
                <w:szCs w:val="20"/>
                <w:color w:val="auto"/>
              </w:rPr>
            </w:pPr>
            <w:r>
              <w:rPr>
                <w:rFonts w:ascii="Arial" w:cs="Arial" w:eastAsia="Arial" w:hAnsi="Arial"/>
                <w:sz w:val="15"/>
                <w:szCs w:val="15"/>
                <w:color w:val="auto"/>
              </w:rPr>
              <w:t>410,166</w:t>
            </w:r>
          </w:p>
        </w:tc>
        <w:tc>
          <w:tcPr>
            <w:tcW w:w="840" w:type="dxa"/>
            <w:vAlign w:val="bottom"/>
            <w:vMerge w:val="restart"/>
            <w:shd w:val="clear" w:color="auto" w:fill="EFE9FC"/>
          </w:tcPr>
          <w:p>
            <w:pPr>
              <w:jc w:val="right"/>
              <w:ind w:right="4"/>
              <w:spacing w:after="0"/>
              <w:rPr>
                <w:sz w:val="20"/>
                <w:szCs w:val="20"/>
                <w:color w:val="auto"/>
              </w:rPr>
            </w:pPr>
            <w:r>
              <w:rPr>
                <w:rFonts w:ascii="Arial" w:cs="Arial" w:eastAsia="Arial" w:hAnsi="Arial"/>
                <w:sz w:val="15"/>
                <w:szCs w:val="15"/>
                <w:color w:val="auto"/>
              </w:rPr>
              <w:t>658,627</w:t>
            </w:r>
          </w:p>
        </w:tc>
        <w:tc>
          <w:tcPr>
            <w:tcW w:w="840" w:type="dxa"/>
            <w:vAlign w:val="bottom"/>
            <w:vMerge w:val="restart"/>
            <w:shd w:val="clear" w:color="auto" w:fill="EFE9FC"/>
          </w:tcPr>
          <w:p>
            <w:pPr>
              <w:jc w:val="right"/>
              <w:ind w:right="4"/>
              <w:spacing w:after="0"/>
              <w:rPr>
                <w:sz w:val="20"/>
                <w:szCs w:val="20"/>
                <w:color w:val="auto"/>
              </w:rPr>
            </w:pPr>
            <w:r>
              <w:rPr>
                <w:rFonts w:ascii="Arial" w:cs="Arial" w:eastAsia="Arial" w:hAnsi="Arial"/>
                <w:sz w:val="15"/>
                <w:szCs w:val="15"/>
                <w:color w:val="auto"/>
              </w:rPr>
              <w:t>162,473</w:t>
            </w:r>
          </w:p>
        </w:tc>
        <w:tc>
          <w:tcPr>
            <w:tcW w:w="1180" w:type="dxa"/>
            <w:vAlign w:val="bottom"/>
            <w:vMerge w:val="restart"/>
            <w:shd w:val="clear" w:color="auto" w:fill="EFE9FC"/>
          </w:tcPr>
          <w:p>
            <w:pPr>
              <w:jc w:val="right"/>
              <w:ind w:right="6"/>
              <w:spacing w:after="0"/>
              <w:rPr>
                <w:sz w:val="20"/>
                <w:szCs w:val="20"/>
                <w:color w:val="auto"/>
              </w:rPr>
            </w:pPr>
            <w:r>
              <w:rPr>
                <w:rFonts w:ascii="Arial" w:cs="Arial" w:eastAsia="Arial" w:hAnsi="Arial"/>
                <w:sz w:val="15"/>
                <w:szCs w:val="15"/>
                <w:color w:val="auto"/>
              </w:rPr>
              <w:t>251,619</w:t>
            </w:r>
          </w:p>
        </w:tc>
        <w:tc>
          <w:tcPr>
            <w:tcW w:w="1200" w:type="dxa"/>
            <w:vAlign w:val="bottom"/>
            <w:vMerge w:val="restart"/>
            <w:shd w:val="clear" w:color="auto" w:fill="EFE9FC"/>
          </w:tcPr>
          <w:p>
            <w:pPr>
              <w:jc w:val="right"/>
              <w:ind w:right="26"/>
              <w:spacing w:after="0"/>
              <w:rPr>
                <w:sz w:val="20"/>
                <w:szCs w:val="20"/>
                <w:color w:val="auto"/>
              </w:rPr>
            </w:pPr>
            <w:r>
              <w:rPr>
                <w:rFonts w:ascii="Arial" w:cs="Arial" w:eastAsia="Arial" w:hAnsi="Arial"/>
                <w:sz w:val="15"/>
                <w:szCs w:val="15"/>
                <w:color w:val="auto"/>
              </w:rPr>
              <w:t>134,393</w:t>
            </w:r>
          </w:p>
        </w:tc>
        <w:tc>
          <w:tcPr>
            <w:tcW w:w="820" w:type="dxa"/>
            <w:vAlign w:val="bottom"/>
            <w:vMerge w:val="restart"/>
            <w:shd w:val="clear" w:color="auto" w:fill="EFE9FC"/>
          </w:tcPr>
          <w:p>
            <w:pPr>
              <w:jc w:val="right"/>
              <w:spacing w:after="0"/>
              <w:rPr>
                <w:sz w:val="20"/>
                <w:szCs w:val="20"/>
                <w:color w:val="auto"/>
              </w:rPr>
            </w:pPr>
            <w:r>
              <w:rPr>
                <w:rFonts w:ascii="Arial" w:cs="Arial" w:eastAsia="Arial" w:hAnsi="Arial"/>
                <w:sz w:val="15"/>
                <w:szCs w:val="15"/>
                <w:color w:val="auto"/>
              </w:rPr>
              <w:t>1,617,278</w:t>
            </w:r>
          </w:p>
        </w:tc>
        <w:tc>
          <w:tcPr>
            <w:tcW w:w="0" w:type="dxa"/>
            <w:vAlign w:val="bottom"/>
          </w:tcPr>
          <w:p>
            <w:pPr>
              <w:spacing w:after="0"/>
              <w:rPr>
                <w:sz w:val="1"/>
                <w:szCs w:val="1"/>
                <w:color w:val="auto"/>
              </w:rPr>
            </w:pPr>
          </w:p>
        </w:tc>
      </w:tr>
      <w:tr>
        <w:trPr>
          <w:trHeight w:val="101"/>
        </w:trPr>
        <w:tc>
          <w:tcPr>
            <w:tcW w:w="3100" w:type="dxa"/>
            <w:vAlign w:val="bottom"/>
            <w:vMerge w:val="restart"/>
          </w:tcPr>
          <w:p>
            <w:pPr>
              <w:ind w:left="200"/>
              <w:spacing w:after="0"/>
              <w:rPr>
                <w:sz w:val="20"/>
                <w:szCs w:val="20"/>
                <w:color w:val="auto"/>
              </w:rPr>
            </w:pPr>
            <w:r>
              <w:rPr>
                <w:rFonts w:ascii="Arial" w:cs="Arial" w:eastAsia="Arial" w:hAnsi="Arial"/>
                <w:sz w:val="15"/>
                <w:szCs w:val="15"/>
                <w:color w:val="auto"/>
              </w:rPr>
              <w:t>and Company Secretary</w:t>
            </w:r>
          </w:p>
        </w:tc>
        <w:tc>
          <w:tcPr>
            <w:tcW w:w="500" w:type="dxa"/>
            <w:vAlign w:val="bottom"/>
            <w:tcBorders>
              <w:bottom w:val="single" w:sz="8" w:color="EFE9FC"/>
            </w:tcBorders>
            <w:vMerge w:val="continue"/>
            <w:shd w:val="clear" w:color="auto" w:fill="EFE9FC"/>
          </w:tcPr>
          <w:p>
            <w:pPr>
              <w:spacing w:after="0"/>
              <w:rPr>
                <w:sz w:val="8"/>
                <w:szCs w:val="8"/>
                <w:color w:val="auto"/>
              </w:rPr>
            </w:pPr>
          </w:p>
        </w:tc>
        <w:tc>
          <w:tcPr>
            <w:tcW w:w="700" w:type="dxa"/>
            <w:vAlign w:val="bottom"/>
            <w:tcBorders>
              <w:bottom w:val="single" w:sz="8" w:color="EFE9FC"/>
            </w:tcBorders>
            <w:vMerge w:val="continue"/>
            <w:shd w:val="clear" w:color="auto" w:fill="EFE9FC"/>
          </w:tcPr>
          <w:p>
            <w:pPr>
              <w:spacing w:after="0"/>
              <w:rPr>
                <w:sz w:val="8"/>
                <w:szCs w:val="8"/>
                <w:color w:val="auto"/>
              </w:rPr>
            </w:pPr>
          </w:p>
        </w:tc>
        <w:tc>
          <w:tcPr>
            <w:tcW w:w="840" w:type="dxa"/>
            <w:vAlign w:val="bottom"/>
            <w:tcBorders>
              <w:bottom w:val="single" w:sz="8" w:color="EFE9FC"/>
            </w:tcBorders>
            <w:vMerge w:val="continue"/>
            <w:shd w:val="clear" w:color="auto" w:fill="EFE9FC"/>
          </w:tcPr>
          <w:p>
            <w:pPr>
              <w:spacing w:after="0"/>
              <w:rPr>
                <w:sz w:val="8"/>
                <w:szCs w:val="8"/>
                <w:color w:val="auto"/>
              </w:rPr>
            </w:pPr>
          </w:p>
        </w:tc>
        <w:tc>
          <w:tcPr>
            <w:tcW w:w="840" w:type="dxa"/>
            <w:vAlign w:val="bottom"/>
            <w:tcBorders>
              <w:bottom w:val="single" w:sz="8" w:color="EFE9FC"/>
            </w:tcBorders>
            <w:vMerge w:val="continue"/>
            <w:shd w:val="clear" w:color="auto" w:fill="EFE9FC"/>
          </w:tcPr>
          <w:p>
            <w:pPr>
              <w:spacing w:after="0"/>
              <w:rPr>
                <w:sz w:val="8"/>
                <w:szCs w:val="8"/>
                <w:color w:val="auto"/>
              </w:rPr>
            </w:pPr>
          </w:p>
        </w:tc>
        <w:tc>
          <w:tcPr>
            <w:tcW w:w="1180" w:type="dxa"/>
            <w:vAlign w:val="bottom"/>
            <w:tcBorders>
              <w:bottom w:val="single" w:sz="8" w:color="EFE9FC"/>
            </w:tcBorders>
            <w:vMerge w:val="continue"/>
            <w:shd w:val="clear" w:color="auto" w:fill="EFE9FC"/>
          </w:tcPr>
          <w:p>
            <w:pPr>
              <w:spacing w:after="0"/>
              <w:rPr>
                <w:sz w:val="8"/>
                <w:szCs w:val="8"/>
                <w:color w:val="auto"/>
              </w:rPr>
            </w:pPr>
          </w:p>
        </w:tc>
        <w:tc>
          <w:tcPr>
            <w:tcW w:w="1200" w:type="dxa"/>
            <w:vAlign w:val="bottom"/>
            <w:tcBorders>
              <w:bottom w:val="single" w:sz="8" w:color="EFE9FC"/>
            </w:tcBorders>
            <w:vMerge w:val="continue"/>
            <w:shd w:val="clear" w:color="auto" w:fill="EFE9FC"/>
          </w:tcPr>
          <w:p>
            <w:pPr>
              <w:spacing w:after="0"/>
              <w:rPr>
                <w:sz w:val="8"/>
                <w:szCs w:val="8"/>
                <w:color w:val="auto"/>
              </w:rPr>
            </w:pPr>
          </w:p>
        </w:tc>
        <w:tc>
          <w:tcPr>
            <w:tcW w:w="820" w:type="dxa"/>
            <w:vAlign w:val="bottom"/>
            <w:tcBorders>
              <w:bottom w:val="single" w:sz="8" w:color="EFE9FC"/>
            </w:tcBorders>
            <w:vMerge w:val="continue"/>
            <w:shd w:val="clear" w:color="auto" w:fill="EFE9FC"/>
          </w:tcPr>
          <w:p>
            <w:pPr>
              <w:spacing w:after="0"/>
              <w:rPr>
                <w:sz w:val="8"/>
                <w:szCs w:val="8"/>
                <w:color w:val="auto"/>
              </w:rPr>
            </w:pPr>
          </w:p>
        </w:tc>
        <w:tc>
          <w:tcPr>
            <w:tcW w:w="0" w:type="dxa"/>
            <w:vAlign w:val="bottom"/>
          </w:tcPr>
          <w:p>
            <w:pPr>
              <w:spacing w:after="0"/>
              <w:rPr>
                <w:sz w:val="1"/>
                <w:szCs w:val="1"/>
                <w:color w:val="auto"/>
              </w:rPr>
            </w:pPr>
          </w:p>
        </w:tc>
      </w:tr>
      <w:tr>
        <w:trPr>
          <w:trHeight w:val="73"/>
        </w:trPr>
        <w:tc>
          <w:tcPr>
            <w:tcW w:w="3100" w:type="dxa"/>
            <w:vAlign w:val="bottom"/>
            <w:vMerge w:val="continue"/>
          </w:tcPr>
          <w:p>
            <w:pPr>
              <w:spacing w:after="0"/>
              <w:rPr>
                <w:sz w:val="6"/>
                <w:szCs w:val="6"/>
                <w:color w:val="auto"/>
              </w:rPr>
            </w:pPr>
          </w:p>
        </w:tc>
        <w:tc>
          <w:tcPr>
            <w:tcW w:w="500" w:type="dxa"/>
            <w:vAlign w:val="bottom"/>
            <w:vMerge w:val="restart"/>
          </w:tcPr>
          <w:p>
            <w:pPr>
              <w:jc w:val="center"/>
              <w:spacing w:after="0"/>
              <w:rPr>
                <w:sz w:val="20"/>
                <w:szCs w:val="20"/>
                <w:color w:val="auto"/>
              </w:rPr>
            </w:pPr>
            <w:r>
              <w:rPr>
                <w:rFonts w:ascii="Arial" w:cs="Arial" w:eastAsia="Arial" w:hAnsi="Arial"/>
                <w:sz w:val="15"/>
                <w:szCs w:val="15"/>
                <w:color w:val="auto"/>
              </w:rPr>
              <w:t>2017</w:t>
            </w:r>
          </w:p>
        </w:tc>
        <w:tc>
          <w:tcPr>
            <w:tcW w:w="700" w:type="dxa"/>
            <w:vAlign w:val="bottom"/>
            <w:vMerge w:val="restart"/>
          </w:tcPr>
          <w:p>
            <w:pPr>
              <w:jc w:val="right"/>
              <w:ind w:right="4"/>
              <w:spacing w:after="0"/>
              <w:rPr>
                <w:sz w:val="20"/>
                <w:szCs w:val="20"/>
                <w:color w:val="auto"/>
              </w:rPr>
            </w:pPr>
            <w:r>
              <w:rPr>
                <w:rFonts w:ascii="Arial" w:cs="Arial" w:eastAsia="Arial" w:hAnsi="Arial"/>
                <w:sz w:val="15"/>
                <w:szCs w:val="15"/>
                <w:color w:val="auto"/>
              </w:rPr>
              <w:t>215,599</w:t>
            </w:r>
          </w:p>
        </w:tc>
        <w:tc>
          <w:tcPr>
            <w:tcW w:w="840" w:type="dxa"/>
            <w:vAlign w:val="bottom"/>
            <w:vMerge w:val="restart"/>
          </w:tcPr>
          <w:p>
            <w:pPr>
              <w:jc w:val="right"/>
              <w:ind w:right="4"/>
              <w:spacing w:after="0"/>
              <w:rPr>
                <w:sz w:val="20"/>
                <w:szCs w:val="20"/>
                <w:color w:val="auto"/>
              </w:rPr>
            </w:pPr>
            <w:r>
              <w:rPr>
                <w:rFonts w:ascii="Arial" w:cs="Arial" w:eastAsia="Arial" w:hAnsi="Arial"/>
                <w:sz w:val="15"/>
                <w:szCs w:val="15"/>
                <w:color w:val="auto"/>
              </w:rPr>
              <w:t>274,962</w:t>
            </w:r>
          </w:p>
        </w:tc>
        <w:tc>
          <w:tcPr>
            <w:tcW w:w="840" w:type="dxa"/>
            <w:vAlign w:val="bottom"/>
            <w:vMerge w:val="restart"/>
          </w:tcPr>
          <w:p>
            <w:pPr>
              <w:jc w:val="right"/>
              <w:ind w:right="4"/>
              <w:spacing w:after="0"/>
              <w:rPr>
                <w:sz w:val="20"/>
                <w:szCs w:val="20"/>
                <w:color w:val="auto"/>
              </w:rPr>
            </w:pPr>
            <w:r>
              <w:rPr>
                <w:rFonts w:ascii="Arial" w:cs="Arial" w:eastAsia="Arial" w:hAnsi="Arial"/>
                <w:sz w:val="15"/>
                <w:szCs w:val="15"/>
                <w:color w:val="auto"/>
              </w:rPr>
              <w:t>258,412</w:t>
            </w:r>
          </w:p>
        </w:tc>
        <w:tc>
          <w:tcPr>
            <w:tcW w:w="1180" w:type="dxa"/>
            <w:vAlign w:val="bottom"/>
            <w:vMerge w:val="restart"/>
          </w:tcPr>
          <w:p>
            <w:pPr>
              <w:jc w:val="right"/>
              <w:ind w:right="6"/>
              <w:spacing w:after="0"/>
              <w:rPr>
                <w:sz w:val="20"/>
                <w:szCs w:val="20"/>
                <w:color w:val="auto"/>
              </w:rPr>
            </w:pPr>
            <w:r>
              <w:rPr>
                <w:rFonts w:ascii="Arial" w:cs="Arial" w:eastAsia="Arial" w:hAnsi="Arial"/>
                <w:sz w:val="15"/>
                <w:szCs w:val="15"/>
                <w:color w:val="auto"/>
              </w:rPr>
              <w:t>118,407</w:t>
            </w:r>
          </w:p>
        </w:tc>
        <w:tc>
          <w:tcPr>
            <w:tcW w:w="1200" w:type="dxa"/>
            <w:vAlign w:val="bottom"/>
            <w:vMerge w:val="restart"/>
          </w:tcPr>
          <w:p>
            <w:pPr>
              <w:jc w:val="right"/>
              <w:ind w:right="26"/>
              <w:spacing w:after="0"/>
              <w:rPr>
                <w:sz w:val="20"/>
                <w:szCs w:val="20"/>
                <w:color w:val="auto"/>
              </w:rPr>
            </w:pPr>
            <w:r>
              <w:rPr>
                <w:rFonts w:ascii="Arial" w:cs="Arial" w:eastAsia="Arial" w:hAnsi="Arial"/>
                <w:sz w:val="15"/>
                <w:szCs w:val="15"/>
                <w:color w:val="auto"/>
              </w:rPr>
              <w:t>108,865</w:t>
            </w:r>
          </w:p>
        </w:tc>
        <w:tc>
          <w:tcPr>
            <w:tcW w:w="820" w:type="dxa"/>
            <w:vAlign w:val="bottom"/>
            <w:vMerge w:val="restart"/>
          </w:tcPr>
          <w:p>
            <w:pPr>
              <w:jc w:val="right"/>
              <w:spacing w:after="0"/>
              <w:rPr>
                <w:sz w:val="20"/>
                <w:szCs w:val="20"/>
                <w:color w:val="auto"/>
              </w:rPr>
            </w:pPr>
            <w:r>
              <w:rPr>
                <w:rFonts w:ascii="Arial" w:cs="Arial" w:eastAsia="Arial" w:hAnsi="Arial"/>
                <w:sz w:val="15"/>
                <w:szCs w:val="15"/>
                <w:color w:val="auto"/>
              </w:rPr>
              <w:t>976,245</w:t>
            </w:r>
          </w:p>
        </w:tc>
        <w:tc>
          <w:tcPr>
            <w:tcW w:w="0" w:type="dxa"/>
            <w:vAlign w:val="bottom"/>
          </w:tcPr>
          <w:p>
            <w:pPr>
              <w:spacing w:after="0"/>
              <w:rPr>
                <w:sz w:val="1"/>
                <w:szCs w:val="1"/>
                <w:color w:val="auto"/>
              </w:rPr>
            </w:pPr>
          </w:p>
        </w:tc>
      </w:tr>
      <w:tr>
        <w:trPr>
          <w:trHeight w:val="149"/>
        </w:trPr>
        <w:tc>
          <w:tcPr>
            <w:tcW w:w="3100" w:type="dxa"/>
            <w:vAlign w:val="bottom"/>
          </w:tcPr>
          <w:p>
            <w:pPr>
              <w:spacing w:after="0"/>
              <w:rPr>
                <w:sz w:val="12"/>
                <w:szCs w:val="12"/>
                <w:color w:val="auto"/>
              </w:rPr>
            </w:pPr>
          </w:p>
        </w:tc>
        <w:tc>
          <w:tcPr>
            <w:tcW w:w="500" w:type="dxa"/>
            <w:vAlign w:val="bottom"/>
            <w:vMerge w:val="continue"/>
          </w:tcPr>
          <w:p>
            <w:pPr>
              <w:spacing w:after="0"/>
              <w:rPr>
                <w:sz w:val="12"/>
                <w:szCs w:val="12"/>
                <w:color w:val="auto"/>
              </w:rPr>
            </w:pPr>
          </w:p>
        </w:tc>
        <w:tc>
          <w:tcPr>
            <w:tcW w:w="700" w:type="dxa"/>
            <w:vAlign w:val="bottom"/>
            <w:vMerge w:val="continue"/>
          </w:tcPr>
          <w:p>
            <w:pPr>
              <w:spacing w:after="0"/>
              <w:rPr>
                <w:sz w:val="12"/>
                <w:szCs w:val="12"/>
                <w:color w:val="auto"/>
              </w:rPr>
            </w:pPr>
          </w:p>
        </w:tc>
        <w:tc>
          <w:tcPr>
            <w:tcW w:w="840" w:type="dxa"/>
            <w:vAlign w:val="bottom"/>
            <w:vMerge w:val="continue"/>
          </w:tcPr>
          <w:p>
            <w:pPr>
              <w:spacing w:after="0"/>
              <w:rPr>
                <w:sz w:val="12"/>
                <w:szCs w:val="12"/>
                <w:color w:val="auto"/>
              </w:rPr>
            </w:pPr>
          </w:p>
        </w:tc>
        <w:tc>
          <w:tcPr>
            <w:tcW w:w="840" w:type="dxa"/>
            <w:vAlign w:val="bottom"/>
            <w:vMerge w:val="continue"/>
          </w:tcPr>
          <w:p>
            <w:pPr>
              <w:spacing w:after="0"/>
              <w:rPr>
                <w:sz w:val="12"/>
                <w:szCs w:val="12"/>
                <w:color w:val="auto"/>
              </w:rPr>
            </w:pPr>
          </w:p>
        </w:tc>
        <w:tc>
          <w:tcPr>
            <w:tcW w:w="1180" w:type="dxa"/>
            <w:vAlign w:val="bottom"/>
            <w:vMerge w:val="continue"/>
          </w:tcPr>
          <w:p>
            <w:pPr>
              <w:spacing w:after="0"/>
              <w:rPr>
                <w:sz w:val="12"/>
                <w:szCs w:val="12"/>
                <w:color w:val="auto"/>
              </w:rPr>
            </w:pPr>
          </w:p>
        </w:tc>
        <w:tc>
          <w:tcPr>
            <w:tcW w:w="1200" w:type="dxa"/>
            <w:vAlign w:val="bottom"/>
            <w:vMerge w:val="continue"/>
          </w:tcPr>
          <w:p>
            <w:pPr>
              <w:spacing w:after="0"/>
              <w:rPr>
                <w:sz w:val="12"/>
                <w:szCs w:val="12"/>
                <w:color w:val="auto"/>
              </w:rPr>
            </w:pPr>
          </w:p>
        </w:tc>
        <w:tc>
          <w:tcPr>
            <w:tcW w:w="8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2"/>
        </w:trPr>
        <w:tc>
          <w:tcPr>
            <w:tcW w:w="3100" w:type="dxa"/>
            <w:vAlign w:val="bottom"/>
            <w:tcBorders>
              <w:bottom w:val="single" w:sz="8" w:color="4800E6"/>
            </w:tcBorders>
          </w:tcPr>
          <w:p>
            <w:pPr>
              <w:spacing w:after="0" w:line="20" w:lineRule="exact"/>
              <w:rPr>
                <w:sz w:val="1"/>
                <w:szCs w:val="1"/>
                <w:color w:val="auto"/>
              </w:rPr>
            </w:pPr>
          </w:p>
        </w:tc>
        <w:tc>
          <w:tcPr>
            <w:tcW w:w="500" w:type="dxa"/>
            <w:vAlign w:val="bottom"/>
            <w:tcBorders>
              <w:bottom w:val="single" w:sz="8" w:color="4800E6"/>
            </w:tcBorders>
          </w:tcPr>
          <w:p>
            <w:pPr>
              <w:spacing w:after="0" w:line="20" w:lineRule="exact"/>
              <w:rPr>
                <w:sz w:val="1"/>
                <w:szCs w:val="1"/>
                <w:color w:val="auto"/>
              </w:rPr>
            </w:pPr>
          </w:p>
        </w:tc>
        <w:tc>
          <w:tcPr>
            <w:tcW w:w="700" w:type="dxa"/>
            <w:vAlign w:val="bottom"/>
            <w:tcBorders>
              <w:bottom w:val="single" w:sz="8" w:color="4800E6"/>
            </w:tcBorders>
          </w:tcPr>
          <w:p>
            <w:pPr>
              <w:spacing w:after="0" w:line="20" w:lineRule="exact"/>
              <w:rPr>
                <w:sz w:val="1"/>
                <w:szCs w:val="1"/>
                <w:color w:val="auto"/>
              </w:rPr>
            </w:pPr>
          </w:p>
        </w:tc>
        <w:tc>
          <w:tcPr>
            <w:tcW w:w="840" w:type="dxa"/>
            <w:vAlign w:val="bottom"/>
            <w:tcBorders>
              <w:bottom w:val="single" w:sz="8" w:color="4800E6"/>
            </w:tcBorders>
          </w:tcPr>
          <w:p>
            <w:pPr>
              <w:spacing w:after="0" w:line="20" w:lineRule="exact"/>
              <w:rPr>
                <w:sz w:val="1"/>
                <w:szCs w:val="1"/>
                <w:color w:val="auto"/>
              </w:rPr>
            </w:pPr>
          </w:p>
        </w:tc>
        <w:tc>
          <w:tcPr>
            <w:tcW w:w="840" w:type="dxa"/>
            <w:vAlign w:val="bottom"/>
            <w:tcBorders>
              <w:bottom w:val="single" w:sz="8" w:color="4800E6"/>
            </w:tcBorders>
          </w:tcPr>
          <w:p>
            <w:pPr>
              <w:spacing w:after="0" w:line="20" w:lineRule="exact"/>
              <w:rPr>
                <w:sz w:val="1"/>
                <w:szCs w:val="1"/>
                <w:color w:val="auto"/>
              </w:rPr>
            </w:pPr>
          </w:p>
        </w:tc>
        <w:tc>
          <w:tcPr>
            <w:tcW w:w="1180" w:type="dxa"/>
            <w:vAlign w:val="bottom"/>
            <w:tcBorders>
              <w:bottom w:val="single" w:sz="8" w:color="4800E6"/>
            </w:tcBorders>
          </w:tcPr>
          <w:p>
            <w:pPr>
              <w:spacing w:after="0" w:line="20" w:lineRule="exact"/>
              <w:rPr>
                <w:sz w:val="1"/>
                <w:szCs w:val="1"/>
                <w:color w:val="auto"/>
              </w:rPr>
            </w:pPr>
          </w:p>
        </w:tc>
        <w:tc>
          <w:tcPr>
            <w:tcW w:w="1200" w:type="dxa"/>
            <w:vAlign w:val="bottom"/>
            <w:tcBorders>
              <w:bottom w:val="single" w:sz="8" w:color="4800E6"/>
            </w:tcBorders>
          </w:tcPr>
          <w:p>
            <w:pPr>
              <w:spacing w:after="0" w:line="20" w:lineRule="exact"/>
              <w:rPr>
                <w:sz w:val="1"/>
                <w:szCs w:val="1"/>
                <w:color w:val="auto"/>
              </w:rPr>
            </w:pPr>
          </w:p>
        </w:tc>
        <w:tc>
          <w:tcPr>
            <w:tcW w:w="820" w:type="dxa"/>
            <w:vAlign w:val="bottom"/>
            <w:tcBorders>
              <w:bottom w:val="single" w:sz="8" w:color="4800E6"/>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5"/>
        </w:trPr>
        <w:tc>
          <w:tcPr>
            <w:tcW w:w="3100" w:type="dxa"/>
            <w:vAlign w:val="bottom"/>
          </w:tcPr>
          <w:p>
            <w:pPr>
              <w:ind w:left="40"/>
              <w:spacing w:after="0"/>
              <w:rPr>
                <w:sz w:val="20"/>
                <w:szCs w:val="20"/>
                <w:color w:val="auto"/>
              </w:rPr>
            </w:pPr>
            <w:r>
              <w:rPr>
                <w:rFonts w:ascii="Arial" w:cs="Arial" w:eastAsia="Arial" w:hAnsi="Arial"/>
                <w:sz w:val="15"/>
                <w:szCs w:val="15"/>
                <w:b w:val="1"/>
                <w:bCs w:val="1"/>
                <w:color w:val="auto"/>
              </w:rPr>
              <w:t>Edward Andrle</w:t>
            </w:r>
          </w:p>
        </w:tc>
        <w:tc>
          <w:tcPr>
            <w:tcW w:w="500" w:type="dxa"/>
            <w:vAlign w:val="bottom"/>
          </w:tcPr>
          <w:p>
            <w:pPr>
              <w:jc w:val="center"/>
              <w:spacing w:after="0"/>
              <w:rPr>
                <w:sz w:val="20"/>
                <w:szCs w:val="20"/>
                <w:color w:val="auto"/>
              </w:rPr>
            </w:pPr>
            <w:r>
              <w:rPr>
                <w:rFonts w:ascii="Arial" w:cs="Arial" w:eastAsia="Arial" w:hAnsi="Arial"/>
                <w:sz w:val="15"/>
                <w:szCs w:val="15"/>
                <w:color w:val="auto"/>
              </w:rPr>
              <w:t>2019</w:t>
            </w:r>
          </w:p>
        </w:tc>
        <w:tc>
          <w:tcPr>
            <w:tcW w:w="700" w:type="dxa"/>
            <w:vAlign w:val="bottom"/>
          </w:tcPr>
          <w:p>
            <w:pPr>
              <w:jc w:val="right"/>
              <w:ind w:right="4"/>
              <w:spacing w:after="0"/>
              <w:rPr>
                <w:sz w:val="20"/>
                <w:szCs w:val="20"/>
                <w:color w:val="auto"/>
              </w:rPr>
            </w:pPr>
            <w:r>
              <w:rPr>
                <w:rFonts w:ascii="Arial" w:cs="Arial" w:eastAsia="Arial" w:hAnsi="Arial"/>
                <w:sz w:val="15"/>
                <w:szCs w:val="15"/>
                <w:color w:val="auto"/>
              </w:rPr>
              <w:t>429,231</w:t>
            </w:r>
          </w:p>
        </w:tc>
        <w:tc>
          <w:tcPr>
            <w:tcW w:w="840" w:type="dxa"/>
            <w:vAlign w:val="bottom"/>
          </w:tcPr>
          <w:p>
            <w:pPr>
              <w:jc w:val="right"/>
              <w:ind w:right="4"/>
              <w:spacing w:after="0"/>
              <w:rPr>
                <w:sz w:val="20"/>
                <w:szCs w:val="20"/>
                <w:color w:val="auto"/>
              </w:rPr>
            </w:pPr>
            <w:r>
              <w:rPr>
                <w:rFonts w:ascii="Arial" w:cs="Arial" w:eastAsia="Arial" w:hAnsi="Arial"/>
                <w:sz w:val="15"/>
                <w:szCs w:val="15"/>
                <w:color w:val="auto"/>
              </w:rPr>
              <w:t>569,913</w:t>
            </w:r>
          </w:p>
        </w:tc>
        <w:tc>
          <w:tcPr>
            <w:tcW w:w="840" w:type="dxa"/>
            <w:vAlign w:val="bottom"/>
          </w:tcPr>
          <w:p>
            <w:pPr>
              <w:jc w:val="right"/>
              <w:ind w:right="4"/>
              <w:spacing w:after="0"/>
              <w:rPr>
                <w:sz w:val="20"/>
                <w:szCs w:val="20"/>
                <w:color w:val="auto"/>
              </w:rPr>
            </w:pPr>
            <w:r>
              <w:rPr>
                <w:rFonts w:ascii="Arial" w:cs="Arial" w:eastAsia="Arial" w:hAnsi="Arial"/>
                <w:sz w:val="15"/>
                <w:szCs w:val="15"/>
                <w:color w:val="auto"/>
              </w:rPr>
              <w:t>187,479</w:t>
            </w:r>
          </w:p>
        </w:tc>
        <w:tc>
          <w:tcPr>
            <w:tcW w:w="1180" w:type="dxa"/>
            <w:vAlign w:val="bottom"/>
          </w:tcPr>
          <w:p>
            <w:pPr>
              <w:jc w:val="right"/>
              <w:ind w:right="6"/>
              <w:spacing w:after="0"/>
              <w:rPr>
                <w:sz w:val="20"/>
                <w:szCs w:val="20"/>
                <w:color w:val="auto"/>
              </w:rPr>
            </w:pPr>
            <w:r>
              <w:rPr>
                <w:rFonts w:ascii="Arial" w:cs="Arial" w:eastAsia="Arial" w:hAnsi="Arial"/>
                <w:sz w:val="15"/>
                <w:szCs w:val="15"/>
                <w:color w:val="auto"/>
              </w:rPr>
              <w:t>107,116</w:t>
            </w:r>
          </w:p>
        </w:tc>
        <w:tc>
          <w:tcPr>
            <w:tcW w:w="1200" w:type="dxa"/>
            <w:vAlign w:val="bottom"/>
          </w:tcPr>
          <w:p>
            <w:pPr>
              <w:jc w:val="right"/>
              <w:ind w:right="26"/>
              <w:spacing w:after="0"/>
              <w:rPr>
                <w:sz w:val="20"/>
                <w:szCs w:val="20"/>
                <w:color w:val="auto"/>
              </w:rPr>
            </w:pPr>
            <w:r>
              <w:rPr>
                <w:rFonts w:ascii="Arial" w:cs="Arial" w:eastAsia="Arial" w:hAnsi="Arial"/>
                <w:sz w:val="15"/>
                <w:szCs w:val="15"/>
                <w:color w:val="auto"/>
              </w:rPr>
              <w:t>81,202</w:t>
            </w:r>
          </w:p>
        </w:tc>
        <w:tc>
          <w:tcPr>
            <w:tcW w:w="820" w:type="dxa"/>
            <w:vAlign w:val="bottom"/>
          </w:tcPr>
          <w:p>
            <w:pPr>
              <w:jc w:val="right"/>
              <w:spacing w:after="0"/>
              <w:rPr>
                <w:sz w:val="20"/>
                <w:szCs w:val="20"/>
                <w:color w:val="auto"/>
              </w:rPr>
            </w:pPr>
            <w:r>
              <w:rPr>
                <w:rFonts w:ascii="Arial" w:cs="Arial" w:eastAsia="Arial" w:hAnsi="Arial"/>
                <w:sz w:val="15"/>
                <w:szCs w:val="15"/>
                <w:color w:val="auto"/>
              </w:rPr>
              <w:t>1,374,941</w:t>
            </w:r>
          </w:p>
        </w:tc>
        <w:tc>
          <w:tcPr>
            <w:tcW w:w="0" w:type="dxa"/>
            <w:vAlign w:val="bottom"/>
          </w:tcPr>
          <w:p>
            <w:pPr>
              <w:spacing w:after="0"/>
              <w:rPr>
                <w:sz w:val="1"/>
                <w:szCs w:val="1"/>
                <w:color w:val="auto"/>
              </w:rPr>
            </w:pPr>
          </w:p>
        </w:tc>
      </w:tr>
      <w:tr>
        <w:trPr>
          <w:trHeight w:val="189"/>
        </w:trPr>
        <w:tc>
          <w:tcPr>
            <w:tcW w:w="3100" w:type="dxa"/>
            <w:vAlign w:val="bottom"/>
          </w:tcPr>
          <w:p>
            <w:pPr>
              <w:ind w:left="200"/>
              <w:spacing w:after="0"/>
              <w:rPr>
                <w:sz w:val="20"/>
                <w:szCs w:val="20"/>
                <w:color w:val="auto"/>
              </w:rPr>
            </w:pPr>
            <w:r>
              <w:rPr>
                <w:rFonts w:ascii="Arial" w:cs="Arial" w:eastAsia="Arial" w:hAnsi="Arial"/>
                <w:sz w:val="15"/>
                <w:szCs w:val="15"/>
                <w:color w:val="auto"/>
              </w:rPr>
              <w:t>General Manager, NM</w:t>
            </w:r>
          </w:p>
        </w:tc>
        <w:tc>
          <w:tcPr>
            <w:tcW w:w="5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
        </w:trPr>
        <w:tc>
          <w:tcPr>
            <w:tcW w:w="3100" w:type="dxa"/>
            <w:vAlign w:val="bottom"/>
            <w:tcBorders>
              <w:bottom w:val="single" w:sz="8" w:color="4800E6"/>
            </w:tcBorders>
          </w:tcPr>
          <w:p>
            <w:pPr>
              <w:spacing w:after="0" w:line="20" w:lineRule="exact"/>
              <w:rPr>
                <w:sz w:val="1"/>
                <w:szCs w:val="1"/>
                <w:color w:val="auto"/>
              </w:rPr>
            </w:pPr>
          </w:p>
        </w:tc>
        <w:tc>
          <w:tcPr>
            <w:tcW w:w="500" w:type="dxa"/>
            <w:vAlign w:val="bottom"/>
            <w:tcBorders>
              <w:bottom w:val="single" w:sz="8" w:color="4800E6"/>
            </w:tcBorders>
          </w:tcPr>
          <w:p>
            <w:pPr>
              <w:spacing w:after="0" w:line="20" w:lineRule="exact"/>
              <w:rPr>
                <w:sz w:val="1"/>
                <w:szCs w:val="1"/>
                <w:color w:val="auto"/>
              </w:rPr>
            </w:pPr>
          </w:p>
        </w:tc>
        <w:tc>
          <w:tcPr>
            <w:tcW w:w="700" w:type="dxa"/>
            <w:vAlign w:val="bottom"/>
            <w:tcBorders>
              <w:bottom w:val="single" w:sz="8" w:color="4800E6"/>
            </w:tcBorders>
          </w:tcPr>
          <w:p>
            <w:pPr>
              <w:spacing w:after="0" w:line="20" w:lineRule="exact"/>
              <w:rPr>
                <w:sz w:val="1"/>
                <w:szCs w:val="1"/>
                <w:color w:val="auto"/>
              </w:rPr>
            </w:pPr>
          </w:p>
        </w:tc>
        <w:tc>
          <w:tcPr>
            <w:tcW w:w="840" w:type="dxa"/>
            <w:vAlign w:val="bottom"/>
            <w:tcBorders>
              <w:bottom w:val="single" w:sz="8" w:color="4800E6"/>
            </w:tcBorders>
          </w:tcPr>
          <w:p>
            <w:pPr>
              <w:spacing w:after="0" w:line="20" w:lineRule="exact"/>
              <w:rPr>
                <w:sz w:val="1"/>
                <w:szCs w:val="1"/>
                <w:color w:val="auto"/>
              </w:rPr>
            </w:pPr>
          </w:p>
        </w:tc>
        <w:tc>
          <w:tcPr>
            <w:tcW w:w="840" w:type="dxa"/>
            <w:vAlign w:val="bottom"/>
            <w:tcBorders>
              <w:bottom w:val="single" w:sz="8" w:color="4800E6"/>
            </w:tcBorders>
          </w:tcPr>
          <w:p>
            <w:pPr>
              <w:spacing w:after="0" w:line="20" w:lineRule="exact"/>
              <w:rPr>
                <w:sz w:val="1"/>
                <w:szCs w:val="1"/>
                <w:color w:val="auto"/>
              </w:rPr>
            </w:pPr>
          </w:p>
        </w:tc>
        <w:tc>
          <w:tcPr>
            <w:tcW w:w="1180" w:type="dxa"/>
            <w:vAlign w:val="bottom"/>
            <w:tcBorders>
              <w:bottom w:val="single" w:sz="8" w:color="4800E6"/>
            </w:tcBorders>
          </w:tcPr>
          <w:p>
            <w:pPr>
              <w:spacing w:after="0" w:line="20" w:lineRule="exact"/>
              <w:rPr>
                <w:sz w:val="1"/>
                <w:szCs w:val="1"/>
                <w:color w:val="auto"/>
              </w:rPr>
            </w:pPr>
          </w:p>
        </w:tc>
        <w:tc>
          <w:tcPr>
            <w:tcW w:w="1200" w:type="dxa"/>
            <w:vAlign w:val="bottom"/>
            <w:tcBorders>
              <w:bottom w:val="single" w:sz="8" w:color="4800E6"/>
            </w:tcBorders>
          </w:tcPr>
          <w:p>
            <w:pPr>
              <w:spacing w:after="0" w:line="20" w:lineRule="exact"/>
              <w:rPr>
                <w:sz w:val="1"/>
                <w:szCs w:val="1"/>
                <w:color w:val="auto"/>
              </w:rPr>
            </w:pPr>
          </w:p>
        </w:tc>
        <w:tc>
          <w:tcPr>
            <w:tcW w:w="820" w:type="dxa"/>
            <w:vAlign w:val="bottom"/>
            <w:tcBorders>
              <w:bottom w:val="single" w:sz="8" w:color="4800E6"/>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5"/>
        </w:trPr>
        <w:tc>
          <w:tcPr>
            <w:tcW w:w="3100" w:type="dxa"/>
            <w:vAlign w:val="bottom"/>
          </w:tcPr>
          <w:p>
            <w:pPr>
              <w:ind w:left="40"/>
              <w:spacing w:after="0"/>
              <w:rPr>
                <w:sz w:val="20"/>
                <w:szCs w:val="20"/>
                <w:color w:val="auto"/>
              </w:rPr>
            </w:pPr>
            <w:r>
              <w:rPr>
                <w:rFonts w:ascii="Arial" w:cs="Arial" w:eastAsia="Arial" w:hAnsi="Arial"/>
                <w:sz w:val="15"/>
                <w:szCs w:val="15"/>
                <w:b w:val="1"/>
                <w:bCs w:val="1"/>
                <w:color w:val="auto"/>
              </w:rPr>
              <w:t>Alistair Simpson</w:t>
            </w:r>
          </w:p>
        </w:tc>
        <w:tc>
          <w:tcPr>
            <w:tcW w:w="500" w:type="dxa"/>
            <w:vAlign w:val="bottom"/>
          </w:tcPr>
          <w:p>
            <w:pPr>
              <w:jc w:val="center"/>
              <w:spacing w:after="0"/>
              <w:rPr>
                <w:sz w:val="20"/>
                <w:szCs w:val="20"/>
                <w:color w:val="auto"/>
              </w:rPr>
            </w:pPr>
            <w:r>
              <w:rPr>
                <w:rFonts w:ascii="Arial" w:cs="Arial" w:eastAsia="Arial" w:hAnsi="Arial"/>
                <w:sz w:val="15"/>
                <w:szCs w:val="15"/>
                <w:color w:val="auto"/>
              </w:rPr>
              <w:t>2019</w:t>
            </w:r>
          </w:p>
        </w:tc>
        <w:tc>
          <w:tcPr>
            <w:tcW w:w="700" w:type="dxa"/>
            <w:vAlign w:val="bottom"/>
          </w:tcPr>
          <w:p>
            <w:pPr>
              <w:jc w:val="right"/>
              <w:ind w:right="4"/>
              <w:spacing w:after="0"/>
              <w:rPr>
                <w:sz w:val="20"/>
                <w:szCs w:val="20"/>
                <w:color w:val="auto"/>
              </w:rPr>
            </w:pPr>
            <w:r>
              <w:rPr>
                <w:rFonts w:ascii="Arial" w:cs="Arial" w:eastAsia="Arial" w:hAnsi="Arial"/>
                <w:sz w:val="15"/>
                <w:szCs w:val="15"/>
                <w:color w:val="auto"/>
              </w:rPr>
              <w:t>424,183</w:t>
            </w:r>
          </w:p>
        </w:tc>
        <w:tc>
          <w:tcPr>
            <w:tcW w:w="840" w:type="dxa"/>
            <w:vAlign w:val="bottom"/>
          </w:tcPr>
          <w:p>
            <w:pPr>
              <w:jc w:val="right"/>
              <w:ind w:right="4"/>
              <w:spacing w:after="0"/>
              <w:rPr>
                <w:sz w:val="20"/>
                <w:szCs w:val="20"/>
                <w:color w:val="auto"/>
              </w:rPr>
            </w:pPr>
            <w:r>
              <w:rPr>
                <w:rFonts w:ascii="Arial" w:cs="Arial" w:eastAsia="Arial" w:hAnsi="Arial"/>
                <w:sz w:val="15"/>
                <w:szCs w:val="15"/>
                <w:color w:val="auto"/>
              </w:rPr>
              <w:t>569,913</w:t>
            </w:r>
          </w:p>
        </w:tc>
        <w:tc>
          <w:tcPr>
            <w:tcW w:w="840" w:type="dxa"/>
            <w:vAlign w:val="bottom"/>
          </w:tcPr>
          <w:p>
            <w:pPr>
              <w:jc w:val="right"/>
              <w:ind w:right="4"/>
              <w:spacing w:after="0"/>
              <w:rPr>
                <w:sz w:val="20"/>
                <w:szCs w:val="20"/>
                <w:color w:val="auto"/>
              </w:rPr>
            </w:pPr>
            <w:r>
              <w:rPr>
                <w:rFonts w:ascii="Arial" w:cs="Arial" w:eastAsia="Arial" w:hAnsi="Arial"/>
                <w:sz w:val="15"/>
                <w:szCs w:val="15"/>
                <w:color w:val="auto"/>
              </w:rPr>
              <w:t>187,479</w:t>
            </w:r>
          </w:p>
        </w:tc>
        <w:tc>
          <w:tcPr>
            <w:tcW w:w="1180" w:type="dxa"/>
            <w:vAlign w:val="bottom"/>
          </w:tcPr>
          <w:p>
            <w:pPr>
              <w:jc w:val="right"/>
              <w:ind w:right="6"/>
              <w:spacing w:after="0"/>
              <w:rPr>
                <w:sz w:val="20"/>
                <w:szCs w:val="20"/>
                <w:color w:val="auto"/>
              </w:rPr>
            </w:pPr>
            <w:r>
              <w:rPr>
                <w:rFonts w:ascii="Arial" w:cs="Arial" w:eastAsia="Arial" w:hAnsi="Arial"/>
                <w:sz w:val="15"/>
                <w:szCs w:val="15"/>
                <w:color w:val="auto"/>
              </w:rPr>
              <w:t>113,445</w:t>
            </w:r>
          </w:p>
        </w:tc>
        <w:tc>
          <w:tcPr>
            <w:tcW w:w="1200" w:type="dxa"/>
            <w:vAlign w:val="bottom"/>
          </w:tcPr>
          <w:p>
            <w:pPr>
              <w:jc w:val="right"/>
              <w:ind w:right="26"/>
              <w:spacing w:after="0"/>
              <w:rPr>
                <w:sz w:val="20"/>
                <w:szCs w:val="20"/>
                <w:color w:val="auto"/>
              </w:rPr>
            </w:pPr>
            <w:r>
              <w:rPr>
                <w:rFonts w:ascii="Arial" w:cs="Arial" w:eastAsia="Arial" w:hAnsi="Arial"/>
                <w:sz w:val="15"/>
                <w:szCs w:val="15"/>
                <w:color w:val="auto"/>
              </w:rPr>
              <w:t>153,660</w:t>
            </w:r>
          </w:p>
        </w:tc>
        <w:tc>
          <w:tcPr>
            <w:tcW w:w="820" w:type="dxa"/>
            <w:vAlign w:val="bottom"/>
          </w:tcPr>
          <w:p>
            <w:pPr>
              <w:jc w:val="right"/>
              <w:spacing w:after="0"/>
              <w:rPr>
                <w:sz w:val="20"/>
                <w:szCs w:val="20"/>
                <w:color w:val="auto"/>
              </w:rPr>
            </w:pPr>
            <w:r>
              <w:rPr>
                <w:rFonts w:ascii="Arial" w:cs="Arial" w:eastAsia="Arial" w:hAnsi="Arial"/>
                <w:sz w:val="15"/>
                <w:szCs w:val="15"/>
                <w:color w:val="auto"/>
              </w:rPr>
              <w:t>1,448,680</w:t>
            </w:r>
          </w:p>
        </w:tc>
        <w:tc>
          <w:tcPr>
            <w:tcW w:w="0" w:type="dxa"/>
            <w:vAlign w:val="bottom"/>
          </w:tcPr>
          <w:p>
            <w:pPr>
              <w:spacing w:after="0"/>
              <w:rPr>
                <w:sz w:val="1"/>
                <w:szCs w:val="1"/>
                <w:color w:val="auto"/>
              </w:rPr>
            </w:pPr>
          </w:p>
        </w:tc>
      </w:tr>
      <w:tr>
        <w:trPr>
          <w:trHeight w:val="189"/>
        </w:trPr>
        <w:tc>
          <w:tcPr>
            <w:tcW w:w="3100" w:type="dxa"/>
            <w:vAlign w:val="bottom"/>
          </w:tcPr>
          <w:p>
            <w:pPr>
              <w:ind w:left="200"/>
              <w:spacing w:after="0"/>
              <w:rPr>
                <w:sz w:val="20"/>
                <w:szCs w:val="20"/>
                <w:color w:val="auto"/>
              </w:rPr>
            </w:pPr>
            <w:r>
              <w:rPr>
                <w:rFonts w:ascii="Arial" w:cs="Arial" w:eastAsia="Arial" w:hAnsi="Arial"/>
                <w:sz w:val="15"/>
                <w:szCs w:val="15"/>
                <w:color w:val="auto"/>
              </w:rPr>
              <w:t>General Manager, CS</w:t>
            </w:r>
          </w:p>
        </w:tc>
        <w:tc>
          <w:tcPr>
            <w:tcW w:w="5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485140</wp:posOffset>
            </wp:positionH>
            <wp:positionV relativeFrom="paragraph">
              <wp:posOffset>39370</wp:posOffset>
            </wp:positionV>
            <wp:extent cx="5829300" cy="8890"/>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5829300" cy="8890"/>
                    </a:xfrm>
                    <a:prstGeom prst="rect">
                      <a:avLst/>
                    </a:prstGeom>
                    <a:noFill/>
                  </pic:spPr>
                </pic:pic>
              </a:graphicData>
            </a:graphic>
          </wp:anchor>
        </w:drawing>
      </w:r>
    </w:p>
    <w:p>
      <w:pPr>
        <w:spacing w:after="0" w:line="68" w:lineRule="exact"/>
        <w:rPr>
          <w:sz w:val="20"/>
          <w:szCs w:val="20"/>
          <w:color w:val="auto"/>
        </w:rPr>
      </w:pPr>
    </w:p>
    <w:p>
      <w:pPr>
        <w:ind w:left="980" w:right="199" w:hanging="216"/>
        <w:spacing w:after="0" w:line="247" w:lineRule="auto"/>
        <w:tabs>
          <w:tab w:leader="none" w:pos="980" w:val="left"/>
        </w:tabs>
        <w:numPr>
          <w:ilvl w:val="0"/>
          <w:numId w:val="62"/>
        </w:numPr>
        <w:rPr>
          <w:rFonts w:ascii="Arial" w:cs="Arial" w:eastAsia="Arial" w:hAnsi="Arial"/>
          <w:sz w:val="13"/>
          <w:szCs w:val="13"/>
          <w:i w:val="1"/>
          <w:iCs w:val="1"/>
          <w:color w:val="auto"/>
        </w:rPr>
      </w:pPr>
      <w:r>
        <w:rPr>
          <w:rFonts w:ascii="Arial" w:cs="Arial" w:eastAsia="Arial" w:hAnsi="Arial"/>
          <w:sz w:val="13"/>
          <w:szCs w:val="13"/>
          <w:i w:val="1"/>
          <w:iCs w:val="1"/>
          <w:color w:val="auto"/>
        </w:rPr>
        <w:t>For amounts paid in salary and bonus compensation in 2019, we used an exchange rate of $1.275738014 per British Pound, which reflects the applicable period average published rate from our BOPC Accounting System between January 1, 2019 and December 31, 2019. The BOPC Accounting System uses Bloomberg as a source to obtain exchange rates. Salaries for our NEOs are reviewed and, if thought appropriate by the Compensation Committee, increased or decreased with effect on April 1st. The salaries indicated here thus reflect three months of the prior year’s base salary and nine months of the new base salary with effect from April 1st.</w:t>
      </w:r>
    </w:p>
    <w:p>
      <w:pPr>
        <w:ind w:left="980" w:right="239" w:hanging="216"/>
        <w:spacing w:after="0" w:line="245" w:lineRule="auto"/>
        <w:tabs>
          <w:tab w:leader="none" w:pos="980" w:val="left"/>
        </w:tabs>
        <w:numPr>
          <w:ilvl w:val="0"/>
          <w:numId w:val="62"/>
        </w:numPr>
        <w:rPr>
          <w:rFonts w:ascii="Arial" w:cs="Arial" w:eastAsia="Arial" w:hAnsi="Arial"/>
          <w:sz w:val="13"/>
          <w:szCs w:val="13"/>
          <w:i w:val="1"/>
          <w:iCs w:val="1"/>
          <w:color w:val="auto"/>
        </w:rPr>
      </w:pPr>
      <w:r>
        <w:rPr>
          <w:rFonts w:ascii="Arial" w:cs="Arial" w:eastAsia="Arial" w:hAnsi="Arial"/>
          <w:sz w:val="13"/>
          <w:szCs w:val="13"/>
          <w:i w:val="1"/>
          <w:iCs w:val="1"/>
          <w:color w:val="auto"/>
        </w:rPr>
        <w:t>Amounts reflect the full grant-date fair value of RSUs and SARs granted computed in accordance with Federal Accounting Standards Board Accounting Standards Codification (“FASB ASC”) Topic 718, rather than the amounts paid to or realized by the named individual. We provide information regarding the assumptions used to calculate the value of all RSUs and SARs awards made to executive officers in Note 2 to our audited financial statements in our US Annual Report on Form 10-K for the year ended December 31, 2019. For additional information regarding the RSUs and SARs awards reported herein, see “– Compensation Discussion and Analysis – 2019 Long-Term Incentive Plan” and “– Compensation Discussion and Analysis – 2019 Grants of Plan-Based Awards.”</w:t>
      </w:r>
    </w:p>
    <w:p>
      <w:pPr>
        <w:spacing w:after="0" w:line="2" w:lineRule="exact"/>
        <w:rPr>
          <w:rFonts w:ascii="Arial" w:cs="Arial" w:eastAsia="Arial" w:hAnsi="Arial"/>
          <w:sz w:val="13"/>
          <w:szCs w:val="13"/>
          <w:i w:val="1"/>
          <w:iCs w:val="1"/>
          <w:color w:val="auto"/>
        </w:rPr>
      </w:pPr>
    </w:p>
    <w:p>
      <w:pPr>
        <w:ind w:left="980" w:hanging="216"/>
        <w:spacing w:after="0"/>
        <w:tabs>
          <w:tab w:leader="none" w:pos="980" w:val="left"/>
        </w:tabs>
        <w:numPr>
          <w:ilvl w:val="0"/>
          <w:numId w:val="62"/>
        </w:numPr>
        <w:rPr>
          <w:rFonts w:ascii="Arial" w:cs="Arial" w:eastAsia="Arial" w:hAnsi="Arial"/>
          <w:sz w:val="13"/>
          <w:szCs w:val="13"/>
          <w:i w:val="1"/>
          <w:iCs w:val="1"/>
          <w:color w:val="auto"/>
        </w:rPr>
      </w:pPr>
      <w:r>
        <w:rPr>
          <w:rFonts w:ascii="Arial" w:cs="Arial" w:eastAsia="Arial" w:hAnsi="Arial"/>
          <w:sz w:val="13"/>
          <w:szCs w:val="13"/>
          <w:i w:val="1"/>
          <w:iCs w:val="1"/>
          <w:color w:val="auto"/>
        </w:rPr>
        <w:t>Values in this column reflect payments in respect of the relevant year’s short-term incentive plan.</w:t>
      </w:r>
    </w:p>
    <w:p>
      <w:pPr>
        <w:spacing w:after="0" w:line="26" w:lineRule="exact"/>
        <w:rPr>
          <w:rFonts w:ascii="Arial" w:cs="Arial" w:eastAsia="Arial" w:hAnsi="Arial"/>
          <w:sz w:val="13"/>
          <w:szCs w:val="13"/>
          <w:i w:val="1"/>
          <w:iCs w:val="1"/>
          <w:color w:val="auto"/>
        </w:rPr>
      </w:pPr>
    </w:p>
    <w:p>
      <w:pPr>
        <w:ind w:left="980" w:right="379" w:hanging="216"/>
        <w:spacing w:after="0" w:line="280" w:lineRule="auto"/>
        <w:tabs>
          <w:tab w:leader="none" w:pos="980" w:val="left"/>
        </w:tabs>
        <w:numPr>
          <w:ilvl w:val="0"/>
          <w:numId w:val="62"/>
        </w:numPr>
        <w:rPr>
          <w:rFonts w:ascii="Arial" w:cs="Arial" w:eastAsia="Arial" w:hAnsi="Arial"/>
          <w:sz w:val="13"/>
          <w:szCs w:val="13"/>
          <w:i w:val="1"/>
          <w:iCs w:val="1"/>
          <w:color w:val="auto"/>
        </w:rPr>
      </w:pPr>
      <w:r>
        <w:rPr>
          <w:rFonts w:ascii="Arial" w:cs="Arial" w:eastAsia="Arial" w:hAnsi="Arial"/>
          <w:sz w:val="13"/>
          <w:szCs w:val="13"/>
          <w:i w:val="1"/>
          <w:iCs w:val="1"/>
          <w:color w:val="auto"/>
        </w:rPr>
        <w:t>The amounts reported in the All Other Compensation column represent the aggregate dollar amount for all other benefits and payment received by our NEOs. The following table shows the nature of the benefits and payments and specific amounts for each of our NEOs in 2019:</w:t>
      </w:r>
    </w:p>
    <w:p>
      <w:pPr>
        <w:spacing w:after="0" w:line="93" w:lineRule="exact"/>
        <w:rPr>
          <w:sz w:val="20"/>
          <w:szCs w:val="20"/>
          <w:color w:val="auto"/>
        </w:rPr>
      </w:pPr>
    </w:p>
    <w:tbl>
      <w:tblPr>
        <w:tblLayout w:type="fixed"/>
        <w:tblInd w:w="980" w:type="dxa"/>
        <w:tblCellMar>
          <w:top w:w="0" w:type="dxa"/>
          <w:left w:w="0" w:type="dxa"/>
          <w:bottom w:w="0" w:type="dxa"/>
          <w:right w:w="0" w:type="dxa"/>
        </w:tblCellMar>
      </w:tblPr>
      <w:tr>
        <w:trPr>
          <w:trHeight w:val="149"/>
        </w:trPr>
        <w:tc>
          <w:tcPr>
            <w:tcW w:w="132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060" w:type="dxa"/>
            <w:vAlign w:val="bottom"/>
          </w:tcPr>
          <w:p>
            <w:pPr>
              <w:jc w:val="right"/>
              <w:spacing w:after="0"/>
              <w:rPr>
                <w:sz w:val="20"/>
                <w:szCs w:val="20"/>
                <w:color w:val="auto"/>
              </w:rPr>
            </w:pPr>
            <w:r>
              <w:rPr>
                <w:rFonts w:ascii="Arial" w:cs="Arial" w:eastAsia="Arial" w:hAnsi="Arial"/>
                <w:sz w:val="13"/>
                <w:szCs w:val="13"/>
                <w:b w:val="1"/>
                <w:bCs w:val="1"/>
                <w:color w:val="4800E6"/>
              </w:rPr>
              <w:t>Non-Qualified</w:t>
            </w:r>
          </w:p>
        </w:tc>
        <w:tc>
          <w:tcPr>
            <w:tcW w:w="9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600" w:type="dxa"/>
            <w:vAlign w:val="bottom"/>
          </w:tcPr>
          <w:p>
            <w:pPr>
              <w:spacing w:after="0"/>
              <w:rPr>
                <w:sz w:val="12"/>
                <w:szCs w:val="12"/>
                <w:color w:val="auto"/>
              </w:rPr>
            </w:pPr>
          </w:p>
        </w:tc>
      </w:tr>
      <w:tr>
        <w:trPr>
          <w:trHeight w:val="148"/>
        </w:trPr>
        <w:tc>
          <w:tcPr>
            <w:tcW w:w="132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060" w:type="dxa"/>
            <w:vAlign w:val="bottom"/>
          </w:tcPr>
          <w:p>
            <w:pPr>
              <w:jc w:val="right"/>
              <w:spacing w:after="0"/>
              <w:rPr>
                <w:sz w:val="20"/>
                <w:szCs w:val="20"/>
                <w:color w:val="auto"/>
              </w:rPr>
            </w:pPr>
            <w:r>
              <w:rPr>
                <w:rFonts w:ascii="Arial" w:cs="Arial" w:eastAsia="Arial" w:hAnsi="Arial"/>
                <w:sz w:val="13"/>
                <w:szCs w:val="13"/>
                <w:b w:val="1"/>
                <w:bCs w:val="1"/>
                <w:color w:val="4800E6"/>
              </w:rPr>
              <w:t>Deferred</w:t>
            </w:r>
          </w:p>
        </w:tc>
        <w:tc>
          <w:tcPr>
            <w:tcW w:w="9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600" w:type="dxa"/>
            <w:vAlign w:val="bottom"/>
          </w:tcPr>
          <w:p>
            <w:pPr>
              <w:spacing w:after="0"/>
              <w:rPr>
                <w:sz w:val="12"/>
                <w:szCs w:val="12"/>
                <w:color w:val="auto"/>
              </w:rPr>
            </w:pPr>
          </w:p>
        </w:tc>
      </w:tr>
      <w:tr>
        <w:trPr>
          <w:trHeight w:val="149"/>
        </w:trPr>
        <w:tc>
          <w:tcPr>
            <w:tcW w:w="132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060" w:type="dxa"/>
            <w:vAlign w:val="bottom"/>
          </w:tcPr>
          <w:p>
            <w:pPr>
              <w:jc w:val="right"/>
              <w:spacing w:after="0"/>
              <w:rPr>
                <w:sz w:val="20"/>
                <w:szCs w:val="20"/>
                <w:color w:val="auto"/>
              </w:rPr>
            </w:pPr>
            <w:r>
              <w:rPr>
                <w:rFonts w:ascii="Arial" w:cs="Arial" w:eastAsia="Arial" w:hAnsi="Arial"/>
                <w:sz w:val="13"/>
                <w:szCs w:val="13"/>
                <w:b w:val="1"/>
                <w:bCs w:val="1"/>
                <w:color w:val="4800E6"/>
              </w:rPr>
              <w:t>Compensation</w:t>
            </w:r>
          </w:p>
        </w:tc>
        <w:tc>
          <w:tcPr>
            <w:tcW w:w="9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600" w:type="dxa"/>
            <w:vAlign w:val="bottom"/>
          </w:tcPr>
          <w:p>
            <w:pPr>
              <w:spacing w:after="0"/>
              <w:rPr>
                <w:sz w:val="12"/>
                <w:szCs w:val="12"/>
                <w:color w:val="auto"/>
              </w:rPr>
            </w:pPr>
          </w:p>
        </w:tc>
      </w:tr>
      <w:tr>
        <w:trPr>
          <w:trHeight w:val="148"/>
        </w:trPr>
        <w:tc>
          <w:tcPr>
            <w:tcW w:w="132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980" w:type="dxa"/>
            <w:vAlign w:val="bottom"/>
          </w:tcPr>
          <w:p>
            <w:pPr>
              <w:jc w:val="right"/>
              <w:ind w:right="11"/>
              <w:spacing w:after="0"/>
              <w:rPr>
                <w:sz w:val="20"/>
                <w:szCs w:val="20"/>
                <w:color w:val="auto"/>
              </w:rPr>
            </w:pPr>
            <w:r>
              <w:rPr>
                <w:rFonts w:ascii="Arial" w:cs="Arial" w:eastAsia="Arial" w:hAnsi="Arial"/>
                <w:sz w:val="13"/>
                <w:szCs w:val="13"/>
                <w:b w:val="1"/>
                <w:bCs w:val="1"/>
                <w:color w:val="4800E6"/>
              </w:rPr>
              <w:t>Qualified</w:t>
            </w:r>
          </w:p>
        </w:tc>
        <w:tc>
          <w:tcPr>
            <w:tcW w:w="1060" w:type="dxa"/>
            <w:vAlign w:val="bottom"/>
          </w:tcPr>
          <w:p>
            <w:pPr>
              <w:jc w:val="right"/>
              <w:spacing w:after="0"/>
              <w:rPr>
                <w:sz w:val="20"/>
                <w:szCs w:val="20"/>
                <w:color w:val="auto"/>
              </w:rPr>
            </w:pPr>
            <w:r>
              <w:rPr>
                <w:rFonts w:ascii="Arial" w:cs="Arial" w:eastAsia="Arial" w:hAnsi="Arial"/>
                <w:sz w:val="13"/>
                <w:szCs w:val="13"/>
                <w:b w:val="1"/>
                <w:bCs w:val="1"/>
                <w:color w:val="4800E6"/>
              </w:rPr>
              <w:t>and Defined</w:t>
            </w:r>
          </w:p>
        </w:tc>
        <w:tc>
          <w:tcPr>
            <w:tcW w:w="9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600" w:type="dxa"/>
            <w:vAlign w:val="bottom"/>
          </w:tcPr>
          <w:p>
            <w:pPr>
              <w:spacing w:after="0"/>
              <w:rPr>
                <w:sz w:val="12"/>
                <w:szCs w:val="12"/>
                <w:color w:val="auto"/>
              </w:rPr>
            </w:pPr>
          </w:p>
        </w:tc>
      </w:tr>
      <w:tr>
        <w:trPr>
          <w:trHeight w:val="152"/>
        </w:trPr>
        <w:tc>
          <w:tcPr>
            <w:tcW w:w="1320" w:type="dxa"/>
            <w:vAlign w:val="bottom"/>
          </w:tcPr>
          <w:p>
            <w:pPr>
              <w:spacing w:after="0"/>
              <w:rPr>
                <w:sz w:val="13"/>
                <w:szCs w:val="13"/>
                <w:color w:val="auto"/>
              </w:rPr>
            </w:pPr>
          </w:p>
        </w:tc>
        <w:tc>
          <w:tcPr>
            <w:tcW w:w="1120" w:type="dxa"/>
            <w:vAlign w:val="bottom"/>
          </w:tcPr>
          <w:p>
            <w:pPr>
              <w:jc w:val="right"/>
              <w:ind w:right="11"/>
              <w:spacing w:after="0"/>
              <w:rPr>
                <w:sz w:val="20"/>
                <w:szCs w:val="20"/>
                <w:color w:val="auto"/>
              </w:rPr>
            </w:pPr>
            <w:r>
              <w:rPr>
                <w:rFonts w:ascii="Arial" w:cs="Arial" w:eastAsia="Arial" w:hAnsi="Arial"/>
                <w:sz w:val="13"/>
                <w:szCs w:val="13"/>
                <w:b w:val="1"/>
                <w:bCs w:val="1"/>
                <w:color w:val="4800E6"/>
              </w:rPr>
              <w:t>Severance and</w:t>
            </w:r>
          </w:p>
        </w:tc>
        <w:tc>
          <w:tcPr>
            <w:tcW w:w="960" w:type="dxa"/>
            <w:vAlign w:val="bottom"/>
          </w:tcPr>
          <w:p>
            <w:pPr>
              <w:jc w:val="right"/>
              <w:spacing w:after="0"/>
              <w:rPr>
                <w:sz w:val="20"/>
                <w:szCs w:val="20"/>
                <w:color w:val="auto"/>
              </w:rPr>
            </w:pPr>
            <w:r>
              <w:rPr>
                <w:rFonts w:ascii="Arial" w:cs="Arial" w:eastAsia="Arial" w:hAnsi="Arial"/>
                <w:sz w:val="13"/>
                <w:szCs w:val="13"/>
                <w:b w:val="1"/>
                <w:bCs w:val="1"/>
                <w:color w:val="4800E6"/>
              </w:rPr>
              <w:t>Supplemental</w:t>
            </w:r>
          </w:p>
        </w:tc>
        <w:tc>
          <w:tcPr>
            <w:tcW w:w="7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980" w:type="dxa"/>
            <w:vAlign w:val="bottom"/>
          </w:tcPr>
          <w:p>
            <w:pPr>
              <w:jc w:val="right"/>
              <w:ind w:right="11"/>
              <w:spacing w:after="0"/>
              <w:rPr>
                <w:sz w:val="20"/>
                <w:szCs w:val="20"/>
                <w:color w:val="auto"/>
              </w:rPr>
            </w:pPr>
            <w:r>
              <w:rPr>
                <w:rFonts w:ascii="Arial" w:cs="Arial" w:eastAsia="Arial" w:hAnsi="Arial"/>
                <w:sz w:val="13"/>
                <w:szCs w:val="13"/>
                <w:b w:val="1"/>
                <w:bCs w:val="1"/>
                <w:color w:val="4800E6"/>
              </w:rPr>
              <w:t>Supplemental</w:t>
            </w:r>
          </w:p>
        </w:tc>
        <w:tc>
          <w:tcPr>
            <w:tcW w:w="1060" w:type="dxa"/>
            <w:vAlign w:val="bottom"/>
          </w:tcPr>
          <w:p>
            <w:pPr>
              <w:jc w:val="right"/>
              <w:spacing w:after="0"/>
              <w:rPr>
                <w:sz w:val="20"/>
                <w:szCs w:val="20"/>
                <w:color w:val="auto"/>
              </w:rPr>
            </w:pPr>
            <w:r>
              <w:rPr>
                <w:rFonts w:ascii="Arial" w:cs="Arial" w:eastAsia="Arial" w:hAnsi="Arial"/>
                <w:sz w:val="13"/>
                <w:szCs w:val="13"/>
                <w:b w:val="1"/>
                <w:bCs w:val="1"/>
                <w:color w:val="4800E6"/>
              </w:rPr>
              <w:t>Contribution</w:t>
            </w:r>
          </w:p>
        </w:tc>
        <w:tc>
          <w:tcPr>
            <w:tcW w:w="90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600" w:type="dxa"/>
            <w:vAlign w:val="bottom"/>
          </w:tcPr>
          <w:p>
            <w:pPr>
              <w:spacing w:after="0"/>
              <w:rPr>
                <w:sz w:val="13"/>
                <w:szCs w:val="13"/>
                <w:color w:val="auto"/>
              </w:rPr>
            </w:pPr>
          </w:p>
        </w:tc>
      </w:tr>
      <w:tr>
        <w:trPr>
          <w:trHeight w:val="148"/>
        </w:trPr>
        <w:tc>
          <w:tcPr>
            <w:tcW w:w="1320" w:type="dxa"/>
            <w:vAlign w:val="bottom"/>
          </w:tcPr>
          <w:p>
            <w:pPr>
              <w:spacing w:after="0"/>
              <w:rPr>
                <w:sz w:val="12"/>
                <w:szCs w:val="12"/>
                <w:color w:val="auto"/>
              </w:rPr>
            </w:pPr>
          </w:p>
        </w:tc>
        <w:tc>
          <w:tcPr>
            <w:tcW w:w="1120" w:type="dxa"/>
            <w:vAlign w:val="bottom"/>
          </w:tcPr>
          <w:p>
            <w:pPr>
              <w:jc w:val="right"/>
              <w:ind w:right="11"/>
              <w:spacing w:after="0"/>
              <w:rPr>
                <w:sz w:val="20"/>
                <w:szCs w:val="20"/>
                <w:color w:val="auto"/>
              </w:rPr>
            </w:pPr>
            <w:r>
              <w:rPr>
                <w:rFonts w:ascii="Arial" w:cs="Arial" w:eastAsia="Arial" w:hAnsi="Arial"/>
                <w:sz w:val="13"/>
                <w:szCs w:val="13"/>
                <w:b w:val="1"/>
                <w:bCs w:val="1"/>
                <w:color w:val="4800E6"/>
              </w:rPr>
              <w:t>Termination</w:t>
            </w:r>
          </w:p>
        </w:tc>
        <w:tc>
          <w:tcPr>
            <w:tcW w:w="960" w:type="dxa"/>
            <w:vAlign w:val="bottom"/>
          </w:tcPr>
          <w:p>
            <w:pPr>
              <w:jc w:val="right"/>
              <w:spacing w:after="0"/>
              <w:rPr>
                <w:sz w:val="20"/>
                <w:szCs w:val="20"/>
                <w:color w:val="auto"/>
              </w:rPr>
            </w:pPr>
            <w:r>
              <w:rPr>
                <w:rFonts w:ascii="Arial" w:cs="Arial" w:eastAsia="Arial" w:hAnsi="Arial"/>
                <w:sz w:val="13"/>
                <w:szCs w:val="13"/>
                <w:b w:val="1"/>
                <w:bCs w:val="1"/>
                <w:color w:val="4800E6"/>
              </w:rPr>
              <w:t>Health</w:t>
            </w:r>
          </w:p>
        </w:tc>
        <w:tc>
          <w:tcPr>
            <w:tcW w:w="760" w:type="dxa"/>
            <w:vAlign w:val="bottom"/>
          </w:tcPr>
          <w:p>
            <w:pPr>
              <w:jc w:val="right"/>
              <w:ind w:right="11"/>
              <w:spacing w:after="0"/>
              <w:rPr>
                <w:sz w:val="20"/>
                <w:szCs w:val="20"/>
                <w:color w:val="auto"/>
              </w:rPr>
            </w:pPr>
            <w:r>
              <w:rPr>
                <w:rFonts w:ascii="Arial" w:cs="Arial" w:eastAsia="Arial" w:hAnsi="Arial"/>
                <w:sz w:val="13"/>
                <w:szCs w:val="13"/>
                <w:b w:val="1"/>
                <w:bCs w:val="1"/>
                <w:color w:val="4800E6"/>
              </w:rPr>
              <w:t>Housing</w:t>
            </w:r>
          </w:p>
        </w:tc>
        <w:tc>
          <w:tcPr>
            <w:tcW w:w="760" w:type="dxa"/>
            <w:vAlign w:val="bottom"/>
          </w:tcPr>
          <w:p>
            <w:pPr>
              <w:jc w:val="right"/>
              <w:ind w:right="11"/>
              <w:spacing w:after="0"/>
              <w:rPr>
                <w:sz w:val="20"/>
                <w:szCs w:val="20"/>
                <w:color w:val="auto"/>
              </w:rPr>
            </w:pPr>
            <w:r>
              <w:rPr>
                <w:rFonts w:ascii="Arial" w:cs="Arial" w:eastAsia="Arial" w:hAnsi="Arial"/>
                <w:sz w:val="13"/>
                <w:szCs w:val="13"/>
                <w:b w:val="1"/>
                <w:bCs w:val="1"/>
                <w:color w:val="4800E6"/>
              </w:rPr>
              <w:t>Car</w:t>
            </w:r>
          </w:p>
        </w:tc>
        <w:tc>
          <w:tcPr>
            <w:tcW w:w="980" w:type="dxa"/>
            <w:vAlign w:val="bottom"/>
          </w:tcPr>
          <w:p>
            <w:pPr>
              <w:jc w:val="right"/>
              <w:ind w:right="11"/>
              <w:spacing w:after="0"/>
              <w:rPr>
                <w:sz w:val="20"/>
                <w:szCs w:val="20"/>
                <w:color w:val="auto"/>
              </w:rPr>
            </w:pPr>
            <w:r>
              <w:rPr>
                <w:rFonts w:ascii="Arial" w:cs="Arial" w:eastAsia="Arial" w:hAnsi="Arial"/>
                <w:sz w:val="13"/>
                <w:szCs w:val="13"/>
                <w:b w:val="1"/>
                <w:bCs w:val="1"/>
                <w:color w:val="4800E6"/>
              </w:rPr>
              <w:t>Pension</w:t>
            </w:r>
          </w:p>
        </w:tc>
        <w:tc>
          <w:tcPr>
            <w:tcW w:w="1060" w:type="dxa"/>
            <w:vAlign w:val="bottom"/>
          </w:tcPr>
          <w:p>
            <w:pPr>
              <w:jc w:val="right"/>
              <w:spacing w:after="0"/>
              <w:rPr>
                <w:sz w:val="20"/>
                <w:szCs w:val="20"/>
                <w:color w:val="auto"/>
              </w:rPr>
            </w:pPr>
            <w:r>
              <w:rPr>
                <w:rFonts w:ascii="Arial" w:cs="Arial" w:eastAsia="Arial" w:hAnsi="Arial"/>
                <w:sz w:val="13"/>
                <w:szCs w:val="13"/>
                <w:b w:val="1"/>
                <w:bCs w:val="1"/>
                <w:color w:val="4800E6"/>
              </w:rPr>
              <w:t>Plan Registrant</w:t>
            </w:r>
          </w:p>
        </w:tc>
        <w:tc>
          <w:tcPr>
            <w:tcW w:w="900" w:type="dxa"/>
            <w:vAlign w:val="bottom"/>
          </w:tcPr>
          <w:p>
            <w:pPr>
              <w:jc w:val="right"/>
              <w:ind w:right="11"/>
              <w:spacing w:after="0"/>
              <w:rPr>
                <w:sz w:val="20"/>
                <w:szCs w:val="20"/>
                <w:color w:val="auto"/>
              </w:rPr>
            </w:pPr>
            <w:r>
              <w:rPr>
                <w:rFonts w:ascii="Arial" w:cs="Arial" w:eastAsia="Arial" w:hAnsi="Arial"/>
                <w:sz w:val="13"/>
                <w:szCs w:val="13"/>
                <w:b w:val="1"/>
                <w:bCs w:val="1"/>
                <w:color w:val="4800E6"/>
              </w:rPr>
              <w:t>Cash in Lieu</w:t>
            </w:r>
          </w:p>
        </w:tc>
        <w:tc>
          <w:tcPr>
            <w:tcW w:w="500" w:type="dxa"/>
            <w:vAlign w:val="bottom"/>
          </w:tcPr>
          <w:p>
            <w:pPr>
              <w:spacing w:after="0"/>
              <w:rPr>
                <w:sz w:val="12"/>
                <w:szCs w:val="12"/>
                <w:color w:val="auto"/>
              </w:rPr>
            </w:pPr>
          </w:p>
        </w:tc>
        <w:tc>
          <w:tcPr>
            <w:tcW w:w="600" w:type="dxa"/>
            <w:vAlign w:val="bottom"/>
          </w:tcPr>
          <w:p>
            <w:pPr>
              <w:spacing w:after="0"/>
              <w:rPr>
                <w:sz w:val="12"/>
                <w:szCs w:val="12"/>
                <w:color w:val="auto"/>
              </w:rPr>
            </w:pPr>
          </w:p>
        </w:tc>
      </w:tr>
      <w:tr>
        <w:trPr>
          <w:trHeight w:val="149"/>
        </w:trPr>
        <w:tc>
          <w:tcPr>
            <w:tcW w:w="1320" w:type="dxa"/>
            <w:vAlign w:val="bottom"/>
          </w:tcPr>
          <w:p>
            <w:pPr>
              <w:spacing w:after="0"/>
              <w:rPr>
                <w:sz w:val="12"/>
                <w:szCs w:val="12"/>
                <w:color w:val="auto"/>
              </w:rPr>
            </w:pPr>
          </w:p>
        </w:tc>
        <w:tc>
          <w:tcPr>
            <w:tcW w:w="1120" w:type="dxa"/>
            <w:vAlign w:val="bottom"/>
          </w:tcPr>
          <w:p>
            <w:pPr>
              <w:jc w:val="right"/>
              <w:ind w:right="11"/>
              <w:spacing w:after="0"/>
              <w:rPr>
                <w:sz w:val="20"/>
                <w:szCs w:val="20"/>
                <w:color w:val="auto"/>
              </w:rPr>
            </w:pPr>
            <w:r>
              <w:rPr>
                <w:rFonts w:ascii="Arial" w:cs="Arial" w:eastAsia="Arial" w:hAnsi="Arial"/>
                <w:sz w:val="13"/>
                <w:szCs w:val="13"/>
                <w:b w:val="1"/>
                <w:bCs w:val="1"/>
                <w:color w:val="4800E6"/>
              </w:rPr>
              <w:t>Payments</w:t>
            </w:r>
          </w:p>
        </w:tc>
        <w:tc>
          <w:tcPr>
            <w:tcW w:w="960" w:type="dxa"/>
            <w:vAlign w:val="bottom"/>
          </w:tcPr>
          <w:p>
            <w:pPr>
              <w:jc w:val="right"/>
              <w:spacing w:after="0"/>
              <w:rPr>
                <w:sz w:val="20"/>
                <w:szCs w:val="20"/>
                <w:color w:val="auto"/>
              </w:rPr>
            </w:pPr>
            <w:r>
              <w:rPr>
                <w:rFonts w:ascii="Arial" w:cs="Arial" w:eastAsia="Arial" w:hAnsi="Arial"/>
                <w:sz w:val="13"/>
                <w:szCs w:val="13"/>
                <w:b w:val="1"/>
                <w:bCs w:val="1"/>
                <w:color w:val="4800E6"/>
              </w:rPr>
              <w:t>Insurance</w:t>
            </w:r>
          </w:p>
        </w:tc>
        <w:tc>
          <w:tcPr>
            <w:tcW w:w="760" w:type="dxa"/>
            <w:vAlign w:val="bottom"/>
          </w:tcPr>
          <w:p>
            <w:pPr>
              <w:jc w:val="right"/>
              <w:ind w:right="11"/>
              <w:spacing w:after="0"/>
              <w:rPr>
                <w:sz w:val="20"/>
                <w:szCs w:val="20"/>
                <w:color w:val="auto"/>
              </w:rPr>
            </w:pPr>
            <w:r>
              <w:rPr>
                <w:rFonts w:ascii="Arial" w:cs="Arial" w:eastAsia="Arial" w:hAnsi="Arial"/>
                <w:sz w:val="13"/>
                <w:szCs w:val="13"/>
                <w:b w:val="1"/>
                <w:bCs w:val="1"/>
                <w:color w:val="4800E6"/>
              </w:rPr>
              <w:t>Allowance</w:t>
            </w:r>
          </w:p>
        </w:tc>
        <w:tc>
          <w:tcPr>
            <w:tcW w:w="760" w:type="dxa"/>
            <w:vAlign w:val="bottom"/>
          </w:tcPr>
          <w:p>
            <w:pPr>
              <w:jc w:val="right"/>
              <w:ind w:right="11"/>
              <w:spacing w:after="0"/>
              <w:rPr>
                <w:sz w:val="20"/>
                <w:szCs w:val="20"/>
                <w:color w:val="auto"/>
              </w:rPr>
            </w:pPr>
            <w:r>
              <w:rPr>
                <w:rFonts w:ascii="Arial" w:cs="Arial" w:eastAsia="Arial" w:hAnsi="Arial"/>
                <w:sz w:val="13"/>
                <w:szCs w:val="13"/>
                <w:b w:val="1"/>
                <w:bCs w:val="1"/>
                <w:color w:val="4800E6"/>
              </w:rPr>
              <w:t>Allowance</w:t>
            </w:r>
          </w:p>
        </w:tc>
        <w:tc>
          <w:tcPr>
            <w:tcW w:w="980" w:type="dxa"/>
            <w:vAlign w:val="bottom"/>
          </w:tcPr>
          <w:p>
            <w:pPr>
              <w:jc w:val="right"/>
              <w:ind w:right="11"/>
              <w:spacing w:after="0"/>
              <w:rPr>
                <w:sz w:val="20"/>
                <w:szCs w:val="20"/>
                <w:color w:val="auto"/>
              </w:rPr>
            </w:pPr>
            <w:r>
              <w:rPr>
                <w:rFonts w:ascii="Arial" w:cs="Arial" w:eastAsia="Arial" w:hAnsi="Arial"/>
                <w:sz w:val="13"/>
                <w:szCs w:val="13"/>
                <w:b w:val="1"/>
                <w:bCs w:val="1"/>
                <w:color w:val="4800E6"/>
              </w:rPr>
              <w:t>Payments</w:t>
            </w:r>
          </w:p>
        </w:tc>
        <w:tc>
          <w:tcPr>
            <w:tcW w:w="1060" w:type="dxa"/>
            <w:vAlign w:val="bottom"/>
          </w:tcPr>
          <w:p>
            <w:pPr>
              <w:jc w:val="right"/>
              <w:spacing w:after="0"/>
              <w:rPr>
                <w:sz w:val="20"/>
                <w:szCs w:val="20"/>
                <w:color w:val="auto"/>
              </w:rPr>
            </w:pPr>
            <w:r>
              <w:rPr>
                <w:rFonts w:ascii="Arial" w:cs="Arial" w:eastAsia="Arial" w:hAnsi="Arial"/>
                <w:sz w:val="13"/>
                <w:szCs w:val="13"/>
                <w:b w:val="1"/>
                <w:bCs w:val="1"/>
                <w:color w:val="4800E6"/>
              </w:rPr>
              <w:t>Contributions</w:t>
            </w:r>
          </w:p>
        </w:tc>
        <w:tc>
          <w:tcPr>
            <w:tcW w:w="900" w:type="dxa"/>
            <w:vAlign w:val="bottom"/>
          </w:tcPr>
          <w:p>
            <w:pPr>
              <w:jc w:val="right"/>
              <w:ind w:right="11"/>
              <w:spacing w:after="0"/>
              <w:rPr>
                <w:sz w:val="20"/>
                <w:szCs w:val="20"/>
                <w:color w:val="auto"/>
              </w:rPr>
            </w:pPr>
            <w:r>
              <w:rPr>
                <w:rFonts w:ascii="Arial" w:cs="Arial" w:eastAsia="Arial" w:hAnsi="Arial"/>
                <w:sz w:val="13"/>
                <w:szCs w:val="13"/>
                <w:b w:val="1"/>
                <w:bCs w:val="1"/>
                <w:color w:val="4800E6"/>
              </w:rPr>
              <w:t>of Pension</w:t>
            </w:r>
          </w:p>
        </w:tc>
        <w:tc>
          <w:tcPr>
            <w:tcW w:w="500" w:type="dxa"/>
            <w:vAlign w:val="bottom"/>
          </w:tcPr>
          <w:p>
            <w:pPr>
              <w:jc w:val="right"/>
              <w:ind w:right="11"/>
              <w:spacing w:after="0"/>
              <w:rPr>
                <w:sz w:val="20"/>
                <w:szCs w:val="20"/>
                <w:color w:val="auto"/>
              </w:rPr>
            </w:pPr>
            <w:r>
              <w:rPr>
                <w:rFonts w:ascii="Arial" w:cs="Arial" w:eastAsia="Arial" w:hAnsi="Arial"/>
                <w:sz w:val="13"/>
                <w:szCs w:val="13"/>
                <w:b w:val="1"/>
                <w:bCs w:val="1"/>
                <w:color w:val="4800E6"/>
              </w:rPr>
              <w:t>Other</w:t>
            </w:r>
          </w:p>
        </w:tc>
        <w:tc>
          <w:tcPr>
            <w:tcW w:w="600" w:type="dxa"/>
            <w:vAlign w:val="bottom"/>
          </w:tcPr>
          <w:p>
            <w:pPr>
              <w:jc w:val="right"/>
              <w:ind w:right="31"/>
              <w:spacing w:after="0"/>
              <w:rPr>
                <w:sz w:val="20"/>
                <w:szCs w:val="20"/>
                <w:color w:val="auto"/>
              </w:rPr>
            </w:pPr>
            <w:r>
              <w:rPr>
                <w:rFonts w:ascii="Arial" w:cs="Arial" w:eastAsia="Arial" w:hAnsi="Arial"/>
                <w:sz w:val="13"/>
                <w:szCs w:val="13"/>
                <w:b w:val="1"/>
                <w:bCs w:val="1"/>
                <w:color w:val="4800E6"/>
              </w:rPr>
              <w:t>Total</w:t>
            </w:r>
          </w:p>
        </w:tc>
      </w:tr>
      <w:tr>
        <w:trPr>
          <w:trHeight w:val="216"/>
        </w:trPr>
        <w:tc>
          <w:tcPr>
            <w:tcW w:w="1320" w:type="dxa"/>
            <w:vAlign w:val="bottom"/>
            <w:tcBorders>
              <w:bottom w:val="single" w:sz="8" w:color="4800E6"/>
            </w:tcBorders>
          </w:tcPr>
          <w:p>
            <w:pPr>
              <w:spacing w:after="0"/>
              <w:rPr>
                <w:sz w:val="18"/>
                <w:szCs w:val="18"/>
                <w:color w:val="auto"/>
              </w:rPr>
            </w:pPr>
          </w:p>
        </w:tc>
        <w:tc>
          <w:tcPr>
            <w:tcW w:w="1120" w:type="dxa"/>
            <w:vAlign w:val="bottom"/>
            <w:tcBorders>
              <w:bottom w:val="single" w:sz="8" w:color="4800E6"/>
            </w:tcBorders>
          </w:tcPr>
          <w:p>
            <w:pPr>
              <w:jc w:val="right"/>
              <w:spacing w:after="0"/>
              <w:rPr>
                <w:sz w:val="20"/>
                <w:szCs w:val="20"/>
                <w:color w:val="auto"/>
              </w:rPr>
            </w:pPr>
            <w:r>
              <w:rPr>
                <w:rFonts w:ascii="Arial" w:cs="Arial" w:eastAsia="Arial" w:hAnsi="Arial"/>
                <w:sz w:val="13"/>
                <w:szCs w:val="13"/>
                <w:b w:val="1"/>
                <w:bCs w:val="1"/>
                <w:color w:val="4800E6"/>
              </w:rPr>
              <w:t>($)</w:t>
            </w:r>
          </w:p>
        </w:tc>
        <w:tc>
          <w:tcPr>
            <w:tcW w:w="960" w:type="dxa"/>
            <w:vAlign w:val="bottom"/>
            <w:tcBorders>
              <w:bottom w:val="single" w:sz="8" w:color="4800E6"/>
            </w:tcBorders>
          </w:tcPr>
          <w:p>
            <w:pPr>
              <w:jc w:val="right"/>
              <w:spacing w:after="0"/>
              <w:rPr>
                <w:sz w:val="20"/>
                <w:szCs w:val="20"/>
                <w:color w:val="auto"/>
              </w:rPr>
            </w:pPr>
            <w:r>
              <w:rPr>
                <w:rFonts w:ascii="Arial" w:cs="Arial" w:eastAsia="Arial" w:hAnsi="Arial"/>
                <w:sz w:val="13"/>
                <w:szCs w:val="13"/>
                <w:b w:val="1"/>
                <w:bCs w:val="1"/>
                <w:color w:val="4800E6"/>
              </w:rPr>
              <w:t>($)</w:t>
            </w:r>
          </w:p>
        </w:tc>
        <w:tc>
          <w:tcPr>
            <w:tcW w:w="760" w:type="dxa"/>
            <w:vAlign w:val="bottom"/>
            <w:tcBorders>
              <w:bottom w:val="single" w:sz="8" w:color="4800E6"/>
            </w:tcBorders>
          </w:tcPr>
          <w:p>
            <w:pPr>
              <w:jc w:val="right"/>
              <w:spacing w:after="0" w:line="216" w:lineRule="exact"/>
              <w:rPr>
                <w:sz w:val="20"/>
                <w:szCs w:val="20"/>
                <w:color w:val="auto"/>
              </w:rPr>
            </w:pPr>
            <w:r>
              <w:rPr>
                <w:rFonts w:ascii="Arial" w:cs="Arial" w:eastAsia="Arial" w:hAnsi="Arial"/>
                <w:sz w:val="13"/>
                <w:szCs w:val="13"/>
                <w:b w:val="1"/>
                <w:bCs w:val="1"/>
                <w:color w:val="4800E6"/>
              </w:rPr>
              <w:t>($)</w:t>
            </w:r>
            <w:r>
              <w:rPr>
                <w:rFonts w:ascii="Arial" w:cs="Arial" w:eastAsia="Arial" w:hAnsi="Arial"/>
                <w:sz w:val="19"/>
                <w:szCs w:val="19"/>
                <w:b w:val="1"/>
                <w:bCs w:val="1"/>
                <w:color w:val="4800E6"/>
                <w:vertAlign w:val="superscript"/>
              </w:rPr>
              <w:t>(a)</w:t>
            </w:r>
          </w:p>
        </w:tc>
        <w:tc>
          <w:tcPr>
            <w:tcW w:w="760" w:type="dxa"/>
            <w:vAlign w:val="bottom"/>
            <w:tcBorders>
              <w:bottom w:val="single" w:sz="8" w:color="4800E6"/>
            </w:tcBorders>
          </w:tcPr>
          <w:p>
            <w:pPr>
              <w:jc w:val="right"/>
              <w:spacing w:after="0" w:line="216" w:lineRule="exact"/>
              <w:rPr>
                <w:sz w:val="20"/>
                <w:szCs w:val="20"/>
                <w:color w:val="auto"/>
              </w:rPr>
            </w:pPr>
            <w:r>
              <w:rPr>
                <w:rFonts w:ascii="Arial" w:cs="Arial" w:eastAsia="Arial" w:hAnsi="Arial"/>
                <w:sz w:val="13"/>
                <w:szCs w:val="13"/>
                <w:b w:val="1"/>
                <w:bCs w:val="1"/>
                <w:color w:val="4800E6"/>
              </w:rPr>
              <w:t>($)</w:t>
            </w:r>
            <w:r>
              <w:rPr>
                <w:rFonts w:ascii="Arial" w:cs="Arial" w:eastAsia="Arial" w:hAnsi="Arial"/>
                <w:sz w:val="19"/>
                <w:szCs w:val="19"/>
                <w:b w:val="1"/>
                <w:bCs w:val="1"/>
                <w:color w:val="4800E6"/>
                <w:vertAlign w:val="superscript"/>
              </w:rPr>
              <w:t>(b)</w:t>
            </w:r>
          </w:p>
        </w:tc>
        <w:tc>
          <w:tcPr>
            <w:tcW w:w="980" w:type="dxa"/>
            <w:vAlign w:val="bottom"/>
            <w:tcBorders>
              <w:bottom w:val="single" w:sz="8" w:color="4800E6"/>
            </w:tcBorders>
          </w:tcPr>
          <w:p>
            <w:pPr>
              <w:jc w:val="right"/>
              <w:spacing w:after="0" w:line="216" w:lineRule="exact"/>
              <w:rPr>
                <w:sz w:val="20"/>
                <w:szCs w:val="20"/>
                <w:color w:val="auto"/>
              </w:rPr>
            </w:pPr>
            <w:r>
              <w:rPr>
                <w:rFonts w:ascii="Arial" w:cs="Arial" w:eastAsia="Arial" w:hAnsi="Arial"/>
                <w:sz w:val="13"/>
                <w:szCs w:val="13"/>
                <w:b w:val="1"/>
                <w:bCs w:val="1"/>
                <w:color w:val="4800E6"/>
              </w:rPr>
              <w:t>($)</w:t>
            </w:r>
            <w:r>
              <w:rPr>
                <w:rFonts w:ascii="Arial" w:cs="Arial" w:eastAsia="Arial" w:hAnsi="Arial"/>
                <w:sz w:val="19"/>
                <w:szCs w:val="19"/>
                <w:b w:val="1"/>
                <w:bCs w:val="1"/>
                <w:color w:val="4800E6"/>
                <w:vertAlign w:val="superscript"/>
              </w:rPr>
              <w:t>(c)</w:t>
            </w:r>
          </w:p>
        </w:tc>
        <w:tc>
          <w:tcPr>
            <w:tcW w:w="1060" w:type="dxa"/>
            <w:vAlign w:val="bottom"/>
            <w:tcBorders>
              <w:bottom w:val="single" w:sz="8" w:color="4800E6"/>
            </w:tcBorders>
          </w:tcPr>
          <w:p>
            <w:pPr>
              <w:jc w:val="right"/>
              <w:spacing w:after="0" w:line="216" w:lineRule="exact"/>
              <w:rPr>
                <w:sz w:val="20"/>
                <w:szCs w:val="20"/>
                <w:color w:val="auto"/>
              </w:rPr>
            </w:pPr>
            <w:r>
              <w:rPr>
                <w:rFonts w:ascii="Arial" w:cs="Arial" w:eastAsia="Arial" w:hAnsi="Arial"/>
                <w:sz w:val="13"/>
                <w:szCs w:val="13"/>
                <w:b w:val="1"/>
                <w:bCs w:val="1"/>
                <w:color w:val="4800E6"/>
              </w:rPr>
              <w:t>($)</w:t>
            </w:r>
            <w:r>
              <w:rPr>
                <w:rFonts w:ascii="Arial" w:cs="Arial" w:eastAsia="Arial" w:hAnsi="Arial"/>
                <w:sz w:val="19"/>
                <w:szCs w:val="19"/>
                <w:b w:val="1"/>
                <w:bCs w:val="1"/>
                <w:color w:val="4800E6"/>
                <w:vertAlign w:val="superscript"/>
              </w:rPr>
              <w:t>(d)</w:t>
            </w:r>
          </w:p>
        </w:tc>
        <w:tc>
          <w:tcPr>
            <w:tcW w:w="900" w:type="dxa"/>
            <w:vAlign w:val="bottom"/>
            <w:tcBorders>
              <w:bottom w:val="single" w:sz="8" w:color="4800E6"/>
            </w:tcBorders>
          </w:tcPr>
          <w:p>
            <w:pPr>
              <w:jc w:val="right"/>
              <w:spacing w:after="0" w:line="216" w:lineRule="exact"/>
              <w:rPr>
                <w:sz w:val="20"/>
                <w:szCs w:val="20"/>
                <w:color w:val="auto"/>
              </w:rPr>
            </w:pPr>
            <w:r>
              <w:rPr>
                <w:rFonts w:ascii="Arial" w:cs="Arial" w:eastAsia="Arial" w:hAnsi="Arial"/>
                <w:sz w:val="13"/>
                <w:szCs w:val="13"/>
                <w:b w:val="1"/>
                <w:bCs w:val="1"/>
                <w:color w:val="4800E6"/>
              </w:rPr>
              <w:t>($)</w:t>
            </w:r>
            <w:r>
              <w:rPr>
                <w:rFonts w:ascii="Arial" w:cs="Arial" w:eastAsia="Arial" w:hAnsi="Arial"/>
                <w:sz w:val="19"/>
                <w:szCs w:val="19"/>
                <w:b w:val="1"/>
                <w:bCs w:val="1"/>
                <w:color w:val="4800E6"/>
                <w:vertAlign w:val="superscript"/>
              </w:rPr>
              <w:t>(e)</w:t>
            </w:r>
          </w:p>
        </w:tc>
        <w:tc>
          <w:tcPr>
            <w:tcW w:w="500" w:type="dxa"/>
            <w:vAlign w:val="bottom"/>
            <w:tcBorders>
              <w:bottom w:val="single" w:sz="8" w:color="4800E6"/>
            </w:tcBorders>
          </w:tcPr>
          <w:p>
            <w:pPr>
              <w:jc w:val="right"/>
              <w:spacing w:after="0" w:line="216" w:lineRule="exact"/>
              <w:rPr>
                <w:sz w:val="20"/>
                <w:szCs w:val="20"/>
                <w:color w:val="auto"/>
              </w:rPr>
            </w:pPr>
            <w:r>
              <w:rPr>
                <w:rFonts w:ascii="Arial" w:cs="Arial" w:eastAsia="Arial" w:hAnsi="Arial"/>
                <w:sz w:val="13"/>
                <w:szCs w:val="13"/>
                <w:b w:val="1"/>
                <w:bCs w:val="1"/>
                <w:color w:val="4800E6"/>
              </w:rPr>
              <w:t>($)</w:t>
            </w:r>
            <w:r>
              <w:rPr>
                <w:rFonts w:ascii="Arial" w:cs="Arial" w:eastAsia="Arial" w:hAnsi="Arial"/>
                <w:sz w:val="19"/>
                <w:szCs w:val="19"/>
                <w:b w:val="1"/>
                <w:bCs w:val="1"/>
                <w:color w:val="4800E6"/>
                <w:vertAlign w:val="superscript"/>
              </w:rPr>
              <w:t>(f)</w:t>
            </w:r>
          </w:p>
        </w:tc>
        <w:tc>
          <w:tcPr>
            <w:tcW w:w="600" w:type="dxa"/>
            <w:vAlign w:val="bottom"/>
            <w:tcBorders>
              <w:bottom w:val="single" w:sz="8" w:color="4800E6"/>
            </w:tcBorders>
          </w:tcPr>
          <w:p>
            <w:pPr>
              <w:jc w:val="right"/>
              <w:spacing w:after="0"/>
              <w:rPr>
                <w:sz w:val="20"/>
                <w:szCs w:val="20"/>
                <w:color w:val="auto"/>
              </w:rPr>
            </w:pPr>
            <w:r>
              <w:rPr>
                <w:rFonts w:ascii="Arial" w:cs="Arial" w:eastAsia="Arial" w:hAnsi="Arial"/>
                <w:sz w:val="13"/>
                <w:szCs w:val="13"/>
                <w:b w:val="1"/>
                <w:bCs w:val="1"/>
                <w:color w:val="4800E6"/>
              </w:rPr>
              <w:t>($)</w:t>
            </w:r>
          </w:p>
        </w:tc>
      </w:tr>
      <w:tr>
        <w:trPr>
          <w:trHeight w:val="198"/>
        </w:trPr>
        <w:tc>
          <w:tcPr>
            <w:tcW w:w="1320" w:type="dxa"/>
            <w:vAlign w:val="bottom"/>
          </w:tcPr>
          <w:p>
            <w:pPr>
              <w:ind w:left="20"/>
              <w:spacing w:after="0"/>
              <w:rPr>
                <w:sz w:val="20"/>
                <w:szCs w:val="20"/>
                <w:color w:val="auto"/>
              </w:rPr>
            </w:pPr>
            <w:r>
              <w:rPr>
                <w:rFonts w:ascii="Arial" w:cs="Arial" w:eastAsia="Arial" w:hAnsi="Arial"/>
                <w:sz w:val="14"/>
                <w:szCs w:val="14"/>
                <w:b w:val="1"/>
                <w:bCs w:val="1"/>
                <w:color w:val="auto"/>
              </w:rPr>
              <w:t>Damien McDonald</w:t>
            </w:r>
          </w:p>
        </w:tc>
        <w:tc>
          <w:tcPr>
            <w:tcW w:w="1120" w:type="dxa"/>
            <w:vAlign w:val="bottom"/>
          </w:tcPr>
          <w:p>
            <w:pPr>
              <w:jc w:val="right"/>
              <w:spacing w:after="0"/>
              <w:rPr>
                <w:sz w:val="20"/>
                <w:szCs w:val="20"/>
                <w:color w:val="auto"/>
              </w:rPr>
            </w:pPr>
            <w:r>
              <w:rPr>
                <w:rFonts w:ascii="Arial" w:cs="Arial" w:eastAsia="Arial" w:hAnsi="Arial"/>
                <w:sz w:val="14"/>
                <w:szCs w:val="14"/>
                <w:color w:val="auto"/>
              </w:rPr>
              <w:t>–</w:t>
            </w:r>
          </w:p>
        </w:tc>
        <w:tc>
          <w:tcPr>
            <w:tcW w:w="960" w:type="dxa"/>
            <w:vAlign w:val="bottom"/>
          </w:tcPr>
          <w:p>
            <w:pPr>
              <w:jc w:val="right"/>
              <w:spacing w:after="0"/>
              <w:rPr>
                <w:sz w:val="20"/>
                <w:szCs w:val="20"/>
                <w:color w:val="auto"/>
              </w:rPr>
            </w:pPr>
            <w:r>
              <w:rPr>
                <w:rFonts w:ascii="Arial" w:cs="Arial" w:eastAsia="Arial" w:hAnsi="Arial"/>
                <w:sz w:val="14"/>
                <w:szCs w:val="14"/>
                <w:color w:val="auto"/>
              </w:rPr>
              <w:t>28,381</w:t>
            </w:r>
          </w:p>
        </w:tc>
        <w:tc>
          <w:tcPr>
            <w:tcW w:w="760" w:type="dxa"/>
            <w:vAlign w:val="bottom"/>
          </w:tcPr>
          <w:p>
            <w:pPr>
              <w:jc w:val="right"/>
              <w:spacing w:after="0"/>
              <w:rPr>
                <w:sz w:val="20"/>
                <w:szCs w:val="20"/>
                <w:color w:val="auto"/>
              </w:rPr>
            </w:pPr>
            <w:r>
              <w:rPr>
                <w:rFonts w:ascii="Arial" w:cs="Arial" w:eastAsia="Arial" w:hAnsi="Arial"/>
                <w:sz w:val="14"/>
                <w:szCs w:val="14"/>
                <w:color w:val="auto"/>
              </w:rPr>
              <w:t>122,471</w:t>
            </w:r>
          </w:p>
        </w:tc>
        <w:tc>
          <w:tcPr>
            <w:tcW w:w="760" w:type="dxa"/>
            <w:vAlign w:val="bottom"/>
          </w:tcPr>
          <w:p>
            <w:pPr>
              <w:jc w:val="right"/>
              <w:spacing w:after="0"/>
              <w:rPr>
                <w:sz w:val="20"/>
                <w:szCs w:val="20"/>
                <w:color w:val="auto"/>
              </w:rPr>
            </w:pPr>
            <w:r>
              <w:rPr>
                <w:rFonts w:ascii="Arial" w:cs="Arial" w:eastAsia="Arial" w:hAnsi="Arial"/>
                <w:sz w:val="14"/>
                <w:szCs w:val="14"/>
                <w:color w:val="auto"/>
              </w:rPr>
              <w:t>22,644</w:t>
            </w:r>
          </w:p>
        </w:tc>
        <w:tc>
          <w:tcPr>
            <w:tcW w:w="980" w:type="dxa"/>
            <w:vAlign w:val="bottom"/>
          </w:tcPr>
          <w:p>
            <w:pPr>
              <w:jc w:val="right"/>
              <w:spacing w:after="0"/>
              <w:rPr>
                <w:sz w:val="20"/>
                <w:szCs w:val="20"/>
                <w:color w:val="auto"/>
              </w:rPr>
            </w:pPr>
            <w:r>
              <w:rPr>
                <w:rFonts w:ascii="Arial" w:cs="Arial" w:eastAsia="Arial" w:hAnsi="Arial"/>
                <w:sz w:val="14"/>
                <w:szCs w:val="14"/>
                <w:color w:val="auto"/>
              </w:rPr>
              <w:t>–</w:t>
            </w:r>
          </w:p>
        </w:tc>
        <w:tc>
          <w:tcPr>
            <w:tcW w:w="1060" w:type="dxa"/>
            <w:vAlign w:val="bottom"/>
          </w:tcPr>
          <w:p>
            <w:pPr>
              <w:jc w:val="right"/>
              <w:spacing w:after="0"/>
              <w:rPr>
                <w:sz w:val="20"/>
                <w:szCs w:val="20"/>
                <w:color w:val="auto"/>
              </w:rPr>
            </w:pPr>
            <w:r>
              <w:rPr>
                <w:rFonts w:ascii="Arial" w:cs="Arial" w:eastAsia="Arial" w:hAnsi="Arial"/>
                <w:sz w:val="14"/>
                <w:szCs w:val="14"/>
                <w:color w:val="auto"/>
              </w:rPr>
              <w:t>–</w:t>
            </w:r>
          </w:p>
        </w:tc>
        <w:tc>
          <w:tcPr>
            <w:tcW w:w="900" w:type="dxa"/>
            <w:vAlign w:val="bottom"/>
          </w:tcPr>
          <w:p>
            <w:pPr>
              <w:jc w:val="right"/>
              <w:spacing w:after="0"/>
              <w:rPr>
                <w:sz w:val="20"/>
                <w:szCs w:val="20"/>
                <w:color w:val="auto"/>
              </w:rPr>
            </w:pPr>
            <w:r>
              <w:rPr>
                <w:rFonts w:ascii="Arial" w:cs="Arial" w:eastAsia="Arial" w:hAnsi="Arial"/>
                <w:sz w:val="14"/>
                <w:szCs w:val="14"/>
                <w:color w:val="auto"/>
              </w:rPr>
              <w:t>162,643</w:t>
            </w:r>
          </w:p>
        </w:tc>
        <w:tc>
          <w:tcPr>
            <w:tcW w:w="500" w:type="dxa"/>
            <w:vAlign w:val="bottom"/>
          </w:tcPr>
          <w:p>
            <w:pPr>
              <w:jc w:val="right"/>
              <w:spacing w:after="0"/>
              <w:rPr>
                <w:sz w:val="20"/>
                <w:szCs w:val="20"/>
                <w:color w:val="auto"/>
              </w:rPr>
            </w:pPr>
            <w:r>
              <w:rPr>
                <w:rFonts w:ascii="Arial" w:cs="Arial" w:eastAsia="Arial" w:hAnsi="Arial"/>
                <w:sz w:val="14"/>
                <w:szCs w:val="14"/>
                <w:color w:val="auto"/>
              </w:rPr>
              <w:t>26,087</w:t>
            </w:r>
          </w:p>
        </w:tc>
        <w:tc>
          <w:tcPr>
            <w:tcW w:w="600" w:type="dxa"/>
            <w:vAlign w:val="bottom"/>
          </w:tcPr>
          <w:p>
            <w:pPr>
              <w:jc w:val="right"/>
              <w:spacing w:after="0"/>
              <w:rPr>
                <w:sz w:val="20"/>
                <w:szCs w:val="20"/>
                <w:color w:val="auto"/>
              </w:rPr>
            </w:pPr>
            <w:r>
              <w:rPr>
                <w:rFonts w:ascii="Arial" w:cs="Arial" w:eastAsia="Arial" w:hAnsi="Arial"/>
                <w:sz w:val="14"/>
                <w:szCs w:val="14"/>
                <w:color w:val="auto"/>
              </w:rPr>
              <w:t>362,226</w:t>
            </w:r>
          </w:p>
        </w:tc>
      </w:tr>
      <w:tr>
        <w:trPr>
          <w:trHeight w:val="25"/>
        </w:trPr>
        <w:tc>
          <w:tcPr>
            <w:tcW w:w="13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960" w:type="dxa"/>
            <w:vAlign w:val="bottom"/>
          </w:tcPr>
          <w:p>
            <w:pPr>
              <w:spacing w:after="0"/>
              <w:rPr>
                <w:sz w:val="2"/>
                <w:szCs w:val="2"/>
                <w:color w:val="auto"/>
              </w:rPr>
            </w:pPr>
          </w:p>
        </w:tc>
        <w:tc>
          <w:tcPr>
            <w:tcW w:w="760" w:type="dxa"/>
            <w:vAlign w:val="bottom"/>
          </w:tcPr>
          <w:p>
            <w:pPr>
              <w:spacing w:after="0"/>
              <w:rPr>
                <w:sz w:val="2"/>
                <w:szCs w:val="2"/>
                <w:color w:val="auto"/>
              </w:rPr>
            </w:pPr>
          </w:p>
        </w:tc>
        <w:tc>
          <w:tcPr>
            <w:tcW w:w="7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900" w:type="dxa"/>
            <w:vAlign w:val="bottom"/>
          </w:tcPr>
          <w:p>
            <w:pPr>
              <w:spacing w:after="0"/>
              <w:rPr>
                <w:sz w:val="2"/>
                <w:szCs w:val="2"/>
                <w:color w:val="auto"/>
              </w:rPr>
            </w:pPr>
          </w:p>
        </w:tc>
        <w:tc>
          <w:tcPr>
            <w:tcW w:w="500" w:type="dxa"/>
            <w:vAlign w:val="bottom"/>
          </w:tcPr>
          <w:p>
            <w:pPr>
              <w:spacing w:after="0"/>
              <w:rPr>
                <w:sz w:val="2"/>
                <w:szCs w:val="2"/>
                <w:color w:val="auto"/>
              </w:rPr>
            </w:pPr>
          </w:p>
        </w:tc>
        <w:tc>
          <w:tcPr>
            <w:tcW w:w="600" w:type="dxa"/>
            <w:vAlign w:val="bottom"/>
          </w:tcPr>
          <w:p>
            <w:pPr>
              <w:spacing w:after="0"/>
              <w:rPr>
                <w:sz w:val="2"/>
                <w:szCs w:val="2"/>
                <w:color w:val="auto"/>
              </w:rPr>
            </w:pPr>
          </w:p>
        </w:tc>
      </w:tr>
      <w:tr>
        <w:trPr>
          <w:trHeight w:val="236"/>
        </w:trPr>
        <w:tc>
          <w:tcPr>
            <w:tcW w:w="1320" w:type="dxa"/>
            <w:vAlign w:val="bottom"/>
            <w:tcBorders>
              <w:bottom w:val="single" w:sz="8" w:color="EFE9FC"/>
            </w:tcBorders>
            <w:shd w:val="clear" w:color="auto" w:fill="EFE9FC"/>
          </w:tcPr>
          <w:p>
            <w:pPr>
              <w:ind w:left="20"/>
              <w:spacing w:after="0"/>
              <w:rPr>
                <w:sz w:val="20"/>
                <w:szCs w:val="20"/>
                <w:color w:val="auto"/>
              </w:rPr>
            </w:pPr>
            <w:r>
              <w:rPr>
                <w:rFonts w:ascii="Arial" w:cs="Arial" w:eastAsia="Arial" w:hAnsi="Arial"/>
                <w:sz w:val="14"/>
                <w:szCs w:val="14"/>
                <w:b w:val="1"/>
                <w:bCs w:val="1"/>
                <w:color w:val="auto"/>
              </w:rPr>
              <w:t>Thad Huston</w:t>
            </w:r>
          </w:p>
        </w:tc>
        <w:tc>
          <w:tcPr>
            <w:tcW w:w="1120" w:type="dxa"/>
            <w:vAlign w:val="bottom"/>
            <w:tcBorders>
              <w:bottom w:val="single" w:sz="8" w:color="EFE9FC"/>
            </w:tcBorders>
            <w:shd w:val="clear" w:color="auto" w:fill="EFE9FC"/>
          </w:tcPr>
          <w:p>
            <w:pPr>
              <w:jc w:val="right"/>
              <w:spacing w:after="0"/>
              <w:rPr>
                <w:sz w:val="20"/>
                <w:szCs w:val="20"/>
                <w:color w:val="auto"/>
              </w:rPr>
            </w:pPr>
            <w:r>
              <w:rPr>
                <w:rFonts w:ascii="Arial" w:cs="Arial" w:eastAsia="Arial" w:hAnsi="Arial"/>
                <w:sz w:val="14"/>
                <w:szCs w:val="14"/>
                <w:color w:val="auto"/>
              </w:rPr>
              <w:t>–</w:t>
            </w:r>
          </w:p>
        </w:tc>
        <w:tc>
          <w:tcPr>
            <w:tcW w:w="960" w:type="dxa"/>
            <w:vAlign w:val="bottom"/>
            <w:tcBorders>
              <w:bottom w:val="single" w:sz="8" w:color="EFE9FC"/>
            </w:tcBorders>
            <w:shd w:val="clear" w:color="auto" w:fill="EFE9FC"/>
          </w:tcPr>
          <w:p>
            <w:pPr>
              <w:jc w:val="right"/>
              <w:spacing w:after="0"/>
              <w:rPr>
                <w:sz w:val="20"/>
                <w:szCs w:val="20"/>
                <w:color w:val="auto"/>
              </w:rPr>
            </w:pPr>
            <w:r>
              <w:rPr>
                <w:rFonts w:ascii="Arial" w:cs="Arial" w:eastAsia="Arial" w:hAnsi="Arial"/>
                <w:sz w:val="14"/>
                <w:szCs w:val="14"/>
                <w:color w:val="auto"/>
              </w:rPr>
              <w:t>21,823</w:t>
            </w:r>
          </w:p>
        </w:tc>
        <w:tc>
          <w:tcPr>
            <w:tcW w:w="760" w:type="dxa"/>
            <w:vAlign w:val="bottom"/>
            <w:tcBorders>
              <w:bottom w:val="single" w:sz="8" w:color="EFE9FC"/>
            </w:tcBorders>
            <w:shd w:val="clear" w:color="auto" w:fill="EFE9FC"/>
          </w:tcPr>
          <w:p>
            <w:pPr>
              <w:jc w:val="right"/>
              <w:spacing w:after="0"/>
              <w:rPr>
                <w:sz w:val="20"/>
                <w:szCs w:val="20"/>
                <w:color w:val="auto"/>
              </w:rPr>
            </w:pPr>
            <w:r>
              <w:rPr>
                <w:rFonts w:ascii="Arial" w:cs="Arial" w:eastAsia="Arial" w:hAnsi="Arial"/>
                <w:sz w:val="14"/>
                <w:szCs w:val="14"/>
                <w:color w:val="auto"/>
              </w:rPr>
              <w:t>–</w:t>
            </w:r>
          </w:p>
        </w:tc>
        <w:tc>
          <w:tcPr>
            <w:tcW w:w="760" w:type="dxa"/>
            <w:vAlign w:val="bottom"/>
            <w:tcBorders>
              <w:bottom w:val="single" w:sz="8" w:color="EFE9FC"/>
            </w:tcBorders>
            <w:shd w:val="clear" w:color="auto" w:fill="EFE9FC"/>
          </w:tcPr>
          <w:p>
            <w:pPr>
              <w:jc w:val="right"/>
              <w:spacing w:after="0"/>
              <w:rPr>
                <w:sz w:val="20"/>
                <w:szCs w:val="20"/>
                <w:color w:val="auto"/>
              </w:rPr>
            </w:pPr>
            <w:r>
              <w:rPr>
                <w:rFonts w:ascii="Arial" w:cs="Arial" w:eastAsia="Arial" w:hAnsi="Arial"/>
                <w:sz w:val="14"/>
                <w:szCs w:val="14"/>
                <w:color w:val="auto"/>
              </w:rPr>
              <w:t>16,840</w:t>
            </w:r>
          </w:p>
        </w:tc>
        <w:tc>
          <w:tcPr>
            <w:tcW w:w="980" w:type="dxa"/>
            <w:vAlign w:val="bottom"/>
            <w:tcBorders>
              <w:bottom w:val="single" w:sz="8" w:color="EFE9FC"/>
            </w:tcBorders>
            <w:shd w:val="clear" w:color="auto" w:fill="EFE9FC"/>
          </w:tcPr>
          <w:p>
            <w:pPr>
              <w:jc w:val="right"/>
              <w:spacing w:after="0"/>
              <w:rPr>
                <w:sz w:val="20"/>
                <w:szCs w:val="20"/>
                <w:color w:val="auto"/>
              </w:rPr>
            </w:pPr>
            <w:r>
              <w:rPr>
                <w:rFonts w:ascii="Arial" w:cs="Arial" w:eastAsia="Arial" w:hAnsi="Arial"/>
                <w:sz w:val="14"/>
                <w:szCs w:val="14"/>
                <w:color w:val="auto"/>
              </w:rPr>
              <w:t>–</w:t>
            </w:r>
          </w:p>
        </w:tc>
        <w:tc>
          <w:tcPr>
            <w:tcW w:w="1060" w:type="dxa"/>
            <w:vAlign w:val="bottom"/>
            <w:tcBorders>
              <w:bottom w:val="single" w:sz="8" w:color="EFE9FC"/>
            </w:tcBorders>
            <w:shd w:val="clear" w:color="auto" w:fill="EFE9FC"/>
          </w:tcPr>
          <w:p>
            <w:pPr>
              <w:jc w:val="right"/>
              <w:spacing w:after="0"/>
              <w:rPr>
                <w:sz w:val="20"/>
                <w:szCs w:val="20"/>
                <w:color w:val="auto"/>
              </w:rPr>
            </w:pPr>
            <w:r>
              <w:rPr>
                <w:rFonts w:ascii="Arial" w:cs="Arial" w:eastAsia="Arial" w:hAnsi="Arial"/>
                <w:sz w:val="14"/>
                <w:szCs w:val="14"/>
                <w:color w:val="auto"/>
              </w:rPr>
              <w:t>–</w:t>
            </w:r>
          </w:p>
        </w:tc>
        <w:tc>
          <w:tcPr>
            <w:tcW w:w="900" w:type="dxa"/>
            <w:vAlign w:val="bottom"/>
            <w:tcBorders>
              <w:bottom w:val="single" w:sz="8" w:color="EFE9FC"/>
            </w:tcBorders>
            <w:shd w:val="clear" w:color="auto" w:fill="EFE9FC"/>
          </w:tcPr>
          <w:p>
            <w:pPr>
              <w:jc w:val="right"/>
              <w:spacing w:after="0"/>
              <w:rPr>
                <w:sz w:val="20"/>
                <w:szCs w:val="20"/>
                <w:color w:val="auto"/>
              </w:rPr>
            </w:pPr>
            <w:r>
              <w:rPr>
                <w:rFonts w:ascii="Arial" w:cs="Arial" w:eastAsia="Arial" w:hAnsi="Arial"/>
                <w:sz w:val="14"/>
                <w:szCs w:val="14"/>
                <w:color w:val="auto"/>
              </w:rPr>
              <w:t>89,360</w:t>
            </w:r>
          </w:p>
        </w:tc>
        <w:tc>
          <w:tcPr>
            <w:tcW w:w="500" w:type="dxa"/>
            <w:vAlign w:val="bottom"/>
            <w:tcBorders>
              <w:bottom w:val="single" w:sz="8" w:color="EFE9FC"/>
            </w:tcBorders>
            <w:shd w:val="clear" w:color="auto" w:fill="EFE9FC"/>
          </w:tcPr>
          <w:p>
            <w:pPr>
              <w:jc w:val="right"/>
              <w:spacing w:after="0"/>
              <w:rPr>
                <w:sz w:val="20"/>
                <w:szCs w:val="20"/>
                <w:color w:val="auto"/>
              </w:rPr>
            </w:pPr>
            <w:r>
              <w:rPr>
                <w:rFonts w:ascii="Arial" w:cs="Arial" w:eastAsia="Arial" w:hAnsi="Arial"/>
                <w:sz w:val="14"/>
                <w:szCs w:val="14"/>
                <w:color w:val="auto"/>
              </w:rPr>
              <w:t>11,169</w:t>
            </w:r>
          </w:p>
        </w:tc>
        <w:tc>
          <w:tcPr>
            <w:tcW w:w="600" w:type="dxa"/>
            <w:vAlign w:val="bottom"/>
            <w:tcBorders>
              <w:bottom w:val="single" w:sz="8" w:color="EFE9FC"/>
            </w:tcBorders>
            <w:shd w:val="clear" w:color="auto" w:fill="EFE9FC"/>
          </w:tcPr>
          <w:p>
            <w:pPr>
              <w:jc w:val="right"/>
              <w:spacing w:after="0"/>
              <w:rPr>
                <w:sz w:val="20"/>
                <w:szCs w:val="20"/>
                <w:color w:val="auto"/>
              </w:rPr>
            </w:pPr>
            <w:r>
              <w:rPr>
                <w:rFonts w:ascii="Arial" w:cs="Arial" w:eastAsia="Arial" w:hAnsi="Arial"/>
                <w:sz w:val="14"/>
                <w:szCs w:val="14"/>
                <w:color w:val="auto"/>
              </w:rPr>
              <w:t>139,192</w:t>
            </w:r>
          </w:p>
        </w:tc>
      </w:tr>
      <w:tr>
        <w:trPr>
          <w:trHeight w:val="204"/>
        </w:trPr>
        <w:tc>
          <w:tcPr>
            <w:tcW w:w="1320" w:type="dxa"/>
            <w:vAlign w:val="bottom"/>
          </w:tcPr>
          <w:p>
            <w:pPr>
              <w:ind w:left="20"/>
              <w:spacing w:after="0"/>
              <w:rPr>
                <w:sz w:val="20"/>
                <w:szCs w:val="20"/>
                <w:color w:val="auto"/>
              </w:rPr>
            </w:pPr>
            <w:r>
              <w:rPr>
                <w:rFonts w:ascii="Arial" w:cs="Arial" w:eastAsia="Arial" w:hAnsi="Arial"/>
                <w:sz w:val="14"/>
                <w:szCs w:val="14"/>
                <w:b w:val="1"/>
                <w:bCs w:val="1"/>
                <w:color w:val="auto"/>
              </w:rPr>
              <w:t>Keyna Skeffington</w:t>
            </w:r>
          </w:p>
        </w:tc>
        <w:tc>
          <w:tcPr>
            <w:tcW w:w="1120" w:type="dxa"/>
            <w:vAlign w:val="bottom"/>
          </w:tcPr>
          <w:p>
            <w:pPr>
              <w:jc w:val="right"/>
              <w:spacing w:after="0"/>
              <w:rPr>
                <w:sz w:val="20"/>
                <w:szCs w:val="20"/>
                <w:color w:val="auto"/>
              </w:rPr>
            </w:pPr>
            <w:r>
              <w:rPr>
                <w:rFonts w:ascii="Arial" w:cs="Arial" w:eastAsia="Arial" w:hAnsi="Arial"/>
                <w:sz w:val="14"/>
                <w:szCs w:val="14"/>
                <w:color w:val="auto"/>
              </w:rPr>
              <w:t>–</w:t>
            </w:r>
          </w:p>
        </w:tc>
        <w:tc>
          <w:tcPr>
            <w:tcW w:w="960" w:type="dxa"/>
            <w:vAlign w:val="bottom"/>
          </w:tcPr>
          <w:p>
            <w:pPr>
              <w:jc w:val="right"/>
              <w:spacing w:after="0"/>
              <w:rPr>
                <w:sz w:val="20"/>
                <w:szCs w:val="20"/>
                <w:color w:val="auto"/>
              </w:rPr>
            </w:pPr>
            <w:r>
              <w:rPr>
                <w:rFonts w:ascii="Arial" w:cs="Arial" w:eastAsia="Arial" w:hAnsi="Arial"/>
                <w:sz w:val="14"/>
                <w:szCs w:val="14"/>
                <w:color w:val="auto"/>
              </w:rPr>
              <w:t>34,628</w:t>
            </w:r>
          </w:p>
        </w:tc>
        <w:tc>
          <w:tcPr>
            <w:tcW w:w="760" w:type="dxa"/>
            <w:vAlign w:val="bottom"/>
          </w:tcPr>
          <w:p>
            <w:pPr>
              <w:jc w:val="right"/>
              <w:spacing w:after="0"/>
              <w:rPr>
                <w:sz w:val="20"/>
                <w:szCs w:val="20"/>
                <w:color w:val="auto"/>
              </w:rPr>
            </w:pPr>
            <w:r>
              <w:rPr>
                <w:rFonts w:ascii="Arial" w:cs="Arial" w:eastAsia="Arial" w:hAnsi="Arial"/>
                <w:sz w:val="14"/>
                <w:szCs w:val="14"/>
                <w:color w:val="auto"/>
              </w:rPr>
              <w:t>–</w:t>
            </w:r>
          </w:p>
        </w:tc>
        <w:tc>
          <w:tcPr>
            <w:tcW w:w="760" w:type="dxa"/>
            <w:vAlign w:val="bottom"/>
          </w:tcPr>
          <w:p>
            <w:pPr>
              <w:jc w:val="right"/>
              <w:spacing w:after="0"/>
              <w:rPr>
                <w:sz w:val="20"/>
                <w:szCs w:val="20"/>
                <w:color w:val="auto"/>
              </w:rPr>
            </w:pPr>
            <w:r>
              <w:rPr>
                <w:rFonts w:ascii="Arial" w:cs="Arial" w:eastAsia="Arial" w:hAnsi="Arial"/>
                <w:sz w:val="14"/>
                <w:szCs w:val="14"/>
                <w:color w:val="auto"/>
              </w:rPr>
              <w:t>16,840</w:t>
            </w:r>
          </w:p>
        </w:tc>
        <w:tc>
          <w:tcPr>
            <w:tcW w:w="980" w:type="dxa"/>
            <w:vAlign w:val="bottom"/>
          </w:tcPr>
          <w:p>
            <w:pPr>
              <w:jc w:val="right"/>
              <w:spacing w:after="0"/>
              <w:rPr>
                <w:sz w:val="20"/>
                <w:szCs w:val="20"/>
                <w:color w:val="auto"/>
              </w:rPr>
            </w:pPr>
            <w:r>
              <w:rPr>
                <w:rFonts w:ascii="Arial" w:cs="Arial" w:eastAsia="Arial" w:hAnsi="Arial"/>
                <w:sz w:val="14"/>
                <w:szCs w:val="14"/>
                <w:color w:val="auto"/>
              </w:rPr>
              <w:t>–</w:t>
            </w:r>
          </w:p>
        </w:tc>
        <w:tc>
          <w:tcPr>
            <w:tcW w:w="1060" w:type="dxa"/>
            <w:vAlign w:val="bottom"/>
          </w:tcPr>
          <w:p>
            <w:pPr>
              <w:jc w:val="right"/>
              <w:spacing w:after="0"/>
              <w:rPr>
                <w:sz w:val="20"/>
                <w:szCs w:val="20"/>
                <w:color w:val="auto"/>
              </w:rPr>
            </w:pPr>
            <w:r>
              <w:rPr>
                <w:rFonts w:ascii="Arial" w:cs="Arial" w:eastAsia="Arial" w:hAnsi="Arial"/>
                <w:sz w:val="14"/>
                <w:szCs w:val="14"/>
                <w:color w:val="auto"/>
              </w:rPr>
              <w:t>–</w:t>
            </w:r>
          </w:p>
        </w:tc>
        <w:tc>
          <w:tcPr>
            <w:tcW w:w="900" w:type="dxa"/>
            <w:vAlign w:val="bottom"/>
          </w:tcPr>
          <w:p>
            <w:pPr>
              <w:jc w:val="right"/>
              <w:spacing w:after="0"/>
              <w:rPr>
                <w:sz w:val="20"/>
                <w:szCs w:val="20"/>
                <w:color w:val="auto"/>
              </w:rPr>
            </w:pPr>
            <w:r>
              <w:rPr>
                <w:rFonts w:ascii="Arial" w:cs="Arial" w:eastAsia="Arial" w:hAnsi="Arial"/>
                <w:sz w:val="14"/>
                <w:szCs w:val="14"/>
                <w:color w:val="auto"/>
              </w:rPr>
              <w:t>69,922</w:t>
            </w:r>
          </w:p>
        </w:tc>
        <w:tc>
          <w:tcPr>
            <w:tcW w:w="500" w:type="dxa"/>
            <w:vAlign w:val="bottom"/>
          </w:tcPr>
          <w:p>
            <w:pPr>
              <w:jc w:val="right"/>
              <w:spacing w:after="0"/>
              <w:rPr>
                <w:sz w:val="20"/>
                <w:szCs w:val="20"/>
                <w:color w:val="auto"/>
              </w:rPr>
            </w:pPr>
            <w:r>
              <w:rPr>
                <w:rFonts w:ascii="Arial" w:cs="Arial" w:eastAsia="Arial" w:hAnsi="Arial"/>
                <w:sz w:val="14"/>
                <w:szCs w:val="14"/>
                <w:color w:val="auto"/>
              </w:rPr>
              <w:t>7,361</w:t>
            </w:r>
          </w:p>
        </w:tc>
        <w:tc>
          <w:tcPr>
            <w:tcW w:w="600" w:type="dxa"/>
            <w:vAlign w:val="bottom"/>
          </w:tcPr>
          <w:p>
            <w:pPr>
              <w:jc w:val="right"/>
              <w:spacing w:after="0"/>
              <w:rPr>
                <w:sz w:val="20"/>
                <w:szCs w:val="20"/>
                <w:color w:val="auto"/>
              </w:rPr>
            </w:pPr>
            <w:r>
              <w:rPr>
                <w:rFonts w:ascii="Arial" w:cs="Arial" w:eastAsia="Arial" w:hAnsi="Arial"/>
                <w:sz w:val="14"/>
                <w:szCs w:val="14"/>
                <w:color w:val="auto"/>
              </w:rPr>
              <w:t>128,751</w:t>
            </w:r>
          </w:p>
        </w:tc>
      </w:tr>
      <w:tr>
        <w:trPr>
          <w:trHeight w:val="25"/>
        </w:trPr>
        <w:tc>
          <w:tcPr>
            <w:tcW w:w="13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960" w:type="dxa"/>
            <w:vAlign w:val="bottom"/>
          </w:tcPr>
          <w:p>
            <w:pPr>
              <w:spacing w:after="0"/>
              <w:rPr>
                <w:sz w:val="2"/>
                <w:szCs w:val="2"/>
                <w:color w:val="auto"/>
              </w:rPr>
            </w:pPr>
          </w:p>
        </w:tc>
        <w:tc>
          <w:tcPr>
            <w:tcW w:w="760" w:type="dxa"/>
            <w:vAlign w:val="bottom"/>
          </w:tcPr>
          <w:p>
            <w:pPr>
              <w:spacing w:after="0"/>
              <w:rPr>
                <w:sz w:val="2"/>
                <w:szCs w:val="2"/>
                <w:color w:val="auto"/>
              </w:rPr>
            </w:pPr>
          </w:p>
        </w:tc>
        <w:tc>
          <w:tcPr>
            <w:tcW w:w="7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900" w:type="dxa"/>
            <w:vAlign w:val="bottom"/>
          </w:tcPr>
          <w:p>
            <w:pPr>
              <w:spacing w:after="0"/>
              <w:rPr>
                <w:sz w:val="2"/>
                <w:szCs w:val="2"/>
                <w:color w:val="auto"/>
              </w:rPr>
            </w:pPr>
          </w:p>
        </w:tc>
        <w:tc>
          <w:tcPr>
            <w:tcW w:w="500" w:type="dxa"/>
            <w:vAlign w:val="bottom"/>
          </w:tcPr>
          <w:p>
            <w:pPr>
              <w:spacing w:after="0"/>
              <w:rPr>
                <w:sz w:val="2"/>
                <w:szCs w:val="2"/>
                <w:color w:val="auto"/>
              </w:rPr>
            </w:pPr>
          </w:p>
        </w:tc>
        <w:tc>
          <w:tcPr>
            <w:tcW w:w="600" w:type="dxa"/>
            <w:vAlign w:val="bottom"/>
          </w:tcPr>
          <w:p>
            <w:pPr>
              <w:spacing w:after="0"/>
              <w:rPr>
                <w:sz w:val="2"/>
                <w:szCs w:val="2"/>
                <w:color w:val="auto"/>
              </w:rPr>
            </w:pPr>
          </w:p>
        </w:tc>
      </w:tr>
      <w:tr>
        <w:trPr>
          <w:trHeight w:val="236"/>
        </w:trPr>
        <w:tc>
          <w:tcPr>
            <w:tcW w:w="1320" w:type="dxa"/>
            <w:vAlign w:val="bottom"/>
            <w:tcBorders>
              <w:bottom w:val="single" w:sz="8" w:color="EFE9FC"/>
            </w:tcBorders>
            <w:shd w:val="clear" w:color="auto" w:fill="EFE9FC"/>
          </w:tcPr>
          <w:p>
            <w:pPr>
              <w:ind w:left="20"/>
              <w:spacing w:after="0"/>
              <w:rPr>
                <w:sz w:val="20"/>
                <w:szCs w:val="20"/>
                <w:color w:val="auto"/>
              </w:rPr>
            </w:pPr>
            <w:r>
              <w:rPr>
                <w:rFonts w:ascii="Arial" w:cs="Arial" w:eastAsia="Arial" w:hAnsi="Arial"/>
                <w:sz w:val="14"/>
                <w:szCs w:val="14"/>
                <w:b w:val="1"/>
                <w:bCs w:val="1"/>
                <w:color w:val="auto"/>
              </w:rPr>
              <w:t>Edward Andrle</w:t>
            </w:r>
          </w:p>
        </w:tc>
        <w:tc>
          <w:tcPr>
            <w:tcW w:w="1120" w:type="dxa"/>
            <w:vAlign w:val="bottom"/>
            <w:tcBorders>
              <w:bottom w:val="single" w:sz="8" w:color="EFE9FC"/>
            </w:tcBorders>
            <w:shd w:val="clear" w:color="auto" w:fill="EFE9FC"/>
          </w:tcPr>
          <w:p>
            <w:pPr>
              <w:jc w:val="right"/>
              <w:spacing w:after="0"/>
              <w:rPr>
                <w:sz w:val="20"/>
                <w:szCs w:val="20"/>
                <w:color w:val="auto"/>
              </w:rPr>
            </w:pPr>
            <w:r>
              <w:rPr>
                <w:rFonts w:ascii="Arial" w:cs="Arial" w:eastAsia="Arial" w:hAnsi="Arial"/>
                <w:sz w:val="14"/>
                <w:szCs w:val="14"/>
                <w:color w:val="auto"/>
              </w:rPr>
              <w:t>–</w:t>
            </w:r>
          </w:p>
        </w:tc>
        <w:tc>
          <w:tcPr>
            <w:tcW w:w="960" w:type="dxa"/>
            <w:vAlign w:val="bottom"/>
            <w:tcBorders>
              <w:bottom w:val="single" w:sz="8" w:color="EFE9FC"/>
            </w:tcBorders>
            <w:shd w:val="clear" w:color="auto" w:fill="EFE9FC"/>
          </w:tcPr>
          <w:p>
            <w:pPr>
              <w:jc w:val="right"/>
              <w:spacing w:after="0"/>
              <w:rPr>
                <w:sz w:val="20"/>
                <w:szCs w:val="20"/>
                <w:color w:val="auto"/>
              </w:rPr>
            </w:pPr>
            <w:r>
              <w:rPr>
                <w:rFonts w:ascii="Arial" w:cs="Arial" w:eastAsia="Arial" w:hAnsi="Arial"/>
                <w:sz w:val="14"/>
                <w:szCs w:val="14"/>
                <w:color w:val="auto"/>
              </w:rPr>
              <w:t>26,215</w:t>
            </w:r>
          </w:p>
        </w:tc>
        <w:tc>
          <w:tcPr>
            <w:tcW w:w="760" w:type="dxa"/>
            <w:vAlign w:val="bottom"/>
            <w:tcBorders>
              <w:bottom w:val="single" w:sz="8" w:color="EFE9FC"/>
            </w:tcBorders>
            <w:shd w:val="clear" w:color="auto" w:fill="EFE9FC"/>
          </w:tcPr>
          <w:p>
            <w:pPr>
              <w:jc w:val="right"/>
              <w:spacing w:after="0"/>
              <w:rPr>
                <w:sz w:val="20"/>
                <w:szCs w:val="20"/>
                <w:color w:val="auto"/>
              </w:rPr>
            </w:pPr>
            <w:r>
              <w:rPr>
                <w:rFonts w:ascii="Arial" w:cs="Arial" w:eastAsia="Arial" w:hAnsi="Arial"/>
                <w:sz w:val="14"/>
                <w:szCs w:val="14"/>
                <w:color w:val="auto"/>
              </w:rPr>
              <w:t>–</w:t>
            </w:r>
          </w:p>
        </w:tc>
        <w:tc>
          <w:tcPr>
            <w:tcW w:w="760" w:type="dxa"/>
            <w:vAlign w:val="bottom"/>
            <w:tcBorders>
              <w:bottom w:val="single" w:sz="8" w:color="EFE9FC"/>
            </w:tcBorders>
            <w:shd w:val="clear" w:color="auto" w:fill="EFE9FC"/>
          </w:tcPr>
          <w:p>
            <w:pPr>
              <w:jc w:val="right"/>
              <w:spacing w:after="0"/>
              <w:rPr>
                <w:sz w:val="20"/>
                <w:szCs w:val="20"/>
                <w:color w:val="auto"/>
              </w:rPr>
            </w:pPr>
            <w:r>
              <w:rPr>
                <w:rFonts w:ascii="Arial" w:cs="Arial" w:eastAsia="Arial" w:hAnsi="Arial"/>
                <w:sz w:val="14"/>
                <w:szCs w:val="14"/>
                <w:color w:val="auto"/>
              </w:rPr>
              <w:t>–</w:t>
            </w:r>
          </w:p>
        </w:tc>
        <w:tc>
          <w:tcPr>
            <w:tcW w:w="980" w:type="dxa"/>
            <w:vAlign w:val="bottom"/>
            <w:tcBorders>
              <w:bottom w:val="single" w:sz="8" w:color="EFE9FC"/>
            </w:tcBorders>
            <w:shd w:val="clear" w:color="auto" w:fill="EFE9FC"/>
          </w:tcPr>
          <w:p>
            <w:pPr>
              <w:jc w:val="right"/>
              <w:spacing w:after="0"/>
              <w:rPr>
                <w:sz w:val="20"/>
                <w:szCs w:val="20"/>
                <w:color w:val="auto"/>
              </w:rPr>
            </w:pPr>
            <w:r>
              <w:rPr>
                <w:rFonts w:ascii="Arial" w:cs="Arial" w:eastAsia="Arial" w:hAnsi="Arial"/>
                <w:sz w:val="14"/>
                <w:szCs w:val="14"/>
                <w:color w:val="auto"/>
              </w:rPr>
              <w:t>11,200</w:t>
            </w:r>
          </w:p>
        </w:tc>
        <w:tc>
          <w:tcPr>
            <w:tcW w:w="1060" w:type="dxa"/>
            <w:vAlign w:val="bottom"/>
            <w:tcBorders>
              <w:bottom w:val="single" w:sz="8" w:color="EFE9FC"/>
            </w:tcBorders>
            <w:shd w:val="clear" w:color="auto" w:fill="EFE9FC"/>
          </w:tcPr>
          <w:p>
            <w:pPr>
              <w:jc w:val="right"/>
              <w:spacing w:after="0"/>
              <w:rPr>
                <w:sz w:val="20"/>
                <w:szCs w:val="20"/>
                <w:color w:val="auto"/>
              </w:rPr>
            </w:pPr>
            <w:r>
              <w:rPr>
                <w:rFonts w:ascii="Arial" w:cs="Arial" w:eastAsia="Arial" w:hAnsi="Arial"/>
                <w:sz w:val="14"/>
                <w:szCs w:val="14"/>
                <w:color w:val="auto"/>
              </w:rPr>
              <w:t>40,222</w:t>
            </w:r>
          </w:p>
        </w:tc>
        <w:tc>
          <w:tcPr>
            <w:tcW w:w="900" w:type="dxa"/>
            <w:vAlign w:val="bottom"/>
            <w:tcBorders>
              <w:bottom w:val="single" w:sz="8" w:color="EFE9FC"/>
            </w:tcBorders>
            <w:shd w:val="clear" w:color="auto" w:fill="EFE9FC"/>
          </w:tcPr>
          <w:p>
            <w:pPr>
              <w:jc w:val="right"/>
              <w:spacing w:after="0"/>
              <w:rPr>
                <w:sz w:val="20"/>
                <w:szCs w:val="20"/>
                <w:color w:val="auto"/>
              </w:rPr>
            </w:pPr>
            <w:r>
              <w:rPr>
                <w:rFonts w:ascii="Arial" w:cs="Arial" w:eastAsia="Arial" w:hAnsi="Arial"/>
                <w:sz w:val="14"/>
                <w:szCs w:val="14"/>
                <w:color w:val="auto"/>
              </w:rPr>
              <w:t>–</w:t>
            </w:r>
          </w:p>
        </w:tc>
        <w:tc>
          <w:tcPr>
            <w:tcW w:w="500" w:type="dxa"/>
            <w:vAlign w:val="bottom"/>
            <w:tcBorders>
              <w:bottom w:val="single" w:sz="8" w:color="EFE9FC"/>
            </w:tcBorders>
            <w:shd w:val="clear" w:color="auto" w:fill="EFE9FC"/>
          </w:tcPr>
          <w:p>
            <w:pPr>
              <w:jc w:val="right"/>
              <w:spacing w:after="0"/>
              <w:rPr>
                <w:sz w:val="20"/>
                <w:szCs w:val="20"/>
                <w:color w:val="auto"/>
              </w:rPr>
            </w:pPr>
            <w:r>
              <w:rPr>
                <w:rFonts w:ascii="Arial" w:cs="Arial" w:eastAsia="Arial" w:hAnsi="Arial"/>
                <w:sz w:val="14"/>
                <w:szCs w:val="14"/>
                <w:color w:val="auto"/>
              </w:rPr>
              <w:t>3,565</w:t>
            </w:r>
          </w:p>
        </w:tc>
        <w:tc>
          <w:tcPr>
            <w:tcW w:w="600" w:type="dxa"/>
            <w:vAlign w:val="bottom"/>
            <w:tcBorders>
              <w:bottom w:val="single" w:sz="8" w:color="EFE9FC"/>
            </w:tcBorders>
            <w:shd w:val="clear" w:color="auto" w:fill="EFE9FC"/>
          </w:tcPr>
          <w:p>
            <w:pPr>
              <w:jc w:val="right"/>
              <w:spacing w:after="0"/>
              <w:rPr>
                <w:sz w:val="20"/>
                <w:szCs w:val="20"/>
                <w:color w:val="auto"/>
              </w:rPr>
            </w:pPr>
            <w:r>
              <w:rPr>
                <w:rFonts w:ascii="Arial" w:cs="Arial" w:eastAsia="Arial" w:hAnsi="Arial"/>
                <w:sz w:val="14"/>
                <w:szCs w:val="14"/>
                <w:color w:val="auto"/>
              </w:rPr>
              <w:t>81,202</w:t>
            </w:r>
          </w:p>
        </w:tc>
      </w:tr>
      <w:tr>
        <w:trPr>
          <w:trHeight w:val="204"/>
        </w:trPr>
        <w:tc>
          <w:tcPr>
            <w:tcW w:w="1320" w:type="dxa"/>
            <w:vAlign w:val="bottom"/>
          </w:tcPr>
          <w:p>
            <w:pPr>
              <w:ind w:left="20"/>
              <w:spacing w:after="0"/>
              <w:rPr>
                <w:sz w:val="20"/>
                <w:szCs w:val="20"/>
                <w:color w:val="auto"/>
              </w:rPr>
            </w:pPr>
            <w:r>
              <w:rPr>
                <w:rFonts w:ascii="Arial" w:cs="Arial" w:eastAsia="Arial" w:hAnsi="Arial"/>
                <w:sz w:val="14"/>
                <w:szCs w:val="14"/>
                <w:b w:val="1"/>
                <w:bCs w:val="1"/>
                <w:color w:val="auto"/>
              </w:rPr>
              <w:t>Alistair Simpson</w:t>
            </w:r>
          </w:p>
        </w:tc>
        <w:tc>
          <w:tcPr>
            <w:tcW w:w="1120" w:type="dxa"/>
            <w:vAlign w:val="bottom"/>
          </w:tcPr>
          <w:p>
            <w:pPr>
              <w:jc w:val="right"/>
              <w:spacing w:after="0"/>
              <w:rPr>
                <w:sz w:val="20"/>
                <w:szCs w:val="20"/>
                <w:color w:val="auto"/>
              </w:rPr>
            </w:pPr>
            <w:r>
              <w:rPr>
                <w:rFonts w:ascii="Arial" w:cs="Arial" w:eastAsia="Arial" w:hAnsi="Arial"/>
                <w:sz w:val="14"/>
                <w:szCs w:val="14"/>
                <w:color w:val="auto"/>
              </w:rPr>
              <w:t>–</w:t>
            </w:r>
          </w:p>
        </w:tc>
        <w:tc>
          <w:tcPr>
            <w:tcW w:w="960" w:type="dxa"/>
            <w:vAlign w:val="bottom"/>
          </w:tcPr>
          <w:p>
            <w:pPr>
              <w:jc w:val="right"/>
              <w:spacing w:after="0"/>
              <w:rPr>
                <w:sz w:val="20"/>
                <w:szCs w:val="20"/>
                <w:color w:val="auto"/>
              </w:rPr>
            </w:pPr>
            <w:r>
              <w:rPr>
                <w:rFonts w:ascii="Arial" w:cs="Arial" w:eastAsia="Arial" w:hAnsi="Arial"/>
                <w:sz w:val="14"/>
                <w:szCs w:val="14"/>
                <w:color w:val="auto"/>
              </w:rPr>
              <w:t>28,259</w:t>
            </w:r>
          </w:p>
        </w:tc>
        <w:tc>
          <w:tcPr>
            <w:tcW w:w="760" w:type="dxa"/>
            <w:vAlign w:val="bottom"/>
          </w:tcPr>
          <w:p>
            <w:pPr>
              <w:jc w:val="right"/>
              <w:spacing w:after="0"/>
              <w:rPr>
                <w:sz w:val="20"/>
                <w:szCs w:val="20"/>
                <w:color w:val="auto"/>
              </w:rPr>
            </w:pPr>
            <w:r>
              <w:rPr>
                <w:rFonts w:ascii="Arial" w:cs="Arial" w:eastAsia="Arial" w:hAnsi="Arial"/>
                <w:sz w:val="14"/>
                <w:szCs w:val="14"/>
                <w:color w:val="auto"/>
              </w:rPr>
              <w:t>–</w:t>
            </w:r>
          </w:p>
        </w:tc>
        <w:tc>
          <w:tcPr>
            <w:tcW w:w="760" w:type="dxa"/>
            <w:vAlign w:val="bottom"/>
          </w:tcPr>
          <w:p>
            <w:pPr>
              <w:jc w:val="right"/>
              <w:spacing w:after="0"/>
              <w:rPr>
                <w:sz w:val="20"/>
                <w:szCs w:val="20"/>
                <w:color w:val="auto"/>
              </w:rPr>
            </w:pPr>
            <w:r>
              <w:rPr>
                <w:rFonts w:ascii="Arial" w:cs="Arial" w:eastAsia="Arial" w:hAnsi="Arial"/>
                <w:sz w:val="14"/>
                <w:szCs w:val="14"/>
                <w:color w:val="auto"/>
              </w:rPr>
              <w:t>16,840</w:t>
            </w:r>
          </w:p>
        </w:tc>
        <w:tc>
          <w:tcPr>
            <w:tcW w:w="980" w:type="dxa"/>
            <w:vAlign w:val="bottom"/>
          </w:tcPr>
          <w:p>
            <w:pPr>
              <w:jc w:val="right"/>
              <w:spacing w:after="0"/>
              <w:rPr>
                <w:sz w:val="20"/>
                <w:szCs w:val="20"/>
                <w:color w:val="auto"/>
              </w:rPr>
            </w:pPr>
            <w:r>
              <w:rPr>
                <w:rFonts w:ascii="Arial" w:cs="Arial" w:eastAsia="Arial" w:hAnsi="Arial"/>
                <w:sz w:val="14"/>
                <w:szCs w:val="14"/>
                <w:color w:val="auto"/>
              </w:rPr>
              <w:t>–</w:t>
            </w:r>
          </w:p>
        </w:tc>
        <w:tc>
          <w:tcPr>
            <w:tcW w:w="1060" w:type="dxa"/>
            <w:vAlign w:val="bottom"/>
          </w:tcPr>
          <w:p>
            <w:pPr>
              <w:jc w:val="right"/>
              <w:spacing w:after="0"/>
              <w:rPr>
                <w:sz w:val="20"/>
                <w:szCs w:val="20"/>
                <w:color w:val="auto"/>
              </w:rPr>
            </w:pPr>
            <w:r>
              <w:rPr>
                <w:rFonts w:ascii="Arial" w:cs="Arial" w:eastAsia="Arial" w:hAnsi="Arial"/>
                <w:sz w:val="14"/>
                <w:szCs w:val="14"/>
                <w:color w:val="auto"/>
              </w:rPr>
              <w:t>–</w:t>
            </w:r>
          </w:p>
        </w:tc>
        <w:tc>
          <w:tcPr>
            <w:tcW w:w="900" w:type="dxa"/>
            <w:vAlign w:val="bottom"/>
          </w:tcPr>
          <w:p>
            <w:pPr>
              <w:jc w:val="right"/>
              <w:spacing w:after="0"/>
              <w:rPr>
                <w:sz w:val="20"/>
                <w:szCs w:val="20"/>
                <w:color w:val="auto"/>
              </w:rPr>
            </w:pPr>
            <w:r>
              <w:rPr>
                <w:rFonts w:ascii="Arial" w:cs="Arial" w:eastAsia="Arial" w:hAnsi="Arial"/>
                <w:sz w:val="14"/>
                <w:szCs w:val="14"/>
                <w:color w:val="auto"/>
              </w:rPr>
              <w:t>70,865</w:t>
            </w:r>
          </w:p>
        </w:tc>
        <w:tc>
          <w:tcPr>
            <w:tcW w:w="500" w:type="dxa"/>
            <w:vAlign w:val="bottom"/>
          </w:tcPr>
          <w:p>
            <w:pPr>
              <w:jc w:val="right"/>
              <w:spacing w:after="0"/>
              <w:rPr>
                <w:sz w:val="20"/>
                <w:szCs w:val="20"/>
                <w:color w:val="auto"/>
              </w:rPr>
            </w:pPr>
            <w:r>
              <w:rPr>
                <w:rFonts w:ascii="Arial" w:cs="Arial" w:eastAsia="Arial" w:hAnsi="Arial"/>
                <w:sz w:val="14"/>
                <w:szCs w:val="14"/>
                <w:color w:val="auto"/>
              </w:rPr>
              <w:t>37,696</w:t>
            </w:r>
          </w:p>
        </w:tc>
        <w:tc>
          <w:tcPr>
            <w:tcW w:w="600" w:type="dxa"/>
            <w:vAlign w:val="bottom"/>
          </w:tcPr>
          <w:p>
            <w:pPr>
              <w:jc w:val="right"/>
              <w:spacing w:after="0"/>
              <w:rPr>
                <w:sz w:val="20"/>
                <w:szCs w:val="20"/>
                <w:color w:val="auto"/>
              </w:rPr>
            </w:pPr>
            <w:r>
              <w:rPr>
                <w:rFonts w:ascii="Arial" w:cs="Arial" w:eastAsia="Arial" w:hAnsi="Arial"/>
                <w:sz w:val="14"/>
                <w:szCs w:val="14"/>
                <w:color w:val="auto"/>
              </w:rPr>
              <w:t>153,660</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622300</wp:posOffset>
            </wp:positionH>
            <wp:positionV relativeFrom="paragraph">
              <wp:posOffset>15875</wp:posOffset>
            </wp:positionV>
            <wp:extent cx="5692140" cy="8255"/>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5692140" cy="8255"/>
                    </a:xfrm>
                    <a:prstGeom prst="rect">
                      <a:avLst/>
                    </a:prstGeom>
                    <a:noFill/>
                  </pic:spPr>
                </pic:pic>
              </a:graphicData>
            </a:graphic>
          </wp:anchor>
        </w:drawing>
      </w:r>
    </w:p>
    <w:p>
      <w:pPr>
        <w:spacing w:after="0" w:line="45" w:lineRule="exact"/>
        <w:rPr>
          <w:sz w:val="20"/>
          <w:szCs w:val="20"/>
          <w:color w:val="auto"/>
        </w:rPr>
      </w:pPr>
    </w:p>
    <w:p>
      <w:pPr>
        <w:ind w:left="1200" w:hanging="220"/>
        <w:spacing w:after="0"/>
        <w:tabs>
          <w:tab w:leader="none" w:pos="1200" w:val="left"/>
        </w:tabs>
        <w:numPr>
          <w:ilvl w:val="0"/>
          <w:numId w:val="63"/>
        </w:numPr>
        <w:rPr>
          <w:rFonts w:ascii="Arial" w:cs="Arial" w:eastAsia="Arial" w:hAnsi="Arial"/>
          <w:sz w:val="13"/>
          <w:szCs w:val="13"/>
          <w:i w:val="1"/>
          <w:iCs w:val="1"/>
          <w:color w:val="auto"/>
        </w:rPr>
      </w:pPr>
      <w:r>
        <w:rPr>
          <w:rFonts w:ascii="Arial" w:cs="Arial" w:eastAsia="Arial" w:hAnsi="Arial"/>
          <w:sz w:val="13"/>
          <w:szCs w:val="13"/>
          <w:i w:val="1"/>
          <w:iCs w:val="1"/>
          <w:color w:val="auto"/>
        </w:rPr>
        <w:t>Represents the housing allowance to Mr. McDonald under the terms of his service agreement.</w:t>
      </w:r>
    </w:p>
    <w:p>
      <w:pPr>
        <w:spacing w:after="0" w:line="26" w:lineRule="exact"/>
        <w:rPr>
          <w:rFonts w:ascii="Arial" w:cs="Arial" w:eastAsia="Arial" w:hAnsi="Arial"/>
          <w:sz w:val="13"/>
          <w:szCs w:val="13"/>
          <w:i w:val="1"/>
          <w:iCs w:val="1"/>
          <w:color w:val="auto"/>
        </w:rPr>
      </w:pPr>
    </w:p>
    <w:p>
      <w:pPr>
        <w:ind w:left="1200" w:right="339" w:hanging="220"/>
        <w:spacing w:after="0" w:line="260" w:lineRule="auto"/>
        <w:tabs>
          <w:tab w:leader="none" w:pos="1200" w:val="left"/>
        </w:tabs>
        <w:numPr>
          <w:ilvl w:val="0"/>
          <w:numId w:val="63"/>
        </w:numPr>
        <w:rPr>
          <w:rFonts w:ascii="Arial" w:cs="Arial" w:eastAsia="Arial" w:hAnsi="Arial"/>
          <w:sz w:val="13"/>
          <w:szCs w:val="13"/>
          <w:i w:val="1"/>
          <w:iCs w:val="1"/>
          <w:color w:val="auto"/>
        </w:rPr>
      </w:pPr>
      <w:r>
        <w:rPr>
          <w:rFonts w:ascii="Arial" w:cs="Arial" w:eastAsia="Arial" w:hAnsi="Arial"/>
          <w:sz w:val="13"/>
          <w:szCs w:val="13"/>
          <w:i w:val="1"/>
          <w:iCs w:val="1"/>
          <w:color w:val="auto"/>
        </w:rPr>
        <w:t>Represents the car allowance for each of Messrs. McDonald, Huston, Alistair and Ms. Skeffington. These benefits and allowances are customary in UK executive compensation packages.</w:t>
      </w:r>
    </w:p>
    <w:p>
      <w:pPr>
        <w:ind w:left="1200" w:hanging="220"/>
        <w:spacing w:after="0"/>
        <w:tabs>
          <w:tab w:leader="none" w:pos="1200" w:val="left"/>
        </w:tabs>
        <w:numPr>
          <w:ilvl w:val="0"/>
          <w:numId w:val="63"/>
        </w:numPr>
        <w:rPr>
          <w:rFonts w:ascii="Arial" w:cs="Arial" w:eastAsia="Arial" w:hAnsi="Arial"/>
          <w:sz w:val="13"/>
          <w:szCs w:val="13"/>
          <w:i w:val="1"/>
          <w:iCs w:val="1"/>
          <w:color w:val="auto"/>
        </w:rPr>
      </w:pPr>
      <w:r>
        <w:rPr>
          <w:rFonts w:ascii="Arial" w:cs="Arial" w:eastAsia="Arial" w:hAnsi="Arial"/>
          <w:sz w:val="13"/>
          <w:szCs w:val="13"/>
          <w:i w:val="1"/>
          <w:iCs w:val="1"/>
          <w:color w:val="auto"/>
        </w:rPr>
        <w:t>Represents Company contributions on behalf of our NEOs to tax-qualified defined contribution plans. (see – 2019 Pension Benefits)</w:t>
      </w:r>
    </w:p>
    <w:p>
      <w:pPr>
        <w:ind w:left="480"/>
        <w:spacing w:after="0"/>
        <w:tabs>
          <w:tab w:leader="none" w:pos="4400" w:val="left"/>
          <w:tab w:leader="none" w:pos="8760" w:val="left"/>
        </w:tabs>
        <w:rPr>
          <w:sz w:val="20"/>
          <w:szCs w:val="20"/>
          <w:color w:val="auto"/>
        </w:rPr>
      </w:pPr>
      <w:r>
        <w:rPr>
          <w:rFonts w:ascii="Arial" w:cs="Arial" w:eastAsia="Arial" w:hAnsi="Arial"/>
          <w:sz w:val="29"/>
          <w:szCs w:val="29"/>
          <w:b w:val="1"/>
          <w:bCs w:val="1"/>
          <w:color w:val="auto"/>
          <w:vertAlign w:val="subscript"/>
        </w:rPr>
        <w:t>39</w:t>
      </w:r>
      <w:r>
        <w:rPr>
          <w:sz w:val="20"/>
          <w:szCs w:val="20"/>
          <w:color w:val="auto"/>
        </w:rPr>
        <w:tab/>
      </w:r>
      <w:r>
        <w:rPr>
          <w:rFonts w:ascii="Arial" w:cs="Arial" w:eastAsia="Arial" w:hAnsi="Arial"/>
          <w:sz w:val="13"/>
          <w:szCs w:val="13"/>
          <w:b w:val="1"/>
          <w:bCs w:val="1"/>
          <w:color w:val="4800E6"/>
        </w:rPr>
        <w:t xml:space="preserve">LIVANOVA </w:t>
      </w:r>
      <w:r>
        <w:rPr>
          <w:rFonts w:ascii="Arial" w:cs="Arial" w:eastAsia="Arial" w:hAnsi="Arial"/>
          <w:sz w:val="13"/>
          <w:szCs w:val="13"/>
          <w:color w:val="000000"/>
        </w:rPr>
        <w:t>|</w:t>
      </w:r>
      <w:r>
        <w:rPr>
          <w:rFonts w:ascii="Arial" w:cs="Arial" w:eastAsia="Arial" w:hAnsi="Arial"/>
          <w:sz w:val="13"/>
          <w:szCs w:val="13"/>
          <w:b w:val="1"/>
          <w:bCs w:val="1"/>
          <w:color w:val="4800E6"/>
        </w:rPr>
        <w:t xml:space="preserve"> </w:t>
      </w:r>
      <w:r>
        <w:rPr>
          <w:rFonts w:ascii="Arial" w:cs="Arial" w:eastAsia="Arial" w:hAnsi="Arial"/>
          <w:sz w:val="13"/>
          <w:szCs w:val="13"/>
          <w:color w:val="4800E6"/>
        </w:rPr>
        <w:t>2020</w:t>
      </w:r>
      <w:r>
        <w:rPr>
          <w:rFonts w:ascii="Arial" w:cs="Arial" w:eastAsia="Arial" w:hAnsi="Arial"/>
          <w:sz w:val="13"/>
          <w:szCs w:val="13"/>
          <w:b w:val="1"/>
          <w:bCs w:val="1"/>
          <w:color w:val="4800E6"/>
        </w:rPr>
        <w:t xml:space="preserve"> </w:t>
      </w:r>
      <w:r>
        <w:rPr>
          <w:rFonts w:ascii="Arial" w:cs="Arial" w:eastAsia="Arial" w:hAnsi="Arial"/>
          <w:sz w:val="13"/>
          <w:szCs w:val="13"/>
          <w:color w:val="000000"/>
        </w:rPr>
        <w:t>Proxy Statement</w:t>
      </w:r>
      <w:r>
        <w:rPr>
          <w:sz w:val="20"/>
          <w:szCs w:val="20"/>
          <w:color w:val="auto"/>
        </w:rPr>
        <w:tab/>
      </w:r>
      <w:r>
        <w:rPr>
          <w:rFonts w:ascii="Arial" w:cs="Arial" w:eastAsia="Arial" w:hAnsi="Arial"/>
          <w:sz w:val="12"/>
          <w:szCs w:val="12"/>
          <w:b w:val="1"/>
          <w:bCs w:val="1"/>
          <w:color w:val="4800E6"/>
        </w:rPr>
        <w:t>www.livanova.com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561975</wp:posOffset>
            </wp:positionH>
            <wp:positionV relativeFrom="paragraph">
              <wp:posOffset>86360</wp:posOffset>
            </wp:positionV>
            <wp:extent cx="1954530" cy="8255"/>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extLst>
                        <a:ext uri="{28A0092B-C50C-407E-A947-70E740481C1C}"/>
                      </a:extLst>
                    </a:blip>
                    <a:srcRect/>
                    <a:stretch>
                      <a:fillRect/>
                    </a:stretch>
                  </pic:blipFill>
                  <pic:spPr bwMode="auto">
                    <a:xfrm>
                      <a:off x="0" y="0"/>
                      <a:ext cx="1954530" cy="8255"/>
                    </a:xfrm>
                    <a:prstGeom prst="rect">
                      <a:avLst/>
                    </a:prstGeom>
                    <a:noFill/>
                  </pic:spPr>
                </pic:pic>
              </a:graphicData>
            </a:graphic>
          </wp:anchor>
        </w:drawing>
        <w:drawing>
          <wp:anchor simplePos="0" relativeHeight="251657728" behindDoc="1" locked="0" layoutInCell="0" allowOverlap="1">
            <wp:simplePos x="0" y="0"/>
            <wp:positionH relativeFrom="column">
              <wp:posOffset>4316730</wp:posOffset>
            </wp:positionH>
            <wp:positionV relativeFrom="paragraph">
              <wp:posOffset>86360</wp:posOffset>
            </wp:positionV>
            <wp:extent cx="1028700" cy="8255"/>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8">
                      <a:extLst>
                        <a:ext uri="{28A0092B-C50C-407E-A947-70E740481C1C}"/>
                      </a:extLst>
                    </a:blip>
                    <a:srcRect/>
                    <a:stretch>
                      <a:fillRect/>
                    </a:stretch>
                  </pic:blipFill>
                  <pic:spPr bwMode="auto">
                    <a:xfrm>
                      <a:off x="0" y="0"/>
                      <a:ext cx="102870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223520</wp:posOffset>
            </wp:positionV>
            <wp:extent cx="6806565" cy="17145"/>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19">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10139"/>
          </w:cols>
          <w:pgMar w:left="320" w:top="132" w:right="1440" w:bottom="1440" w:gutter="0" w:footer="0" w:header="0"/>
        </w:sectPr>
      </w:pPr>
    </w:p>
    <w:bookmarkStart w:id="43" w:name="page44"/>
    <w:bookmarkEnd w:id="43"/>
    <w:p>
      <w:pPr>
        <w:spacing w:after="0"/>
        <w:rPr>
          <w:rFonts w:ascii="Arial" w:cs="Arial" w:eastAsia="Arial" w:hAnsi="Arial"/>
          <w:sz w:val="14"/>
          <w:szCs w:val="14"/>
          <w:color w:val="003366"/>
        </w:rPr>
      </w:pPr>
      <w:hyperlink w:anchor="page5">
        <w:r>
          <w:rPr>
            <w:rFonts w:ascii="Arial" w:cs="Arial" w:eastAsia="Arial" w:hAnsi="Arial"/>
            <w:sz w:val="14"/>
            <w:szCs w:val="14"/>
            <w:color w:val="003366"/>
          </w:rPr>
          <w:t>TABLE OF CONTENTS</w:t>
        </w:r>
      </w:hyperlink>
    </w:p>
    <w:p>
      <w:pPr>
        <w:spacing w:after="0" w:line="338" w:lineRule="exact"/>
        <w:rPr>
          <w:sz w:val="20"/>
          <w:szCs w:val="20"/>
          <w:color w:val="auto"/>
        </w:rPr>
      </w:pPr>
    </w:p>
    <w:p>
      <w:pPr>
        <w:jc w:val="right"/>
        <w:ind w:right="240"/>
        <w:spacing w:after="0"/>
        <w:rPr>
          <w:sz w:val="20"/>
          <w:szCs w:val="20"/>
          <w:color w:val="auto"/>
        </w:rPr>
      </w:pPr>
      <w:r>
        <w:rPr>
          <w:rFonts w:ascii="Arial" w:cs="Arial" w:eastAsia="Arial" w:hAnsi="Arial"/>
          <w:sz w:val="13"/>
          <w:szCs w:val="13"/>
          <w:b w:val="1"/>
          <w:bCs w:val="1"/>
          <w:color w:val="auto"/>
        </w:rPr>
        <w:t xml:space="preserve">Executive </w:t>
      </w:r>
      <w:r>
        <w:rPr>
          <w:rFonts w:ascii="Arial" w:cs="Arial" w:eastAsia="Arial" w:hAnsi="Arial"/>
          <w:sz w:val="13"/>
          <w:szCs w:val="13"/>
          <w:b w:val="1"/>
          <w:bCs w:val="1"/>
          <w:color w:val="666666"/>
        </w:rPr>
        <w:t>Compensation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485140</wp:posOffset>
            </wp:positionH>
            <wp:positionV relativeFrom="paragraph">
              <wp:posOffset>30480</wp:posOffset>
            </wp:positionV>
            <wp:extent cx="5829300" cy="8255"/>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0">
                      <a:extLst>
                        <a:ext uri="{28A0092B-C50C-407E-A947-70E740481C1C}"/>
                      </a:extLst>
                    </a:blip>
                    <a:srcRect/>
                    <a:stretch>
                      <a:fillRect/>
                    </a:stretch>
                  </pic:blipFill>
                  <pic:spPr bwMode="auto">
                    <a:xfrm>
                      <a:off x="0" y="0"/>
                      <a:ext cx="5829300" cy="8255"/>
                    </a:xfrm>
                    <a:prstGeom prst="rect">
                      <a:avLst/>
                    </a:prstGeom>
                    <a:noFill/>
                  </pic:spPr>
                </pic:pic>
              </a:graphicData>
            </a:graphic>
          </wp:anchor>
        </w:drawing>
      </w:r>
    </w:p>
    <w:p>
      <w:pPr>
        <w:spacing w:after="0" w:line="60" w:lineRule="exact"/>
        <w:rPr>
          <w:sz w:val="20"/>
          <w:szCs w:val="20"/>
          <w:color w:val="auto"/>
        </w:rPr>
      </w:pPr>
    </w:p>
    <w:p>
      <w:pPr>
        <w:jc w:val="right"/>
        <w:ind w:right="240"/>
        <w:spacing w:after="0"/>
        <w:rPr>
          <w:sz w:val="20"/>
          <w:szCs w:val="20"/>
          <w:color w:val="auto"/>
        </w:rPr>
      </w:pPr>
      <w:r>
        <w:rPr>
          <w:rFonts w:ascii="Arial" w:cs="Arial" w:eastAsia="Arial" w:hAnsi="Arial"/>
          <w:sz w:val="13"/>
          <w:szCs w:val="13"/>
          <w:b w:val="1"/>
          <w:bCs w:val="1"/>
          <w:color w:val="4800E6"/>
        </w:rPr>
        <w:t>Compensation of Executive Officers and Directors</w:t>
      </w: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ind w:left="1200" w:right="260" w:hanging="220"/>
        <w:spacing w:after="0" w:line="253" w:lineRule="auto"/>
        <w:tabs>
          <w:tab w:leader="none" w:pos="1200" w:val="left"/>
        </w:tabs>
        <w:numPr>
          <w:ilvl w:val="0"/>
          <w:numId w:val="64"/>
        </w:numPr>
        <w:rPr>
          <w:rFonts w:ascii="Arial" w:cs="Arial" w:eastAsia="Arial" w:hAnsi="Arial"/>
          <w:sz w:val="13"/>
          <w:szCs w:val="13"/>
          <w:i w:val="1"/>
          <w:iCs w:val="1"/>
          <w:color w:val="auto"/>
        </w:rPr>
      </w:pPr>
      <w:r>
        <w:rPr>
          <w:rFonts w:ascii="Arial" w:cs="Arial" w:eastAsia="Arial" w:hAnsi="Arial"/>
          <w:sz w:val="13"/>
          <w:szCs w:val="13"/>
          <w:i w:val="1"/>
          <w:iCs w:val="1"/>
          <w:color w:val="auto"/>
        </w:rPr>
        <w:t>Represents Company contributions to a partially non-qualified defined contribution plan equal to the amount of company contributions made on behalf of the executive officer on top of the maximum amounts that may be tax-qualified under the supplemental pension plan. (see – 2019 Nonqualified Deferred Compensation)</w:t>
      </w:r>
    </w:p>
    <w:p>
      <w:pPr>
        <w:ind w:left="1200" w:right="300" w:hanging="220"/>
        <w:spacing w:after="0" w:line="242" w:lineRule="auto"/>
        <w:tabs>
          <w:tab w:leader="none" w:pos="1200" w:val="left"/>
        </w:tabs>
        <w:numPr>
          <w:ilvl w:val="0"/>
          <w:numId w:val="64"/>
        </w:numPr>
        <w:rPr>
          <w:rFonts w:ascii="Arial" w:cs="Arial" w:eastAsia="Arial" w:hAnsi="Arial"/>
          <w:sz w:val="13"/>
          <w:szCs w:val="13"/>
          <w:i w:val="1"/>
          <w:iCs w:val="1"/>
          <w:color w:val="auto"/>
        </w:rPr>
      </w:pPr>
      <w:r>
        <w:rPr>
          <w:rFonts w:ascii="Arial" w:cs="Arial" w:eastAsia="Arial" w:hAnsi="Arial"/>
          <w:sz w:val="13"/>
          <w:szCs w:val="13"/>
          <w:i w:val="1"/>
          <w:iCs w:val="1"/>
          <w:color w:val="auto"/>
        </w:rPr>
        <w:t>Represents cash received in lieu of pension (see – 2019 Pension Benefits). In respect of Mr. McDonald: the Company contributed £20,000 ($25,215) into a personal pension plan administered by Aegon, and a further £127,490 ($162,643) was paid as cash in lieu of pension. Mr. McDonald’s service agreement entitles him to a pension contribution equal to 15% of the aggregate of his base salary and bonus. As cash in lieu entails a UK employers’ national insurance charge in the amount of 13.8% of the cash in lieu, the cash paid is decreased by this amount in order that the payment by the Company remains relatively cost-neutral. In respect of Mr. Huston, the Company contributed £70,046 ($89,360) as cash in lieu of pension.</w:t>
      </w:r>
    </w:p>
    <w:p>
      <w:pPr>
        <w:spacing w:after="0" w:line="2" w:lineRule="exact"/>
        <w:rPr>
          <w:rFonts w:ascii="Arial" w:cs="Arial" w:eastAsia="Arial" w:hAnsi="Arial"/>
          <w:sz w:val="13"/>
          <w:szCs w:val="13"/>
          <w:i w:val="1"/>
          <w:iCs w:val="1"/>
          <w:color w:val="auto"/>
        </w:rPr>
      </w:pPr>
    </w:p>
    <w:p>
      <w:pPr>
        <w:ind w:left="1200" w:right="380"/>
        <w:spacing w:after="0" w:line="238" w:lineRule="auto"/>
        <w:rPr>
          <w:rFonts w:ascii="Arial" w:cs="Arial" w:eastAsia="Arial" w:hAnsi="Arial"/>
          <w:sz w:val="13"/>
          <w:szCs w:val="13"/>
          <w:i w:val="1"/>
          <w:iCs w:val="1"/>
          <w:color w:val="auto"/>
        </w:rPr>
      </w:pPr>
      <w:r>
        <w:rPr>
          <w:rFonts w:ascii="Arial" w:cs="Arial" w:eastAsia="Arial" w:hAnsi="Arial"/>
          <w:sz w:val="13"/>
          <w:szCs w:val="13"/>
          <w:i w:val="1"/>
          <w:iCs w:val="1"/>
          <w:color w:val="auto"/>
        </w:rPr>
        <w:t>Mr. Huston’s service agreement entitles him to a pension contribution equal to 15% of the aggregate of his base salary and bonus. As in the case of Mr. McDonald’s cash in lieu, the cash paid is decreased by 13.8%. In respect of Ms. Skeffington, the Company contributed £54,809 ($69,922).</w:t>
      </w:r>
    </w:p>
    <w:p>
      <w:pPr>
        <w:ind w:left="1200" w:right="300"/>
        <w:spacing w:after="0" w:line="243" w:lineRule="auto"/>
        <w:rPr>
          <w:rFonts w:ascii="Arial" w:cs="Arial" w:eastAsia="Arial" w:hAnsi="Arial"/>
          <w:sz w:val="13"/>
          <w:szCs w:val="13"/>
          <w:i w:val="1"/>
          <w:iCs w:val="1"/>
          <w:color w:val="auto"/>
        </w:rPr>
      </w:pPr>
      <w:r>
        <w:rPr>
          <w:rFonts w:ascii="Arial" w:cs="Arial" w:eastAsia="Arial" w:hAnsi="Arial"/>
          <w:sz w:val="13"/>
          <w:szCs w:val="13"/>
          <w:i w:val="1"/>
          <w:iCs w:val="1"/>
          <w:color w:val="auto"/>
        </w:rPr>
        <w:t>Ms. Skeffington’s service contract contains the same provision as Mr. Huston’s and her cash in lieu is thus similarly reduced to reflect UK employers’ national insurance contributions payable by the Company. In respect of Mr. Simpson, the Company contributed £55,548 ($70,865). Mr. Simpson’s service contract contains the same provision as Mr. Huston and Ms. Skeffington and his cash in lieu is thus similarly reduced to reflect UK employers’ national insurance contribution payable by the Company.</w:t>
      </w:r>
    </w:p>
    <w:p>
      <w:pPr>
        <w:spacing w:after="0" w:line="2" w:lineRule="exact"/>
        <w:rPr>
          <w:rFonts w:ascii="Arial" w:cs="Arial" w:eastAsia="Arial" w:hAnsi="Arial"/>
          <w:sz w:val="13"/>
          <w:szCs w:val="13"/>
          <w:i w:val="1"/>
          <w:iCs w:val="1"/>
          <w:color w:val="auto"/>
        </w:rPr>
      </w:pPr>
    </w:p>
    <w:p>
      <w:pPr>
        <w:ind w:left="1200" w:right="500" w:hanging="220"/>
        <w:spacing w:after="0" w:line="252" w:lineRule="auto"/>
        <w:tabs>
          <w:tab w:leader="none" w:pos="1200" w:val="left"/>
        </w:tabs>
        <w:numPr>
          <w:ilvl w:val="0"/>
          <w:numId w:val="64"/>
        </w:numPr>
        <w:rPr>
          <w:rFonts w:ascii="Arial" w:cs="Arial" w:eastAsia="Arial" w:hAnsi="Arial"/>
          <w:sz w:val="13"/>
          <w:szCs w:val="13"/>
          <w:i w:val="1"/>
          <w:iCs w:val="1"/>
          <w:color w:val="auto"/>
        </w:rPr>
      </w:pPr>
      <w:r>
        <w:rPr>
          <w:rFonts w:ascii="Arial" w:cs="Arial" w:eastAsia="Arial" w:hAnsi="Arial"/>
          <w:sz w:val="13"/>
          <w:szCs w:val="13"/>
          <w:i w:val="1"/>
          <w:iCs w:val="1"/>
          <w:color w:val="auto"/>
        </w:rPr>
        <w:t>For Mr. McDonald, this represents a school tuition fee allowance for Mr. McDonald’s children ($26,087). As to Mr. Huston, this represents gym membership ($2,373) and tax assistance ($8,796). As to Ms. Skeffington this represents tax assistance ($7,361). As to Mr. Andrle, this represents group term life insurance ($3,565). As to Mr. Simpson, this represents a school tuition fee allowance for Mr. Simpson’s children ($29,770) and tax assistance ($7,926).</w:t>
      </w:r>
    </w:p>
    <w:p>
      <w:pPr>
        <w:sectPr>
          <w:pgSz w:w="11900" w:h="16838" w:orient="portrait"/>
          <w:cols w:equalWidth="0" w:num="1">
            <w:col w:w="10180"/>
          </w:cols>
          <w:pgMar w:left="320" w:top="132" w:right="139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ind w:left="4340"/>
        <w:spacing w:after="0"/>
        <w:tabs>
          <w:tab w:leader="none" w:pos="10000" w:val="left"/>
        </w:tabs>
        <w:rPr>
          <w:sz w:val="20"/>
          <w:szCs w:val="20"/>
          <w:color w:val="auto"/>
        </w:rPr>
      </w:pPr>
      <w:r>
        <w:rPr>
          <w:rFonts w:ascii="Arial" w:cs="Arial" w:eastAsia="Arial" w:hAnsi="Arial"/>
          <w:sz w:val="13"/>
          <w:szCs w:val="13"/>
          <w:b w:val="1"/>
          <w:bCs w:val="1"/>
          <w:color w:val="4800E6"/>
        </w:rPr>
        <w:t xml:space="preserve">LIVANOVA </w:t>
      </w:r>
      <w:r>
        <w:rPr>
          <w:rFonts w:ascii="Arial" w:cs="Arial" w:eastAsia="Arial" w:hAnsi="Arial"/>
          <w:sz w:val="13"/>
          <w:szCs w:val="13"/>
          <w:color w:val="000000"/>
        </w:rPr>
        <w:t>|</w:t>
      </w:r>
      <w:r>
        <w:rPr>
          <w:rFonts w:ascii="Arial" w:cs="Arial" w:eastAsia="Arial" w:hAnsi="Arial"/>
          <w:sz w:val="13"/>
          <w:szCs w:val="13"/>
          <w:b w:val="1"/>
          <w:bCs w:val="1"/>
          <w:color w:val="4800E6"/>
        </w:rPr>
        <w:t xml:space="preserve"> </w:t>
      </w:r>
      <w:r>
        <w:rPr>
          <w:rFonts w:ascii="Arial" w:cs="Arial" w:eastAsia="Arial" w:hAnsi="Arial"/>
          <w:sz w:val="13"/>
          <w:szCs w:val="13"/>
          <w:color w:val="4800E6"/>
        </w:rPr>
        <w:t>2020</w:t>
      </w:r>
      <w:r>
        <w:rPr>
          <w:rFonts w:ascii="Arial" w:cs="Arial" w:eastAsia="Arial" w:hAnsi="Arial"/>
          <w:sz w:val="13"/>
          <w:szCs w:val="13"/>
          <w:b w:val="1"/>
          <w:bCs w:val="1"/>
          <w:color w:val="4800E6"/>
        </w:rPr>
        <w:t xml:space="preserve"> </w:t>
      </w:r>
      <w:r>
        <w:rPr>
          <w:rFonts w:ascii="Arial" w:cs="Arial" w:eastAsia="Arial" w:hAnsi="Arial"/>
          <w:sz w:val="13"/>
          <w:szCs w:val="13"/>
          <w:color w:val="000000"/>
        </w:rPr>
        <w:t>Proxy Statement</w:t>
      </w:r>
      <w:r>
        <w:rPr>
          <w:sz w:val="20"/>
          <w:szCs w:val="20"/>
          <w:color w:val="auto"/>
        </w:rPr>
        <w:tab/>
      </w:r>
      <w:r>
        <w:rPr>
          <w:rFonts w:ascii="Arial" w:cs="Arial" w:eastAsia="Arial" w:hAnsi="Arial"/>
          <w:sz w:val="21"/>
          <w:szCs w:val="21"/>
          <w:b w:val="1"/>
          <w:bCs w:val="1"/>
          <w:color w:val="auto"/>
          <w:vertAlign w:val="subscript"/>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519430</wp:posOffset>
            </wp:positionH>
            <wp:positionV relativeFrom="paragraph">
              <wp:posOffset>47625</wp:posOffset>
            </wp:positionV>
            <wp:extent cx="1954530" cy="8890"/>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1">
                      <a:extLst>
                        <a:ext uri="{28A0092B-C50C-407E-A947-70E740481C1C}"/>
                      </a:extLst>
                    </a:blip>
                    <a:srcRect/>
                    <a:stretch>
                      <a:fillRect/>
                    </a:stretch>
                  </pic:blipFill>
                  <pic:spPr bwMode="auto">
                    <a:xfrm>
                      <a:off x="0" y="0"/>
                      <a:ext cx="1954530" cy="8890"/>
                    </a:xfrm>
                    <a:prstGeom prst="rect">
                      <a:avLst/>
                    </a:prstGeom>
                    <a:noFill/>
                  </pic:spPr>
                </pic:pic>
              </a:graphicData>
            </a:graphic>
          </wp:anchor>
        </w:drawing>
        <w:drawing>
          <wp:anchor simplePos="0" relativeHeight="251657728" behindDoc="1" locked="0" layoutInCell="0" allowOverlap="1">
            <wp:simplePos x="0" y="0"/>
            <wp:positionH relativeFrom="column">
              <wp:posOffset>4257040</wp:posOffset>
            </wp:positionH>
            <wp:positionV relativeFrom="paragraph">
              <wp:posOffset>47625</wp:posOffset>
            </wp:positionV>
            <wp:extent cx="1954530" cy="8890"/>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2">
                      <a:extLst>
                        <a:ext uri="{28A0092B-C50C-407E-A947-70E740481C1C}"/>
                      </a:extLst>
                    </a:blip>
                    <a:srcRect/>
                    <a:stretch>
                      <a:fillRect/>
                    </a:stretch>
                  </pic:blipFill>
                  <pic:spPr bwMode="auto">
                    <a:xfrm>
                      <a:off x="0" y="0"/>
                      <a:ext cx="195453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184785</wp:posOffset>
            </wp:positionV>
            <wp:extent cx="6806565" cy="17145"/>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3">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10180"/>
          </w:cols>
          <w:pgMar w:left="320" w:top="132" w:right="1399" w:bottom="1440" w:gutter="0" w:footer="0" w:header="0"/>
          <w:type w:val="continuous"/>
        </w:sectPr>
      </w:pPr>
    </w:p>
    <w:bookmarkStart w:id="44" w:name="page45"/>
    <w:bookmarkEnd w:id="44"/>
    <w:p>
      <w:pPr>
        <w:spacing w:after="0"/>
        <w:rPr>
          <w:rFonts w:ascii="Arial" w:cs="Arial" w:eastAsia="Arial" w:hAnsi="Arial"/>
          <w:sz w:val="14"/>
          <w:szCs w:val="14"/>
          <w:color w:val="003366"/>
        </w:rPr>
      </w:pPr>
      <w:hyperlink w:anchor="page5">
        <w:r>
          <w:rPr>
            <w:rFonts w:ascii="Arial" w:cs="Arial" w:eastAsia="Arial" w:hAnsi="Arial"/>
            <w:sz w:val="14"/>
            <w:szCs w:val="14"/>
            <w:color w:val="003366"/>
          </w:rPr>
          <w:t>TABLE OF CONTENTS</w:t>
        </w:r>
      </w:hyperlink>
    </w:p>
    <w:p>
      <w:pPr>
        <w:spacing w:after="0" w:line="338" w:lineRule="exact"/>
        <w:rPr>
          <w:sz w:val="20"/>
          <w:szCs w:val="20"/>
          <w:color w:val="auto"/>
        </w:rPr>
      </w:pPr>
    </w:p>
    <w:p>
      <w:pPr>
        <w:ind w:left="760"/>
        <w:spacing w:after="0"/>
        <w:rPr>
          <w:sz w:val="20"/>
          <w:szCs w:val="20"/>
          <w:color w:val="auto"/>
        </w:rPr>
      </w:pPr>
      <w:r>
        <w:rPr>
          <w:rFonts w:ascii="Arial" w:cs="Arial" w:eastAsia="Arial" w:hAnsi="Arial"/>
          <w:sz w:val="13"/>
          <w:szCs w:val="13"/>
          <w:b w:val="1"/>
          <w:bCs w:val="1"/>
          <w:color w:val="auto"/>
        </w:rPr>
        <w:t xml:space="preserve">Executive </w:t>
      </w:r>
      <w:r>
        <w:rPr>
          <w:rFonts w:ascii="Arial" w:cs="Arial" w:eastAsia="Arial" w:hAnsi="Arial"/>
          <w:sz w:val="13"/>
          <w:szCs w:val="13"/>
          <w:b w:val="1"/>
          <w:bCs w:val="1"/>
          <w:color w:val="666666"/>
        </w:rPr>
        <w:t>Compensation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485140</wp:posOffset>
            </wp:positionH>
            <wp:positionV relativeFrom="paragraph">
              <wp:posOffset>30480</wp:posOffset>
            </wp:positionV>
            <wp:extent cx="5829300" cy="8255"/>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4">
                      <a:extLst>
                        <a:ext uri="{28A0092B-C50C-407E-A947-70E740481C1C}"/>
                      </a:extLst>
                    </a:blip>
                    <a:srcRect/>
                    <a:stretch>
                      <a:fillRect/>
                    </a:stretch>
                  </pic:blipFill>
                  <pic:spPr bwMode="auto">
                    <a:xfrm>
                      <a:off x="0" y="0"/>
                      <a:ext cx="5829300" cy="8255"/>
                    </a:xfrm>
                    <a:prstGeom prst="rect">
                      <a:avLst/>
                    </a:prstGeom>
                    <a:noFill/>
                  </pic:spPr>
                </pic:pic>
              </a:graphicData>
            </a:graphic>
          </wp:anchor>
        </w:drawing>
      </w:r>
    </w:p>
    <w:p>
      <w:pPr>
        <w:spacing w:after="0" w:line="60" w:lineRule="exact"/>
        <w:rPr>
          <w:sz w:val="20"/>
          <w:szCs w:val="20"/>
          <w:color w:val="auto"/>
        </w:rPr>
      </w:pPr>
    </w:p>
    <w:p>
      <w:pPr>
        <w:ind w:left="760"/>
        <w:spacing w:after="0"/>
        <w:rPr>
          <w:sz w:val="20"/>
          <w:szCs w:val="20"/>
          <w:color w:val="auto"/>
        </w:rPr>
      </w:pPr>
      <w:r>
        <w:rPr>
          <w:rFonts w:ascii="Arial" w:cs="Arial" w:eastAsia="Arial" w:hAnsi="Arial"/>
          <w:sz w:val="13"/>
          <w:szCs w:val="13"/>
          <w:b w:val="1"/>
          <w:bCs w:val="1"/>
          <w:color w:val="4800E6"/>
        </w:rPr>
        <w:t>Compensation of Executive Officers and Directors</w:t>
      </w: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ind w:left="760"/>
        <w:spacing w:after="0"/>
        <w:rPr>
          <w:sz w:val="20"/>
          <w:szCs w:val="20"/>
          <w:color w:val="auto"/>
        </w:rPr>
      </w:pPr>
      <w:r>
        <w:rPr>
          <w:rFonts w:ascii="Arial" w:cs="Arial" w:eastAsia="Arial" w:hAnsi="Arial"/>
          <w:sz w:val="20"/>
          <w:szCs w:val="20"/>
          <w:b w:val="1"/>
          <w:bCs w:val="1"/>
          <w:color w:val="FF4C4C"/>
        </w:rPr>
        <w:t>2019 Grants of Plan-Based Awards Table</w:t>
      </w:r>
    </w:p>
    <w:p>
      <w:pPr>
        <w:spacing w:after="0" w:line="124" w:lineRule="exact"/>
        <w:rPr>
          <w:sz w:val="20"/>
          <w:szCs w:val="20"/>
          <w:color w:val="auto"/>
        </w:rPr>
      </w:pPr>
    </w:p>
    <w:p>
      <w:pPr>
        <w:ind w:left="760" w:right="419"/>
        <w:spacing w:after="0" w:line="253" w:lineRule="auto"/>
        <w:rPr>
          <w:sz w:val="20"/>
          <w:szCs w:val="20"/>
          <w:color w:val="auto"/>
        </w:rPr>
      </w:pPr>
      <w:r>
        <w:rPr>
          <w:rFonts w:ascii="Arial" w:cs="Arial" w:eastAsia="Arial" w:hAnsi="Arial"/>
          <w:sz w:val="16"/>
          <w:szCs w:val="16"/>
          <w:color w:val="auto"/>
        </w:rPr>
        <w:t>The following table provides supplemental information relating to grants of plan-based awards made during 2019 to help explain information provided above in our Summary Compensation Table. This table presents information regarding all grants of plan-based awards occurring during 2019.</w:t>
      </w:r>
    </w:p>
    <w:p>
      <w:pPr>
        <w:spacing w:after="0" w:line="82" w:lineRule="exact"/>
        <w:rPr>
          <w:sz w:val="20"/>
          <w:szCs w:val="20"/>
          <w:color w:val="auto"/>
        </w:rPr>
      </w:pPr>
    </w:p>
    <w:tbl>
      <w:tblPr>
        <w:tblLayout w:type="fixed"/>
        <w:tblInd w:w="760" w:type="dxa"/>
        <w:tblCellMar>
          <w:top w:w="0" w:type="dxa"/>
          <w:left w:w="0" w:type="dxa"/>
          <w:bottom w:w="0" w:type="dxa"/>
          <w:right w:w="0" w:type="dxa"/>
        </w:tblCellMar>
      </w:tblPr>
      <w:tr>
        <w:trPr>
          <w:trHeight w:val="149"/>
        </w:trPr>
        <w:tc>
          <w:tcPr>
            <w:tcW w:w="11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80" w:type="dxa"/>
            <w:vAlign w:val="bottom"/>
          </w:tcPr>
          <w:p>
            <w:pPr>
              <w:jc w:val="right"/>
              <w:ind w:right="37"/>
              <w:spacing w:after="0"/>
              <w:rPr>
                <w:sz w:val="20"/>
                <w:szCs w:val="20"/>
                <w:color w:val="auto"/>
              </w:rPr>
            </w:pPr>
            <w:r>
              <w:rPr>
                <w:rFonts w:ascii="Arial" w:cs="Arial" w:eastAsia="Arial" w:hAnsi="Arial"/>
                <w:sz w:val="13"/>
                <w:szCs w:val="13"/>
                <w:b w:val="1"/>
                <w:bCs w:val="1"/>
                <w:color w:val="4800E6"/>
              </w:rPr>
              <w:t>All Other</w:t>
            </w:r>
          </w:p>
        </w:tc>
        <w:tc>
          <w:tcPr>
            <w:tcW w:w="8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11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120" w:type="dxa"/>
            <w:vAlign w:val="bottom"/>
            <w:gridSpan w:val="3"/>
            <w:vMerge w:val="restart"/>
          </w:tcPr>
          <w:p>
            <w:pPr>
              <w:jc w:val="right"/>
              <w:ind w:right="37"/>
              <w:spacing w:after="0"/>
              <w:rPr>
                <w:sz w:val="20"/>
                <w:szCs w:val="20"/>
                <w:color w:val="auto"/>
              </w:rPr>
            </w:pPr>
            <w:r>
              <w:rPr>
                <w:rFonts w:ascii="Arial" w:cs="Arial" w:eastAsia="Arial" w:hAnsi="Arial"/>
                <w:sz w:val="13"/>
                <w:szCs w:val="13"/>
                <w:b w:val="1"/>
                <w:bCs w:val="1"/>
                <w:color w:val="4800E6"/>
              </w:rPr>
              <w:t>Estimated Future Payouts</w:t>
            </w:r>
          </w:p>
        </w:tc>
        <w:tc>
          <w:tcPr>
            <w:tcW w:w="780" w:type="dxa"/>
            <w:vAlign w:val="bottom"/>
          </w:tcPr>
          <w:p>
            <w:pPr>
              <w:jc w:val="right"/>
              <w:ind w:right="37"/>
              <w:spacing w:after="0"/>
              <w:rPr>
                <w:sz w:val="20"/>
                <w:szCs w:val="20"/>
                <w:color w:val="auto"/>
              </w:rPr>
            </w:pPr>
            <w:r>
              <w:rPr>
                <w:rFonts w:ascii="Arial" w:cs="Arial" w:eastAsia="Arial" w:hAnsi="Arial"/>
                <w:sz w:val="13"/>
                <w:szCs w:val="13"/>
                <w:b w:val="1"/>
                <w:bCs w:val="1"/>
                <w:color w:val="4800E6"/>
              </w:rPr>
              <w:t>Stock</w:t>
            </w:r>
          </w:p>
        </w:tc>
        <w:tc>
          <w:tcPr>
            <w:tcW w:w="820" w:type="dxa"/>
            <w:vAlign w:val="bottom"/>
          </w:tcPr>
          <w:p>
            <w:pPr>
              <w:jc w:val="right"/>
              <w:ind w:right="37"/>
              <w:spacing w:after="0"/>
              <w:rPr>
                <w:sz w:val="20"/>
                <w:szCs w:val="20"/>
                <w:color w:val="auto"/>
              </w:rPr>
            </w:pPr>
            <w:r>
              <w:rPr>
                <w:rFonts w:ascii="Arial" w:cs="Arial" w:eastAsia="Arial" w:hAnsi="Arial"/>
                <w:sz w:val="13"/>
                <w:szCs w:val="13"/>
                <w:b w:val="1"/>
                <w:bCs w:val="1"/>
                <w:color w:val="4800E6"/>
              </w:rPr>
              <w:t>All Other</w:t>
            </w:r>
          </w:p>
        </w:tc>
        <w:tc>
          <w:tcPr>
            <w:tcW w:w="760" w:type="dxa"/>
            <w:vAlign w:val="bottom"/>
          </w:tcPr>
          <w:p>
            <w:pPr>
              <w:spacing w:after="0"/>
              <w:rPr>
                <w:sz w:val="12"/>
                <w:szCs w:val="12"/>
                <w:color w:val="auto"/>
              </w:rPr>
            </w:pPr>
          </w:p>
        </w:tc>
        <w:tc>
          <w:tcPr>
            <w:tcW w:w="660" w:type="dxa"/>
            <w:vAlign w:val="bottom"/>
          </w:tcPr>
          <w:p>
            <w:pPr>
              <w:jc w:val="right"/>
              <w:ind w:right="18"/>
              <w:spacing w:after="0"/>
              <w:rPr>
                <w:sz w:val="20"/>
                <w:szCs w:val="20"/>
                <w:color w:val="auto"/>
              </w:rPr>
            </w:pPr>
            <w:r>
              <w:rPr>
                <w:rFonts w:ascii="Arial" w:cs="Arial" w:eastAsia="Arial" w:hAnsi="Arial"/>
                <w:sz w:val="13"/>
                <w:szCs w:val="13"/>
                <w:b w:val="1"/>
                <w:bCs w:val="1"/>
                <w:color w:val="4800E6"/>
              </w:rPr>
              <w:t>Grant</w:t>
            </w:r>
          </w:p>
        </w:tc>
        <w:tc>
          <w:tcPr>
            <w:tcW w:w="0" w:type="dxa"/>
            <w:vAlign w:val="bottom"/>
          </w:tcPr>
          <w:p>
            <w:pPr>
              <w:spacing w:after="0"/>
              <w:rPr>
                <w:sz w:val="1"/>
                <w:szCs w:val="1"/>
                <w:color w:val="auto"/>
              </w:rPr>
            </w:pPr>
          </w:p>
        </w:tc>
      </w:tr>
      <w:tr>
        <w:trPr>
          <w:trHeight w:val="54"/>
        </w:trPr>
        <w:tc>
          <w:tcPr>
            <w:tcW w:w="1120" w:type="dxa"/>
            <w:vAlign w:val="bottom"/>
          </w:tcPr>
          <w:p>
            <w:pPr>
              <w:spacing w:after="0"/>
              <w:rPr>
                <w:sz w:val="4"/>
                <w:szCs w:val="4"/>
                <w:color w:val="auto"/>
              </w:rPr>
            </w:pPr>
          </w:p>
        </w:tc>
        <w:tc>
          <w:tcPr>
            <w:tcW w:w="740" w:type="dxa"/>
            <w:vAlign w:val="bottom"/>
          </w:tcPr>
          <w:p>
            <w:pPr>
              <w:spacing w:after="0"/>
              <w:rPr>
                <w:sz w:val="4"/>
                <w:szCs w:val="4"/>
                <w:color w:val="auto"/>
              </w:rPr>
            </w:pPr>
          </w:p>
        </w:tc>
        <w:tc>
          <w:tcPr>
            <w:tcW w:w="800" w:type="dxa"/>
            <w:vAlign w:val="bottom"/>
          </w:tcPr>
          <w:p>
            <w:pPr>
              <w:spacing w:after="0"/>
              <w:rPr>
                <w:sz w:val="4"/>
                <w:szCs w:val="4"/>
                <w:color w:val="auto"/>
              </w:rPr>
            </w:pPr>
          </w:p>
        </w:tc>
        <w:tc>
          <w:tcPr>
            <w:tcW w:w="620" w:type="dxa"/>
            <w:vAlign w:val="bottom"/>
          </w:tcPr>
          <w:p>
            <w:pPr>
              <w:spacing w:after="0"/>
              <w:rPr>
                <w:sz w:val="4"/>
                <w:szCs w:val="4"/>
                <w:color w:val="auto"/>
              </w:rPr>
            </w:pPr>
          </w:p>
        </w:tc>
        <w:tc>
          <w:tcPr>
            <w:tcW w:w="760" w:type="dxa"/>
            <w:vAlign w:val="bottom"/>
          </w:tcPr>
          <w:p>
            <w:pPr>
              <w:spacing w:after="0"/>
              <w:rPr>
                <w:sz w:val="4"/>
                <w:szCs w:val="4"/>
                <w:color w:val="auto"/>
              </w:rPr>
            </w:pPr>
          </w:p>
        </w:tc>
        <w:tc>
          <w:tcPr>
            <w:tcW w:w="2120" w:type="dxa"/>
            <w:vAlign w:val="bottom"/>
            <w:gridSpan w:val="3"/>
            <w:vMerge w:val="continue"/>
          </w:tcPr>
          <w:p>
            <w:pPr>
              <w:spacing w:after="0"/>
              <w:rPr>
                <w:sz w:val="4"/>
                <w:szCs w:val="4"/>
                <w:color w:val="auto"/>
              </w:rPr>
            </w:pPr>
          </w:p>
        </w:tc>
        <w:tc>
          <w:tcPr>
            <w:tcW w:w="780" w:type="dxa"/>
            <w:vAlign w:val="bottom"/>
            <w:vMerge w:val="restart"/>
          </w:tcPr>
          <w:p>
            <w:pPr>
              <w:jc w:val="right"/>
              <w:ind w:right="37"/>
              <w:spacing w:after="0"/>
              <w:rPr>
                <w:sz w:val="20"/>
                <w:szCs w:val="20"/>
                <w:color w:val="auto"/>
              </w:rPr>
            </w:pPr>
            <w:r>
              <w:rPr>
                <w:rFonts w:ascii="Arial" w:cs="Arial" w:eastAsia="Arial" w:hAnsi="Arial"/>
                <w:sz w:val="13"/>
                <w:szCs w:val="13"/>
                <w:b w:val="1"/>
                <w:bCs w:val="1"/>
                <w:color w:val="4800E6"/>
              </w:rPr>
              <w:t>Awards:</w:t>
            </w:r>
          </w:p>
        </w:tc>
        <w:tc>
          <w:tcPr>
            <w:tcW w:w="820" w:type="dxa"/>
            <w:vAlign w:val="bottom"/>
            <w:vMerge w:val="restart"/>
          </w:tcPr>
          <w:p>
            <w:pPr>
              <w:jc w:val="right"/>
              <w:ind w:right="37"/>
              <w:spacing w:after="0"/>
              <w:rPr>
                <w:sz w:val="20"/>
                <w:szCs w:val="20"/>
                <w:color w:val="auto"/>
              </w:rPr>
            </w:pPr>
            <w:r>
              <w:rPr>
                <w:rFonts w:ascii="Arial" w:cs="Arial" w:eastAsia="Arial" w:hAnsi="Arial"/>
                <w:sz w:val="13"/>
                <w:szCs w:val="13"/>
                <w:b w:val="1"/>
                <w:bCs w:val="1"/>
                <w:color w:val="4800E6"/>
              </w:rPr>
              <w:t>Option</w:t>
            </w:r>
          </w:p>
        </w:tc>
        <w:tc>
          <w:tcPr>
            <w:tcW w:w="760" w:type="dxa"/>
            <w:vAlign w:val="bottom"/>
            <w:vMerge w:val="restart"/>
          </w:tcPr>
          <w:p>
            <w:pPr>
              <w:jc w:val="right"/>
              <w:ind w:right="125"/>
              <w:spacing w:after="0"/>
              <w:rPr>
                <w:sz w:val="20"/>
                <w:szCs w:val="20"/>
                <w:color w:val="auto"/>
              </w:rPr>
            </w:pPr>
            <w:r>
              <w:rPr>
                <w:rFonts w:ascii="Arial" w:cs="Arial" w:eastAsia="Arial" w:hAnsi="Arial"/>
                <w:sz w:val="13"/>
                <w:szCs w:val="13"/>
                <w:b w:val="1"/>
                <w:bCs w:val="1"/>
                <w:color w:val="4800E6"/>
              </w:rPr>
              <w:t>Exercise</w:t>
            </w:r>
          </w:p>
        </w:tc>
        <w:tc>
          <w:tcPr>
            <w:tcW w:w="660" w:type="dxa"/>
            <w:vAlign w:val="bottom"/>
            <w:vMerge w:val="restart"/>
          </w:tcPr>
          <w:p>
            <w:pPr>
              <w:jc w:val="right"/>
              <w:ind w:right="18"/>
              <w:spacing w:after="0"/>
              <w:rPr>
                <w:sz w:val="20"/>
                <w:szCs w:val="20"/>
                <w:color w:val="auto"/>
              </w:rPr>
            </w:pPr>
            <w:r>
              <w:rPr>
                <w:rFonts w:ascii="Arial" w:cs="Arial" w:eastAsia="Arial" w:hAnsi="Arial"/>
                <w:sz w:val="13"/>
                <w:szCs w:val="13"/>
                <w:b w:val="1"/>
                <w:bCs w:val="1"/>
                <w:color w:val="4800E6"/>
              </w:rPr>
              <w:t>Date</w:t>
            </w:r>
          </w:p>
        </w:tc>
        <w:tc>
          <w:tcPr>
            <w:tcW w:w="0" w:type="dxa"/>
            <w:vAlign w:val="bottom"/>
          </w:tcPr>
          <w:p>
            <w:pPr>
              <w:spacing w:after="0"/>
              <w:rPr>
                <w:sz w:val="1"/>
                <w:szCs w:val="1"/>
                <w:color w:val="auto"/>
              </w:rPr>
            </w:pPr>
          </w:p>
        </w:tc>
      </w:tr>
      <w:tr>
        <w:trPr>
          <w:trHeight w:val="95"/>
        </w:trPr>
        <w:tc>
          <w:tcPr>
            <w:tcW w:w="1120" w:type="dxa"/>
            <w:vAlign w:val="bottom"/>
          </w:tcPr>
          <w:p>
            <w:pPr>
              <w:spacing w:after="0"/>
              <w:rPr>
                <w:sz w:val="8"/>
                <w:szCs w:val="8"/>
                <w:color w:val="auto"/>
              </w:rPr>
            </w:pPr>
          </w:p>
        </w:tc>
        <w:tc>
          <w:tcPr>
            <w:tcW w:w="740" w:type="dxa"/>
            <w:vAlign w:val="bottom"/>
          </w:tcPr>
          <w:p>
            <w:pPr>
              <w:spacing w:after="0"/>
              <w:rPr>
                <w:sz w:val="8"/>
                <w:szCs w:val="8"/>
                <w:color w:val="auto"/>
              </w:rPr>
            </w:pPr>
          </w:p>
        </w:tc>
        <w:tc>
          <w:tcPr>
            <w:tcW w:w="2180" w:type="dxa"/>
            <w:vAlign w:val="bottom"/>
            <w:gridSpan w:val="3"/>
            <w:vMerge w:val="restart"/>
          </w:tcPr>
          <w:p>
            <w:pPr>
              <w:jc w:val="center"/>
              <w:spacing w:after="0"/>
              <w:rPr>
                <w:sz w:val="20"/>
                <w:szCs w:val="20"/>
                <w:color w:val="auto"/>
              </w:rPr>
            </w:pPr>
            <w:r>
              <w:rPr>
                <w:rFonts w:ascii="Arial" w:cs="Arial" w:eastAsia="Arial" w:hAnsi="Arial"/>
                <w:sz w:val="13"/>
                <w:szCs w:val="13"/>
                <w:b w:val="1"/>
                <w:bCs w:val="1"/>
                <w:color w:val="4800E6"/>
                <w:w w:val="95"/>
              </w:rPr>
              <w:t>Estimated Future Payouts Under</w:t>
            </w:r>
          </w:p>
        </w:tc>
        <w:tc>
          <w:tcPr>
            <w:tcW w:w="2120" w:type="dxa"/>
            <w:vAlign w:val="bottom"/>
            <w:gridSpan w:val="3"/>
            <w:vMerge w:val="restart"/>
          </w:tcPr>
          <w:p>
            <w:pPr>
              <w:jc w:val="right"/>
              <w:ind w:right="37"/>
              <w:spacing w:after="0"/>
              <w:rPr>
                <w:sz w:val="20"/>
                <w:szCs w:val="20"/>
                <w:color w:val="auto"/>
              </w:rPr>
            </w:pPr>
            <w:r>
              <w:rPr>
                <w:rFonts w:ascii="Arial" w:cs="Arial" w:eastAsia="Arial" w:hAnsi="Arial"/>
                <w:sz w:val="13"/>
                <w:szCs w:val="13"/>
                <w:b w:val="1"/>
                <w:bCs w:val="1"/>
                <w:color w:val="4800E6"/>
              </w:rPr>
              <w:t>Under Equity Incentive Plan:</w:t>
            </w:r>
          </w:p>
        </w:tc>
        <w:tc>
          <w:tcPr>
            <w:tcW w:w="780" w:type="dxa"/>
            <w:vAlign w:val="bottom"/>
            <w:vMerge w:val="continue"/>
          </w:tcPr>
          <w:p>
            <w:pPr>
              <w:spacing w:after="0"/>
              <w:rPr>
                <w:sz w:val="8"/>
                <w:szCs w:val="8"/>
                <w:color w:val="auto"/>
              </w:rPr>
            </w:pPr>
          </w:p>
        </w:tc>
        <w:tc>
          <w:tcPr>
            <w:tcW w:w="820" w:type="dxa"/>
            <w:vAlign w:val="bottom"/>
            <w:vMerge w:val="continue"/>
          </w:tcPr>
          <w:p>
            <w:pPr>
              <w:spacing w:after="0"/>
              <w:rPr>
                <w:sz w:val="8"/>
                <w:szCs w:val="8"/>
                <w:color w:val="auto"/>
              </w:rPr>
            </w:pPr>
          </w:p>
        </w:tc>
        <w:tc>
          <w:tcPr>
            <w:tcW w:w="760" w:type="dxa"/>
            <w:vAlign w:val="bottom"/>
            <w:vMerge w:val="continue"/>
          </w:tcPr>
          <w:p>
            <w:pPr>
              <w:spacing w:after="0"/>
              <w:rPr>
                <w:sz w:val="8"/>
                <w:szCs w:val="8"/>
                <w:color w:val="auto"/>
              </w:rPr>
            </w:pPr>
          </w:p>
        </w:tc>
        <w:tc>
          <w:tcPr>
            <w:tcW w:w="66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54"/>
        </w:trPr>
        <w:tc>
          <w:tcPr>
            <w:tcW w:w="1120" w:type="dxa"/>
            <w:vAlign w:val="bottom"/>
          </w:tcPr>
          <w:p>
            <w:pPr>
              <w:spacing w:after="0"/>
              <w:rPr>
                <w:sz w:val="4"/>
                <w:szCs w:val="4"/>
                <w:color w:val="auto"/>
              </w:rPr>
            </w:pPr>
          </w:p>
        </w:tc>
        <w:tc>
          <w:tcPr>
            <w:tcW w:w="740" w:type="dxa"/>
            <w:vAlign w:val="bottom"/>
          </w:tcPr>
          <w:p>
            <w:pPr>
              <w:spacing w:after="0"/>
              <w:rPr>
                <w:sz w:val="4"/>
                <w:szCs w:val="4"/>
                <w:color w:val="auto"/>
              </w:rPr>
            </w:pPr>
          </w:p>
        </w:tc>
        <w:tc>
          <w:tcPr>
            <w:tcW w:w="2180" w:type="dxa"/>
            <w:vAlign w:val="bottom"/>
            <w:gridSpan w:val="3"/>
            <w:vMerge w:val="continue"/>
          </w:tcPr>
          <w:p>
            <w:pPr>
              <w:spacing w:after="0"/>
              <w:rPr>
                <w:sz w:val="4"/>
                <w:szCs w:val="4"/>
                <w:color w:val="auto"/>
              </w:rPr>
            </w:pPr>
          </w:p>
        </w:tc>
        <w:tc>
          <w:tcPr>
            <w:tcW w:w="2120" w:type="dxa"/>
            <w:vAlign w:val="bottom"/>
            <w:gridSpan w:val="3"/>
            <w:vMerge w:val="continue"/>
          </w:tcPr>
          <w:p>
            <w:pPr>
              <w:spacing w:after="0"/>
              <w:rPr>
                <w:sz w:val="4"/>
                <w:szCs w:val="4"/>
                <w:color w:val="auto"/>
              </w:rPr>
            </w:pPr>
          </w:p>
        </w:tc>
        <w:tc>
          <w:tcPr>
            <w:tcW w:w="780" w:type="dxa"/>
            <w:vAlign w:val="bottom"/>
            <w:vMerge w:val="restart"/>
          </w:tcPr>
          <w:p>
            <w:pPr>
              <w:jc w:val="right"/>
              <w:ind w:right="37"/>
              <w:spacing w:after="0"/>
              <w:rPr>
                <w:sz w:val="20"/>
                <w:szCs w:val="20"/>
                <w:color w:val="auto"/>
              </w:rPr>
            </w:pPr>
            <w:r>
              <w:rPr>
                <w:rFonts w:ascii="Arial" w:cs="Arial" w:eastAsia="Arial" w:hAnsi="Arial"/>
                <w:sz w:val="13"/>
                <w:szCs w:val="13"/>
                <w:b w:val="1"/>
                <w:bCs w:val="1"/>
                <w:color w:val="4800E6"/>
              </w:rPr>
              <w:t>Number</w:t>
            </w:r>
          </w:p>
        </w:tc>
        <w:tc>
          <w:tcPr>
            <w:tcW w:w="820" w:type="dxa"/>
            <w:vAlign w:val="bottom"/>
            <w:vMerge w:val="restart"/>
          </w:tcPr>
          <w:p>
            <w:pPr>
              <w:jc w:val="right"/>
              <w:ind w:right="37"/>
              <w:spacing w:after="0"/>
              <w:rPr>
                <w:sz w:val="20"/>
                <w:szCs w:val="20"/>
                <w:color w:val="auto"/>
              </w:rPr>
            </w:pPr>
            <w:r>
              <w:rPr>
                <w:rFonts w:ascii="Arial" w:cs="Arial" w:eastAsia="Arial" w:hAnsi="Arial"/>
                <w:sz w:val="13"/>
                <w:szCs w:val="13"/>
                <w:b w:val="1"/>
                <w:bCs w:val="1"/>
                <w:color w:val="4800E6"/>
              </w:rPr>
              <w:t>Awards:</w:t>
            </w:r>
          </w:p>
        </w:tc>
        <w:tc>
          <w:tcPr>
            <w:tcW w:w="760" w:type="dxa"/>
            <w:vAlign w:val="bottom"/>
            <w:vMerge w:val="restart"/>
          </w:tcPr>
          <w:p>
            <w:pPr>
              <w:jc w:val="right"/>
              <w:ind w:right="125"/>
              <w:spacing w:after="0"/>
              <w:rPr>
                <w:sz w:val="20"/>
                <w:szCs w:val="20"/>
                <w:color w:val="auto"/>
              </w:rPr>
            </w:pPr>
            <w:r>
              <w:rPr>
                <w:rFonts w:ascii="Arial" w:cs="Arial" w:eastAsia="Arial" w:hAnsi="Arial"/>
                <w:sz w:val="13"/>
                <w:szCs w:val="13"/>
                <w:b w:val="1"/>
                <w:bCs w:val="1"/>
                <w:color w:val="4800E6"/>
              </w:rPr>
              <w:t>or Base</w:t>
            </w:r>
          </w:p>
        </w:tc>
        <w:tc>
          <w:tcPr>
            <w:tcW w:w="660" w:type="dxa"/>
            <w:vAlign w:val="bottom"/>
            <w:vMerge w:val="restart"/>
          </w:tcPr>
          <w:p>
            <w:pPr>
              <w:jc w:val="right"/>
              <w:ind w:right="18"/>
              <w:spacing w:after="0"/>
              <w:rPr>
                <w:sz w:val="20"/>
                <w:szCs w:val="20"/>
                <w:color w:val="auto"/>
              </w:rPr>
            </w:pPr>
            <w:r>
              <w:rPr>
                <w:rFonts w:ascii="Arial" w:cs="Arial" w:eastAsia="Arial" w:hAnsi="Arial"/>
                <w:sz w:val="13"/>
                <w:szCs w:val="13"/>
                <w:b w:val="1"/>
                <w:bCs w:val="1"/>
                <w:color w:val="4800E6"/>
                <w:w w:val="92"/>
              </w:rPr>
              <w:t>Fair value</w:t>
            </w:r>
          </w:p>
        </w:tc>
        <w:tc>
          <w:tcPr>
            <w:tcW w:w="0" w:type="dxa"/>
            <w:vAlign w:val="bottom"/>
          </w:tcPr>
          <w:p>
            <w:pPr>
              <w:spacing w:after="0"/>
              <w:rPr>
                <w:sz w:val="1"/>
                <w:szCs w:val="1"/>
                <w:color w:val="auto"/>
              </w:rPr>
            </w:pPr>
          </w:p>
        </w:tc>
      </w:tr>
      <w:tr>
        <w:trPr>
          <w:trHeight w:val="95"/>
        </w:trPr>
        <w:tc>
          <w:tcPr>
            <w:tcW w:w="1120" w:type="dxa"/>
            <w:vAlign w:val="bottom"/>
          </w:tcPr>
          <w:p>
            <w:pPr>
              <w:spacing w:after="0"/>
              <w:rPr>
                <w:sz w:val="8"/>
                <w:szCs w:val="8"/>
                <w:color w:val="auto"/>
              </w:rPr>
            </w:pPr>
          </w:p>
        </w:tc>
        <w:tc>
          <w:tcPr>
            <w:tcW w:w="740" w:type="dxa"/>
            <w:vAlign w:val="bottom"/>
          </w:tcPr>
          <w:p>
            <w:pPr>
              <w:spacing w:after="0"/>
              <w:rPr>
                <w:sz w:val="8"/>
                <w:szCs w:val="8"/>
                <w:color w:val="auto"/>
              </w:rPr>
            </w:pPr>
          </w:p>
        </w:tc>
        <w:tc>
          <w:tcPr>
            <w:tcW w:w="2180" w:type="dxa"/>
            <w:vAlign w:val="bottom"/>
            <w:gridSpan w:val="3"/>
            <w:vMerge w:val="restart"/>
          </w:tcPr>
          <w:p>
            <w:pPr>
              <w:jc w:val="right"/>
              <w:ind w:right="37"/>
              <w:spacing w:after="0"/>
              <w:rPr>
                <w:sz w:val="20"/>
                <w:szCs w:val="20"/>
                <w:color w:val="auto"/>
              </w:rPr>
            </w:pPr>
            <w:r>
              <w:rPr>
                <w:rFonts w:ascii="Arial" w:cs="Arial" w:eastAsia="Arial" w:hAnsi="Arial"/>
                <w:sz w:val="13"/>
                <w:szCs w:val="13"/>
                <w:b w:val="1"/>
                <w:bCs w:val="1"/>
                <w:color w:val="4800E6"/>
              </w:rPr>
              <w:t>Non-Equity Incentive Plan</w:t>
            </w:r>
          </w:p>
        </w:tc>
        <w:tc>
          <w:tcPr>
            <w:tcW w:w="2120" w:type="dxa"/>
            <w:vAlign w:val="bottom"/>
            <w:gridSpan w:val="3"/>
            <w:vMerge w:val="restart"/>
          </w:tcPr>
          <w:p>
            <w:pPr>
              <w:jc w:val="right"/>
              <w:ind w:right="37"/>
              <w:spacing w:after="0"/>
              <w:rPr>
                <w:sz w:val="20"/>
                <w:szCs w:val="20"/>
                <w:color w:val="auto"/>
              </w:rPr>
            </w:pPr>
            <w:r>
              <w:rPr>
                <w:rFonts w:ascii="Arial" w:cs="Arial" w:eastAsia="Arial" w:hAnsi="Arial"/>
                <w:sz w:val="13"/>
                <w:szCs w:val="13"/>
                <w:b w:val="1"/>
                <w:bCs w:val="1"/>
                <w:color w:val="4800E6"/>
              </w:rPr>
              <w:t>Performance Stock Units</w:t>
            </w:r>
          </w:p>
        </w:tc>
        <w:tc>
          <w:tcPr>
            <w:tcW w:w="780" w:type="dxa"/>
            <w:vAlign w:val="bottom"/>
            <w:vMerge w:val="continue"/>
          </w:tcPr>
          <w:p>
            <w:pPr>
              <w:spacing w:after="0"/>
              <w:rPr>
                <w:sz w:val="8"/>
                <w:szCs w:val="8"/>
                <w:color w:val="auto"/>
              </w:rPr>
            </w:pPr>
          </w:p>
        </w:tc>
        <w:tc>
          <w:tcPr>
            <w:tcW w:w="820" w:type="dxa"/>
            <w:vAlign w:val="bottom"/>
            <w:vMerge w:val="continue"/>
          </w:tcPr>
          <w:p>
            <w:pPr>
              <w:spacing w:after="0"/>
              <w:rPr>
                <w:sz w:val="8"/>
                <w:szCs w:val="8"/>
                <w:color w:val="auto"/>
              </w:rPr>
            </w:pPr>
          </w:p>
        </w:tc>
        <w:tc>
          <w:tcPr>
            <w:tcW w:w="760" w:type="dxa"/>
            <w:vAlign w:val="bottom"/>
            <w:vMerge w:val="continue"/>
          </w:tcPr>
          <w:p>
            <w:pPr>
              <w:spacing w:after="0"/>
              <w:rPr>
                <w:sz w:val="8"/>
                <w:szCs w:val="8"/>
                <w:color w:val="auto"/>
              </w:rPr>
            </w:pPr>
          </w:p>
        </w:tc>
        <w:tc>
          <w:tcPr>
            <w:tcW w:w="66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54"/>
        </w:trPr>
        <w:tc>
          <w:tcPr>
            <w:tcW w:w="1120" w:type="dxa"/>
            <w:vAlign w:val="bottom"/>
          </w:tcPr>
          <w:p>
            <w:pPr>
              <w:spacing w:after="0"/>
              <w:rPr>
                <w:sz w:val="4"/>
                <w:szCs w:val="4"/>
                <w:color w:val="auto"/>
              </w:rPr>
            </w:pPr>
          </w:p>
        </w:tc>
        <w:tc>
          <w:tcPr>
            <w:tcW w:w="740" w:type="dxa"/>
            <w:vAlign w:val="bottom"/>
          </w:tcPr>
          <w:p>
            <w:pPr>
              <w:spacing w:after="0"/>
              <w:rPr>
                <w:sz w:val="4"/>
                <w:szCs w:val="4"/>
                <w:color w:val="auto"/>
              </w:rPr>
            </w:pPr>
          </w:p>
        </w:tc>
        <w:tc>
          <w:tcPr>
            <w:tcW w:w="2180" w:type="dxa"/>
            <w:vAlign w:val="bottom"/>
            <w:gridSpan w:val="3"/>
            <w:vMerge w:val="continue"/>
          </w:tcPr>
          <w:p>
            <w:pPr>
              <w:spacing w:after="0"/>
              <w:rPr>
                <w:sz w:val="4"/>
                <w:szCs w:val="4"/>
                <w:color w:val="auto"/>
              </w:rPr>
            </w:pPr>
          </w:p>
        </w:tc>
        <w:tc>
          <w:tcPr>
            <w:tcW w:w="2120" w:type="dxa"/>
            <w:vAlign w:val="bottom"/>
            <w:gridSpan w:val="3"/>
            <w:vMerge w:val="continue"/>
          </w:tcPr>
          <w:p>
            <w:pPr>
              <w:spacing w:after="0"/>
              <w:rPr>
                <w:sz w:val="4"/>
                <w:szCs w:val="4"/>
                <w:color w:val="auto"/>
              </w:rPr>
            </w:pPr>
          </w:p>
        </w:tc>
        <w:tc>
          <w:tcPr>
            <w:tcW w:w="780" w:type="dxa"/>
            <w:vAlign w:val="bottom"/>
            <w:vMerge w:val="restart"/>
          </w:tcPr>
          <w:p>
            <w:pPr>
              <w:jc w:val="right"/>
              <w:ind w:right="37"/>
              <w:spacing w:after="0"/>
              <w:rPr>
                <w:sz w:val="20"/>
                <w:szCs w:val="20"/>
                <w:color w:val="auto"/>
              </w:rPr>
            </w:pPr>
            <w:r>
              <w:rPr>
                <w:rFonts w:ascii="Arial" w:cs="Arial" w:eastAsia="Arial" w:hAnsi="Arial"/>
                <w:sz w:val="13"/>
                <w:szCs w:val="13"/>
                <w:b w:val="1"/>
                <w:bCs w:val="1"/>
                <w:color w:val="4800E6"/>
              </w:rPr>
              <w:t>of Shares</w:t>
            </w:r>
          </w:p>
        </w:tc>
        <w:tc>
          <w:tcPr>
            <w:tcW w:w="820" w:type="dxa"/>
            <w:vAlign w:val="bottom"/>
            <w:vMerge w:val="restart"/>
          </w:tcPr>
          <w:p>
            <w:pPr>
              <w:jc w:val="right"/>
              <w:ind w:right="37"/>
              <w:spacing w:after="0"/>
              <w:rPr>
                <w:sz w:val="20"/>
                <w:szCs w:val="20"/>
                <w:color w:val="auto"/>
              </w:rPr>
            </w:pPr>
            <w:r>
              <w:rPr>
                <w:rFonts w:ascii="Arial" w:cs="Arial" w:eastAsia="Arial" w:hAnsi="Arial"/>
                <w:sz w:val="13"/>
                <w:szCs w:val="13"/>
                <w:b w:val="1"/>
                <w:bCs w:val="1"/>
                <w:color w:val="4800E6"/>
              </w:rPr>
              <w:t>Number of</w:t>
            </w:r>
          </w:p>
        </w:tc>
        <w:tc>
          <w:tcPr>
            <w:tcW w:w="760" w:type="dxa"/>
            <w:vAlign w:val="bottom"/>
            <w:vMerge w:val="restart"/>
          </w:tcPr>
          <w:p>
            <w:pPr>
              <w:jc w:val="right"/>
              <w:ind w:right="125"/>
              <w:spacing w:after="0"/>
              <w:rPr>
                <w:sz w:val="20"/>
                <w:szCs w:val="20"/>
                <w:color w:val="auto"/>
              </w:rPr>
            </w:pPr>
            <w:r>
              <w:rPr>
                <w:rFonts w:ascii="Arial" w:cs="Arial" w:eastAsia="Arial" w:hAnsi="Arial"/>
                <w:sz w:val="13"/>
                <w:szCs w:val="13"/>
                <w:b w:val="1"/>
                <w:bCs w:val="1"/>
                <w:color w:val="4800E6"/>
              </w:rPr>
              <w:t>Price of</w:t>
            </w:r>
          </w:p>
        </w:tc>
        <w:tc>
          <w:tcPr>
            <w:tcW w:w="660" w:type="dxa"/>
            <w:vAlign w:val="bottom"/>
            <w:vMerge w:val="restart"/>
          </w:tcPr>
          <w:p>
            <w:pPr>
              <w:jc w:val="right"/>
              <w:ind w:right="18"/>
              <w:spacing w:after="0"/>
              <w:rPr>
                <w:sz w:val="20"/>
                <w:szCs w:val="20"/>
                <w:color w:val="auto"/>
              </w:rPr>
            </w:pPr>
            <w:r>
              <w:rPr>
                <w:rFonts w:ascii="Arial" w:cs="Arial" w:eastAsia="Arial" w:hAnsi="Arial"/>
                <w:sz w:val="13"/>
                <w:szCs w:val="13"/>
                <w:b w:val="1"/>
                <w:bCs w:val="1"/>
                <w:color w:val="4800E6"/>
              </w:rPr>
              <w:t>of RSU</w:t>
            </w:r>
          </w:p>
        </w:tc>
        <w:tc>
          <w:tcPr>
            <w:tcW w:w="0" w:type="dxa"/>
            <w:vAlign w:val="bottom"/>
          </w:tcPr>
          <w:p>
            <w:pPr>
              <w:spacing w:after="0"/>
              <w:rPr>
                <w:sz w:val="1"/>
                <w:szCs w:val="1"/>
                <w:color w:val="auto"/>
              </w:rPr>
            </w:pPr>
          </w:p>
        </w:tc>
      </w:tr>
      <w:tr>
        <w:trPr>
          <w:trHeight w:val="94"/>
        </w:trPr>
        <w:tc>
          <w:tcPr>
            <w:tcW w:w="1120" w:type="dxa"/>
            <w:vAlign w:val="bottom"/>
          </w:tcPr>
          <w:p>
            <w:pPr>
              <w:spacing w:after="0"/>
              <w:rPr>
                <w:sz w:val="8"/>
                <w:szCs w:val="8"/>
                <w:color w:val="auto"/>
              </w:rPr>
            </w:pPr>
          </w:p>
        </w:tc>
        <w:tc>
          <w:tcPr>
            <w:tcW w:w="740" w:type="dxa"/>
            <w:vAlign w:val="bottom"/>
          </w:tcPr>
          <w:p>
            <w:pPr>
              <w:spacing w:after="0"/>
              <w:rPr>
                <w:sz w:val="8"/>
                <w:szCs w:val="8"/>
                <w:color w:val="auto"/>
              </w:rPr>
            </w:pPr>
          </w:p>
        </w:tc>
        <w:tc>
          <w:tcPr>
            <w:tcW w:w="800" w:type="dxa"/>
            <w:vAlign w:val="bottom"/>
          </w:tcPr>
          <w:p>
            <w:pPr>
              <w:spacing w:after="0"/>
              <w:rPr>
                <w:sz w:val="8"/>
                <w:szCs w:val="8"/>
                <w:color w:val="auto"/>
              </w:rPr>
            </w:pPr>
          </w:p>
        </w:tc>
        <w:tc>
          <w:tcPr>
            <w:tcW w:w="620" w:type="dxa"/>
            <w:vAlign w:val="bottom"/>
          </w:tcPr>
          <w:p>
            <w:pPr>
              <w:spacing w:after="0"/>
              <w:rPr>
                <w:sz w:val="8"/>
                <w:szCs w:val="8"/>
                <w:color w:val="auto"/>
              </w:rPr>
            </w:pPr>
          </w:p>
        </w:tc>
        <w:tc>
          <w:tcPr>
            <w:tcW w:w="760" w:type="dxa"/>
            <w:vAlign w:val="bottom"/>
            <w:vMerge w:val="restart"/>
          </w:tcPr>
          <w:p>
            <w:pPr>
              <w:jc w:val="right"/>
              <w:spacing w:after="0"/>
              <w:rPr>
                <w:sz w:val="20"/>
                <w:szCs w:val="20"/>
                <w:color w:val="auto"/>
              </w:rPr>
            </w:pPr>
            <w:r>
              <w:rPr>
                <w:rFonts w:ascii="Arial" w:cs="Arial" w:eastAsia="Arial" w:hAnsi="Arial"/>
                <w:sz w:val="13"/>
                <w:szCs w:val="13"/>
                <w:b w:val="1"/>
                <w:bCs w:val="1"/>
                <w:color w:val="4800E6"/>
              </w:rPr>
              <w:t>Awards</w:t>
            </w:r>
          </w:p>
        </w:tc>
        <w:tc>
          <w:tcPr>
            <w:tcW w:w="780" w:type="dxa"/>
            <w:vAlign w:val="bottom"/>
          </w:tcPr>
          <w:p>
            <w:pPr>
              <w:spacing w:after="0"/>
              <w:rPr>
                <w:sz w:val="8"/>
                <w:szCs w:val="8"/>
                <w:color w:val="auto"/>
              </w:rPr>
            </w:pPr>
          </w:p>
        </w:tc>
        <w:tc>
          <w:tcPr>
            <w:tcW w:w="580" w:type="dxa"/>
            <w:vAlign w:val="bottom"/>
          </w:tcPr>
          <w:p>
            <w:pPr>
              <w:spacing w:after="0"/>
              <w:rPr>
                <w:sz w:val="8"/>
                <w:szCs w:val="8"/>
                <w:color w:val="auto"/>
              </w:rPr>
            </w:pPr>
          </w:p>
        </w:tc>
        <w:tc>
          <w:tcPr>
            <w:tcW w:w="760" w:type="dxa"/>
            <w:vAlign w:val="bottom"/>
            <w:vMerge w:val="restart"/>
          </w:tcPr>
          <w:p>
            <w:pPr>
              <w:jc w:val="right"/>
              <w:spacing w:after="0"/>
              <w:rPr>
                <w:sz w:val="20"/>
                <w:szCs w:val="20"/>
                <w:color w:val="auto"/>
              </w:rPr>
            </w:pPr>
            <w:r>
              <w:rPr>
                <w:rFonts w:ascii="Arial" w:cs="Arial" w:eastAsia="Arial" w:hAnsi="Arial"/>
                <w:sz w:val="13"/>
                <w:szCs w:val="13"/>
                <w:b w:val="1"/>
                <w:bCs w:val="1"/>
                <w:color w:val="4800E6"/>
              </w:rPr>
              <w:t>(PSUs) (#)</w:t>
            </w:r>
          </w:p>
        </w:tc>
        <w:tc>
          <w:tcPr>
            <w:tcW w:w="780" w:type="dxa"/>
            <w:vAlign w:val="bottom"/>
            <w:vMerge w:val="continue"/>
          </w:tcPr>
          <w:p>
            <w:pPr>
              <w:spacing w:after="0"/>
              <w:rPr>
                <w:sz w:val="8"/>
                <w:szCs w:val="8"/>
                <w:color w:val="auto"/>
              </w:rPr>
            </w:pPr>
          </w:p>
        </w:tc>
        <w:tc>
          <w:tcPr>
            <w:tcW w:w="820" w:type="dxa"/>
            <w:vAlign w:val="bottom"/>
            <w:vMerge w:val="continue"/>
          </w:tcPr>
          <w:p>
            <w:pPr>
              <w:spacing w:after="0"/>
              <w:rPr>
                <w:sz w:val="8"/>
                <w:szCs w:val="8"/>
                <w:color w:val="auto"/>
              </w:rPr>
            </w:pPr>
          </w:p>
        </w:tc>
        <w:tc>
          <w:tcPr>
            <w:tcW w:w="760" w:type="dxa"/>
            <w:vAlign w:val="bottom"/>
            <w:vMerge w:val="continue"/>
          </w:tcPr>
          <w:p>
            <w:pPr>
              <w:spacing w:after="0"/>
              <w:rPr>
                <w:sz w:val="8"/>
                <w:szCs w:val="8"/>
                <w:color w:val="auto"/>
              </w:rPr>
            </w:pPr>
          </w:p>
        </w:tc>
        <w:tc>
          <w:tcPr>
            <w:tcW w:w="66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16"/>
        </w:trPr>
        <w:tc>
          <w:tcPr>
            <w:tcW w:w="112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800" w:type="dxa"/>
            <w:vAlign w:val="bottom"/>
            <w:tcBorders>
              <w:bottom w:val="single" w:sz="8" w:color="4800E6"/>
            </w:tcBorders>
          </w:tcPr>
          <w:p>
            <w:pPr>
              <w:spacing w:after="0"/>
              <w:rPr>
                <w:sz w:val="10"/>
                <w:szCs w:val="10"/>
                <w:color w:val="auto"/>
              </w:rPr>
            </w:pPr>
          </w:p>
        </w:tc>
        <w:tc>
          <w:tcPr>
            <w:tcW w:w="620" w:type="dxa"/>
            <w:vAlign w:val="bottom"/>
            <w:tcBorders>
              <w:bottom w:val="single" w:sz="8" w:color="4800E6"/>
            </w:tcBorders>
          </w:tcPr>
          <w:p>
            <w:pPr>
              <w:spacing w:after="0"/>
              <w:rPr>
                <w:sz w:val="10"/>
                <w:szCs w:val="10"/>
                <w:color w:val="auto"/>
              </w:rPr>
            </w:pPr>
          </w:p>
        </w:tc>
        <w:tc>
          <w:tcPr>
            <w:tcW w:w="760" w:type="dxa"/>
            <w:vAlign w:val="bottom"/>
            <w:tcBorders>
              <w:bottom w:val="single" w:sz="8" w:color="4800E6"/>
            </w:tcBorders>
            <w:vMerge w:val="continue"/>
          </w:tcPr>
          <w:p>
            <w:pPr>
              <w:spacing w:after="0"/>
              <w:rPr>
                <w:sz w:val="10"/>
                <w:szCs w:val="10"/>
                <w:color w:val="auto"/>
              </w:rPr>
            </w:pPr>
          </w:p>
        </w:tc>
        <w:tc>
          <w:tcPr>
            <w:tcW w:w="780" w:type="dxa"/>
            <w:vAlign w:val="bottom"/>
            <w:tcBorders>
              <w:bottom w:val="single" w:sz="8" w:color="4800E6"/>
            </w:tcBorders>
          </w:tcPr>
          <w:p>
            <w:pPr>
              <w:spacing w:after="0"/>
              <w:rPr>
                <w:sz w:val="10"/>
                <w:szCs w:val="10"/>
                <w:color w:val="auto"/>
              </w:rPr>
            </w:pPr>
          </w:p>
        </w:tc>
        <w:tc>
          <w:tcPr>
            <w:tcW w:w="580" w:type="dxa"/>
            <w:vAlign w:val="bottom"/>
            <w:tcBorders>
              <w:bottom w:val="single" w:sz="8" w:color="4800E6"/>
            </w:tcBorders>
          </w:tcPr>
          <w:p>
            <w:pPr>
              <w:spacing w:after="0"/>
              <w:rPr>
                <w:sz w:val="10"/>
                <w:szCs w:val="10"/>
                <w:color w:val="auto"/>
              </w:rPr>
            </w:pPr>
          </w:p>
        </w:tc>
        <w:tc>
          <w:tcPr>
            <w:tcW w:w="760" w:type="dxa"/>
            <w:vAlign w:val="bottom"/>
            <w:tcBorders>
              <w:bottom w:val="single" w:sz="8" w:color="4800E6"/>
            </w:tcBorders>
            <w:vMerge w:val="continue"/>
          </w:tcPr>
          <w:p>
            <w:pPr>
              <w:spacing w:after="0"/>
              <w:rPr>
                <w:sz w:val="10"/>
                <w:szCs w:val="10"/>
                <w:color w:val="auto"/>
              </w:rPr>
            </w:pPr>
          </w:p>
        </w:tc>
        <w:tc>
          <w:tcPr>
            <w:tcW w:w="780" w:type="dxa"/>
            <w:vAlign w:val="bottom"/>
          </w:tcPr>
          <w:p>
            <w:pPr>
              <w:jc w:val="right"/>
              <w:ind w:right="37"/>
              <w:spacing w:after="0" w:line="110" w:lineRule="exact"/>
              <w:rPr>
                <w:sz w:val="20"/>
                <w:szCs w:val="20"/>
                <w:color w:val="auto"/>
              </w:rPr>
            </w:pPr>
            <w:r>
              <w:rPr>
                <w:rFonts w:ascii="Arial" w:cs="Arial" w:eastAsia="Arial" w:hAnsi="Arial"/>
                <w:sz w:val="12"/>
                <w:szCs w:val="12"/>
                <w:b w:val="1"/>
                <w:bCs w:val="1"/>
                <w:color w:val="4800E6"/>
              </w:rPr>
              <w:t>of Service-</w:t>
            </w:r>
          </w:p>
        </w:tc>
        <w:tc>
          <w:tcPr>
            <w:tcW w:w="820" w:type="dxa"/>
            <w:vAlign w:val="bottom"/>
          </w:tcPr>
          <w:p>
            <w:pPr>
              <w:jc w:val="right"/>
              <w:ind w:right="37"/>
              <w:spacing w:after="0" w:line="110" w:lineRule="exact"/>
              <w:rPr>
                <w:sz w:val="20"/>
                <w:szCs w:val="20"/>
                <w:color w:val="auto"/>
              </w:rPr>
            </w:pPr>
            <w:r>
              <w:rPr>
                <w:rFonts w:ascii="Arial" w:cs="Arial" w:eastAsia="Arial" w:hAnsi="Arial"/>
                <w:sz w:val="12"/>
                <w:szCs w:val="12"/>
                <w:b w:val="1"/>
                <w:bCs w:val="1"/>
                <w:color w:val="4800E6"/>
              </w:rPr>
              <w:t>Securities</w:t>
            </w:r>
          </w:p>
        </w:tc>
        <w:tc>
          <w:tcPr>
            <w:tcW w:w="760" w:type="dxa"/>
            <w:vAlign w:val="bottom"/>
          </w:tcPr>
          <w:p>
            <w:pPr>
              <w:jc w:val="right"/>
              <w:ind w:right="125"/>
              <w:spacing w:after="0" w:line="110" w:lineRule="exact"/>
              <w:rPr>
                <w:sz w:val="20"/>
                <w:szCs w:val="20"/>
                <w:color w:val="auto"/>
              </w:rPr>
            </w:pPr>
            <w:r>
              <w:rPr>
                <w:rFonts w:ascii="Arial" w:cs="Arial" w:eastAsia="Arial" w:hAnsi="Arial"/>
                <w:sz w:val="12"/>
                <w:szCs w:val="12"/>
                <w:b w:val="1"/>
                <w:bCs w:val="1"/>
                <w:color w:val="4800E6"/>
              </w:rPr>
              <w:t>SAR</w:t>
            </w:r>
          </w:p>
        </w:tc>
        <w:tc>
          <w:tcPr>
            <w:tcW w:w="660" w:type="dxa"/>
            <w:vAlign w:val="bottom"/>
          </w:tcPr>
          <w:p>
            <w:pPr>
              <w:jc w:val="right"/>
              <w:ind w:right="18"/>
              <w:spacing w:after="0" w:line="110" w:lineRule="exact"/>
              <w:rPr>
                <w:sz w:val="20"/>
                <w:szCs w:val="20"/>
                <w:color w:val="auto"/>
              </w:rPr>
            </w:pPr>
            <w:r>
              <w:rPr>
                <w:rFonts w:ascii="Arial" w:cs="Arial" w:eastAsia="Arial" w:hAnsi="Arial"/>
                <w:sz w:val="12"/>
                <w:szCs w:val="12"/>
                <w:b w:val="1"/>
                <w:bCs w:val="1"/>
                <w:color w:val="4800E6"/>
              </w:rPr>
              <w:t>and SAR</w:t>
            </w:r>
          </w:p>
        </w:tc>
        <w:tc>
          <w:tcPr>
            <w:tcW w:w="0" w:type="dxa"/>
            <w:vAlign w:val="bottom"/>
          </w:tcPr>
          <w:p>
            <w:pPr>
              <w:spacing w:after="0"/>
              <w:rPr>
                <w:sz w:val="1"/>
                <w:szCs w:val="1"/>
                <w:color w:val="auto"/>
              </w:rPr>
            </w:pPr>
          </w:p>
        </w:tc>
      </w:tr>
      <w:tr>
        <w:trPr>
          <w:trHeight w:val="155"/>
        </w:trPr>
        <w:tc>
          <w:tcPr>
            <w:tcW w:w="1120" w:type="dxa"/>
            <w:vAlign w:val="bottom"/>
          </w:tcPr>
          <w:p>
            <w:pPr>
              <w:spacing w:after="0"/>
              <w:rPr>
                <w:sz w:val="13"/>
                <w:szCs w:val="13"/>
                <w:color w:val="auto"/>
              </w:rPr>
            </w:pPr>
          </w:p>
        </w:tc>
        <w:tc>
          <w:tcPr>
            <w:tcW w:w="740" w:type="dxa"/>
            <w:vAlign w:val="bottom"/>
          </w:tcPr>
          <w:p>
            <w:pPr>
              <w:jc w:val="right"/>
              <w:ind w:right="17"/>
              <w:spacing w:after="0"/>
              <w:rPr>
                <w:sz w:val="20"/>
                <w:szCs w:val="20"/>
                <w:color w:val="auto"/>
              </w:rPr>
            </w:pPr>
            <w:r>
              <w:rPr>
                <w:rFonts w:ascii="Arial" w:cs="Arial" w:eastAsia="Arial" w:hAnsi="Arial"/>
                <w:sz w:val="13"/>
                <w:szCs w:val="13"/>
                <w:b w:val="1"/>
                <w:bCs w:val="1"/>
                <w:color w:val="4800E6"/>
              </w:rPr>
              <w:t>Grant</w:t>
            </w:r>
          </w:p>
        </w:tc>
        <w:tc>
          <w:tcPr>
            <w:tcW w:w="800" w:type="dxa"/>
            <w:vAlign w:val="bottom"/>
          </w:tcPr>
          <w:p>
            <w:pPr>
              <w:jc w:val="right"/>
              <w:ind w:right="77"/>
              <w:spacing w:after="0"/>
              <w:rPr>
                <w:sz w:val="20"/>
                <w:szCs w:val="20"/>
                <w:color w:val="auto"/>
              </w:rPr>
            </w:pPr>
            <w:r>
              <w:rPr>
                <w:rFonts w:ascii="Arial" w:cs="Arial" w:eastAsia="Arial" w:hAnsi="Arial"/>
                <w:sz w:val="13"/>
                <w:szCs w:val="13"/>
                <w:b w:val="1"/>
                <w:bCs w:val="1"/>
                <w:color w:val="4800E6"/>
              </w:rPr>
              <w:t>Threshold</w:t>
            </w:r>
          </w:p>
        </w:tc>
        <w:tc>
          <w:tcPr>
            <w:tcW w:w="620" w:type="dxa"/>
            <w:vAlign w:val="bottom"/>
          </w:tcPr>
          <w:p>
            <w:pPr>
              <w:jc w:val="center"/>
              <w:spacing w:after="0"/>
              <w:rPr>
                <w:sz w:val="20"/>
                <w:szCs w:val="20"/>
                <w:color w:val="auto"/>
              </w:rPr>
            </w:pPr>
            <w:r>
              <w:rPr>
                <w:rFonts w:ascii="Arial" w:cs="Arial" w:eastAsia="Arial" w:hAnsi="Arial"/>
                <w:sz w:val="13"/>
                <w:szCs w:val="13"/>
                <w:b w:val="1"/>
                <w:bCs w:val="1"/>
                <w:color w:val="4800E6"/>
                <w:w w:val="90"/>
              </w:rPr>
              <w:t>Target</w:t>
            </w:r>
          </w:p>
        </w:tc>
        <w:tc>
          <w:tcPr>
            <w:tcW w:w="760" w:type="dxa"/>
            <w:vAlign w:val="bottom"/>
          </w:tcPr>
          <w:p>
            <w:pPr>
              <w:jc w:val="right"/>
              <w:ind w:right="37"/>
              <w:spacing w:after="0"/>
              <w:rPr>
                <w:sz w:val="20"/>
                <w:szCs w:val="20"/>
                <w:color w:val="auto"/>
              </w:rPr>
            </w:pPr>
            <w:r>
              <w:rPr>
                <w:rFonts w:ascii="Arial" w:cs="Arial" w:eastAsia="Arial" w:hAnsi="Arial"/>
                <w:sz w:val="13"/>
                <w:szCs w:val="13"/>
                <w:b w:val="1"/>
                <w:bCs w:val="1"/>
                <w:color w:val="4800E6"/>
              </w:rPr>
              <w:t>Maximum</w:t>
            </w:r>
          </w:p>
        </w:tc>
        <w:tc>
          <w:tcPr>
            <w:tcW w:w="780" w:type="dxa"/>
            <w:vAlign w:val="bottom"/>
          </w:tcPr>
          <w:p>
            <w:pPr>
              <w:jc w:val="right"/>
              <w:ind w:right="57"/>
              <w:spacing w:after="0"/>
              <w:rPr>
                <w:sz w:val="20"/>
                <w:szCs w:val="20"/>
                <w:color w:val="auto"/>
              </w:rPr>
            </w:pPr>
            <w:r>
              <w:rPr>
                <w:rFonts w:ascii="Arial" w:cs="Arial" w:eastAsia="Arial" w:hAnsi="Arial"/>
                <w:sz w:val="13"/>
                <w:szCs w:val="13"/>
                <w:b w:val="1"/>
                <w:bCs w:val="1"/>
                <w:color w:val="4800E6"/>
              </w:rPr>
              <w:t>Threshold</w:t>
            </w:r>
          </w:p>
        </w:tc>
        <w:tc>
          <w:tcPr>
            <w:tcW w:w="580" w:type="dxa"/>
            <w:vAlign w:val="bottom"/>
          </w:tcPr>
          <w:p>
            <w:pPr>
              <w:jc w:val="right"/>
              <w:ind w:right="57"/>
              <w:spacing w:after="0"/>
              <w:rPr>
                <w:sz w:val="20"/>
                <w:szCs w:val="20"/>
                <w:color w:val="auto"/>
              </w:rPr>
            </w:pPr>
            <w:r>
              <w:rPr>
                <w:rFonts w:ascii="Arial" w:cs="Arial" w:eastAsia="Arial" w:hAnsi="Arial"/>
                <w:sz w:val="13"/>
                <w:szCs w:val="13"/>
                <w:b w:val="1"/>
                <w:bCs w:val="1"/>
                <w:color w:val="4800E6"/>
              </w:rPr>
              <w:t>Target</w:t>
            </w:r>
          </w:p>
        </w:tc>
        <w:tc>
          <w:tcPr>
            <w:tcW w:w="760" w:type="dxa"/>
            <w:vAlign w:val="bottom"/>
          </w:tcPr>
          <w:p>
            <w:pPr>
              <w:jc w:val="right"/>
              <w:ind w:right="37"/>
              <w:spacing w:after="0"/>
              <w:rPr>
                <w:sz w:val="20"/>
                <w:szCs w:val="20"/>
                <w:color w:val="auto"/>
              </w:rPr>
            </w:pPr>
            <w:r>
              <w:rPr>
                <w:rFonts w:ascii="Arial" w:cs="Arial" w:eastAsia="Arial" w:hAnsi="Arial"/>
                <w:sz w:val="13"/>
                <w:szCs w:val="13"/>
                <w:b w:val="1"/>
                <w:bCs w:val="1"/>
                <w:color w:val="4800E6"/>
              </w:rPr>
              <w:t>Maximum</w:t>
            </w:r>
          </w:p>
        </w:tc>
        <w:tc>
          <w:tcPr>
            <w:tcW w:w="780" w:type="dxa"/>
            <w:vAlign w:val="bottom"/>
          </w:tcPr>
          <w:p>
            <w:pPr>
              <w:jc w:val="right"/>
              <w:ind w:right="37"/>
              <w:spacing w:after="0"/>
              <w:rPr>
                <w:sz w:val="20"/>
                <w:szCs w:val="20"/>
                <w:color w:val="auto"/>
              </w:rPr>
            </w:pPr>
            <w:r>
              <w:rPr>
                <w:rFonts w:ascii="Arial" w:cs="Arial" w:eastAsia="Arial" w:hAnsi="Arial"/>
                <w:sz w:val="13"/>
                <w:szCs w:val="13"/>
                <w:b w:val="1"/>
                <w:bCs w:val="1"/>
                <w:color w:val="4800E6"/>
              </w:rPr>
              <w:t>Based</w:t>
            </w:r>
          </w:p>
        </w:tc>
        <w:tc>
          <w:tcPr>
            <w:tcW w:w="820" w:type="dxa"/>
            <w:vAlign w:val="bottom"/>
          </w:tcPr>
          <w:p>
            <w:pPr>
              <w:jc w:val="right"/>
              <w:ind w:right="37"/>
              <w:spacing w:after="0"/>
              <w:rPr>
                <w:sz w:val="20"/>
                <w:szCs w:val="20"/>
                <w:color w:val="auto"/>
              </w:rPr>
            </w:pPr>
            <w:r>
              <w:rPr>
                <w:rFonts w:ascii="Arial" w:cs="Arial" w:eastAsia="Arial" w:hAnsi="Arial"/>
                <w:sz w:val="13"/>
                <w:szCs w:val="13"/>
                <w:b w:val="1"/>
                <w:bCs w:val="1"/>
                <w:color w:val="4800E6"/>
              </w:rPr>
              <w:t>Underlying</w:t>
            </w:r>
          </w:p>
        </w:tc>
        <w:tc>
          <w:tcPr>
            <w:tcW w:w="760" w:type="dxa"/>
            <w:vAlign w:val="bottom"/>
          </w:tcPr>
          <w:p>
            <w:pPr>
              <w:jc w:val="right"/>
              <w:ind w:right="125"/>
              <w:spacing w:after="0"/>
              <w:rPr>
                <w:sz w:val="20"/>
                <w:szCs w:val="20"/>
                <w:color w:val="auto"/>
              </w:rPr>
            </w:pPr>
            <w:r>
              <w:rPr>
                <w:rFonts w:ascii="Arial" w:cs="Arial" w:eastAsia="Arial" w:hAnsi="Arial"/>
                <w:sz w:val="13"/>
                <w:szCs w:val="13"/>
                <w:b w:val="1"/>
                <w:bCs w:val="1"/>
                <w:color w:val="4800E6"/>
              </w:rPr>
              <w:t>Awards</w:t>
            </w:r>
          </w:p>
        </w:tc>
        <w:tc>
          <w:tcPr>
            <w:tcW w:w="660" w:type="dxa"/>
            <w:vAlign w:val="bottom"/>
          </w:tcPr>
          <w:p>
            <w:pPr>
              <w:jc w:val="right"/>
              <w:ind w:right="18"/>
              <w:spacing w:after="0"/>
              <w:rPr>
                <w:sz w:val="20"/>
                <w:szCs w:val="20"/>
                <w:color w:val="auto"/>
              </w:rPr>
            </w:pPr>
            <w:r>
              <w:rPr>
                <w:rFonts w:ascii="Arial" w:cs="Arial" w:eastAsia="Arial" w:hAnsi="Arial"/>
                <w:sz w:val="13"/>
                <w:szCs w:val="13"/>
                <w:b w:val="1"/>
                <w:bCs w:val="1"/>
                <w:color w:val="4800E6"/>
              </w:rPr>
              <w:t>Awards</w:t>
            </w:r>
          </w:p>
        </w:tc>
        <w:tc>
          <w:tcPr>
            <w:tcW w:w="0" w:type="dxa"/>
            <w:vAlign w:val="bottom"/>
          </w:tcPr>
          <w:p>
            <w:pPr>
              <w:spacing w:after="0"/>
              <w:rPr>
                <w:sz w:val="1"/>
                <w:szCs w:val="1"/>
                <w:color w:val="auto"/>
              </w:rPr>
            </w:pPr>
          </w:p>
        </w:tc>
      </w:tr>
      <w:tr>
        <w:trPr>
          <w:trHeight w:val="230"/>
        </w:trPr>
        <w:tc>
          <w:tcPr>
            <w:tcW w:w="1120" w:type="dxa"/>
            <w:vAlign w:val="bottom"/>
            <w:tcBorders>
              <w:bottom w:val="single" w:sz="8" w:color="4800E6"/>
            </w:tcBorders>
          </w:tcPr>
          <w:p>
            <w:pPr>
              <w:ind w:left="40"/>
              <w:spacing w:after="0"/>
              <w:rPr>
                <w:sz w:val="20"/>
                <w:szCs w:val="20"/>
                <w:color w:val="auto"/>
              </w:rPr>
            </w:pPr>
            <w:r>
              <w:rPr>
                <w:rFonts w:ascii="Arial" w:cs="Arial" w:eastAsia="Arial" w:hAnsi="Arial"/>
                <w:sz w:val="13"/>
                <w:szCs w:val="13"/>
                <w:b w:val="1"/>
                <w:bCs w:val="1"/>
                <w:color w:val="4800E6"/>
              </w:rPr>
              <w:t>Name</w:t>
            </w:r>
          </w:p>
        </w:tc>
        <w:tc>
          <w:tcPr>
            <w:tcW w:w="740" w:type="dxa"/>
            <w:vAlign w:val="bottom"/>
            <w:tcBorders>
              <w:bottom w:val="single" w:sz="8" w:color="4800E6"/>
            </w:tcBorders>
          </w:tcPr>
          <w:p>
            <w:pPr>
              <w:jc w:val="right"/>
              <w:spacing w:after="0"/>
              <w:rPr>
                <w:sz w:val="20"/>
                <w:szCs w:val="20"/>
                <w:color w:val="auto"/>
              </w:rPr>
            </w:pPr>
            <w:r>
              <w:rPr>
                <w:rFonts w:ascii="Arial" w:cs="Arial" w:eastAsia="Arial" w:hAnsi="Arial"/>
                <w:sz w:val="13"/>
                <w:szCs w:val="13"/>
                <w:b w:val="1"/>
                <w:bCs w:val="1"/>
                <w:color w:val="4800E6"/>
              </w:rPr>
              <w:t>Date</w:t>
            </w:r>
          </w:p>
        </w:tc>
        <w:tc>
          <w:tcPr>
            <w:tcW w:w="800" w:type="dxa"/>
            <w:vAlign w:val="bottom"/>
            <w:tcBorders>
              <w:bottom w:val="single" w:sz="8" w:color="4800E6"/>
            </w:tcBorders>
          </w:tcPr>
          <w:p>
            <w:pPr>
              <w:jc w:val="right"/>
              <w:ind w:right="37"/>
              <w:spacing w:after="0"/>
              <w:rPr>
                <w:sz w:val="20"/>
                <w:szCs w:val="20"/>
                <w:color w:val="auto"/>
              </w:rPr>
            </w:pPr>
            <w:r>
              <w:rPr>
                <w:rFonts w:ascii="Arial" w:cs="Arial" w:eastAsia="Arial" w:hAnsi="Arial"/>
                <w:sz w:val="13"/>
                <w:szCs w:val="13"/>
                <w:b w:val="1"/>
                <w:bCs w:val="1"/>
                <w:color w:val="4800E6"/>
              </w:rPr>
              <w:t>($)</w:t>
            </w:r>
          </w:p>
        </w:tc>
        <w:tc>
          <w:tcPr>
            <w:tcW w:w="620" w:type="dxa"/>
            <w:vAlign w:val="bottom"/>
            <w:tcBorders>
              <w:bottom w:val="single" w:sz="8" w:color="4800E6"/>
            </w:tcBorders>
          </w:tcPr>
          <w:p>
            <w:pPr>
              <w:jc w:val="right"/>
              <w:ind w:right="17"/>
              <w:spacing w:after="0"/>
              <w:rPr>
                <w:sz w:val="20"/>
                <w:szCs w:val="20"/>
                <w:color w:val="auto"/>
              </w:rPr>
            </w:pPr>
            <w:r>
              <w:rPr>
                <w:rFonts w:ascii="Arial" w:cs="Arial" w:eastAsia="Arial" w:hAnsi="Arial"/>
                <w:sz w:val="13"/>
                <w:szCs w:val="13"/>
                <w:b w:val="1"/>
                <w:bCs w:val="1"/>
                <w:color w:val="4800E6"/>
              </w:rPr>
              <w:t>($)</w:t>
            </w:r>
          </w:p>
        </w:tc>
        <w:tc>
          <w:tcPr>
            <w:tcW w:w="760" w:type="dxa"/>
            <w:vAlign w:val="bottom"/>
            <w:tcBorders>
              <w:bottom w:val="single" w:sz="8" w:color="4800E6"/>
            </w:tcBorders>
          </w:tcPr>
          <w:p>
            <w:pPr>
              <w:jc w:val="right"/>
              <w:spacing w:after="0"/>
              <w:rPr>
                <w:sz w:val="20"/>
                <w:szCs w:val="20"/>
                <w:color w:val="auto"/>
              </w:rPr>
            </w:pPr>
            <w:r>
              <w:rPr>
                <w:rFonts w:ascii="Arial" w:cs="Arial" w:eastAsia="Arial" w:hAnsi="Arial"/>
                <w:sz w:val="13"/>
                <w:szCs w:val="13"/>
                <w:b w:val="1"/>
                <w:bCs w:val="1"/>
                <w:color w:val="4800E6"/>
              </w:rPr>
              <w:t>($)</w:t>
            </w:r>
          </w:p>
        </w:tc>
        <w:tc>
          <w:tcPr>
            <w:tcW w:w="780" w:type="dxa"/>
            <w:vAlign w:val="bottom"/>
            <w:tcBorders>
              <w:bottom w:val="single" w:sz="8" w:color="4800E6"/>
            </w:tcBorders>
          </w:tcPr>
          <w:p>
            <w:pPr>
              <w:jc w:val="right"/>
              <w:ind w:right="17"/>
              <w:spacing w:after="0"/>
              <w:rPr>
                <w:sz w:val="20"/>
                <w:szCs w:val="20"/>
                <w:color w:val="auto"/>
              </w:rPr>
            </w:pPr>
            <w:r>
              <w:rPr>
                <w:rFonts w:ascii="Arial" w:cs="Arial" w:eastAsia="Arial" w:hAnsi="Arial"/>
                <w:sz w:val="13"/>
                <w:szCs w:val="13"/>
                <w:b w:val="1"/>
                <w:bCs w:val="1"/>
                <w:color w:val="4800E6"/>
              </w:rPr>
              <w:t>($)</w:t>
            </w:r>
          </w:p>
        </w:tc>
        <w:tc>
          <w:tcPr>
            <w:tcW w:w="580" w:type="dxa"/>
            <w:vAlign w:val="bottom"/>
            <w:tcBorders>
              <w:bottom w:val="single" w:sz="8" w:color="4800E6"/>
            </w:tcBorders>
          </w:tcPr>
          <w:p>
            <w:pPr>
              <w:jc w:val="right"/>
              <w:ind w:right="17"/>
              <w:spacing w:after="0"/>
              <w:rPr>
                <w:sz w:val="20"/>
                <w:szCs w:val="20"/>
                <w:color w:val="auto"/>
              </w:rPr>
            </w:pPr>
            <w:r>
              <w:rPr>
                <w:rFonts w:ascii="Arial" w:cs="Arial" w:eastAsia="Arial" w:hAnsi="Arial"/>
                <w:sz w:val="13"/>
                <w:szCs w:val="13"/>
                <w:b w:val="1"/>
                <w:bCs w:val="1"/>
                <w:color w:val="4800E6"/>
              </w:rPr>
              <w:t>($)</w:t>
            </w:r>
          </w:p>
        </w:tc>
        <w:tc>
          <w:tcPr>
            <w:tcW w:w="760" w:type="dxa"/>
            <w:vAlign w:val="bottom"/>
            <w:tcBorders>
              <w:bottom w:val="single" w:sz="8" w:color="4800E6"/>
            </w:tcBorders>
          </w:tcPr>
          <w:p>
            <w:pPr>
              <w:jc w:val="right"/>
              <w:spacing w:after="0"/>
              <w:rPr>
                <w:sz w:val="20"/>
                <w:szCs w:val="20"/>
                <w:color w:val="auto"/>
              </w:rPr>
            </w:pPr>
            <w:r>
              <w:rPr>
                <w:rFonts w:ascii="Arial" w:cs="Arial" w:eastAsia="Arial" w:hAnsi="Arial"/>
                <w:sz w:val="13"/>
                <w:szCs w:val="13"/>
                <w:b w:val="1"/>
                <w:bCs w:val="1"/>
                <w:color w:val="4800E6"/>
              </w:rPr>
              <w:t>($)</w:t>
            </w:r>
          </w:p>
        </w:tc>
        <w:tc>
          <w:tcPr>
            <w:tcW w:w="780" w:type="dxa"/>
            <w:vAlign w:val="bottom"/>
            <w:tcBorders>
              <w:bottom w:val="single" w:sz="8" w:color="4800E6"/>
            </w:tcBorders>
          </w:tcPr>
          <w:p>
            <w:pPr>
              <w:jc w:val="right"/>
              <w:spacing w:after="0"/>
              <w:rPr>
                <w:sz w:val="20"/>
                <w:szCs w:val="20"/>
                <w:color w:val="auto"/>
              </w:rPr>
            </w:pPr>
            <w:r>
              <w:rPr>
                <w:rFonts w:ascii="Arial" w:cs="Arial" w:eastAsia="Arial" w:hAnsi="Arial"/>
                <w:sz w:val="13"/>
                <w:szCs w:val="13"/>
                <w:b w:val="1"/>
                <w:bCs w:val="1"/>
                <w:color w:val="4800E6"/>
              </w:rPr>
              <w:t>RSUs (#)</w:t>
            </w:r>
          </w:p>
        </w:tc>
        <w:tc>
          <w:tcPr>
            <w:tcW w:w="820" w:type="dxa"/>
            <w:vAlign w:val="bottom"/>
            <w:tcBorders>
              <w:bottom w:val="single" w:sz="8" w:color="4800E6"/>
            </w:tcBorders>
          </w:tcPr>
          <w:p>
            <w:pPr>
              <w:jc w:val="right"/>
              <w:spacing w:after="0"/>
              <w:rPr>
                <w:sz w:val="20"/>
                <w:szCs w:val="20"/>
                <w:color w:val="auto"/>
              </w:rPr>
            </w:pPr>
            <w:r>
              <w:rPr>
                <w:rFonts w:ascii="Arial" w:cs="Arial" w:eastAsia="Arial" w:hAnsi="Arial"/>
                <w:sz w:val="13"/>
                <w:szCs w:val="13"/>
                <w:b w:val="1"/>
                <w:bCs w:val="1"/>
                <w:color w:val="4800E6"/>
              </w:rPr>
              <w:t>SARs (#)</w:t>
            </w:r>
          </w:p>
        </w:tc>
        <w:tc>
          <w:tcPr>
            <w:tcW w:w="760" w:type="dxa"/>
            <w:vAlign w:val="bottom"/>
            <w:tcBorders>
              <w:bottom w:val="single" w:sz="8" w:color="4800E6"/>
            </w:tcBorders>
          </w:tcPr>
          <w:p>
            <w:pPr>
              <w:jc w:val="right"/>
              <w:ind w:right="85"/>
              <w:spacing w:after="0"/>
              <w:rPr>
                <w:sz w:val="20"/>
                <w:szCs w:val="20"/>
                <w:color w:val="auto"/>
              </w:rPr>
            </w:pPr>
            <w:r>
              <w:rPr>
                <w:rFonts w:ascii="Arial" w:cs="Arial" w:eastAsia="Arial" w:hAnsi="Arial"/>
                <w:sz w:val="13"/>
                <w:szCs w:val="13"/>
                <w:b w:val="1"/>
                <w:bCs w:val="1"/>
                <w:color w:val="4800E6"/>
              </w:rPr>
              <w:t>($/Sh)</w:t>
            </w:r>
          </w:p>
        </w:tc>
        <w:tc>
          <w:tcPr>
            <w:tcW w:w="660" w:type="dxa"/>
            <w:vAlign w:val="bottom"/>
            <w:tcBorders>
              <w:bottom w:val="single" w:sz="8" w:color="4800E6"/>
            </w:tcBorders>
          </w:tcPr>
          <w:p>
            <w:pPr>
              <w:jc w:val="right"/>
              <w:spacing w:after="0" w:line="229" w:lineRule="exact"/>
              <w:rPr>
                <w:sz w:val="20"/>
                <w:szCs w:val="20"/>
                <w:color w:val="auto"/>
              </w:rPr>
            </w:pPr>
            <w:r>
              <w:rPr>
                <w:rFonts w:ascii="Arial" w:cs="Arial" w:eastAsia="Arial" w:hAnsi="Arial"/>
                <w:sz w:val="25"/>
                <w:szCs w:val="25"/>
                <w:b w:val="1"/>
                <w:bCs w:val="1"/>
                <w:color w:val="4800E6"/>
                <w:vertAlign w:val="subscript"/>
              </w:rPr>
              <w:t>($)</w:t>
            </w:r>
            <w:r>
              <w:rPr>
                <w:rFonts w:ascii="Arial" w:cs="Arial" w:eastAsia="Arial" w:hAnsi="Arial"/>
                <w:sz w:val="10"/>
                <w:szCs w:val="10"/>
                <w:b w:val="1"/>
                <w:bCs w:val="1"/>
                <w:color w:val="4800E6"/>
              </w:rPr>
              <w:t>(1)(2)</w:t>
            </w:r>
          </w:p>
        </w:tc>
        <w:tc>
          <w:tcPr>
            <w:tcW w:w="0" w:type="dxa"/>
            <w:vAlign w:val="bottom"/>
          </w:tcPr>
          <w:p>
            <w:pPr>
              <w:spacing w:after="0"/>
              <w:rPr>
                <w:sz w:val="1"/>
                <w:szCs w:val="1"/>
                <w:color w:val="auto"/>
              </w:rPr>
            </w:pPr>
          </w:p>
        </w:tc>
      </w:tr>
      <w:tr>
        <w:trPr>
          <w:trHeight w:val="174"/>
        </w:trPr>
        <w:tc>
          <w:tcPr>
            <w:tcW w:w="1120" w:type="dxa"/>
            <w:vAlign w:val="bottom"/>
          </w:tcPr>
          <w:p>
            <w:pPr>
              <w:ind w:left="40"/>
              <w:spacing w:after="0"/>
              <w:rPr>
                <w:sz w:val="20"/>
                <w:szCs w:val="20"/>
                <w:color w:val="auto"/>
              </w:rPr>
            </w:pPr>
            <w:r>
              <w:rPr>
                <w:rFonts w:ascii="Arial" w:cs="Arial" w:eastAsia="Arial" w:hAnsi="Arial"/>
                <w:sz w:val="13"/>
                <w:szCs w:val="13"/>
                <w:b w:val="1"/>
                <w:bCs w:val="1"/>
                <w:color w:val="auto"/>
              </w:rPr>
              <w:t>Damien</w:t>
            </w:r>
          </w:p>
        </w:tc>
        <w:tc>
          <w:tcPr>
            <w:tcW w:w="740" w:type="dxa"/>
            <w:vAlign w:val="bottom"/>
          </w:tcPr>
          <w:p>
            <w:pPr>
              <w:spacing w:after="0"/>
              <w:rPr>
                <w:sz w:val="15"/>
                <w:szCs w:val="15"/>
                <w:color w:val="auto"/>
              </w:rPr>
            </w:pPr>
          </w:p>
        </w:tc>
        <w:tc>
          <w:tcPr>
            <w:tcW w:w="800" w:type="dxa"/>
            <w:vAlign w:val="bottom"/>
          </w:tcPr>
          <w:p>
            <w:pPr>
              <w:jc w:val="right"/>
              <w:ind w:right="37"/>
              <w:spacing w:after="0"/>
              <w:rPr>
                <w:sz w:val="20"/>
                <w:szCs w:val="20"/>
                <w:color w:val="auto"/>
              </w:rPr>
            </w:pPr>
            <w:r>
              <w:rPr>
                <w:rFonts w:ascii="Arial" w:cs="Arial" w:eastAsia="Arial" w:hAnsi="Arial"/>
                <w:sz w:val="13"/>
                <w:szCs w:val="13"/>
                <w:color w:val="auto"/>
              </w:rPr>
              <w:t>0</w:t>
            </w:r>
          </w:p>
        </w:tc>
        <w:tc>
          <w:tcPr>
            <w:tcW w:w="620" w:type="dxa"/>
            <w:vAlign w:val="bottom"/>
          </w:tcPr>
          <w:p>
            <w:pPr>
              <w:jc w:val="center"/>
              <w:spacing w:after="0"/>
              <w:rPr>
                <w:sz w:val="20"/>
                <w:szCs w:val="20"/>
                <w:color w:val="auto"/>
              </w:rPr>
            </w:pPr>
            <w:r>
              <w:rPr>
                <w:rFonts w:ascii="Arial" w:cs="Arial" w:eastAsia="Arial" w:hAnsi="Arial"/>
                <w:sz w:val="13"/>
                <w:szCs w:val="13"/>
                <w:color w:val="auto"/>
                <w:w w:val="97"/>
              </w:rPr>
              <w:t>869,283</w:t>
            </w:r>
          </w:p>
        </w:tc>
        <w:tc>
          <w:tcPr>
            <w:tcW w:w="760" w:type="dxa"/>
            <w:vAlign w:val="bottom"/>
          </w:tcPr>
          <w:p>
            <w:pPr>
              <w:jc w:val="right"/>
              <w:spacing w:after="0"/>
              <w:rPr>
                <w:sz w:val="20"/>
                <w:szCs w:val="20"/>
                <w:color w:val="auto"/>
              </w:rPr>
            </w:pPr>
            <w:r>
              <w:rPr>
                <w:rFonts w:ascii="Arial" w:cs="Arial" w:eastAsia="Arial" w:hAnsi="Arial"/>
                <w:sz w:val="13"/>
                <w:szCs w:val="13"/>
                <w:color w:val="auto"/>
              </w:rPr>
              <w:t>1,486,474</w:t>
            </w:r>
          </w:p>
        </w:tc>
        <w:tc>
          <w:tcPr>
            <w:tcW w:w="78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820" w:type="dxa"/>
            <w:vAlign w:val="bottom"/>
          </w:tcPr>
          <w:p>
            <w:pPr>
              <w:jc w:val="right"/>
              <w:spacing w:after="0"/>
              <w:rPr>
                <w:sz w:val="20"/>
                <w:szCs w:val="20"/>
                <w:color w:val="auto"/>
              </w:rPr>
            </w:pPr>
            <w:r>
              <w:rPr>
                <w:rFonts w:ascii="Arial" w:cs="Arial" w:eastAsia="Arial" w:hAnsi="Arial"/>
                <w:sz w:val="13"/>
                <w:szCs w:val="13"/>
                <w:color w:val="auto"/>
              </w:rPr>
              <w:t>–</w:t>
            </w:r>
          </w:p>
        </w:tc>
        <w:tc>
          <w:tcPr>
            <w:tcW w:w="76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62"/>
        </w:trPr>
        <w:tc>
          <w:tcPr>
            <w:tcW w:w="1120" w:type="dxa"/>
            <w:vAlign w:val="bottom"/>
            <w:vMerge w:val="restart"/>
          </w:tcPr>
          <w:p>
            <w:pPr>
              <w:ind w:left="40"/>
              <w:spacing w:after="0"/>
              <w:rPr>
                <w:sz w:val="20"/>
                <w:szCs w:val="20"/>
                <w:color w:val="auto"/>
              </w:rPr>
            </w:pPr>
            <w:r>
              <w:rPr>
                <w:rFonts w:ascii="Arial" w:cs="Arial" w:eastAsia="Arial" w:hAnsi="Arial"/>
                <w:sz w:val="13"/>
                <w:szCs w:val="13"/>
                <w:b w:val="1"/>
                <w:bCs w:val="1"/>
                <w:color w:val="auto"/>
              </w:rPr>
              <w:t>McDonald</w:t>
            </w:r>
          </w:p>
        </w:tc>
        <w:tc>
          <w:tcPr>
            <w:tcW w:w="740" w:type="dxa"/>
            <w:vAlign w:val="bottom"/>
          </w:tcPr>
          <w:p>
            <w:pPr>
              <w:spacing w:after="0"/>
              <w:rPr>
                <w:sz w:val="5"/>
                <w:szCs w:val="5"/>
                <w:color w:val="auto"/>
              </w:rPr>
            </w:pPr>
          </w:p>
        </w:tc>
        <w:tc>
          <w:tcPr>
            <w:tcW w:w="800" w:type="dxa"/>
            <w:vAlign w:val="bottom"/>
          </w:tcPr>
          <w:p>
            <w:pPr>
              <w:spacing w:after="0"/>
              <w:rPr>
                <w:sz w:val="5"/>
                <w:szCs w:val="5"/>
                <w:color w:val="auto"/>
              </w:rPr>
            </w:pPr>
          </w:p>
        </w:tc>
        <w:tc>
          <w:tcPr>
            <w:tcW w:w="620" w:type="dxa"/>
            <w:vAlign w:val="bottom"/>
          </w:tcPr>
          <w:p>
            <w:pPr>
              <w:spacing w:after="0"/>
              <w:rPr>
                <w:sz w:val="5"/>
                <w:szCs w:val="5"/>
                <w:color w:val="auto"/>
              </w:rPr>
            </w:pPr>
          </w:p>
        </w:tc>
        <w:tc>
          <w:tcPr>
            <w:tcW w:w="760" w:type="dxa"/>
            <w:vAlign w:val="bottom"/>
          </w:tcPr>
          <w:p>
            <w:pPr>
              <w:spacing w:after="0"/>
              <w:rPr>
                <w:sz w:val="5"/>
                <w:szCs w:val="5"/>
                <w:color w:val="auto"/>
              </w:rPr>
            </w:pPr>
          </w:p>
        </w:tc>
        <w:tc>
          <w:tcPr>
            <w:tcW w:w="780" w:type="dxa"/>
            <w:vAlign w:val="bottom"/>
          </w:tcPr>
          <w:p>
            <w:pPr>
              <w:spacing w:after="0"/>
              <w:rPr>
                <w:sz w:val="5"/>
                <w:szCs w:val="5"/>
                <w:color w:val="auto"/>
              </w:rPr>
            </w:pPr>
          </w:p>
        </w:tc>
        <w:tc>
          <w:tcPr>
            <w:tcW w:w="580" w:type="dxa"/>
            <w:vAlign w:val="bottom"/>
          </w:tcPr>
          <w:p>
            <w:pPr>
              <w:spacing w:after="0"/>
              <w:rPr>
                <w:sz w:val="5"/>
                <w:szCs w:val="5"/>
                <w:color w:val="auto"/>
              </w:rPr>
            </w:pPr>
          </w:p>
        </w:tc>
        <w:tc>
          <w:tcPr>
            <w:tcW w:w="760" w:type="dxa"/>
            <w:vAlign w:val="bottom"/>
          </w:tcPr>
          <w:p>
            <w:pPr>
              <w:spacing w:after="0"/>
              <w:rPr>
                <w:sz w:val="5"/>
                <w:szCs w:val="5"/>
                <w:color w:val="auto"/>
              </w:rPr>
            </w:pPr>
          </w:p>
        </w:tc>
        <w:tc>
          <w:tcPr>
            <w:tcW w:w="780" w:type="dxa"/>
            <w:vAlign w:val="bottom"/>
          </w:tcPr>
          <w:p>
            <w:pPr>
              <w:spacing w:after="0"/>
              <w:rPr>
                <w:sz w:val="5"/>
                <w:szCs w:val="5"/>
                <w:color w:val="auto"/>
              </w:rPr>
            </w:pPr>
          </w:p>
        </w:tc>
        <w:tc>
          <w:tcPr>
            <w:tcW w:w="820" w:type="dxa"/>
            <w:vAlign w:val="bottom"/>
          </w:tcPr>
          <w:p>
            <w:pPr>
              <w:spacing w:after="0"/>
              <w:rPr>
                <w:sz w:val="5"/>
                <w:szCs w:val="5"/>
                <w:color w:val="auto"/>
              </w:rPr>
            </w:pPr>
          </w:p>
        </w:tc>
        <w:tc>
          <w:tcPr>
            <w:tcW w:w="760" w:type="dxa"/>
            <w:vAlign w:val="bottom"/>
          </w:tcPr>
          <w:p>
            <w:pPr>
              <w:spacing w:after="0"/>
              <w:rPr>
                <w:sz w:val="5"/>
                <w:szCs w:val="5"/>
                <w:color w:val="auto"/>
              </w:rPr>
            </w:pPr>
          </w:p>
        </w:tc>
        <w:tc>
          <w:tcPr>
            <w:tcW w:w="6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73"/>
        </w:trPr>
        <w:tc>
          <w:tcPr>
            <w:tcW w:w="1120" w:type="dxa"/>
            <w:vAlign w:val="bottom"/>
            <w:vMerge w:val="continue"/>
          </w:tcPr>
          <w:p>
            <w:pPr>
              <w:spacing w:after="0"/>
              <w:rPr>
                <w:sz w:val="15"/>
                <w:szCs w:val="15"/>
                <w:color w:val="auto"/>
              </w:rPr>
            </w:pPr>
          </w:p>
        </w:tc>
        <w:tc>
          <w:tcPr>
            <w:tcW w:w="740" w:type="dxa"/>
            <w:vAlign w:val="bottom"/>
            <w:shd w:val="clear" w:color="auto" w:fill="EFE9FC"/>
          </w:tcPr>
          <w:p>
            <w:pPr>
              <w:jc w:val="right"/>
              <w:spacing w:after="0"/>
              <w:rPr>
                <w:sz w:val="20"/>
                <w:szCs w:val="20"/>
                <w:color w:val="auto"/>
              </w:rPr>
            </w:pPr>
            <w:r>
              <w:rPr>
                <w:rFonts w:ascii="Arial" w:cs="Arial" w:eastAsia="Arial" w:hAnsi="Arial"/>
                <w:sz w:val="13"/>
                <w:szCs w:val="13"/>
                <w:color w:val="auto"/>
              </w:rPr>
              <w:t>03/30/2019</w:t>
            </w:r>
          </w:p>
        </w:tc>
        <w:tc>
          <w:tcPr>
            <w:tcW w:w="800" w:type="dxa"/>
            <w:vAlign w:val="bottom"/>
            <w:shd w:val="clear" w:color="auto" w:fill="EFE9FC"/>
          </w:tcPr>
          <w:p>
            <w:pPr>
              <w:spacing w:after="0"/>
              <w:rPr>
                <w:sz w:val="15"/>
                <w:szCs w:val="15"/>
                <w:color w:val="auto"/>
              </w:rPr>
            </w:pPr>
          </w:p>
        </w:tc>
        <w:tc>
          <w:tcPr>
            <w:tcW w:w="620" w:type="dxa"/>
            <w:vAlign w:val="bottom"/>
            <w:shd w:val="clear" w:color="auto" w:fill="EFE9FC"/>
          </w:tcPr>
          <w:p>
            <w:pPr>
              <w:spacing w:after="0"/>
              <w:rPr>
                <w:sz w:val="15"/>
                <w:szCs w:val="15"/>
                <w:color w:val="auto"/>
              </w:rPr>
            </w:pPr>
          </w:p>
        </w:tc>
        <w:tc>
          <w:tcPr>
            <w:tcW w:w="760" w:type="dxa"/>
            <w:vAlign w:val="bottom"/>
            <w:shd w:val="clear" w:color="auto" w:fill="EFE9FC"/>
          </w:tcPr>
          <w:p>
            <w:pPr>
              <w:spacing w:after="0"/>
              <w:rPr>
                <w:sz w:val="15"/>
                <w:szCs w:val="15"/>
                <w:color w:val="auto"/>
              </w:rPr>
            </w:pPr>
          </w:p>
        </w:tc>
        <w:tc>
          <w:tcPr>
            <w:tcW w:w="780" w:type="dxa"/>
            <w:vAlign w:val="bottom"/>
            <w:shd w:val="clear" w:color="auto" w:fill="EFE9FC"/>
          </w:tcPr>
          <w:p>
            <w:pPr>
              <w:jc w:val="right"/>
              <w:ind w:right="17"/>
              <w:spacing w:after="0"/>
              <w:rPr>
                <w:sz w:val="20"/>
                <w:szCs w:val="20"/>
                <w:color w:val="auto"/>
              </w:rPr>
            </w:pPr>
            <w:r>
              <w:rPr>
                <w:rFonts w:ascii="Arial" w:cs="Arial" w:eastAsia="Arial" w:hAnsi="Arial"/>
                <w:sz w:val="13"/>
                <w:szCs w:val="13"/>
                <w:color w:val="auto"/>
              </w:rPr>
              <w:t>6,170</w:t>
            </w:r>
          </w:p>
        </w:tc>
        <w:tc>
          <w:tcPr>
            <w:tcW w:w="580" w:type="dxa"/>
            <w:vAlign w:val="bottom"/>
            <w:shd w:val="clear" w:color="auto" w:fill="EFE9FC"/>
          </w:tcPr>
          <w:p>
            <w:pPr>
              <w:jc w:val="right"/>
              <w:ind w:right="17"/>
              <w:spacing w:after="0"/>
              <w:rPr>
                <w:sz w:val="20"/>
                <w:szCs w:val="20"/>
                <w:color w:val="auto"/>
              </w:rPr>
            </w:pPr>
            <w:r>
              <w:rPr>
                <w:rFonts w:ascii="Arial" w:cs="Arial" w:eastAsia="Arial" w:hAnsi="Arial"/>
                <w:sz w:val="13"/>
                <w:szCs w:val="13"/>
                <w:color w:val="auto"/>
              </w:rPr>
              <w:t>15,424</w:t>
            </w:r>
          </w:p>
        </w:tc>
        <w:tc>
          <w:tcPr>
            <w:tcW w:w="760" w:type="dxa"/>
            <w:vAlign w:val="bottom"/>
            <w:shd w:val="clear" w:color="auto" w:fill="EFE9FC"/>
          </w:tcPr>
          <w:p>
            <w:pPr>
              <w:jc w:val="right"/>
              <w:spacing w:after="0"/>
              <w:rPr>
                <w:sz w:val="20"/>
                <w:szCs w:val="20"/>
                <w:color w:val="auto"/>
              </w:rPr>
            </w:pPr>
            <w:r>
              <w:rPr>
                <w:rFonts w:ascii="Arial" w:cs="Arial" w:eastAsia="Arial" w:hAnsi="Arial"/>
                <w:sz w:val="13"/>
                <w:szCs w:val="13"/>
                <w:color w:val="auto"/>
              </w:rPr>
              <w:t>30,848</w:t>
            </w:r>
          </w:p>
        </w:tc>
        <w:tc>
          <w:tcPr>
            <w:tcW w:w="780" w:type="dxa"/>
            <w:vAlign w:val="bottom"/>
            <w:shd w:val="clear" w:color="auto" w:fill="EFE9FC"/>
          </w:tcPr>
          <w:p>
            <w:pPr>
              <w:spacing w:after="0"/>
              <w:rPr>
                <w:sz w:val="15"/>
                <w:szCs w:val="15"/>
                <w:color w:val="auto"/>
              </w:rPr>
            </w:pPr>
          </w:p>
        </w:tc>
        <w:tc>
          <w:tcPr>
            <w:tcW w:w="820" w:type="dxa"/>
            <w:vAlign w:val="bottom"/>
            <w:shd w:val="clear" w:color="auto" w:fill="EFE9FC"/>
          </w:tcPr>
          <w:p>
            <w:pPr>
              <w:jc w:val="right"/>
              <w:spacing w:after="0"/>
              <w:rPr>
                <w:sz w:val="20"/>
                <w:szCs w:val="20"/>
                <w:color w:val="auto"/>
              </w:rPr>
            </w:pPr>
            <w:r>
              <w:rPr>
                <w:rFonts w:ascii="Arial" w:cs="Arial" w:eastAsia="Arial" w:hAnsi="Arial"/>
                <w:sz w:val="13"/>
                <w:szCs w:val="13"/>
                <w:color w:val="auto"/>
              </w:rPr>
              <w:t>–</w:t>
            </w:r>
          </w:p>
        </w:tc>
        <w:tc>
          <w:tcPr>
            <w:tcW w:w="760" w:type="dxa"/>
            <w:vAlign w:val="bottom"/>
            <w:shd w:val="clear" w:color="auto" w:fill="EFE9FC"/>
          </w:tcPr>
          <w:p>
            <w:pPr>
              <w:jc w:val="right"/>
              <w:spacing w:after="0"/>
              <w:rPr>
                <w:sz w:val="20"/>
                <w:szCs w:val="20"/>
                <w:color w:val="auto"/>
              </w:rPr>
            </w:pPr>
            <w:r>
              <w:rPr>
                <w:rFonts w:ascii="Arial" w:cs="Arial" w:eastAsia="Arial" w:hAnsi="Arial"/>
                <w:sz w:val="10"/>
                <w:szCs w:val="10"/>
                <w:color w:val="auto"/>
              </w:rPr>
              <w:t>(2)</w:t>
            </w:r>
          </w:p>
        </w:tc>
        <w:tc>
          <w:tcPr>
            <w:tcW w:w="660" w:type="dxa"/>
            <w:vAlign w:val="bottom"/>
            <w:shd w:val="clear" w:color="auto" w:fill="EFE9FC"/>
          </w:tcPr>
          <w:p>
            <w:pPr>
              <w:jc w:val="right"/>
              <w:spacing w:after="0"/>
              <w:rPr>
                <w:sz w:val="20"/>
                <w:szCs w:val="20"/>
                <w:color w:val="auto"/>
              </w:rPr>
            </w:pPr>
            <w:r>
              <w:rPr>
                <w:rFonts w:ascii="Arial" w:cs="Arial" w:eastAsia="Arial" w:hAnsi="Arial"/>
                <w:sz w:val="13"/>
                <w:szCs w:val="13"/>
                <w:color w:val="auto"/>
              </w:rPr>
              <w:t>1,559,339</w:t>
            </w:r>
          </w:p>
        </w:tc>
        <w:tc>
          <w:tcPr>
            <w:tcW w:w="0" w:type="dxa"/>
            <w:vAlign w:val="bottom"/>
          </w:tcPr>
          <w:p>
            <w:pPr>
              <w:spacing w:after="0"/>
              <w:rPr>
                <w:sz w:val="1"/>
                <w:szCs w:val="1"/>
                <w:color w:val="auto"/>
              </w:rPr>
            </w:pPr>
          </w:p>
        </w:tc>
      </w:tr>
      <w:tr>
        <w:trPr>
          <w:trHeight w:val="83"/>
        </w:trPr>
        <w:tc>
          <w:tcPr>
            <w:tcW w:w="1120" w:type="dxa"/>
            <w:vAlign w:val="bottom"/>
          </w:tcPr>
          <w:p>
            <w:pPr>
              <w:spacing w:after="0"/>
              <w:rPr>
                <w:sz w:val="7"/>
                <w:szCs w:val="7"/>
                <w:color w:val="auto"/>
              </w:rPr>
            </w:pPr>
          </w:p>
        </w:tc>
        <w:tc>
          <w:tcPr>
            <w:tcW w:w="740" w:type="dxa"/>
            <w:vAlign w:val="bottom"/>
            <w:shd w:val="clear" w:color="auto" w:fill="EFE9FC"/>
          </w:tcPr>
          <w:p>
            <w:pPr>
              <w:spacing w:after="0"/>
              <w:rPr>
                <w:sz w:val="7"/>
                <w:szCs w:val="7"/>
                <w:color w:val="auto"/>
              </w:rPr>
            </w:pPr>
          </w:p>
        </w:tc>
        <w:tc>
          <w:tcPr>
            <w:tcW w:w="800" w:type="dxa"/>
            <w:vAlign w:val="bottom"/>
            <w:shd w:val="clear" w:color="auto" w:fill="EFE9FC"/>
          </w:tcPr>
          <w:p>
            <w:pPr>
              <w:spacing w:after="0"/>
              <w:rPr>
                <w:sz w:val="7"/>
                <w:szCs w:val="7"/>
                <w:color w:val="auto"/>
              </w:rPr>
            </w:pPr>
          </w:p>
        </w:tc>
        <w:tc>
          <w:tcPr>
            <w:tcW w:w="620" w:type="dxa"/>
            <w:vAlign w:val="bottom"/>
            <w:shd w:val="clear" w:color="auto" w:fill="EFE9FC"/>
          </w:tcPr>
          <w:p>
            <w:pPr>
              <w:spacing w:after="0"/>
              <w:rPr>
                <w:sz w:val="7"/>
                <w:szCs w:val="7"/>
                <w:color w:val="auto"/>
              </w:rPr>
            </w:pPr>
          </w:p>
        </w:tc>
        <w:tc>
          <w:tcPr>
            <w:tcW w:w="760" w:type="dxa"/>
            <w:vAlign w:val="bottom"/>
            <w:shd w:val="clear" w:color="auto" w:fill="EFE9FC"/>
          </w:tcPr>
          <w:p>
            <w:pPr>
              <w:spacing w:after="0"/>
              <w:rPr>
                <w:sz w:val="7"/>
                <w:szCs w:val="7"/>
                <w:color w:val="auto"/>
              </w:rPr>
            </w:pPr>
          </w:p>
        </w:tc>
        <w:tc>
          <w:tcPr>
            <w:tcW w:w="780" w:type="dxa"/>
            <w:vAlign w:val="bottom"/>
            <w:shd w:val="clear" w:color="auto" w:fill="EFE9FC"/>
          </w:tcPr>
          <w:p>
            <w:pPr>
              <w:spacing w:after="0"/>
              <w:rPr>
                <w:sz w:val="7"/>
                <w:szCs w:val="7"/>
                <w:color w:val="auto"/>
              </w:rPr>
            </w:pPr>
          </w:p>
        </w:tc>
        <w:tc>
          <w:tcPr>
            <w:tcW w:w="580" w:type="dxa"/>
            <w:vAlign w:val="bottom"/>
            <w:shd w:val="clear" w:color="auto" w:fill="EFE9FC"/>
          </w:tcPr>
          <w:p>
            <w:pPr>
              <w:spacing w:after="0"/>
              <w:rPr>
                <w:sz w:val="7"/>
                <w:szCs w:val="7"/>
                <w:color w:val="auto"/>
              </w:rPr>
            </w:pPr>
          </w:p>
        </w:tc>
        <w:tc>
          <w:tcPr>
            <w:tcW w:w="760" w:type="dxa"/>
            <w:vAlign w:val="bottom"/>
            <w:shd w:val="clear" w:color="auto" w:fill="EFE9FC"/>
          </w:tcPr>
          <w:p>
            <w:pPr>
              <w:spacing w:after="0"/>
              <w:rPr>
                <w:sz w:val="7"/>
                <w:szCs w:val="7"/>
                <w:color w:val="auto"/>
              </w:rPr>
            </w:pPr>
          </w:p>
        </w:tc>
        <w:tc>
          <w:tcPr>
            <w:tcW w:w="780" w:type="dxa"/>
            <w:vAlign w:val="bottom"/>
            <w:shd w:val="clear" w:color="auto" w:fill="EFE9FC"/>
          </w:tcPr>
          <w:p>
            <w:pPr>
              <w:spacing w:after="0"/>
              <w:rPr>
                <w:sz w:val="7"/>
                <w:szCs w:val="7"/>
                <w:color w:val="auto"/>
              </w:rPr>
            </w:pPr>
          </w:p>
        </w:tc>
        <w:tc>
          <w:tcPr>
            <w:tcW w:w="820" w:type="dxa"/>
            <w:vAlign w:val="bottom"/>
            <w:shd w:val="clear" w:color="auto" w:fill="EFE9FC"/>
          </w:tcPr>
          <w:p>
            <w:pPr>
              <w:spacing w:after="0"/>
              <w:rPr>
                <w:sz w:val="7"/>
                <w:szCs w:val="7"/>
                <w:color w:val="auto"/>
              </w:rPr>
            </w:pPr>
          </w:p>
        </w:tc>
        <w:tc>
          <w:tcPr>
            <w:tcW w:w="760" w:type="dxa"/>
            <w:vAlign w:val="bottom"/>
            <w:shd w:val="clear" w:color="auto" w:fill="EFE9FC"/>
          </w:tcPr>
          <w:p>
            <w:pPr>
              <w:spacing w:after="0"/>
              <w:rPr>
                <w:sz w:val="7"/>
                <w:szCs w:val="7"/>
                <w:color w:val="auto"/>
              </w:rPr>
            </w:pPr>
          </w:p>
        </w:tc>
        <w:tc>
          <w:tcPr>
            <w:tcW w:w="660" w:type="dxa"/>
            <w:vAlign w:val="bottom"/>
            <w:shd w:val="clear" w:color="auto" w:fill="EFE9FC"/>
          </w:tcPr>
          <w:p>
            <w:pPr>
              <w:spacing w:after="0"/>
              <w:rPr>
                <w:sz w:val="7"/>
                <w:szCs w:val="7"/>
                <w:color w:val="auto"/>
              </w:rPr>
            </w:pPr>
          </w:p>
        </w:tc>
        <w:tc>
          <w:tcPr>
            <w:tcW w:w="0" w:type="dxa"/>
            <w:vAlign w:val="bottom"/>
          </w:tcPr>
          <w:p>
            <w:pPr>
              <w:spacing w:after="0"/>
              <w:rPr>
                <w:sz w:val="1"/>
                <w:szCs w:val="1"/>
                <w:color w:val="auto"/>
              </w:rPr>
            </w:pPr>
          </w:p>
        </w:tc>
      </w:tr>
      <w:tr>
        <w:trPr>
          <w:trHeight w:val="173"/>
        </w:trPr>
        <w:tc>
          <w:tcPr>
            <w:tcW w:w="1120" w:type="dxa"/>
            <w:vAlign w:val="bottom"/>
          </w:tcPr>
          <w:p>
            <w:pPr>
              <w:spacing w:after="0"/>
              <w:rPr>
                <w:sz w:val="15"/>
                <w:szCs w:val="15"/>
                <w:color w:val="auto"/>
              </w:rPr>
            </w:pPr>
          </w:p>
        </w:tc>
        <w:tc>
          <w:tcPr>
            <w:tcW w:w="740" w:type="dxa"/>
            <w:vAlign w:val="bottom"/>
          </w:tcPr>
          <w:p>
            <w:pPr>
              <w:jc w:val="right"/>
              <w:spacing w:after="0"/>
              <w:rPr>
                <w:sz w:val="20"/>
                <w:szCs w:val="20"/>
                <w:color w:val="auto"/>
              </w:rPr>
            </w:pPr>
            <w:r>
              <w:rPr>
                <w:rFonts w:ascii="Arial" w:cs="Arial" w:eastAsia="Arial" w:hAnsi="Arial"/>
                <w:sz w:val="13"/>
                <w:szCs w:val="13"/>
                <w:color w:val="auto"/>
              </w:rPr>
              <w:t>03/30/2019</w:t>
            </w:r>
          </w:p>
        </w:tc>
        <w:tc>
          <w:tcPr>
            <w:tcW w:w="8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780" w:type="dxa"/>
            <w:vAlign w:val="bottom"/>
          </w:tcPr>
          <w:p>
            <w:pPr>
              <w:jc w:val="right"/>
              <w:ind w:right="17"/>
              <w:spacing w:after="0"/>
              <w:rPr>
                <w:sz w:val="20"/>
                <w:szCs w:val="20"/>
                <w:color w:val="auto"/>
              </w:rPr>
            </w:pPr>
            <w:r>
              <w:rPr>
                <w:rFonts w:ascii="Arial" w:cs="Arial" w:eastAsia="Arial" w:hAnsi="Arial"/>
                <w:sz w:val="13"/>
                <w:szCs w:val="13"/>
                <w:color w:val="auto"/>
              </w:rPr>
              <w:t>3,085</w:t>
            </w:r>
          </w:p>
        </w:tc>
        <w:tc>
          <w:tcPr>
            <w:tcW w:w="580" w:type="dxa"/>
            <w:vAlign w:val="bottom"/>
          </w:tcPr>
          <w:p>
            <w:pPr>
              <w:jc w:val="right"/>
              <w:ind w:right="17"/>
              <w:spacing w:after="0"/>
              <w:rPr>
                <w:sz w:val="20"/>
                <w:szCs w:val="20"/>
                <w:color w:val="auto"/>
              </w:rPr>
            </w:pPr>
            <w:r>
              <w:rPr>
                <w:rFonts w:ascii="Arial" w:cs="Arial" w:eastAsia="Arial" w:hAnsi="Arial"/>
                <w:sz w:val="13"/>
                <w:szCs w:val="13"/>
                <w:color w:val="auto"/>
              </w:rPr>
              <w:t>15,424</w:t>
            </w:r>
          </w:p>
        </w:tc>
        <w:tc>
          <w:tcPr>
            <w:tcW w:w="760" w:type="dxa"/>
            <w:vAlign w:val="bottom"/>
          </w:tcPr>
          <w:p>
            <w:pPr>
              <w:jc w:val="right"/>
              <w:spacing w:after="0"/>
              <w:rPr>
                <w:sz w:val="20"/>
                <w:szCs w:val="20"/>
                <w:color w:val="auto"/>
              </w:rPr>
            </w:pPr>
            <w:r>
              <w:rPr>
                <w:rFonts w:ascii="Arial" w:cs="Arial" w:eastAsia="Arial" w:hAnsi="Arial"/>
                <w:sz w:val="13"/>
                <w:szCs w:val="13"/>
                <w:color w:val="auto"/>
              </w:rPr>
              <w:t>30,848</w:t>
            </w:r>
          </w:p>
        </w:tc>
        <w:tc>
          <w:tcPr>
            <w:tcW w:w="7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760" w:type="dxa"/>
            <w:vAlign w:val="bottom"/>
          </w:tcPr>
          <w:p>
            <w:pPr>
              <w:jc w:val="right"/>
              <w:spacing w:after="0"/>
              <w:rPr>
                <w:sz w:val="20"/>
                <w:szCs w:val="20"/>
                <w:color w:val="auto"/>
              </w:rPr>
            </w:pPr>
            <w:r>
              <w:rPr>
                <w:rFonts w:ascii="Arial" w:cs="Arial" w:eastAsia="Arial" w:hAnsi="Arial"/>
                <w:sz w:val="10"/>
                <w:szCs w:val="10"/>
                <w:color w:val="auto"/>
              </w:rPr>
              <w:t>(2)</w:t>
            </w:r>
          </w:p>
        </w:tc>
        <w:tc>
          <w:tcPr>
            <w:tcW w:w="660" w:type="dxa"/>
            <w:vAlign w:val="bottom"/>
          </w:tcPr>
          <w:p>
            <w:pPr>
              <w:jc w:val="right"/>
              <w:spacing w:after="0"/>
              <w:rPr>
                <w:sz w:val="20"/>
                <w:szCs w:val="20"/>
                <w:color w:val="auto"/>
              </w:rPr>
            </w:pPr>
            <w:r>
              <w:rPr>
                <w:rFonts w:ascii="Arial" w:cs="Arial" w:eastAsia="Arial" w:hAnsi="Arial"/>
                <w:sz w:val="13"/>
                <w:szCs w:val="13"/>
                <w:color w:val="auto"/>
              </w:rPr>
              <w:t>1,499,984</w:t>
            </w:r>
          </w:p>
        </w:tc>
        <w:tc>
          <w:tcPr>
            <w:tcW w:w="0" w:type="dxa"/>
            <w:vAlign w:val="bottom"/>
          </w:tcPr>
          <w:p>
            <w:pPr>
              <w:spacing w:after="0"/>
              <w:rPr>
                <w:sz w:val="1"/>
                <w:szCs w:val="1"/>
                <w:color w:val="auto"/>
              </w:rPr>
            </w:pPr>
          </w:p>
        </w:tc>
      </w:tr>
      <w:tr>
        <w:trPr>
          <w:trHeight w:val="57"/>
        </w:trPr>
        <w:tc>
          <w:tcPr>
            <w:tcW w:w="1120" w:type="dxa"/>
            <w:vAlign w:val="bottom"/>
          </w:tcPr>
          <w:p>
            <w:pPr>
              <w:spacing w:after="0"/>
              <w:rPr>
                <w:sz w:val="4"/>
                <w:szCs w:val="4"/>
                <w:color w:val="auto"/>
              </w:rPr>
            </w:pPr>
          </w:p>
        </w:tc>
        <w:tc>
          <w:tcPr>
            <w:tcW w:w="740" w:type="dxa"/>
            <w:vAlign w:val="bottom"/>
          </w:tcPr>
          <w:p>
            <w:pPr>
              <w:spacing w:after="0"/>
              <w:rPr>
                <w:sz w:val="4"/>
                <w:szCs w:val="4"/>
                <w:color w:val="auto"/>
              </w:rPr>
            </w:pPr>
          </w:p>
        </w:tc>
        <w:tc>
          <w:tcPr>
            <w:tcW w:w="800" w:type="dxa"/>
            <w:vAlign w:val="bottom"/>
          </w:tcPr>
          <w:p>
            <w:pPr>
              <w:spacing w:after="0"/>
              <w:rPr>
                <w:sz w:val="4"/>
                <w:szCs w:val="4"/>
                <w:color w:val="auto"/>
              </w:rPr>
            </w:pPr>
          </w:p>
        </w:tc>
        <w:tc>
          <w:tcPr>
            <w:tcW w:w="620" w:type="dxa"/>
            <w:vAlign w:val="bottom"/>
          </w:tcPr>
          <w:p>
            <w:pPr>
              <w:spacing w:after="0"/>
              <w:rPr>
                <w:sz w:val="4"/>
                <w:szCs w:val="4"/>
                <w:color w:val="auto"/>
              </w:rPr>
            </w:pPr>
          </w:p>
        </w:tc>
        <w:tc>
          <w:tcPr>
            <w:tcW w:w="760" w:type="dxa"/>
            <w:vAlign w:val="bottom"/>
          </w:tcPr>
          <w:p>
            <w:pPr>
              <w:spacing w:after="0"/>
              <w:rPr>
                <w:sz w:val="4"/>
                <w:szCs w:val="4"/>
                <w:color w:val="auto"/>
              </w:rPr>
            </w:pPr>
          </w:p>
        </w:tc>
        <w:tc>
          <w:tcPr>
            <w:tcW w:w="780" w:type="dxa"/>
            <w:vAlign w:val="bottom"/>
          </w:tcPr>
          <w:p>
            <w:pPr>
              <w:spacing w:after="0"/>
              <w:rPr>
                <w:sz w:val="4"/>
                <w:szCs w:val="4"/>
                <w:color w:val="auto"/>
              </w:rPr>
            </w:pPr>
          </w:p>
        </w:tc>
        <w:tc>
          <w:tcPr>
            <w:tcW w:w="580" w:type="dxa"/>
            <w:vAlign w:val="bottom"/>
          </w:tcPr>
          <w:p>
            <w:pPr>
              <w:spacing w:after="0"/>
              <w:rPr>
                <w:sz w:val="4"/>
                <w:szCs w:val="4"/>
                <w:color w:val="auto"/>
              </w:rPr>
            </w:pPr>
          </w:p>
        </w:tc>
        <w:tc>
          <w:tcPr>
            <w:tcW w:w="760" w:type="dxa"/>
            <w:vAlign w:val="bottom"/>
          </w:tcPr>
          <w:p>
            <w:pPr>
              <w:spacing w:after="0"/>
              <w:rPr>
                <w:sz w:val="4"/>
                <w:szCs w:val="4"/>
                <w:color w:val="auto"/>
              </w:rPr>
            </w:pPr>
          </w:p>
        </w:tc>
        <w:tc>
          <w:tcPr>
            <w:tcW w:w="780" w:type="dxa"/>
            <w:vAlign w:val="bottom"/>
          </w:tcPr>
          <w:p>
            <w:pPr>
              <w:spacing w:after="0"/>
              <w:rPr>
                <w:sz w:val="4"/>
                <w:szCs w:val="4"/>
                <w:color w:val="auto"/>
              </w:rPr>
            </w:pPr>
          </w:p>
        </w:tc>
        <w:tc>
          <w:tcPr>
            <w:tcW w:w="820" w:type="dxa"/>
            <w:vAlign w:val="bottom"/>
          </w:tcPr>
          <w:p>
            <w:pPr>
              <w:spacing w:after="0"/>
              <w:rPr>
                <w:sz w:val="4"/>
                <w:szCs w:val="4"/>
                <w:color w:val="auto"/>
              </w:rPr>
            </w:pPr>
          </w:p>
        </w:tc>
        <w:tc>
          <w:tcPr>
            <w:tcW w:w="760" w:type="dxa"/>
            <w:vAlign w:val="bottom"/>
          </w:tcPr>
          <w:p>
            <w:pPr>
              <w:spacing w:after="0"/>
              <w:rPr>
                <w:sz w:val="4"/>
                <w:szCs w:val="4"/>
                <w:color w:val="auto"/>
              </w:rPr>
            </w:pPr>
          </w:p>
        </w:tc>
        <w:tc>
          <w:tcPr>
            <w:tcW w:w="6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87"/>
        </w:trPr>
        <w:tc>
          <w:tcPr>
            <w:tcW w:w="1120" w:type="dxa"/>
            <w:vAlign w:val="bottom"/>
          </w:tcPr>
          <w:p>
            <w:pPr>
              <w:spacing w:after="0"/>
              <w:rPr>
                <w:sz w:val="16"/>
                <w:szCs w:val="16"/>
                <w:color w:val="auto"/>
              </w:rPr>
            </w:pPr>
          </w:p>
        </w:tc>
        <w:tc>
          <w:tcPr>
            <w:tcW w:w="740" w:type="dxa"/>
            <w:vAlign w:val="bottom"/>
            <w:shd w:val="clear" w:color="auto" w:fill="EFE9FC"/>
          </w:tcPr>
          <w:p>
            <w:pPr>
              <w:jc w:val="right"/>
              <w:spacing w:after="0"/>
              <w:rPr>
                <w:sz w:val="20"/>
                <w:szCs w:val="20"/>
                <w:color w:val="auto"/>
              </w:rPr>
            </w:pPr>
            <w:r>
              <w:rPr>
                <w:rFonts w:ascii="Arial" w:cs="Arial" w:eastAsia="Arial" w:hAnsi="Arial"/>
                <w:sz w:val="13"/>
                <w:szCs w:val="13"/>
                <w:color w:val="auto"/>
              </w:rPr>
              <w:t>03/30/2019</w:t>
            </w:r>
          </w:p>
        </w:tc>
        <w:tc>
          <w:tcPr>
            <w:tcW w:w="800" w:type="dxa"/>
            <w:vAlign w:val="bottom"/>
            <w:shd w:val="clear" w:color="auto" w:fill="EFE9FC"/>
          </w:tcPr>
          <w:p>
            <w:pPr>
              <w:spacing w:after="0"/>
              <w:rPr>
                <w:sz w:val="16"/>
                <w:szCs w:val="16"/>
                <w:color w:val="auto"/>
              </w:rPr>
            </w:pPr>
          </w:p>
        </w:tc>
        <w:tc>
          <w:tcPr>
            <w:tcW w:w="620" w:type="dxa"/>
            <w:vAlign w:val="bottom"/>
            <w:shd w:val="clear" w:color="auto" w:fill="EFE9FC"/>
          </w:tcPr>
          <w:p>
            <w:pPr>
              <w:spacing w:after="0"/>
              <w:rPr>
                <w:sz w:val="16"/>
                <w:szCs w:val="16"/>
                <w:color w:val="auto"/>
              </w:rPr>
            </w:pPr>
          </w:p>
        </w:tc>
        <w:tc>
          <w:tcPr>
            <w:tcW w:w="760" w:type="dxa"/>
            <w:vAlign w:val="bottom"/>
            <w:shd w:val="clear" w:color="auto" w:fill="EFE9FC"/>
          </w:tcPr>
          <w:p>
            <w:pPr>
              <w:spacing w:after="0"/>
              <w:rPr>
                <w:sz w:val="16"/>
                <w:szCs w:val="16"/>
                <w:color w:val="auto"/>
              </w:rPr>
            </w:pPr>
          </w:p>
        </w:tc>
        <w:tc>
          <w:tcPr>
            <w:tcW w:w="780" w:type="dxa"/>
            <w:vAlign w:val="bottom"/>
            <w:shd w:val="clear" w:color="auto" w:fill="EFE9FC"/>
          </w:tcPr>
          <w:p>
            <w:pPr>
              <w:spacing w:after="0"/>
              <w:rPr>
                <w:sz w:val="16"/>
                <w:szCs w:val="16"/>
                <w:color w:val="auto"/>
              </w:rPr>
            </w:pPr>
          </w:p>
        </w:tc>
        <w:tc>
          <w:tcPr>
            <w:tcW w:w="580" w:type="dxa"/>
            <w:vAlign w:val="bottom"/>
            <w:shd w:val="clear" w:color="auto" w:fill="EFE9FC"/>
          </w:tcPr>
          <w:p>
            <w:pPr>
              <w:spacing w:after="0"/>
              <w:rPr>
                <w:sz w:val="16"/>
                <w:szCs w:val="16"/>
                <w:color w:val="auto"/>
              </w:rPr>
            </w:pPr>
          </w:p>
        </w:tc>
        <w:tc>
          <w:tcPr>
            <w:tcW w:w="760" w:type="dxa"/>
            <w:vAlign w:val="bottom"/>
            <w:shd w:val="clear" w:color="auto" w:fill="EFE9FC"/>
          </w:tcPr>
          <w:p>
            <w:pPr>
              <w:spacing w:after="0"/>
              <w:rPr>
                <w:sz w:val="16"/>
                <w:szCs w:val="16"/>
                <w:color w:val="auto"/>
              </w:rPr>
            </w:pPr>
          </w:p>
        </w:tc>
        <w:tc>
          <w:tcPr>
            <w:tcW w:w="780" w:type="dxa"/>
            <w:vAlign w:val="bottom"/>
            <w:shd w:val="clear" w:color="auto" w:fill="EFE9FC"/>
          </w:tcPr>
          <w:p>
            <w:pPr>
              <w:jc w:val="right"/>
              <w:spacing w:after="0"/>
              <w:rPr>
                <w:sz w:val="20"/>
                <w:szCs w:val="20"/>
                <w:color w:val="auto"/>
              </w:rPr>
            </w:pPr>
            <w:r>
              <w:rPr>
                <w:rFonts w:ascii="Arial" w:cs="Arial" w:eastAsia="Arial" w:hAnsi="Arial"/>
                <w:sz w:val="13"/>
                <w:szCs w:val="13"/>
                <w:color w:val="auto"/>
              </w:rPr>
              <w:t>12,853</w:t>
            </w:r>
          </w:p>
        </w:tc>
        <w:tc>
          <w:tcPr>
            <w:tcW w:w="820" w:type="dxa"/>
            <w:vAlign w:val="bottom"/>
            <w:shd w:val="clear" w:color="auto" w:fill="EFE9FC"/>
          </w:tcPr>
          <w:p>
            <w:pPr>
              <w:spacing w:after="0"/>
              <w:rPr>
                <w:sz w:val="16"/>
                <w:szCs w:val="16"/>
                <w:color w:val="auto"/>
              </w:rPr>
            </w:pPr>
          </w:p>
        </w:tc>
        <w:tc>
          <w:tcPr>
            <w:tcW w:w="760" w:type="dxa"/>
            <w:vAlign w:val="bottom"/>
            <w:shd w:val="clear" w:color="auto" w:fill="EFE9FC"/>
          </w:tcPr>
          <w:p>
            <w:pPr>
              <w:jc w:val="right"/>
              <w:spacing w:after="0"/>
              <w:rPr>
                <w:sz w:val="20"/>
                <w:szCs w:val="20"/>
                <w:color w:val="auto"/>
              </w:rPr>
            </w:pPr>
            <w:r>
              <w:rPr>
                <w:rFonts w:ascii="Arial" w:cs="Arial" w:eastAsia="Arial" w:hAnsi="Arial"/>
                <w:sz w:val="10"/>
                <w:szCs w:val="10"/>
                <w:color w:val="auto"/>
              </w:rPr>
              <w:t>(1)</w:t>
            </w:r>
          </w:p>
        </w:tc>
        <w:tc>
          <w:tcPr>
            <w:tcW w:w="660" w:type="dxa"/>
            <w:vAlign w:val="bottom"/>
            <w:shd w:val="clear" w:color="auto" w:fill="EFE9FC"/>
          </w:tcPr>
          <w:p>
            <w:pPr>
              <w:jc w:val="right"/>
              <w:spacing w:after="0"/>
              <w:rPr>
                <w:sz w:val="20"/>
                <w:szCs w:val="20"/>
                <w:color w:val="auto"/>
              </w:rPr>
            </w:pPr>
            <w:r>
              <w:rPr>
                <w:rFonts w:ascii="Arial" w:cs="Arial" w:eastAsia="Arial" w:hAnsi="Arial"/>
                <w:sz w:val="13"/>
                <w:szCs w:val="13"/>
                <w:color w:val="auto"/>
              </w:rPr>
              <w:t>1,249,954</w:t>
            </w:r>
          </w:p>
        </w:tc>
        <w:tc>
          <w:tcPr>
            <w:tcW w:w="0" w:type="dxa"/>
            <w:vAlign w:val="bottom"/>
          </w:tcPr>
          <w:p>
            <w:pPr>
              <w:spacing w:after="0"/>
              <w:rPr>
                <w:sz w:val="1"/>
                <w:szCs w:val="1"/>
                <w:color w:val="auto"/>
              </w:rPr>
            </w:pPr>
          </w:p>
        </w:tc>
      </w:tr>
      <w:tr>
        <w:trPr>
          <w:trHeight w:val="70"/>
        </w:trPr>
        <w:tc>
          <w:tcPr>
            <w:tcW w:w="1120" w:type="dxa"/>
            <w:vAlign w:val="bottom"/>
          </w:tcPr>
          <w:p>
            <w:pPr>
              <w:spacing w:after="0"/>
              <w:rPr>
                <w:sz w:val="6"/>
                <w:szCs w:val="6"/>
                <w:color w:val="auto"/>
              </w:rPr>
            </w:pPr>
          </w:p>
        </w:tc>
        <w:tc>
          <w:tcPr>
            <w:tcW w:w="740" w:type="dxa"/>
            <w:vAlign w:val="bottom"/>
            <w:shd w:val="clear" w:color="auto" w:fill="EFE9FC"/>
          </w:tcPr>
          <w:p>
            <w:pPr>
              <w:spacing w:after="0"/>
              <w:rPr>
                <w:sz w:val="6"/>
                <w:szCs w:val="6"/>
                <w:color w:val="auto"/>
              </w:rPr>
            </w:pPr>
          </w:p>
        </w:tc>
        <w:tc>
          <w:tcPr>
            <w:tcW w:w="800" w:type="dxa"/>
            <w:vAlign w:val="bottom"/>
            <w:shd w:val="clear" w:color="auto" w:fill="EFE9FC"/>
          </w:tcPr>
          <w:p>
            <w:pPr>
              <w:spacing w:after="0"/>
              <w:rPr>
                <w:sz w:val="6"/>
                <w:szCs w:val="6"/>
                <w:color w:val="auto"/>
              </w:rPr>
            </w:pPr>
          </w:p>
        </w:tc>
        <w:tc>
          <w:tcPr>
            <w:tcW w:w="620" w:type="dxa"/>
            <w:vAlign w:val="bottom"/>
            <w:shd w:val="clear" w:color="auto" w:fill="EFE9FC"/>
          </w:tcPr>
          <w:p>
            <w:pPr>
              <w:spacing w:after="0"/>
              <w:rPr>
                <w:sz w:val="6"/>
                <w:szCs w:val="6"/>
                <w:color w:val="auto"/>
              </w:rPr>
            </w:pPr>
          </w:p>
        </w:tc>
        <w:tc>
          <w:tcPr>
            <w:tcW w:w="760" w:type="dxa"/>
            <w:vAlign w:val="bottom"/>
            <w:shd w:val="clear" w:color="auto" w:fill="EFE9FC"/>
          </w:tcPr>
          <w:p>
            <w:pPr>
              <w:spacing w:after="0"/>
              <w:rPr>
                <w:sz w:val="6"/>
                <w:szCs w:val="6"/>
                <w:color w:val="auto"/>
              </w:rPr>
            </w:pPr>
          </w:p>
        </w:tc>
        <w:tc>
          <w:tcPr>
            <w:tcW w:w="780" w:type="dxa"/>
            <w:vAlign w:val="bottom"/>
            <w:shd w:val="clear" w:color="auto" w:fill="EFE9FC"/>
          </w:tcPr>
          <w:p>
            <w:pPr>
              <w:spacing w:after="0"/>
              <w:rPr>
                <w:sz w:val="6"/>
                <w:szCs w:val="6"/>
                <w:color w:val="auto"/>
              </w:rPr>
            </w:pPr>
          </w:p>
        </w:tc>
        <w:tc>
          <w:tcPr>
            <w:tcW w:w="580" w:type="dxa"/>
            <w:vAlign w:val="bottom"/>
            <w:shd w:val="clear" w:color="auto" w:fill="EFE9FC"/>
          </w:tcPr>
          <w:p>
            <w:pPr>
              <w:spacing w:after="0"/>
              <w:rPr>
                <w:sz w:val="6"/>
                <w:szCs w:val="6"/>
                <w:color w:val="auto"/>
              </w:rPr>
            </w:pPr>
          </w:p>
        </w:tc>
        <w:tc>
          <w:tcPr>
            <w:tcW w:w="760" w:type="dxa"/>
            <w:vAlign w:val="bottom"/>
            <w:shd w:val="clear" w:color="auto" w:fill="EFE9FC"/>
          </w:tcPr>
          <w:p>
            <w:pPr>
              <w:spacing w:after="0"/>
              <w:rPr>
                <w:sz w:val="6"/>
                <w:szCs w:val="6"/>
                <w:color w:val="auto"/>
              </w:rPr>
            </w:pPr>
          </w:p>
        </w:tc>
        <w:tc>
          <w:tcPr>
            <w:tcW w:w="780" w:type="dxa"/>
            <w:vAlign w:val="bottom"/>
            <w:shd w:val="clear" w:color="auto" w:fill="EFE9FC"/>
          </w:tcPr>
          <w:p>
            <w:pPr>
              <w:spacing w:after="0"/>
              <w:rPr>
                <w:sz w:val="6"/>
                <w:szCs w:val="6"/>
                <w:color w:val="auto"/>
              </w:rPr>
            </w:pPr>
          </w:p>
        </w:tc>
        <w:tc>
          <w:tcPr>
            <w:tcW w:w="820" w:type="dxa"/>
            <w:vAlign w:val="bottom"/>
            <w:shd w:val="clear" w:color="auto" w:fill="EFE9FC"/>
          </w:tcPr>
          <w:p>
            <w:pPr>
              <w:spacing w:after="0"/>
              <w:rPr>
                <w:sz w:val="6"/>
                <w:szCs w:val="6"/>
                <w:color w:val="auto"/>
              </w:rPr>
            </w:pPr>
          </w:p>
        </w:tc>
        <w:tc>
          <w:tcPr>
            <w:tcW w:w="760" w:type="dxa"/>
            <w:vAlign w:val="bottom"/>
            <w:shd w:val="clear" w:color="auto" w:fill="EFE9FC"/>
          </w:tcPr>
          <w:p>
            <w:pPr>
              <w:spacing w:after="0"/>
              <w:rPr>
                <w:sz w:val="6"/>
                <w:szCs w:val="6"/>
                <w:color w:val="auto"/>
              </w:rPr>
            </w:pPr>
          </w:p>
        </w:tc>
        <w:tc>
          <w:tcPr>
            <w:tcW w:w="660" w:type="dxa"/>
            <w:vAlign w:val="bottom"/>
            <w:shd w:val="clear" w:color="auto" w:fill="EFE9FC"/>
          </w:tcPr>
          <w:p>
            <w:pPr>
              <w:spacing w:after="0"/>
              <w:rPr>
                <w:sz w:val="6"/>
                <w:szCs w:val="6"/>
                <w:color w:val="auto"/>
              </w:rPr>
            </w:pPr>
          </w:p>
        </w:tc>
        <w:tc>
          <w:tcPr>
            <w:tcW w:w="0" w:type="dxa"/>
            <w:vAlign w:val="bottom"/>
          </w:tcPr>
          <w:p>
            <w:pPr>
              <w:spacing w:after="0"/>
              <w:rPr>
                <w:sz w:val="1"/>
                <w:szCs w:val="1"/>
                <w:color w:val="auto"/>
              </w:rPr>
            </w:pPr>
          </w:p>
        </w:tc>
      </w:tr>
      <w:tr>
        <w:trPr>
          <w:trHeight w:val="230"/>
        </w:trPr>
        <w:tc>
          <w:tcPr>
            <w:tcW w:w="1120" w:type="dxa"/>
            <w:vAlign w:val="bottom"/>
            <w:tcBorders>
              <w:bottom w:val="single" w:sz="8" w:color="4800E6"/>
            </w:tcBorders>
          </w:tcPr>
          <w:p>
            <w:pPr>
              <w:spacing w:after="0"/>
              <w:rPr>
                <w:sz w:val="19"/>
                <w:szCs w:val="19"/>
                <w:color w:val="auto"/>
              </w:rPr>
            </w:pPr>
          </w:p>
        </w:tc>
        <w:tc>
          <w:tcPr>
            <w:tcW w:w="740" w:type="dxa"/>
            <w:vAlign w:val="bottom"/>
            <w:tcBorders>
              <w:bottom w:val="single" w:sz="8" w:color="4800E6"/>
            </w:tcBorders>
          </w:tcPr>
          <w:p>
            <w:pPr>
              <w:jc w:val="right"/>
              <w:spacing w:after="0"/>
              <w:rPr>
                <w:sz w:val="20"/>
                <w:szCs w:val="20"/>
                <w:color w:val="auto"/>
              </w:rPr>
            </w:pPr>
            <w:r>
              <w:rPr>
                <w:rFonts w:ascii="Arial" w:cs="Arial" w:eastAsia="Arial" w:hAnsi="Arial"/>
                <w:sz w:val="13"/>
                <w:szCs w:val="13"/>
                <w:color w:val="auto"/>
              </w:rPr>
              <w:t>03/30/2019</w:t>
            </w:r>
          </w:p>
        </w:tc>
        <w:tc>
          <w:tcPr>
            <w:tcW w:w="800" w:type="dxa"/>
            <w:vAlign w:val="bottom"/>
            <w:tcBorders>
              <w:bottom w:val="single" w:sz="8" w:color="4800E6"/>
            </w:tcBorders>
          </w:tcPr>
          <w:p>
            <w:pPr>
              <w:spacing w:after="0"/>
              <w:rPr>
                <w:sz w:val="19"/>
                <w:szCs w:val="19"/>
                <w:color w:val="auto"/>
              </w:rPr>
            </w:pPr>
          </w:p>
        </w:tc>
        <w:tc>
          <w:tcPr>
            <w:tcW w:w="620" w:type="dxa"/>
            <w:vAlign w:val="bottom"/>
            <w:tcBorders>
              <w:bottom w:val="single" w:sz="8" w:color="4800E6"/>
            </w:tcBorders>
          </w:tcPr>
          <w:p>
            <w:pPr>
              <w:spacing w:after="0"/>
              <w:rPr>
                <w:sz w:val="19"/>
                <w:szCs w:val="19"/>
                <w:color w:val="auto"/>
              </w:rPr>
            </w:pPr>
          </w:p>
        </w:tc>
        <w:tc>
          <w:tcPr>
            <w:tcW w:w="760" w:type="dxa"/>
            <w:vAlign w:val="bottom"/>
            <w:tcBorders>
              <w:bottom w:val="single" w:sz="8" w:color="4800E6"/>
            </w:tcBorders>
          </w:tcPr>
          <w:p>
            <w:pPr>
              <w:spacing w:after="0"/>
              <w:rPr>
                <w:sz w:val="19"/>
                <w:szCs w:val="19"/>
                <w:color w:val="auto"/>
              </w:rPr>
            </w:pPr>
          </w:p>
        </w:tc>
        <w:tc>
          <w:tcPr>
            <w:tcW w:w="780" w:type="dxa"/>
            <w:vAlign w:val="bottom"/>
            <w:tcBorders>
              <w:bottom w:val="single" w:sz="8" w:color="4800E6"/>
            </w:tcBorders>
          </w:tcPr>
          <w:p>
            <w:pPr>
              <w:spacing w:after="0"/>
              <w:rPr>
                <w:sz w:val="19"/>
                <w:szCs w:val="19"/>
                <w:color w:val="auto"/>
              </w:rPr>
            </w:pPr>
          </w:p>
        </w:tc>
        <w:tc>
          <w:tcPr>
            <w:tcW w:w="580" w:type="dxa"/>
            <w:vAlign w:val="bottom"/>
            <w:tcBorders>
              <w:bottom w:val="single" w:sz="8" w:color="4800E6"/>
            </w:tcBorders>
          </w:tcPr>
          <w:p>
            <w:pPr>
              <w:spacing w:after="0"/>
              <w:rPr>
                <w:sz w:val="19"/>
                <w:szCs w:val="19"/>
                <w:color w:val="auto"/>
              </w:rPr>
            </w:pPr>
          </w:p>
        </w:tc>
        <w:tc>
          <w:tcPr>
            <w:tcW w:w="760" w:type="dxa"/>
            <w:vAlign w:val="bottom"/>
            <w:tcBorders>
              <w:bottom w:val="single" w:sz="8" w:color="4800E6"/>
            </w:tcBorders>
          </w:tcPr>
          <w:p>
            <w:pPr>
              <w:spacing w:after="0"/>
              <w:rPr>
                <w:sz w:val="19"/>
                <w:szCs w:val="19"/>
                <w:color w:val="auto"/>
              </w:rPr>
            </w:pPr>
          </w:p>
        </w:tc>
        <w:tc>
          <w:tcPr>
            <w:tcW w:w="780" w:type="dxa"/>
            <w:vAlign w:val="bottom"/>
            <w:tcBorders>
              <w:bottom w:val="single" w:sz="8" w:color="4800E6"/>
            </w:tcBorders>
          </w:tcPr>
          <w:p>
            <w:pPr>
              <w:spacing w:after="0"/>
              <w:rPr>
                <w:sz w:val="19"/>
                <w:szCs w:val="19"/>
                <w:color w:val="auto"/>
              </w:rPr>
            </w:pPr>
          </w:p>
        </w:tc>
        <w:tc>
          <w:tcPr>
            <w:tcW w:w="820" w:type="dxa"/>
            <w:vAlign w:val="bottom"/>
            <w:tcBorders>
              <w:bottom w:val="single" w:sz="8" w:color="4800E6"/>
            </w:tcBorders>
          </w:tcPr>
          <w:p>
            <w:pPr>
              <w:jc w:val="right"/>
              <w:spacing w:after="0"/>
              <w:rPr>
                <w:sz w:val="20"/>
                <w:szCs w:val="20"/>
                <w:color w:val="auto"/>
              </w:rPr>
            </w:pPr>
            <w:r>
              <w:rPr>
                <w:rFonts w:ascii="Arial" w:cs="Arial" w:eastAsia="Arial" w:hAnsi="Arial"/>
                <w:sz w:val="13"/>
                <w:szCs w:val="13"/>
                <w:color w:val="auto"/>
              </w:rPr>
              <w:t>39,357</w:t>
            </w:r>
          </w:p>
        </w:tc>
        <w:tc>
          <w:tcPr>
            <w:tcW w:w="760" w:type="dxa"/>
            <w:vAlign w:val="bottom"/>
            <w:tcBorders>
              <w:bottom w:val="single" w:sz="8" w:color="4800E6"/>
            </w:tcBorders>
          </w:tcPr>
          <w:p>
            <w:pPr>
              <w:jc w:val="right"/>
              <w:spacing w:after="0"/>
              <w:rPr>
                <w:sz w:val="20"/>
                <w:szCs w:val="20"/>
                <w:color w:val="auto"/>
              </w:rPr>
            </w:pPr>
            <w:r>
              <w:rPr>
                <w:rFonts w:ascii="Arial" w:cs="Arial" w:eastAsia="Arial" w:hAnsi="Arial"/>
                <w:sz w:val="13"/>
                <w:szCs w:val="13"/>
                <w:color w:val="auto"/>
              </w:rPr>
              <w:t>97.25</w:t>
            </w:r>
            <w:r>
              <w:rPr>
                <w:rFonts w:ascii="Arial" w:cs="Arial" w:eastAsia="Arial" w:hAnsi="Arial"/>
                <w:sz w:val="19"/>
                <w:szCs w:val="19"/>
                <w:color w:val="auto"/>
                <w:vertAlign w:val="superscript"/>
              </w:rPr>
              <w:t>(2)</w:t>
            </w:r>
          </w:p>
        </w:tc>
        <w:tc>
          <w:tcPr>
            <w:tcW w:w="660" w:type="dxa"/>
            <w:vAlign w:val="bottom"/>
            <w:tcBorders>
              <w:bottom w:val="single" w:sz="8" w:color="4800E6"/>
            </w:tcBorders>
          </w:tcPr>
          <w:p>
            <w:pPr>
              <w:jc w:val="right"/>
              <w:spacing w:after="0"/>
              <w:rPr>
                <w:sz w:val="20"/>
                <w:szCs w:val="20"/>
                <w:color w:val="auto"/>
              </w:rPr>
            </w:pPr>
            <w:r>
              <w:rPr>
                <w:rFonts w:ascii="Arial" w:cs="Arial" w:eastAsia="Arial" w:hAnsi="Arial"/>
                <w:sz w:val="13"/>
                <w:szCs w:val="13"/>
                <w:color w:val="auto"/>
              </w:rPr>
              <w:t>1,249,978</w:t>
            </w:r>
          </w:p>
        </w:tc>
        <w:tc>
          <w:tcPr>
            <w:tcW w:w="0" w:type="dxa"/>
            <w:vAlign w:val="bottom"/>
          </w:tcPr>
          <w:p>
            <w:pPr>
              <w:spacing w:after="0"/>
              <w:rPr>
                <w:sz w:val="1"/>
                <w:szCs w:val="1"/>
                <w:color w:val="auto"/>
              </w:rPr>
            </w:pPr>
          </w:p>
        </w:tc>
      </w:tr>
      <w:tr>
        <w:trPr>
          <w:trHeight w:val="217"/>
        </w:trPr>
        <w:tc>
          <w:tcPr>
            <w:tcW w:w="1120" w:type="dxa"/>
            <w:vAlign w:val="bottom"/>
          </w:tcPr>
          <w:p>
            <w:pPr>
              <w:ind w:left="40"/>
              <w:spacing w:after="0"/>
              <w:rPr>
                <w:sz w:val="20"/>
                <w:szCs w:val="20"/>
                <w:color w:val="auto"/>
              </w:rPr>
            </w:pPr>
            <w:r>
              <w:rPr>
                <w:rFonts w:ascii="Arial" w:cs="Arial" w:eastAsia="Arial" w:hAnsi="Arial"/>
                <w:sz w:val="13"/>
                <w:szCs w:val="13"/>
                <w:b w:val="1"/>
                <w:bCs w:val="1"/>
                <w:color w:val="auto"/>
              </w:rPr>
              <w:t>Thad Huston</w:t>
            </w:r>
          </w:p>
        </w:tc>
        <w:tc>
          <w:tcPr>
            <w:tcW w:w="740" w:type="dxa"/>
            <w:vAlign w:val="bottom"/>
            <w:tcBorders>
              <w:bottom w:val="single" w:sz="8" w:color="EFE9FC"/>
            </w:tcBorders>
            <w:shd w:val="clear" w:color="auto" w:fill="EFE9FC"/>
          </w:tcPr>
          <w:p>
            <w:pPr>
              <w:spacing w:after="0"/>
              <w:rPr>
                <w:sz w:val="18"/>
                <w:szCs w:val="18"/>
                <w:color w:val="auto"/>
              </w:rPr>
            </w:pPr>
          </w:p>
        </w:tc>
        <w:tc>
          <w:tcPr>
            <w:tcW w:w="800" w:type="dxa"/>
            <w:vAlign w:val="bottom"/>
            <w:tcBorders>
              <w:bottom w:val="single" w:sz="8" w:color="EFE9FC"/>
            </w:tcBorders>
            <w:shd w:val="clear" w:color="auto" w:fill="EFE9FC"/>
          </w:tcPr>
          <w:p>
            <w:pPr>
              <w:jc w:val="right"/>
              <w:ind w:right="37"/>
              <w:spacing w:after="0"/>
              <w:rPr>
                <w:sz w:val="20"/>
                <w:szCs w:val="20"/>
                <w:color w:val="auto"/>
              </w:rPr>
            </w:pPr>
            <w:r>
              <w:rPr>
                <w:rFonts w:ascii="Arial" w:cs="Arial" w:eastAsia="Arial" w:hAnsi="Arial"/>
                <w:sz w:val="13"/>
                <w:szCs w:val="13"/>
                <w:color w:val="auto"/>
              </w:rPr>
              <w:t>0</w:t>
            </w:r>
          </w:p>
        </w:tc>
        <w:tc>
          <w:tcPr>
            <w:tcW w:w="620" w:type="dxa"/>
            <w:vAlign w:val="bottom"/>
            <w:tcBorders>
              <w:bottom w:val="single" w:sz="8" w:color="EFE9FC"/>
            </w:tcBorders>
            <w:shd w:val="clear" w:color="auto" w:fill="EFE9FC"/>
          </w:tcPr>
          <w:p>
            <w:pPr>
              <w:jc w:val="center"/>
              <w:spacing w:after="0"/>
              <w:rPr>
                <w:sz w:val="20"/>
                <w:szCs w:val="20"/>
                <w:color w:val="auto"/>
              </w:rPr>
            </w:pPr>
            <w:r>
              <w:rPr>
                <w:rFonts w:ascii="Arial" w:cs="Arial" w:eastAsia="Arial" w:hAnsi="Arial"/>
                <w:sz w:val="13"/>
                <w:szCs w:val="13"/>
                <w:color w:val="auto"/>
                <w:w w:val="97"/>
              </w:rPr>
              <w:t>360,339</w:t>
            </w:r>
          </w:p>
        </w:tc>
        <w:tc>
          <w:tcPr>
            <w:tcW w:w="760" w:type="dxa"/>
            <w:vAlign w:val="bottom"/>
            <w:tcBorders>
              <w:bottom w:val="single" w:sz="8" w:color="EFE9FC"/>
            </w:tcBorders>
            <w:shd w:val="clear" w:color="auto" w:fill="EFE9FC"/>
          </w:tcPr>
          <w:p>
            <w:pPr>
              <w:jc w:val="right"/>
              <w:spacing w:after="0"/>
              <w:rPr>
                <w:sz w:val="20"/>
                <w:szCs w:val="20"/>
                <w:color w:val="auto"/>
              </w:rPr>
            </w:pPr>
            <w:r>
              <w:rPr>
                <w:rFonts w:ascii="Arial" w:cs="Arial" w:eastAsia="Arial" w:hAnsi="Arial"/>
                <w:sz w:val="13"/>
                <w:szCs w:val="13"/>
                <w:color w:val="auto"/>
              </w:rPr>
              <w:t>576,542</w:t>
            </w:r>
          </w:p>
        </w:tc>
        <w:tc>
          <w:tcPr>
            <w:tcW w:w="780" w:type="dxa"/>
            <w:vAlign w:val="bottom"/>
            <w:tcBorders>
              <w:bottom w:val="single" w:sz="8" w:color="EFE9FC"/>
            </w:tcBorders>
            <w:shd w:val="clear" w:color="auto" w:fill="EFE9FC"/>
          </w:tcPr>
          <w:p>
            <w:pPr>
              <w:spacing w:after="0"/>
              <w:rPr>
                <w:sz w:val="18"/>
                <w:szCs w:val="18"/>
                <w:color w:val="auto"/>
              </w:rPr>
            </w:pPr>
          </w:p>
        </w:tc>
        <w:tc>
          <w:tcPr>
            <w:tcW w:w="580" w:type="dxa"/>
            <w:vAlign w:val="bottom"/>
            <w:tcBorders>
              <w:bottom w:val="single" w:sz="8" w:color="EFE9FC"/>
            </w:tcBorders>
            <w:shd w:val="clear" w:color="auto" w:fill="EFE9FC"/>
          </w:tcPr>
          <w:p>
            <w:pPr>
              <w:spacing w:after="0"/>
              <w:rPr>
                <w:sz w:val="18"/>
                <w:szCs w:val="18"/>
                <w:color w:val="auto"/>
              </w:rPr>
            </w:pPr>
          </w:p>
        </w:tc>
        <w:tc>
          <w:tcPr>
            <w:tcW w:w="760" w:type="dxa"/>
            <w:vAlign w:val="bottom"/>
            <w:tcBorders>
              <w:bottom w:val="single" w:sz="8" w:color="EFE9FC"/>
            </w:tcBorders>
            <w:shd w:val="clear" w:color="auto" w:fill="EFE9FC"/>
          </w:tcPr>
          <w:p>
            <w:pPr>
              <w:spacing w:after="0"/>
              <w:rPr>
                <w:sz w:val="18"/>
                <w:szCs w:val="18"/>
                <w:color w:val="auto"/>
              </w:rPr>
            </w:pPr>
          </w:p>
        </w:tc>
        <w:tc>
          <w:tcPr>
            <w:tcW w:w="780" w:type="dxa"/>
            <w:vAlign w:val="bottom"/>
            <w:tcBorders>
              <w:bottom w:val="single" w:sz="8" w:color="EFE9FC"/>
            </w:tcBorders>
            <w:shd w:val="clear" w:color="auto" w:fill="EFE9FC"/>
          </w:tcPr>
          <w:p>
            <w:pPr>
              <w:spacing w:after="0"/>
              <w:rPr>
                <w:sz w:val="18"/>
                <w:szCs w:val="18"/>
                <w:color w:val="auto"/>
              </w:rPr>
            </w:pPr>
          </w:p>
        </w:tc>
        <w:tc>
          <w:tcPr>
            <w:tcW w:w="820" w:type="dxa"/>
            <w:vAlign w:val="bottom"/>
            <w:tcBorders>
              <w:bottom w:val="single" w:sz="8" w:color="EFE9FC"/>
            </w:tcBorders>
            <w:shd w:val="clear" w:color="auto" w:fill="EFE9FC"/>
          </w:tcPr>
          <w:p>
            <w:pPr>
              <w:spacing w:after="0"/>
              <w:rPr>
                <w:sz w:val="18"/>
                <w:szCs w:val="18"/>
                <w:color w:val="auto"/>
              </w:rPr>
            </w:pPr>
          </w:p>
        </w:tc>
        <w:tc>
          <w:tcPr>
            <w:tcW w:w="760" w:type="dxa"/>
            <w:vAlign w:val="bottom"/>
            <w:tcBorders>
              <w:bottom w:val="single" w:sz="8" w:color="EFE9FC"/>
            </w:tcBorders>
            <w:shd w:val="clear" w:color="auto" w:fill="EFE9FC"/>
          </w:tcPr>
          <w:p>
            <w:pPr>
              <w:spacing w:after="0"/>
              <w:rPr>
                <w:sz w:val="18"/>
                <w:szCs w:val="18"/>
                <w:color w:val="auto"/>
              </w:rPr>
            </w:pPr>
          </w:p>
        </w:tc>
        <w:tc>
          <w:tcPr>
            <w:tcW w:w="660" w:type="dxa"/>
            <w:vAlign w:val="bottom"/>
            <w:tcBorders>
              <w:bottom w:val="single" w:sz="8" w:color="EFE9FC"/>
            </w:tcBorders>
            <w:shd w:val="clear" w:color="auto" w:fill="EFE9FC"/>
          </w:tcPr>
          <w:p>
            <w:pPr>
              <w:spacing w:after="0"/>
              <w:rPr>
                <w:sz w:val="18"/>
                <w:szCs w:val="18"/>
                <w:color w:val="auto"/>
              </w:rPr>
            </w:pPr>
          </w:p>
        </w:tc>
        <w:tc>
          <w:tcPr>
            <w:tcW w:w="0" w:type="dxa"/>
            <w:vAlign w:val="bottom"/>
          </w:tcPr>
          <w:p>
            <w:pPr>
              <w:spacing w:after="0"/>
              <w:rPr>
                <w:sz w:val="1"/>
                <w:szCs w:val="1"/>
                <w:color w:val="auto"/>
              </w:rPr>
            </w:pPr>
          </w:p>
        </w:tc>
      </w:tr>
      <w:tr>
        <w:trPr>
          <w:trHeight w:val="173"/>
        </w:trPr>
        <w:tc>
          <w:tcPr>
            <w:tcW w:w="1120" w:type="dxa"/>
            <w:vAlign w:val="bottom"/>
          </w:tcPr>
          <w:p>
            <w:pPr>
              <w:spacing w:after="0"/>
              <w:rPr>
                <w:sz w:val="15"/>
                <w:szCs w:val="15"/>
                <w:color w:val="auto"/>
              </w:rPr>
            </w:pPr>
          </w:p>
        </w:tc>
        <w:tc>
          <w:tcPr>
            <w:tcW w:w="740" w:type="dxa"/>
            <w:vAlign w:val="bottom"/>
          </w:tcPr>
          <w:p>
            <w:pPr>
              <w:jc w:val="right"/>
              <w:spacing w:after="0"/>
              <w:rPr>
                <w:sz w:val="20"/>
                <w:szCs w:val="20"/>
                <w:color w:val="auto"/>
              </w:rPr>
            </w:pPr>
            <w:r>
              <w:rPr>
                <w:rFonts w:ascii="Arial" w:cs="Arial" w:eastAsia="Arial" w:hAnsi="Arial"/>
                <w:sz w:val="13"/>
                <w:szCs w:val="13"/>
                <w:color w:val="auto"/>
              </w:rPr>
              <w:t>03/30/2019</w:t>
            </w:r>
          </w:p>
        </w:tc>
        <w:tc>
          <w:tcPr>
            <w:tcW w:w="8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780" w:type="dxa"/>
            <w:vAlign w:val="bottom"/>
          </w:tcPr>
          <w:p>
            <w:pPr>
              <w:jc w:val="right"/>
              <w:ind w:right="17"/>
              <w:spacing w:after="0"/>
              <w:rPr>
                <w:sz w:val="20"/>
                <w:szCs w:val="20"/>
                <w:color w:val="auto"/>
              </w:rPr>
            </w:pPr>
            <w:r>
              <w:rPr>
                <w:rFonts w:ascii="Arial" w:cs="Arial" w:eastAsia="Arial" w:hAnsi="Arial"/>
                <w:sz w:val="13"/>
                <w:szCs w:val="13"/>
                <w:color w:val="auto"/>
              </w:rPr>
              <w:t>2,056</w:t>
            </w:r>
          </w:p>
        </w:tc>
        <w:tc>
          <w:tcPr>
            <w:tcW w:w="580" w:type="dxa"/>
            <w:vAlign w:val="bottom"/>
          </w:tcPr>
          <w:p>
            <w:pPr>
              <w:jc w:val="right"/>
              <w:ind w:right="17"/>
              <w:spacing w:after="0"/>
              <w:rPr>
                <w:sz w:val="20"/>
                <w:szCs w:val="20"/>
                <w:color w:val="auto"/>
              </w:rPr>
            </w:pPr>
            <w:r>
              <w:rPr>
                <w:rFonts w:ascii="Arial" w:cs="Arial" w:eastAsia="Arial" w:hAnsi="Arial"/>
                <w:sz w:val="13"/>
                <w:szCs w:val="13"/>
                <w:color w:val="auto"/>
              </w:rPr>
              <w:t>5,141</w:t>
            </w:r>
          </w:p>
        </w:tc>
        <w:tc>
          <w:tcPr>
            <w:tcW w:w="760" w:type="dxa"/>
            <w:vAlign w:val="bottom"/>
          </w:tcPr>
          <w:p>
            <w:pPr>
              <w:jc w:val="right"/>
              <w:spacing w:after="0"/>
              <w:rPr>
                <w:sz w:val="20"/>
                <w:szCs w:val="20"/>
                <w:color w:val="auto"/>
              </w:rPr>
            </w:pPr>
            <w:r>
              <w:rPr>
                <w:rFonts w:ascii="Arial" w:cs="Arial" w:eastAsia="Arial" w:hAnsi="Arial"/>
                <w:sz w:val="13"/>
                <w:szCs w:val="13"/>
                <w:color w:val="auto"/>
              </w:rPr>
              <w:t>10,282</w:t>
            </w:r>
          </w:p>
        </w:tc>
        <w:tc>
          <w:tcPr>
            <w:tcW w:w="780" w:type="dxa"/>
            <w:vAlign w:val="bottom"/>
          </w:tcPr>
          <w:p>
            <w:pPr>
              <w:spacing w:after="0"/>
              <w:rPr>
                <w:sz w:val="15"/>
                <w:szCs w:val="15"/>
                <w:color w:val="auto"/>
              </w:rPr>
            </w:pPr>
          </w:p>
        </w:tc>
        <w:tc>
          <w:tcPr>
            <w:tcW w:w="820" w:type="dxa"/>
            <w:vAlign w:val="bottom"/>
          </w:tcPr>
          <w:p>
            <w:pPr>
              <w:jc w:val="right"/>
              <w:spacing w:after="0"/>
              <w:rPr>
                <w:sz w:val="20"/>
                <w:szCs w:val="20"/>
                <w:color w:val="auto"/>
              </w:rPr>
            </w:pPr>
            <w:r>
              <w:rPr>
                <w:rFonts w:ascii="Arial" w:cs="Arial" w:eastAsia="Arial" w:hAnsi="Arial"/>
                <w:sz w:val="13"/>
                <w:szCs w:val="13"/>
                <w:color w:val="auto"/>
              </w:rPr>
              <w:t>–</w:t>
            </w:r>
          </w:p>
        </w:tc>
        <w:tc>
          <w:tcPr>
            <w:tcW w:w="760" w:type="dxa"/>
            <w:vAlign w:val="bottom"/>
          </w:tcPr>
          <w:p>
            <w:pPr>
              <w:jc w:val="right"/>
              <w:spacing w:after="0"/>
              <w:rPr>
                <w:sz w:val="20"/>
                <w:szCs w:val="20"/>
                <w:color w:val="auto"/>
              </w:rPr>
            </w:pPr>
            <w:r>
              <w:rPr>
                <w:rFonts w:ascii="Arial" w:cs="Arial" w:eastAsia="Arial" w:hAnsi="Arial"/>
                <w:sz w:val="10"/>
                <w:szCs w:val="10"/>
                <w:color w:val="auto"/>
              </w:rPr>
              <w:t>(2)</w:t>
            </w:r>
          </w:p>
        </w:tc>
        <w:tc>
          <w:tcPr>
            <w:tcW w:w="660" w:type="dxa"/>
            <w:vAlign w:val="bottom"/>
          </w:tcPr>
          <w:p>
            <w:pPr>
              <w:jc w:val="right"/>
              <w:spacing w:after="0"/>
              <w:rPr>
                <w:sz w:val="20"/>
                <w:szCs w:val="20"/>
                <w:color w:val="auto"/>
              </w:rPr>
            </w:pPr>
            <w:r>
              <w:rPr>
                <w:rFonts w:ascii="Arial" w:cs="Arial" w:eastAsia="Arial" w:hAnsi="Arial"/>
                <w:sz w:val="13"/>
                <w:szCs w:val="13"/>
                <w:color w:val="auto"/>
              </w:rPr>
              <w:t>519,746</w:t>
            </w:r>
          </w:p>
        </w:tc>
        <w:tc>
          <w:tcPr>
            <w:tcW w:w="0" w:type="dxa"/>
            <w:vAlign w:val="bottom"/>
          </w:tcPr>
          <w:p>
            <w:pPr>
              <w:spacing w:after="0"/>
              <w:rPr>
                <w:sz w:val="1"/>
                <w:szCs w:val="1"/>
                <w:color w:val="auto"/>
              </w:rPr>
            </w:pPr>
          </w:p>
        </w:tc>
      </w:tr>
      <w:tr>
        <w:trPr>
          <w:trHeight w:val="70"/>
        </w:trPr>
        <w:tc>
          <w:tcPr>
            <w:tcW w:w="1120" w:type="dxa"/>
            <w:vAlign w:val="bottom"/>
          </w:tcPr>
          <w:p>
            <w:pPr>
              <w:spacing w:after="0"/>
              <w:rPr>
                <w:sz w:val="6"/>
                <w:szCs w:val="6"/>
                <w:color w:val="auto"/>
              </w:rPr>
            </w:pPr>
          </w:p>
        </w:tc>
        <w:tc>
          <w:tcPr>
            <w:tcW w:w="740" w:type="dxa"/>
            <w:vAlign w:val="bottom"/>
          </w:tcPr>
          <w:p>
            <w:pPr>
              <w:spacing w:after="0"/>
              <w:rPr>
                <w:sz w:val="6"/>
                <w:szCs w:val="6"/>
                <w:color w:val="auto"/>
              </w:rPr>
            </w:pPr>
          </w:p>
        </w:tc>
        <w:tc>
          <w:tcPr>
            <w:tcW w:w="800" w:type="dxa"/>
            <w:vAlign w:val="bottom"/>
          </w:tcPr>
          <w:p>
            <w:pPr>
              <w:spacing w:after="0"/>
              <w:rPr>
                <w:sz w:val="6"/>
                <w:szCs w:val="6"/>
                <w:color w:val="auto"/>
              </w:rPr>
            </w:pPr>
          </w:p>
        </w:tc>
        <w:tc>
          <w:tcPr>
            <w:tcW w:w="620" w:type="dxa"/>
            <w:vAlign w:val="bottom"/>
          </w:tcPr>
          <w:p>
            <w:pPr>
              <w:spacing w:after="0"/>
              <w:rPr>
                <w:sz w:val="6"/>
                <w:szCs w:val="6"/>
                <w:color w:val="auto"/>
              </w:rPr>
            </w:pPr>
          </w:p>
        </w:tc>
        <w:tc>
          <w:tcPr>
            <w:tcW w:w="760" w:type="dxa"/>
            <w:vAlign w:val="bottom"/>
          </w:tcPr>
          <w:p>
            <w:pPr>
              <w:spacing w:after="0"/>
              <w:rPr>
                <w:sz w:val="6"/>
                <w:szCs w:val="6"/>
                <w:color w:val="auto"/>
              </w:rPr>
            </w:pPr>
          </w:p>
        </w:tc>
        <w:tc>
          <w:tcPr>
            <w:tcW w:w="780" w:type="dxa"/>
            <w:vAlign w:val="bottom"/>
          </w:tcPr>
          <w:p>
            <w:pPr>
              <w:spacing w:after="0"/>
              <w:rPr>
                <w:sz w:val="6"/>
                <w:szCs w:val="6"/>
                <w:color w:val="auto"/>
              </w:rPr>
            </w:pPr>
          </w:p>
        </w:tc>
        <w:tc>
          <w:tcPr>
            <w:tcW w:w="580" w:type="dxa"/>
            <w:vAlign w:val="bottom"/>
          </w:tcPr>
          <w:p>
            <w:pPr>
              <w:spacing w:after="0"/>
              <w:rPr>
                <w:sz w:val="6"/>
                <w:szCs w:val="6"/>
                <w:color w:val="auto"/>
              </w:rPr>
            </w:pPr>
          </w:p>
        </w:tc>
        <w:tc>
          <w:tcPr>
            <w:tcW w:w="760" w:type="dxa"/>
            <w:vAlign w:val="bottom"/>
          </w:tcPr>
          <w:p>
            <w:pPr>
              <w:spacing w:after="0"/>
              <w:rPr>
                <w:sz w:val="6"/>
                <w:szCs w:val="6"/>
                <w:color w:val="auto"/>
              </w:rPr>
            </w:pPr>
          </w:p>
        </w:tc>
        <w:tc>
          <w:tcPr>
            <w:tcW w:w="780" w:type="dxa"/>
            <w:vAlign w:val="bottom"/>
          </w:tcPr>
          <w:p>
            <w:pPr>
              <w:spacing w:after="0"/>
              <w:rPr>
                <w:sz w:val="6"/>
                <w:szCs w:val="6"/>
                <w:color w:val="auto"/>
              </w:rPr>
            </w:pPr>
          </w:p>
        </w:tc>
        <w:tc>
          <w:tcPr>
            <w:tcW w:w="820" w:type="dxa"/>
            <w:vAlign w:val="bottom"/>
          </w:tcPr>
          <w:p>
            <w:pPr>
              <w:spacing w:after="0"/>
              <w:rPr>
                <w:sz w:val="6"/>
                <w:szCs w:val="6"/>
                <w:color w:val="auto"/>
              </w:rPr>
            </w:pPr>
          </w:p>
        </w:tc>
        <w:tc>
          <w:tcPr>
            <w:tcW w:w="760" w:type="dxa"/>
            <w:vAlign w:val="bottom"/>
          </w:tcPr>
          <w:p>
            <w:pPr>
              <w:spacing w:after="0"/>
              <w:rPr>
                <w:sz w:val="6"/>
                <w:szCs w:val="6"/>
                <w:color w:val="auto"/>
              </w:rPr>
            </w:pPr>
          </w:p>
        </w:tc>
        <w:tc>
          <w:tcPr>
            <w:tcW w:w="66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87"/>
        </w:trPr>
        <w:tc>
          <w:tcPr>
            <w:tcW w:w="1120" w:type="dxa"/>
            <w:vAlign w:val="bottom"/>
          </w:tcPr>
          <w:p>
            <w:pPr>
              <w:spacing w:after="0"/>
              <w:rPr>
                <w:sz w:val="16"/>
                <w:szCs w:val="16"/>
                <w:color w:val="auto"/>
              </w:rPr>
            </w:pPr>
          </w:p>
        </w:tc>
        <w:tc>
          <w:tcPr>
            <w:tcW w:w="740" w:type="dxa"/>
            <w:vAlign w:val="bottom"/>
            <w:shd w:val="clear" w:color="auto" w:fill="EFE9FC"/>
          </w:tcPr>
          <w:p>
            <w:pPr>
              <w:jc w:val="right"/>
              <w:spacing w:after="0"/>
              <w:rPr>
                <w:sz w:val="20"/>
                <w:szCs w:val="20"/>
                <w:color w:val="auto"/>
              </w:rPr>
            </w:pPr>
            <w:r>
              <w:rPr>
                <w:rFonts w:ascii="Arial" w:cs="Arial" w:eastAsia="Arial" w:hAnsi="Arial"/>
                <w:sz w:val="13"/>
                <w:szCs w:val="13"/>
                <w:color w:val="auto"/>
              </w:rPr>
              <w:t>03/30/2019</w:t>
            </w:r>
          </w:p>
        </w:tc>
        <w:tc>
          <w:tcPr>
            <w:tcW w:w="800" w:type="dxa"/>
            <w:vAlign w:val="bottom"/>
            <w:shd w:val="clear" w:color="auto" w:fill="EFE9FC"/>
          </w:tcPr>
          <w:p>
            <w:pPr>
              <w:spacing w:after="0"/>
              <w:rPr>
                <w:sz w:val="16"/>
                <w:szCs w:val="16"/>
                <w:color w:val="auto"/>
              </w:rPr>
            </w:pPr>
          </w:p>
        </w:tc>
        <w:tc>
          <w:tcPr>
            <w:tcW w:w="620" w:type="dxa"/>
            <w:vAlign w:val="bottom"/>
            <w:shd w:val="clear" w:color="auto" w:fill="EFE9FC"/>
          </w:tcPr>
          <w:p>
            <w:pPr>
              <w:spacing w:after="0"/>
              <w:rPr>
                <w:sz w:val="16"/>
                <w:szCs w:val="16"/>
                <w:color w:val="auto"/>
              </w:rPr>
            </w:pPr>
          </w:p>
        </w:tc>
        <w:tc>
          <w:tcPr>
            <w:tcW w:w="760" w:type="dxa"/>
            <w:vAlign w:val="bottom"/>
            <w:shd w:val="clear" w:color="auto" w:fill="EFE9FC"/>
          </w:tcPr>
          <w:p>
            <w:pPr>
              <w:spacing w:after="0"/>
              <w:rPr>
                <w:sz w:val="16"/>
                <w:szCs w:val="16"/>
                <w:color w:val="auto"/>
              </w:rPr>
            </w:pPr>
          </w:p>
        </w:tc>
        <w:tc>
          <w:tcPr>
            <w:tcW w:w="780" w:type="dxa"/>
            <w:vAlign w:val="bottom"/>
            <w:shd w:val="clear" w:color="auto" w:fill="EFE9FC"/>
          </w:tcPr>
          <w:p>
            <w:pPr>
              <w:jc w:val="right"/>
              <w:ind w:right="17"/>
              <w:spacing w:after="0"/>
              <w:rPr>
                <w:sz w:val="20"/>
                <w:szCs w:val="20"/>
                <w:color w:val="auto"/>
              </w:rPr>
            </w:pPr>
            <w:r>
              <w:rPr>
                <w:rFonts w:ascii="Arial" w:cs="Arial" w:eastAsia="Arial" w:hAnsi="Arial"/>
                <w:sz w:val="13"/>
                <w:szCs w:val="13"/>
                <w:color w:val="auto"/>
              </w:rPr>
              <w:t>1,028</w:t>
            </w:r>
          </w:p>
        </w:tc>
        <w:tc>
          <w:tcPr>
            <w:tcW w:w="580" w:type="dxa"/>
            <w:vAlign w:val="bottom"/>
            <w:shd w:val="clear" w:color="auto" w:fill="EFE9FC"/>
          </w:tcPr>
          <w:p>
            <w:pPr>
              <w:jc w:val="right"/>
              <w:ind w:right="17"/>
              <w:spacing w:after="0"/>
              <w:rPr>
                <w:sz w:val="20"/>
                <w:szCs w:val="20"/>
                <w:color w:val="auto"/>
              </w:rPr>
            </w:pPr>
            <w:r>
              <w:rPr>
                <w:rFonts w:ascii="Arial" w:cs="Arial" w:eastAsia="Arial" w:hAnsi="Arial"/>
                <w:sz w:val="13"/>
                <w:szCs w:val="13"/>
                <w:color w:val="auto"/>
              </w:rPr>
              <w:t>5,141</w:t>
            </w:r>
          </w:p>
        </w:tc>
        <w:tc>
          <w:tcPr>
            <w:tcW w:w="760" w:type="dxa"/>
            <w:vAlign w:val="bottom"/>
            <w:shd w:val="clear" w:color="auto" w:fill="EFE9FC"/>
          </w:tcPr>
          <w:p>
            <w:pPr>
              <w:jc w:val="right"/>
              <w:spacing w:after="0"/>
              <w:rPr>
                <w:sz w:val="20"/>
                <w:szCs w:val="20"/>
                <w:color w:val="auto"/>
              </w:rPr>
            </w:pPr>
            <w:r>
              <w:rPr>
                <w:rFonts w:ascii="Arial" w:cs="Arial" w:eastAsia="Arial" w:hAnsi="Arial"/>
                <w:sz w:val="13"/>
                <w:szCs w:val="13"/>
                <w:color w:val="auto"/>
              </w:rPr>
              <w:t>10,282</w:t>
            </w:r>
          </w:p>
        </w:tc>
        <w:tc>
          <w:tcPr>
            <w:tcW w:w="780" w:type="dxa"/>
            <w:vAlign w:val="bottom"/>
            <w:shd w:val="clear" w:color="auto" w:fill="EFE9FC"/>
          </w:tcPr>
          <w:p>
            <w:pPr>
              <w:spacing w:after="0"/>
              <w:rPr>
                <w:sz w:val="16"/>
                <w:szCs w:val="16"/>
                <w:color w:val="auto"/>
              </w:rPr>
            </w:pPr>
          </w:p>
        </w:tc>
        <w:tc>
          <w:tcPr>
            <w:tcW w:w="820" w:type="dxa"/>
            <w:vAlign w:val="bottom"/>
            <w:shd w:val="clear" w:color="auto" w:fill="EFE9FC"/>
          </w:tcPr>
          <w:p>
            <w:pPr>
              <w:spacing w:after="0"/>
              <w:rPr>
                <w:sz w:val="16"/>
                <w:szCs w:val="16"/>
                <w:color w:val="auto"/>
              </w:rPr>
            </w:pPr>
          </w:p>
        </w:tc>
        <w:tc>
          <w:tcPr>
            <w:tcW w:w="760" w:type="dxa"/>
            <w:vAlign w:val="bottom"/>
            <w:shd w:val="clear" w:color="auto" w:fill="EFE9FC"/>
          </w:tcPr>
          <w:p>
            <w:pPr>
              <w:jc w:val="right"/>
              <w:spacing w:after="0"/>
              <w:rPr>
                <w:sz w:val="20"/>
                <w:szCs w:val="20"/>
                <w:color w:val="auto"/>
              </w:rPr>
            </w:pPr>
            <w:r>
              <w:rPr>
                <w:rFonts w:ascii="Arial" w:cs="Arial" w:eastAsia="Arial" w:hAnsi="Arial"/>
                <w:sz w:val="10"/>
                <w:szCs w:val="10"/>
                <w:color w:val="auto"/>
              </w:rPr>
              <w:t>(2)</w:t>
            </w:r>
          </w:p>
        </w:tc>
        <w:tc>
          <w:tcPr>
            <w:tcW w:w="660" w:type="dxa"/>
            <w:vAlign w:val="bottom"/>
            <w:shd w:val="clear" w:color="auto" w:fill="EFE9FC"/>
          </w:tcPr>
          <w:p>
            <w:pPr>
              <w:jc w:val="right"/>
              <w:spacing w:after="0"/>
              <w:rPr>
                <w:sz w:val="20"/>
                <w:szCs w:val="20"/>
                <w:color w:val="auto"/>
              </w:rPr>
            </w:pPr>
            <w:r>
              <w:rPr>
                <w:rFonts w:ascii="Arial" w:cs="Arial" w:eastAsia="Arial" w:hAnsi="Arial"/>
                <w:sz w:val="13"/>
                <w:szCs w:val="13"/>
                <w:color w:val="auto"/>
              </w:rPr>
              <w:t>499,962</w:t>
            </w:r>
          </w:p>
        </w:tc>
        <w:tc>
          <w:tcPr>
            <w:tcW w:w="0" w:type="dxa"/>
            <w:vAlign w:val="bottom"/>
          </w:tcPr>
          <w:p>
            <w:pPr>
              <w:spacing w:after="0"/>
              <w:rPr>
                <w:sz w:val="1"/>
                <w:szCs w:val="1"/>
                <w:color w:val="auto"/>
              </w:rPr>
            </w:pPr>
          </w:p>
        </w:tc>
      </w:tr>
      <w:tr>
        <w:trPr>
          <w:trHeight w:val="70"/>
        </w:trPr>
        <w:tc>
          <w:tcPr>
            <w:tcW w:w="1120" w:type="dxa"/>
            <w:vAlign w:val="bottom"/>
          </w:tcPr>
          <w:p>
            <w:pPr>
              <w:spacing w:after="0"/>
              <w:rPr>
                <w:sz w:val="6"/>
                <w:szCs w:val="6"/>
                <w:color w:val="auto"/>
              </w:rPr>
            </w:pPr>
          </w:p>
        </w:tc>
        <w:tc>
          <w:tcPr>
            <w:tcW w:w="740" w:type="dxa"/>
            <w:vAlign w:val="bottom"/>
            <w:shd w:val="clear" w:color="auto" w:fill="EFE9FC"/>
          </w:tcPr>
          <w:p>
            <w:pPr>
              <w:spacing w:after="0"/>
              <w:rPr>
                <w:sz w:val="6"/>
                <w:szCs w:val="6"/>
                <w:color w:val="auto"/>
              </w:rPr>
            </w:pPr>
          </w:p>
        </w:tc>
        <w:tc>
          <w:tcPr>
            <w:tcW w:w="800" w:type="dxa"/>
            <w:vAlign w:val="bottom"/>
            <w:shd w:val="clear" w:color="auto" w:fill="EFE9FC"/>
          </w:tcPr>
          <w:p>
            <w:pPr>
              <w:spacing w:after="0"/>
              <w:rPr>
                <w:sz w:val="6"/>
                <w:szCs w:val="6"/>
                <w:color w:val="auto"/>
              </w:rPr>
            </w:pPr>
          </w:p>
        </w:tc>
        <w:tc>
          <w:tcPr>
            <w:tcW w:w="620" w:type="dxa"/>
            <w:vAlign w:val="bottom"/>
            <w:shd w:val="clear" w:color="auto" w:fill="EFE9FC"/>
          </w:tcPr>
          <w:p>
            <w:pPr>
              <w:spacing w:after="0"/>
              <w:rPr>
                <w:sz w:val="6"/>
                <w:szCs w:val="6"/>
                <w:color w:val="auto"/>
              </w:rPr>
            </w:pPr>
          </w:p>
        </w:tc>
        <w:tc>
          <w:tcPr>
            <w:tcW w:w="760" w:type="dxa"/>
            <w:vAlign w:val="bottom"/>
            <w:shd w:val="clear" w:color="auto" w:fill="EFE9FC"/>
          </w:tcPr>
          <w:p>
            <w:pPr>
              <w:spacing w:after="0"/>
              <w:rPr>
                <w:sz w:val="6"/>
                <w:szCs w:val="6"/>
                <w:color w:val="auto"/>
              </w:rPr>
            </w:pPr>
          </w:p>
        </w:tc>
        <w:tc>
          <w:tcPr>
            <w:tcW w:w="780" w:type="dxa"/>
            <w:vAlign w:val="bottom"/>
            <w:shd w:val="clear" w:color="auto" w:fill="EFE9FC"/>
          </w:tcPr>
          <w:p>
            <w:pPr>
              <w:spacing w:after="0"/>
              <w:rPr>
                <w:sz w:val="6"/>
                <w:szCs w:val="6"/>
                <w:color w:val="auto"/>
              </w:rPr>
            </w:pPr>
          </w:p>
        </w:tc>
        <w:tc>
          <w:tcPr>
            <w:tcW w:w="580" w:type="dxa"/>
            <w:vAlign w:val="bottom"/>
            <w:shd w:val="clear" w:color="auto" w:fill="EFE9FC"/>
          </w:tcPr>
          <w:p>
            <w:pPr>
              <w:spacing w:after="0"/>
              <w:rPr>
                <w:sz w:val="6"/>
                <w:szCs w:val="6"/>
                <w:color w:val="auto"/>
              </w:rPr>
            </w:pPr>
          </w:p>
        </w:tc>
        <w:tc>
          <w:tcPr>
            <w:tcW w:w="760" w:type="dxa"/>
            <w:vAlign w:val="bottom"/>
            <w:shd w:val="clear" w:color="auto" w:fill="EFE9FC"/>
          </w:tcPr>
          <w:p>
            <w:pPr>
              <w:spacing w:after="0"/>
              <w:rPr>
                <w:sz w:val="6"/>
                <w:szCs w:val="6"/>
                <w:color w:val="auto"/>
              </w:rPr>
            </w:pPr>
          </w:p>
        </w:tc>
        <w:tc>
          <w:tcPr>
            <w:tcW w:w="780" w:type="dxa"/>
            <w:vAlign w:val="bottom"/>
            <w:shd w:val="clear" w:color="auto" w:fill="EFE9FC"/>
          </w:tcPr>
          <w:p>
            <w:pPr>
              <w:spacing w:after="0"/>
              <w:rPr>
                <w:sz w:val="6"/>
                <w:szCs w:val="6"/>
                <w:color w:val="auto"/>
              </w:rPr>
            </w:pPr>
          </w:p>
        </w:tc>
        <w:tc>
          <w:tcPr>
            <w:tcW w:w="820" w:type="dxa"/>
            <w:vAlign w:val="bottom"/>
            <w:shd w:val="clear" w:color="auto" w:fill="EFE9FC"/>
          </w:tcPr>
          <w:p>
            <w:pPr>
              <w:spacing w:after="0"/>
              <w:rPr>
                <w:sz w:val="6"/>
                <w:szCs w:val="6"/>
                <w:color w:val="auto"/>
              </w:rPr>
            </w:pPr>
          </w:p>
        </w:tc>
        <w:tc>
          <w:tcPr>
            <w:tcW w:w="760" w:type="dxa"/>
            <w:vAlign w:val="bottom"/>
            <w:shd w:val="clear" w:color="auto" w:fill="EFE9FC"/>
          </w:tcPr>
          <w:p>
            <w:pPr>
              <w:spacing w:after="0"/>
              <w:rPr>
                <w:sz w:val="6"/>
                <w:szCs w:val="6"/>
                <w:color w:val="auto"/>
              </w:rPr>
            </w:pPr>
          </w:p>
        </w:tc>
        <w:tc>
          <w:tcPr>
            <w:tcW w:w="660" w:type="dxa"/>
            <w:vAlign w:val="bottom"/>
            <w:shd w:val="clear" w:color="auto" w:fill="EFE9FC"/>
          </w:tcPr>
          <w:p>
            <w:pPr>
              <w:spacing w:after="0"/>
              <w:rPr>
                <w:sz w:val="6"/>
                <w:szCs w:val="6"/>
                <w:color w:val="auto"/>
              </w:rPr>
            </w:pPr>
          </w:p>
        </w:tc>
        <w:tc>
          <w:tcPr>
            <w:tcW w:w="0" w:type="dxa"/>
            <w:vAlign w:val="bottom"/>
          </w:tcPr>
          <w:p>
            <w:pPr>
              <w:spacing w:after="0"/>
              <w:rPr>
                <w:sz w:val="1"/>
                <w:szCs w:val="1"/>
                <w:color w:val="auto"/>
              </w:rPr>
            </w:pPr>
          </w:p>
        </w:tc>
      </w:tr>
      <w:tr>
        <w:trPr>
          <w:trHeight w:val="173"/>
        </w:trPr>
        <w:tc>
          <w:tcPr>
            <w:tcW w:w="1120" w:type="dxa"/>
            <w:vAlign w:val="bottom"/>
          </w:tcPr>
          <w:p>
            <w:pPr>
              <w:spacing w:after="0"/>
              <w:rPr>
                <w:sz w:val="15"/>
                <w:szCs w:val="15"/>
                <w:color w:val="auto"/>
              </w:rPr>
            </w:pPr>
          </w:p>
        </w:tc>
        <w:tc>
          <w:tcPr>
            <w:tcW w:w="740" w:type="dxa"/>
            <w:vAlign w:val="bottom"/>
          </w:tcPr>
          <w:p>
            <w:pPr>
              <w:jc w:val="right"/>
              <w:spacing w:after="0"/>
              <w:rPr>
                <w:sz w:val="20"/>
                <w:szCs w:val="20"/>
                <w:color w:val="auto"/>
              </w:rPr>
            </w:pPr>
            <w:r>
              <w:rPr>
                <w:rFonts w:ascii="Arial" w:cs="Arial" w:eastAsia="Arial" w:hAnsi="Arial"/>
                <w:sz w:val="13"/>
                <w:szCs w:val="13"/>
                <w:color w:val="auto"/>
              </w:rPr>
              <w:t>03/30/2019</w:t>
            </w:r>
          </w:p>
        </w:tc>
        <w:tc>
          <w:tcPr>
            <w:tcW w:w="8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780" w:type="dxa"/>
            <w:vAlign w:val="bottom"/>
          </w:tcPr>
          <w:p>
            <w:pPr>
              <w:jc w:val="right"/>
              <w:spacing w:after="0"/>
              <w:rPr>
                <w:sz w:val="20"/>
                <w:szCs w:val="20"/>
                <w:color w:val="auto"/>
              </w:rPr>
            </w:pPr>
            <w:r>
              <w:rPr>
                <w:rFonts w:ascii="Arial" w:cs="Arial" w:eastAsia="Arial" w:hAnsi="Arial"/>
                <w:sz w:val="13"/>
                <w:szCs w:val="13"/>
                <w:color w:val="auto"/>
              </w:rPr>
              <w:t>5,141</w:t>
            </w:r>
          </w:p>
        </w:tc>
        <w:tc>
          <w:tcPr>
            <w:tcW w:w="820" w:type="dxa"/>
            <w:vAlign w:val="bottom"/>
          </w:tcPr>
          <w:p>
            <w:pPr>
              <w:spacing w:after="0"/>
              <w:rPr>
                <w:sz w:val="15"/>
                <w:szCs w:val="15"/>
                <w:color w:val="auto"/>
              </w:rPr>
            </w:pPr>
          </w:p>
        </w:tc>
        <w:tc>
          <w:tcPr>
            <w:tcW w:w="760" w:type="dxa"/>
            <w:vAlign w:val="bottom"/>
          </w:tcPr>
          <w:p>
            <w:pPr>
              <w:jc w:val="right"/>
              <w:spacing w:after="0"/>
              <w:rPr>
                <w:sz w:val="20"/>
                <w:szCs w:val="20"/>
                <w:color w:val="auto"/>
              </w:rPr>
            </w:pPr>
            <w:r>
              <w:rPr>
                <w:rFonts w:ascii="Arial" w:cs="Arial" w:eastAsia="Arial" w:hAnsi="Arial"/>
                <w:sz w:val="10"/>
                <w:szCs w:val="10"/>
                <w:color w:val="auto"/>
              </w:rPr>
              <w:t>(1)</w:t>
            </w:r>
          </w:p>
        </w:tc>
        <w:tc>
          <w:tcPr>
            <w:tcW w:w="660" w:type="dxa"/>
            <w:vAlign w:val="bottom"/>
          </w:tcPr>
          <w:p>
            <w:pPr>
              <w:jc w:val="right"/>
              <w:spacing w:after="0"/>
              <w:rPr>
                <w:sz w:val="20"/>
                <w:szCs w:val="20"/>
                <w:color w:val="auto"/>
              </w:rPr>
            </w:pPr>
            <w:r>
              <w:rPr>
                <w:rFonts w:ascii="Arial" w:cs="Arial" w:eastAsia="Arial" w:hAnsi="Arial"/>
                <w:sz w:val="13"/>
                <w:szCs w:val="13"/>
                <w:color w:val="auto"/>
              </w:rPr>
              <w:t>499,962</w:t>
            </w:r>
          </w:p>
        </w:tc>
        <w:tc>
          <w:tcPr>
            <w:tcW w:w="0" w:type="dxa"/>
            <w:vAlign w:val="bottom"/>
          </w:tcPr>
          <w:p>
            <w:pPr>
              <w:spacing w:after="0"/>
              <w:rPr>
                <w:sz w:val="1"/>
                <w:szCs w:val="1"/>
                <w:color w:val="auto"/>
              </w:rPr>
            </w:pPr>
          </w:p>
        </w:tc>
      </w:tr>
      <w:tr>
        <w:trPr>
          <w:trHeight w:val="56"/>
        </w:trPr>
        <w:tc>
          <w:tcPr>
            <w:tcW w:w="1120" w:type="dxa"/>
            <w:vAlign w:val="bottom"/>
          </w:tcPr>
          <w:p>
            <w:pPr>
              <w:spacing w:after="0"/>
              <w:rPr>
                <w:sz w:val="4"/>
                <w:szCs w:val="4"/>
                <w:color w:val="auto"/>
              </w:rPr>
            </w:pPr>
          </w:p>
        </w:tc>
        <w:tc>
          <w:tcPr>
            <w:tcW w:w="740" w:type="dxa"/>
            <w:vAlign w:val="bottom"/>
          </w:tcPr>
          <w:p>
            <w:pPr>
              <w:spacing w:after="0"/>
              <w:rPr>
                <w:sz w:val="4"/>
                <w:szCs w:val="4"/>
                <w:color w:val="auto"/>
              </w:rPr>
            </w:pPr>
          </w:p>
        </w:tc>
        <w:tc>
          <w:tcPr>
            <w:tcW w:w="800" w:type="dxa"/>
            <w:vAlign w:val="bottom"/>
          </w:tcPr>
          <w:p>
            <w:pPr>
              <w:spacing w:after="0"/>
              <w:rPr>
                <w:sz w:val="4"/>
                <w:szCs w:val="4"/>
                <w:color w:val="auto"/>
              </w:rPr>
            </w:pPr>
          </w:p>
        </w:tc>
        <w:tc>
          <w:tcPr>
            <w:tcW w:w="620" w:type="dxa"/>
            <w:vAlign w:val="bottom"/>
          </w:tcPr>
          <w:p>
            <w:pPr>
              <w:spacing w:after="0"/>
              <w:rPr>
                <w:sz w:val="4"/>
                <w:szCs w:val="4"/>
                <w:color w:val="auto"/>
              </w:rPr>
            </w:pPr>
          </w:p>
        </w:tc>
        <w:tc>
          <w:tcPr>
            <w:tcW w:w="760" w:type="dxa"/>
            <w:vAlign w:val="bottom"/>
          </w:tcPr>
          <w:p>
            <w:pPr>
              <w:spacing w:after="0"/>
              <w:rPr>
                <w:sz w:val="4"/>
                <w:szCs w:val="4"/>
                <w:color w:val="auto"/>
              </w:rPr>
            </w:pPr>
          </w:p>
        </w:tc>
        <w:tc>
          <w:tcPr>
            <w:tcW w:w="780" w:type="dxa"/>
            <w:vAlign w:val="bottom"/>
          </w:tcPr>
          <w:p>
            <w:pPr>
              <w:spacing w:after="0"/>
              <w:rPr>
                <w:sz w:val="4"/>
                <w:szCs w:val="4"/>
                <w:color w:val="auto"/>
              </w:rPr>
            </w:pPr>
          </w:p>
        </w:tc>
        <w:tc>
          <w:tcPr>
            <w:tcW w:w="580" w:type="dxa"/>
            <w:vAlign w:val="bottom"/>
          </w:tcPr>
          <w:p>
            <w:pPr>
              <w:spacing w:after="0"/>
              <w:rPr>
                <w:sz w:val="4"/>
                <w:szCs w:val="4"/>
                <w:color w:val="auto"/>
              </w:rPr>
            </w:pPr>
          </w:p>
        </w:tc>
        <w:tc>
          <w:tcPr>
            <w:tcW w:w="760" w:type="dxa"/>
            <w:vAlign w:val="bottom"/>
          </w:tcPr>
          <w:p>
            <w:pPr>
              <w:spacing w:after="0"/>
              <w:rPr>
                <w:sz w:val="4"/>
                <w:szCs w:val="4"/>
                <w:color w:val="auto"/>
              </w:rPr>
            </w:pPr>
          </w:p>
        </w:tc>
        <w:tc>
          <w:tcPr>
            <w:tcW w:w="780" w:type="dxa"/>
            <w:vAlign w:val="bottom"/>
          </w:tcPr>
          <w:p>
            <w:pPr>
              <w:spacing w:after="0"/>
              <w:rPr>
                <w:sz w:val="4"/>
                <w:szCs w:val="4"/>
                <w:color w:val="auto"/>
              </w:rPr>
            </w:pPr>
          </w:p>
        </w:tc>
        <w:tc>
          <w:tcPr>
            <w:tcW w:w="820" w:type="dxa"/>
            <w:vAlign w:val="bottom"/>
          </w:tcPr>
          <w:p>
            <w:pPr>
              <w:spacing w:after="0"/>
              <w:rPr>
                <w:sz w:val="4"/>
                <w:szCs w:val="4"/>
                <w:color w:val="auto"/>
              </w:rPr>
            </w:pPr>
          </w:p>
        </w:tc>
        <w:tc>
          <w:tcPr>
            <w:tcW w:w="760" w:type="dxa"/>
            <w:vAlign w:val="bottom"/>
          </w:tcPr>
          <w:p>
            <w:pPr>
              <w:spacing w:after="0"/>
              <w:rPr>
                <w:sz w:val="4"/>
                <w:szCs w:val="4"/>
                <w:color w:val="auto"/>
              </w:rPr>
            </w:pPr>
          </w:p>
        </w:tc>
        <w:tc>
          <w:tcPr>
            <w:tcW w:w="6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43"/>
        </w:trPr>
        <w:tc>
          <w:tcPr>
            <w:tcW w:w="1120" w:type="dxa"/>
            <w:vAlign w:val="bottom"/>
            <w:tcBorders>
              <w:bottom w:val="single" w:sz="8" w:color="4800E6"/>
            </w:tcBorders>
          </w:tcPr>
          <w:p>
            <w:pPr>
              <w:spacing w:after="0"/>
              <w:rPr>
                <w:sz w:val="21"/>
                <w:szCs w:val="21"/>
                <w:color w:val="auto"/>
              </w:rPr>
            </w:pPr>
          </w:p>
        </w:tc>
        <w:tc>
          <w:tcPr>
            <w:tcW w:w="740" w:type="dxa"/>
            <w:vAlign w:val="bottom"/>
            <w:tcBorders>
              <w:bottom w:val="single" w:sz="8" w:color="4800E6"/>
            </w:tcBorders>
            <w:shd w:val="clear" w:color="auto" w:fill="EFE9FC"/>
          </w:tcPr>
          <w:p>
            <w:pPr>
              <w:jc w:val="right"/>
              <w:spacing w:after="0"/>
              <w:rPr>
                <w:sz w:val="20"/>
                <w:szCs w:val="20"/>
                <w:color w:val="auto"/>
              </w:rPr>
            </w:pPr>
            <w:r>
              <w:rPr>
                <w:rFonts w:ascii="Arial" w:cs="Arial" w:eastAsia="Arial" w:hAnsi="Arial"/>
                <w:sz w:val="13"/>
                <w:szCs w:val="13"/>
                <w:color w:val="auto"/>
              </w:rPr>
              <w:t>03/30/2019</w:t>
            </w:r>
          </w:p>
        </w:tc>
        <w:tc>
          <w:tcPr>
            <w:tcW w:w="800" w:type="dxa"/>
            <w:vAlign w:val="bottom"/>
            <w:tcBorders>
              <w:bottom w:val="single" w:sz="8" w:color="4800E6"/>
            </w:tcBorders>
            <w:shd w:val="clear" w:color="auto" w:fill="EFE9FC"/>
          </w:tcPr>
          <w:p>
            <w:pPr>
              <w:spacing w:after="0"/>
              <w:rPr>
                <w:sz w:val="21"/>
                <w:szCs w:val="21"/>
                <w:color w:val="auto"/>
              </w:rPr>
            </w:pPr>
          </w:p>
        </w:tc>
        <w:tc>
          <w:tcPr>
            <w:tcW w:w="620" w:type="dxa"/>
            <w:vAlign w:val="bottom"/>
            <w:tcBorders>
              <w:bottom w:val="single" w:sz="8" w:color="4800E6"/>
            </w:tcBorders>
            <w:shd w:val="clear" w:color="auto" w:fill="EFE9FC"/>
          </w:tcPr>
          <w:p>
            <w:pPr>
              <w:spacing w:after="0"/>
              <w:rPr>
                <w:sz w:val="21"/>
                <w:szCs w:val="21"/>
                <w:color w:val="auto"/>
              </w:rPr>
            </w:pPr>
          </w:p>
        </w:tc>
        <w:tc>
          <w:tcPr>
            <w:tcW w:w="760" w:type="dxa"/>
            <w:vAlign w:val="bottom"/>
            <w:tcBorders>
              <w:bottom w:val="single" w:sz="8" w:color="4800E6"/>
            </w:tcBorders>
            <w:shd w:val="clear" w:color="auto" w:fill="EFE9FC"/>
          </w:tcPr>
          <w:p>
            <w:pPr>
              <w:spacing w:after="0"/>
              <w:rPr>
                <w:sz w:val="21"/>
                <w:szCs w:val="21"/>
                <w:color w:val="auto"/>
              </w:rPr>
            </w:pPr>
          </w:p>
        </w:tc>
        <w:tc>
          <w:tcPr>
            <w:tcW w:w="780" w:type="dxa"/>
            <w:vAlign w:val="bottom"/>
            <w:tcBorders>
              <w:bottom w:val="single" w:sz="8" w:color="4800E6"/>
            </w:tcBorders>
            <w:shd w:val="clear" w:color="auto" w:fill="EFE9FC"/>
          </w:tcPr>
          <w:p>
            <w:pPr>
              <w:spacing w:after="0"/>
              <w:rPr>
                <w:sz w:val="21"/>
                <w:szCs w:val="21"/>
                <w:color w:val="auto"/>
              </w:rPr>
            </w:pPr>
          </w:p>
        </w:tc>
        <w:tc>
          <w:tcPr>
            <w:tcW w:w="580" w:type="dxa"/>
            <w:vAlign w:val="bottom"/>
            <w:tcBorders>
              <w:bottom w:val="single" w:sz="8" w:color="4800E6"/>
            </w:tcBorders>
            <w:shd w:val="clear" w:color="auto" w:fill="EFE9FC"/>
          </w:tcPr>
          <w:p>
            <w:pPr>
              <w:spacing w:after="0"/>
              <w:rPr>
                <w:sz w:val="21"/>
                <w:szCs w:val="21"/>
                <w:color w:val="auto"/>
              </w:rPr>
            </w:pPr>
          </w:p>
        </w:tc>
        <w:tc>
          <w:tcPr>
            <w:tcW w:w="760" w:type="dxa"/>
            <w:vAlign w:val="bottom"/>
            <w:tcBorders>
              <w:bottom w:val="single" w:sz="8" w:color="4800E6"/>
            </w:tcBorders>
            <w:shd w:val="clear" w:color="auto" w:fill="EFE9FC"/>
          </w:tcPr>
          <w:p>
            <w:pPr>
              <w:spacing w:after="0"/>
              <w:rPr>
                <w:sz w:val="21"/>
                <w:szCs w:val="21"/>
                <w:color w:val="auto"/>
              </w:rPr>
            </w:pPr>
          </w:p>
        </w:tc>
        <w:tc>
          <w:tcPr>
            <w:tcW w:w="780" w:type="dxa"/>
            <w:vAlign w:val="bottom"/>
            <w:tcBorders>
              <w:bottom w:val="single" w:sz="8" w:color="4800E6"/>
            </w:tcBorders>
            <w:shd w:val="clear" w:color="auto" w:fill="EFE9FC"/>
          </w:tcPr>
          <w:p>
            <w:pPr>
              <w:spacing w:after="0"/>
              <w:rPr>
                <w:sz w:val="21"/>
                <w:szCs w:val="21"/>
                <w:color w:val="auto"/>
              </w:rPr>
            </w:pPr>
          </w:p>
        </w:tc>
        <w:tc>
          <w:tcPr>
            <w:tcW w:w="820" w:type="dxa"/>
            <w:vAlign w:val="bottom"/>
            <w:tcBorders>
              <w:bottom w:val="single" w:sz="8" w:color="4800E6"/>
            </w:tcBorders>
            <w:shd w:val="clear" w:color="auto" w:fill="EFE9FC"/>
          </w:tcPr>
          <w:p>
            <w:pPr>
              <w:jc w:val="right"/>
              <w:spacing w:after="0"/>
              <w:rPr>
                <w:sz w:val="20"/>
                <w:szCs w:val="20"/>
                <w:color w:val="auto"/>
              </w:rPr>
            </w:pPr>
            <w:r>
              <w:rPr>
                <w:rFonts w:ascii="Arial" w:cs="Arial" w:eastAsia="Arial" w:hAnsi="Arial"/>
                <w:sz w:val="13"/>
                <w:szCs w:val="13"/>
                <w:color w:val="auto"/>
              </w:rPr>
              <w:t>15,743</w:t>
            </w:r>
          </w:p>
        </w:tc>
        <w:tc>
          <w:tcPr>
            <w:tcW w:w="760" w:type="dxa"/>
            <w:vAlign w:val="bottom"/>
            <w:tcBorders>
              <w:bottom w:val="single" w:sz="8" w:color="4800E6"/>
            </w:tcBorders>
            <w:shd w:val="clear" w:color="auto" w:fill="EFE9FC"/>
          </w:tcPr>
          <w:p>
            <w:pPr>
              <w:jc w:val="right"/>
              <w:spacing w:after="0"/>
              <w:rPr>
                <w:sz w:val="20"/>
                <w:szCs w:val="20"/>
                <w:color w:val="auto"/>
              </w:rPr>
            </w:pPr>
            <w:r>
              <w:rPr>
                <w:rFonts w:ascii="Arial" w:cs="Arial" w:eastAsia="Arial" w:hAnsi="Arial"/>
                <w:sz w:val="13"/>
                <w:szCs w:val="13"/>
                <w:color w:val="auto"/>
              </w:rPr>
              <w:t>97.25</w:t>
            </w:r>
            <w:r>
              <w:rPr>
                <w:rFonts w:ascii="Arial" w:cs="Arial" w:eastAsia="Arial" w:hAnsi="Arial"/>
                <w:sz w:val="19"/>
                <w:szCs w:val="19"/>
                <w:color w:val="auto"/>
                <w:vertAlign w:val="superscript"/>
              </w:rPr>
              <w:t>(2)</w:t>
            </w:r>
          </w:p>
        </w:tc>
        <w:tc>
          <w:tcPr>
            <w:tcW w:w="660" w:type="dxa"/>
            <w:vAlign w:val="bottom"/>
            <w:tcBorders>
              <w:bottom w:val="single" w:sz="8" w:color="4800E6"/>
            </w:tcBorders>
            <w:shd w:val="clear" w:color="auto" w:fill="EFE9FC"/>
          </w:tcPr>
          <w:p>
            <w:pPr>
              <w:jc w:val="right"/>
              <w:spacing w:after="0"/>
              <w:rPr>
                <w:sz w:val="20"/>
                <w:szCs w:val="20"/>
                <w:color w:val="auto"/>
              </w:rPr>
            </w:pPr>
            <w:r>
              <w:rPr>
                <w:rFonts w:ascii="Arial" w:cs="Arial" w:eastAsia="Arial" w:hAnsi="Arial"/>
                <w:sz w:val="13"/>
                <w:szCs w:val="13"/>
                <w:color w:val="auto"/>
              </w:rPr>
              <w:t>499,998</w:t>
            </w:r>
          </w:p>
        </w:tc>
        <w:tc>
          <w:tcPr>
            <w:tcW w:w="0" w:type="dxa"/>
            <w:vAlign w:val="bottom"/>
          </w:tcPr>
          <w:p>
            <w:pPr>
              <w:spacing w:after="0"/>
              <w:rPr>
                <w:sz w:val="1"/>
                <w:szCs w:val="1"/>
                <w:color w:val="auto"/>
              </w:rPr>
            </w:pPr>
          </w:p>
        </w:tc>
      </w:tr>
      <w:tr>
        <w:trPr>
          <w:trHeight w:val="174"/>
        </w:trPr>
        <w:tc>
          <w:tcPr>
            <w:tcW w:w="1120" w:type="dxa"/>
            <w:vAlign w:val="bottom"/>
          </w:tcPr>
          <w:p>
            <w:pPr>
              <w:ind w:left="40"/>
              <w:spacing w:after="0"/>
              <w:rPr>
                <w:sz w:val="20"/>
                <w:szCs w:val="20"/>
                <w:color w:val="auto"/>
              </w:rPr>
            </w:pPr>
            <w:r>
              <w:rPr>
                <w:rFonts w:ascii="Arial" w:cs="Arial" w:eastAsia="Arial" w:hAnsi="Arial"/>
                <w:sz w:val="13"/>
                <w:szCs w:val="13"/>
                <w:b w:val="1"/>
                <w:bCs w:val="1"/>
                <w:color w:val="auto"/>
              </w:rPr>
              <w:t>Keyna</w:t>
            </w:r>
          </w:p>
        </w:tc>
        <w:tc>
          <w:tcPr>
            <w:tcW w:w="740" w:type="dxa"/>
            <w:vAlign w:val="bottom"/>
          </w:tcPr>
          <w:p>
            <w:pPr>
              <w:spacing w:after="0"/>
              <w:rPr>
                <w:sz w:val="15"/>
                <w:szCs w:val="15"/>
                <w:color w:val="auto"/>
              </w:rPr>
            </w:pPr>
          </w:p>
        </w:tc>
        <w:tc>
          <w:tcPr>
            <w:tcW w:w="800" w:type="dxa"/>
            <w:vAlign w:val="bottom"/>
          </w:tcPr>
          <w:p>
            <w:pPr>
              <w:jc w:val="right"/>
              <w:ind w:right="37"/>
              <w:spacing w:after="0"/>
              <w:rPr>
                <w:sz w:val="20"/>
                <w:szCs w:val="20"/>
                <w:color w:val="auto"/>
              </w:rPr>
            </w:pPr>
            <w:r>
              <w:rPr>
                <w:rFonts w:ascii="Arial" w:cs="Arial" w:eastAsia="Arial" w:hAnsi="Arial"/>
                <w:sz w:val="13"/>
                <w:szCs w:val="13"/>
                <w:color w:val="auto"/>
              </w:rPr>
              <w:t>0</w:t>
            </w:r>
          </w:p>
        </w:tc>
        <w:tc>
          <w:tcPr>
            <w:tcW w:w="620" w:type="dxa"/>
            <w:vAlign w:val="bottom"/>
          </w:tcPr>
          <w:p>
            <w:pPr>
              <w:jc w:val="center"/>
              <w:spacing w:after="0"/>
              <w:rPr>
                <w:sz w:val="20"/>
                <w:szCs w:val="20"/>
                <w:color w:val="auto"/>
              </w:rPr>
            </w:pPr>
            <w:r>
              <w:rPr>
                <w:rFonts w:ascii="Arial" w:cs="Arial" w:eastAsia="Arial" w:hAnsi="Arial"/>
                <w:sz w:val="13"/>
                <w:szCs w:val="13"/>
                <w:color w:val="auto"/>
                <w:w w:val="97"/>
              </w:rPr>
              <w:t>225,178</w:t>
            </w:r>
          </w:p>
        </w:tc>
        <w:tc>
          <w:tcPr>
            <w:tcW w:w="760" w:type="dxa"/>
            <w:vAlign w:val="bottom"/>
          </w:tcPr>
          <w:p>
            <w:pPr>
              <w:jc w:val="right"/>
              <w:spacing w:after="0"/>
              <w:rPr>
                <w:sz w:val="20"/>
                <w:szCs w:val="20"/>
                <w:color w:val="auto"/>
              </w:rPr>
            </w:pPr>
            <w:r>
              <w:rPr>
                <w:rFonts w:ascii="Arial" w:cs="Arial" w:eastAsia="Arial" w:hAnsi="Arial"/>
                <w:sz w:val="13"/>
                <w:szCs w:val="13"/>
                <w:color w:val="auto"/>
              </w:rPr>
              <w:t>360,285</w:t>
            </w:r>
          </w:p>
        </w:tc>
        <w:tc>
          <w:tcPr>
            <w:tcW w:w="78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62"/>
        </w:trPr>
        <w:tc>
          <w:tcPr>
            <w:tcW w:w="1120" w:type="dxa"/>
            <w:vAlign w:val="bottom"/>
            <w:vMerge w:val="restart"/>
          </w:tcPr>
          <w:p>
            <w:pPr>
              <w:ind w:left="40"/>
              <w:spacing w:after="0"/>
              <w:rPr>
                <w:sz w:val="20"/>
                <w:szCs w:val="20"/>
                <w:color w:val="auto"/>
              </w:rPr>
            </w:pPr>
            <w:r>
              <w:rPr>
                <w:rFonts w:ascii="Arial" w:cs="Arial" w:eastAsia="Arial" w:hAnsi="Arial"/>
                <w:sz w:val="13"/>
                <w:szCs w:val="13"/>
                <w:b w:val="1"/>
                <w:bCs w:val="1"/>
                <w:color w:val="auto"/>
              </w:rPr>
              <w:t>Skeffington</w:t>
            </w:r>
          </w:p>
        </w:tc>
        <w:tc>
          <w:tcPr>
            <w:tcW w:w="740" w:type="dxa"/>
            <w:vAlign w:val="bottom"/>
          </w:tcPr>
          <w:p>
            <w:pPr>
              <w:spacing w:after="0"/>
              <w:rPr>
                <w:sz w:val="5"/>
                <w:szCs w:val="5"/>
                <w:color w:val="auto"/>
              </w:rPr>
            </w:pPr>
          </w:p>
        </w:tc>
        <w:tc>
          <w:tcPr>
            <w:tcW w:w="800" w:type="dxa"/>
            <w:vAlign w:val="bottom"/>
          </w:tcPr>
          <w:p>
            <w:pPr>
              <w:spacing w:after="0"/>
              <w:rPr>
                <w:sz w:val="5"/>
                <w:szCs w:val="5"/>
                <w:color w:val="auto"/>
              </w:rPr>
            </w:pPr>
          </w:p>
        </w:tc>
        <w:tc>
          <w:tcPr>
            <w:tcW w:w="620" w:type="dxa"/>
            <w:vAlign w:val="bottom"/>
          </w:tcPr>
          <w:p>
            <w:pPr>
              <w:spacing w:after="0"/>
              <w:rPr>
                <w:sz w:val="5"/>
                <w:szCs w:val="5"/>
                <w:color w:val="auto"/>
              </w:rPr>
            </w:pPr>
          </w:p>
        </w:tc>
        <w:tc>
          <w:tcPr>
            <w:tcW w:w="760" w:type="dxa"/>
            <w:vAlign w:val="bottom"/>
          </w:tcPr>
          <w:p>
            <w:pPr>
              <w:spacing w:after="0"/>
              <w:rPr>
                <w:sz w:val="5"/>
                <w:szCs w:val="5"/>
                <w:color w:val="auto"/>
              </w:rPr>
            </w:pPr>
          </w:p>
        </w:tc>
        <w:tc>
          <w:tcPr>
            <w:tcW w:w="780" w:type="dxa"/>
            <w:vAlign w:val="bottom"/>
          </w:tcPr>
          <w:p>
            <w:pPr>
              <w:spacing w:after="0"/>
              <w:rPr>
                <w:sz w:val="5"/>
                <w:szCs w:val="5"/>
                <w:color w:val="auto"/>
              </w:rPr>
            </w:pPr>
          </w:p>
        </w:tc>
        <w:tc>
          <w:tcPr>
            <w:tcW w:w="580" w:type="dxa"/>
            <w:vAlign w:val="bottom"/>
          </w:tcPr>
          <w:p>
            <w:pPr>
              <w:spacing w:after="0"/>
              <w:rPr>
                <w:sz w:val="5"/>
                <w:szCs w:val="5"/>
                <w:color w:val="auto"/>
              </w:rPr>
            </w:pPr>
          </w:p>
        </w:tc>
        <w:tc>
          <w:tcPr>
            <w:tcW w:w="760" w:type="dxa"/>
            <w:vAlign w:val="bottom"/>
          </w:tcPr>
          <w:p>
            <w:pPr>
              <w:spacing w:after="0"/>
              <w:rPr>
                <w:sz w:val="5"/>
                <w:szCs w:val="5"/>
                <w:color w:val="auto"/>
              </w:rPr>
            </w:pPr>
          </w:p>
        </w:tc>
        <w:tc>
          <w:tcPr>
            <w:tcW w:w="780" w:type="dxa"/>
            <w:vAlign w:val="bottom"/>
          </w:tcPr>
          <w:p>
            <w:pPr>
              <w:spacing w:after="0"/>
              <w:rPr>
                <w:sz w:val="5"/>
                <w:szCs w:val="5"/>
                <w:color w:val="auto"/>
              </w:rPr>
            </w:pPr>
          </w:p>
        </w:tc>
        <w:tc>
          <w:tcPr>
            <w:tcW w:w="820" w:type="dxa"/>
            <w:vAlign w:val="bottom"/>
          </w:tcPr>
          <w:p>
            <w:pPr>
              <w:spacing w:after="0"/>
              <w:rPr>
                <w:sz w:val="5"/>
                <w:szCs w:val="5"/>
                <w:color w:val="auto"/>
              </w:rPr>
            </w:pPr>
          </w:p>
        </w:tc>
        <w:tc>
          <w:tcPr>
            <w:tcW w:w="760" w:type="dxa"/>
            <w:vAlign w:val="bottom"/>
          </w:tcPr>
          <w:p>
            <w:pPr>
              <w:spacing w:after="0"/>
              <w:rPr>
                <w:sz w:val="5"/>
                <w:szCs w:val="5"/>
                <w:color w:val="auto"/>
              </w:rPr>
            </w:pPr>
          </w:p>
        </w:tc>
        <w:tc>
          <w:tcPr>
            <w:tcW w:w="6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23"/>
        </w:trPr>
        <w:tc>
          <w:tcPr>
            <w:tcW w:w="1120" w:type="dxa"/>
            <w:vAlign w:val="bottom"/>
            <w:vMerge w:val="continue"/>
          </w:tcPr>
          <w:p>
            <w:pPr>
              <w:spacing w:after="0"/>
              <w:rPr>
                <w:sz w:val="10"/>
                <w:szCs w:val="10"/>
                <w:color w:val="auto"/>
              </w:rPr>
            </w:pPr>
          </w:p>
        </w:tc>
        <w:tc>
          <w:tcPr>
            <w:tcW w:w="740" w:type="dxa"/>
            <w:vAlign w:val="bottom"/>
            <w:vMerge w:val="restart"/>
            <w:shd w:val="clear" w:color="auto" w:fill="EFE9FC"/>
          </w:tcPr>
          <w:p>
            <w:pPr>
              <w:jc w:val="right"/>
              <w:spacing w:after="0"/>
              <w:rPr>
                <w:sz w:val="20"/>
                <w:szCs w:val="20"/>
                <w:color w:val="auto"/>
              </w:rPr>
            </w:pPr>
            <w:r>
              <w:rPr>
                <w:rFonts w:ascii="Arial" w:cs="Arial" w:eastAsia="Arial" w:hAnsi="Arial"/>
                <w:sz w:val="13"/>
                <w:szCs w:val="13"/>
                <w:color w:val="auto"/>
              </w:rPr>
              <w:t>03/30/2019</w:t>
            </w:r>
          </w:p>
        </w:tc>
        <w:tc>
          <w:tcPr>
            <w:tcW w:w="800" w:type="dxa"/>
            <w:vAlign w:val="bottom"/>
            <w:shd w:val="clear" w:color="auto" w:fill="EFE9FC"/>
          </w:tcPr>
          <w:p>
            <w:pPr>
              <w:spacing w:after="0"/>
              <w:rPr>
                <w:sz w:val="10"/>
                <w:szCs w:val="10"/>
                <w:color w:val="auto"/>
              </w:rPr>
            </w:pPr>
          </w:p>
        </w:tc>
        <w:tc>
          <w:tcPr>
            <w:tcW w:w="620" w:type="dxa"/>
            <w:vAlign w:val="bottom"/>
            <w:shd w:val="clear" w:color="auto" w:fill="EFE9FC"/>
          </w:tcPr>
          <w:p>
            <w:pPr>
              <w:spacing w:after="0"/>
              <w:rPr>
                <w:sz w:val="10"/>
                <w:szCs w:val="10"/>
                <w:color w:val="auto"/>
              </w:rPr>
            </w:pPr>
          </w:p>
        </w:tc>
        <w:tc>
          <w:tcPr>
            <w:tcW w:w="760" w:type="dxa"/>
            <w:vAlign w:val="bottom"/>
            <w:shd w:val="clear" w:color="auto" w:fill="EFE9FC"/>
          </w:tcPr>
          <w:p>
            <w:pPr>
              <w:spacing w:after="0"/>
              <w:rPr>
                <w:sz w:val="10"/>
                <w:szCs w:val="10"/>
                <w:color w:val="auto"/>
              </w:rPr>
            </w:pPr>
          </w:p>
        </w:tc>
        <w:tc>
          <w:tcPr>
            <w:tcW w:w="780" w:type="dxa"/>
            <w:vAlign w:val="bottom"/>
            <w:vMerge w:val="restart"/>
            <w:shd w:val="clear" w:color="auto" w:fill="EFE9FC"/>
          </w:tcPr>
          <w:p>
            <w:pPr>
              <w:jc w:val="right"/>
              <w:ind w:right="17"/>
              <w:spacing w:after="0"/>
              <w:rPr>
                <w:sz w:val="20"/>
                <w:szCs w:val="20"/>
                <w:color w:val="auto"/>
              </w:rPr>
            </w:pPr>
            <w:r>
              <w:rPr>
                <w:rFonts w:ascii="Arial" w:cs="Arial" w:eastAsia="Arial" w:hAnsi="Arial"/>
                <w:sz w:val="13"/>
                <w:szCs w:val="13"/>
                <w:color w:val="auto"/>
              </w:rPr>
              <w:t>925</w:t>
            </w:r>
          </w:p>
        </w:tc>
        <w:tc>
          <w:tcPr>
            <w:tcW w:w="580" w:type="dxa"/>
            <w:vAlign w:val="bottom"/>
            <w:vMerge w:val="restart"/>
            <w:shd w:val="clear" w:color="auto" w:fill="EFE9FC"/>
          </w:tcPr>
          <w:p>
            <w:pPr>
              <w:jc w:val="right"/>
              <w:ind w:right="17"/>
              <w:spacing w:after="0"/>
              <w:rPr>
                <w:sz w:val="20"/>
                <w:szCs w:val="20"/>
                <w:color w:val="auto"/>
              </w:rPr>
            </w:pPr>
            <w:r>
              <w:rPr>
                <w:rFonts w:ascii="Arial" w:cs="Arial" w:eastAsia="Arial" w:hAnsi="Arial"/>
                <w:sz w:val="13"/>
                <w:szCs w:val="13"/>
                <w:color w:val="auto"/>
              </w:rPr>
              <w:t>2,313</w:t>
            </w:r>
          </w:p>
        </w:tc>
        <w:tc>
          <w:tcPr>
            <w:tcW w:w="760" w:type="dxa"/>
            <w:vAlign w:val="bottom"/>
            <w:vMerge w:val="restart"/>
            <w:shd w:val="clear" w:color="auto" w:fill="EFE9FC"/>
          </w:tcPr>
          <w:p>
            <w:pPr>
              <w:jc w:val="right"/>
              <w:spacing w:after="0"/>
              <w:rPr>
                <w:sz w:val="20"/>
                <w:szCs w:val="20"/>
                <w:color w:val="auto"/>
              </w:rPr>
            </w:pPr>
            <w:r>
              <w:rPr>
                <w:rFonts w:ascii="Arial" w:cs="Arial" w:eastAsia="Arial" w:hAnsi="Arial"/>
                <w:sz w:val="13"/>
                <w:szCs w:val="13"/>
                <w:color w:val="auto"/>
              </w:rPr>
              <w:t>4,626</w:t>
            </w:r>
          </w:p>
        </w:tc>
        <w:tc>
          <w:tcPr>
            <w:tcW w:w="780" w:type="dxa"/>
            <w:vAlign w:val="bottom"/>
            <w:shd w:val="clear" w:color="auto" w:fill="EFE9FC"/>
          </w:tcPr>
          <w:p>
            <w:pPr>
              <w:spacing w:after="0"/>
              <w:rPr>
                <w:sz w:val="10"/>
                <w:szCs w:val="10"/>
                <w:color w:val="auto"/>
              </w:rPr>
            </w:pPr>
          </w:p>
        </w:tc>
        <w:tc>
          <w:tcPr>
            <w:tcW w:w="820" w:type="dxa"/>
            <w:vAlign w:val="bottom"/>
            <w:vMerge w:val="restart"/>
            <w:shd w:val="clear" w:color="auto" w:fill="EFE9FC"/>
          </w:tcPr>
          <w:p>
            <w:pPr>
              <w:jc w:val="right"/>
              <w:spacing w:after="0"/>
              <w:rPr>
                <w:sz w:val="20"/>
                <w:szCs w:val="20"/>
                <w:color w:val="auto"/>
              </w:rPr>
            </w:pPr>
            <w:r>
              <w:rPr>
                <w:rFonts w:ascii="Arial" w:cs="Arial" w:eastAsia="Arial" w:hAnsi="Arial"/>
                <w:sz w:val="13"/>
                <w:szCs w:val="13"/>
                <w:color w:val="auto"/>
              </w:rPr>
              <w:t>–</w:t>
            </w:r>
          </w:p>
        </w:tc>
        <w:tc>
          <w:tcPr>
            <w:tcW w:w="760" w:type="dxa"/>
            <w:vAlign w:val="bottom"/>
            <w:shd w:val="clear" w:color="auto" w:fill="EFE9FC"/>
          </w:tcPr>
          <w:p>
            <w:pPr>
              <w:jc w:val="right"/>
              <w:spacing w:after="0"/>
              <w:rPr>
                <w:sz w:val="20"/>
                <w:szCs w:val="20"/>
                <w:color w:val="auto"/>
              </w:rPr>
            </w:pPr>
            <w:r>
              <w:rPr>
                <w:rFonts w:ascii="Arial" w:cs="Arial" w:eastAsia="Arial" w:hAnsi="Arial"/>
                <w:sz w:val="10"/>
                <w:szCs w:val="10"/>
                <w:color w:val="auto"/>
              </w:rPr>
              <w:t>(2)</w:t>
            </w:r>
          </w:p>
        </w:tc>
        <w:tc>
          <w:tcPr>
            <w:tcW w:w="660" w:type="dxa"/>
            <w:vAlign w:val="bottom"/>
            <w:vMerge w:val="restart"/>
            <w:shd w:val="clear" w:color="auto" w:fill="EFE9FC"/>
          </w:tcPr>
          <w:p>
            <w:pPr>
              <w:jc w:val="right"/>
              <w:spacing w:after="0"/>
              <w:rPr>
                <w:sz w:val="20"/>
                <w:szCs w:val="20"/>
                <w:color w:val="auto"/>
              </w:rPr>
            </w:pPr>
            <w:r>
              <w:rPr>
                <w:rFonts w:ascii="Arial" w:cs="Arial" w:eastAsia="Arial" w:hAnsi="Arial"/>
                <w:sz w:val="13"/>
                <w:szCs w:val="13"/>
                <w:color w:val="auto"/>
              </w:rPr>
              <w:t>233,840</w:t>
            </w:r>
          </w:p>
        </w:tc>
        <w:tc>
          <w:tcPr>
            <w:tcW w:w="0" w:type="dxa"/>
            <w:vAlign w:val="bottom"/>
          </w:tcPr>
          <w:p>
            <w:pPr>
              <w:spacing w:after="0"/>
              <w:rPr>
                <w:sz w:val="1"/>
                <w:szCs w:val="1"/>
                <w:color w:val="auto"/>
              </w:rPr>
            </w:pPr>
          </w:p>
        </w:tc>
      </w:tr>
      <w:tr>
        <w:trPr>
          <w:trHeight w:val="50"/>
        </w:trPr>
        <w:tc>
          <w:tcPr>
            <w:tcW w:w="1120" w:type="dxa"/>
            <w:vAlign w:val="bottom"/>
          </w:tcPr>
          <w:p>
            <w:pPr>
              <w:spacing w:after="0"/>
              <w:rPr>
                <w:sz w:val="4"/>
                <w:szCs w:val="4"/>
                <w:color w:val="auto"/>
              </w:rPr>
            </w:pPr>
          </w:p>
        </w:tc>
        <w:tc>
          <w:tcPr>
            <w:tcW w:w="740" w:type="dxa"/>
            <w:vAlign w:val="bottom"/>
            <w:vMerge w:val="continue"/>
            <w:shd w:val="clear" w:color="auto" w:fill="EFE9FC"/>
          </w:tcPr>
          <w:p>
            <w:pPr>
              <w:spacing w:after="0"/>
              <w:rPr>
                <w:sz w:val="4"/>
                <w:szCs w:val="4"/>
                <w:color w:val="auto"/>
              </w:rPr>
            </w:pPr>
          </w:p>
        </w:tc>
        <w:tc>
          <w:tcPr>
            <w:tcW w:w="800" w:type="dxa"/>
            <w:vAlign w:val="bottom"/>
            <w:shd w:val="clear" w:color="auto" w:fill="EFE9FC"/>
          </w:tcPr>
          <w:p>
            <w:pPr>
              <w:spacing w:after="0"/>
              <w:rPr>
                <w:sz w:val="4"/>
                <w:szCs w:val="4"/>
                <w:color w:val="auto"/>
              </w:rPr>
            </w:pPr>
          </w:p>
        </w:tc>
        <w:tc>
          <w:tcPr>
            <w:tcW w:w="620" w:type="dxa"/>
            <w:vAlign w:val="bottom"/>
            <w:shd w:val="clear" w:color="auto" w:fill="EFE9FC"/>
          </w:tcPr>
          <w:p>
            <w:pPr>
              <w:spacing w:after="0"/>
              <w:rPr>
                <w:sz w:val="4"/>
                <w:szCs w:val="4"/>
                <w:color w:val="auto"/>
              </w:rPr>
            </w:pPr>
          </w:p>
        </w:tc>
        <w:tc>
          <w:tcPr>
            <w:tcW w:w="760" w:type="dxa"/>
            <w:vAlign w:val="bottom"/>
            <w:shd w:val="clear" w:color="auto" w:fill="EFE9FC"/>
          </w:tcPr>
          <w:p>
            <w:pPr>
              <w:spacing w:after="0"/>
              <w:rPr>
                <w:sz w:val="4"/>
                <w:szCs w:val="4"/>
                <w:color w:val="auto"/>
              </w:rPr>
            </w:pPr>
          </w:p>
        </w:tc>
        <w:tc>
          <w:tcPr>
            <w:tcW w:w="780" w:type="dxa"/>
            <w:vAlign w:val="bottom"/>
            <w:vMerge w:val="continue"/>
            <w:shd w:val="clear" w:color="auto" w:fill="EFE9FC"/>
          </w:tcPr>
          <w:p>
            <w:pPr>
              <w:spacing w:after="0"/>
              <w:rPr>
                <w:sz w:val="4"/>
                <w:szCs w:val="4"/>
                <w:color w:val="auto"/>
              </w:rPr>
            </w:pPr>
          </w:p>
        </w:tc>
        <w:tc>
          <w:tcPr>
            <w:tcW w:w="580" w:type="dxa"/>
            <w:vAlign w:val="bottom"/>
            <w:vMerge w:val="continue"/>
            <w:shd w:val="clear" w:color="auto" w:fill="EFE9FC"/>
          </w:tcPr>
          <w:p>
            <w:pPr>
              <w:spacing w:after="0"/>
              <w:rPr>
                <w:sz w:val="4"/>
                <w:szCs w:val="4"/>
                <w:color w:val="auto"/>
              </w:rPr>
            </w:pPr>
          </w:p>
        </w:tc>
        <w:tc>
          <w:tcPr>
            <w:tcW w:w="760" w:type="dxa"/>
            <w:vAlign w:val="bottom"/>
            <w:vMerge w:val="continue"/>
            <w:shd w:val="clear" w:color="auto" w:fill="EFE9FC"/>
          </w:tcPr>
          <w:p>
            <w:pPr>
              <w:spacing w:after="0"/>
              <w:rPr>
                <w:sz w:val="4"/>
                <w:szCs w:val="4"/>
                <w:color w:val="auto"/>
              </w:rPr>
            </w:pPr>
          </w:p>
        </w:tc>
        <w:tc>
          <w:tcPr>
            <w:tcW w:w="780" w:type="dxa"/>
            <w:vAlign w:val="bottom"/>
            <w:shd w:val="clear" w:color="auto" w:fill="EFE9FC"/>
          </w:tcPr>
          <w:p>
            <w:pPr>
              <w:spacing w:after="0"/>
              <w:rPr>
                <w:sz w:val="4"/>
                <w:szCs w:val="4"/>
                <w:color w:val="auto"/>
              </w:rPr>
            </w:pPr>
          </w:p>
        </w:tc>
        <w:tc>
          <w:tcPr>
            <w:tcW w:w="820" w:type="dxa"/>
            <w:vAlign w:val="bottom"/>
            <w:vMerge w:val="continue"/>
            <w:shd w:val="clear" w:color="auto" w:fill="EFE9FC"/>
          </w:tcPr>
          <w:p>
            <w:pPr>
              <w:spacing w:after="0"/>
              <w:rPr>
                <w:sz w:val="4"/>
                <w:szCs w:val="4"/>
                <w:color w:val="auto"/>
              </w:rPr>
            </w:pPr>
          </w:p>
        </w:tc>
        <w:tc>
          <w:tcPr>
            <w:tcW w:w="760" w:type="dxa"/>
            <w:vAlign w:val="bottom"/>
            <w:shd w:val="clear" w:color="auto" w:fill="EFE9FC"/>
          </w:tcPr>
          <w:p>
            <w:pPr>
              <w:spacing w:after="0"/>
              <w:rPr>
                <w:sz w:val="4"/>
                <w:szCs w:val="4"/>
                <w:color w:val="auto"/>
              </w:rPr>
            </w:pPr>
          </w:p>
        </w:tc>
        <w:tc>
          <w:tcPr>
            <w:tcW w:w="660" w:type="dxa"/>
            <w:vAlign w:val="bottom"/>
            <w:vMerge w:val="continue"/>
            <w:shd w:val="clear" w:color="auto" w:fill="EFE9FC"/>
          </w:tcPr>
          <w:p>
            <w:pPr>
              <w:spacing w:after="0"/>
              <w:rPr>
                <w:sz w:val="4"/>
                <w:szCs w:val="4"/>
                <w:color w:val="auto"/>
              </w:rPr>
            </w:pPr>
          </w:p>
        </w:tc>
        <w:tc>
          <w:tcPr>
            <w:tcW w:w="0" w:type="dxa"/>
            <w:vAlign w:val="bottom"/>
          </w:tcPr>
          <w:p>
            <w:pPr>
              <w:spacing w:after="0"/>
              <w:rPr>
                <w:sz w:val="1"/>
                <w:szCs w:val="1"/>
                <w:color w:val="auto"/>
              </w:rPr>
            </w:pPr>
          </w:p>
        </w:tc>
      </w:tr>
      <w:tr>
        <w:trPr>
          <w:trHeight w:val="84"/>
        </w:trPr>
        <w:tc>
          <w:tcPr>
            <w:tcW w:w="1120" w:type="dxa"/>
            <w:vAlign w:val="bottom"/>
          </w:tcPr>
          <w:p>
            <w:pPr>
              <w:spacing w:after="0"/>
              <w:rPr>
                <w:sz w:val="7"/>
                <w:szCs w:val="7"/>
                <w:color w:val="auto"/>
              </w:rPr>
            </w:pPr>
          </w:p>
        </w:tc>
        <w:tc>
          <w:tcPr>
            <w:tcW w:w="740" w:type="dxa"/>
            <w:vAlign w:val="bottom"/>
            <w:shd w:val="clear" w:color="auto" w:fill="EFE9FC"/>
          </w:tcPr>
          <w:p>
            <w:pPr>
              <w:spacing w:after="0"/>
              <w:rPr>
                <w:sz w:val="7"/>
                <w:szCs w:val="7"/>
                <w:color w:val="auto"/>
              </w:rPr>
            </w:pPr>
          </w:p>
        </w:tc>
        <w:tc>
          <w:tcPr>
            <w:tcW w:w="800" w:type="dxa"/>
            <w:vAlign w:val="bottom"/>
            <w:shd w:val="clear" w:color="auto" w:fill="EFE9FC"/>
          </w:tcPr>
          <w:p>
            <w:pPr>
              <w:spacing w:after="0"/>
              <w:rPr>
                <w:sz w:val="7"/>
                <w:szCs w:val="7"/>
                <w:color w:val="auto"/>
              </w:rPr>
            </w:pPr>
          </w:p>
        </w:tc>
        <w:tc>
          <w:tcPr>
            <w:tcW w:w="620" w:type="dxa"/>
            <w:vAlign w:val="bottom"/>
            <w:shd w:val="clear" w:color="auto" w:fill="EFE9FC"/>
          </w:tcPr>
          <w:p>
            <w:pPr>
              <w:spacing w:after="0"/>
              <w:rPr>
                <w:sz w:val="7"/>
                <w:szCs w:val="7"/>
                <w:color w:val="auto"/>
              </w:rPr>
            </w:pPr>
          </w:p>
        </w:tc>
        <w:tc>
          <w:tcPr>
            <w:tcW w:w="760" w:type="dxa"/>
            <w:vAlign w:val="bottom"/>
            <w:shd w:val="clear" w:color="auto" w:fill="EFE9FC"/>
          </w:tcPr>
          <w:p>
            <w:pPr>
              <w:spacing w:after="0"/>
              <w:rPr>
                <w:sz w:val="7"/>
                <w:szCs w:val="7"/>
                <w:color w:val="auto"/>
              </w:rPr>
            </w:pPr>
          </w:p>
        </w:tc>
        <w:tc>
          <w:tcPr>
            <w:tcW w:w="780" w:type="dxa"/>
            <w:vAlign w:val="bottom"/>
            <w:shd w:val="clear" w:color="auto" w:fill="EFE9FC"/>
          </w:tcPr>
          <w:p>
            <w:pPr>
              <w:spacing w:after="0"/>
              <w:rPr>
                <w:sz w:val="7"/>
                <w:szCs w:val="7"/>
                <w:color w:val="auto"/>
              </w:rPr>
            </w:pPr>
          </w:p>
        </w:tc>
        <w:tc>
          <w:tcPr>
            <w:tcW w:w="580" w:type="dxa"/>
            <w:vAlign w:val="bottom"/>
            <w:shd w:val="clear" w:color="auto" w:fill="EFE9FC"/>
          </w:tcPr>
          <w:p>
            <w:pPr>
              <w:spacing w:after="0"/>
              <w:rPr>
                <w:sz w:val="7"/>
                <w:szCs w:val="7"/>
                <w:color w:val="auto"/>
              </w:rPr>
            </w:pPr>
          </w:p>
        </w:tc>
        <w:tc>
          <w:tcPr>
            <w:tcW w:w="760" w:type="dxa"/>
            <w:vAlign w:val="bottom"/>
            <w:shd w:val="clear" w:color="auto" w:fill="EFE9FC"/>
          </w:tcPr>
          <w:p>
            <w:pPr>
              <w:spacing w:after="0"/>
              <w:rPr>
                <w:sz w:val="7"/>
                <w:szCs w:val="7"/>
                <w:color w:val="auto"/>
              </w:rPr>
            </w:pPr>
          </w:p>
        </w:tc>
        <w:tc>
          <w:tcPr>
            <w:tcW w:w="780" w:type="dxa"/>
            <w:vAlign w:val="bottom"/>
            <w:shd w:val="clear" w:color="auto" w:fill="EFE9FC"/>
          </w:tcPr>
          <w:p>
            <w:pPr>
              <w:spacing w:after="0"/>
              <w:rPr>
                <w:sz w:val="7"/>
                <w:szCs w:val="7"/>
                <w:color w:val="auto"/>
              </w:rPr>
            </w:pPr>
          </w:p>
        </w:tc>
        <w:tc>
          <w:tcPr>
            <w:tcW w:w="820" w:type="dxa"/>
            <w:vAlign w:val="bottom"/>
            <w:shd w:val="clear" w:color="auto" w:fill="EFE9FC"/>
          </w:tcPr>
          <w:p>
            <w:pPr>
              <w:spacing w:after="0"/>
              <w:rPr>
                <w:sz w:val="7"/>
                <w:szCs w:val="7"/>
                <w:color w:val="auto"/>
              </w:rPr>
            </w:pPr>
          </w:p>
        </w:tc>
        <w:tc>
          <w:tcPr>
            <w:tcW w:w="760" w:type="dxa"/>
            <w:vAlign w:val="bottom"/>
            <w:shd w:val="clear" w:color="auto" w:fill="EFE9FC"/>
          </w:tcPr>
          <w:p>
            <w:pPr>
              <w:spacing w:after="0"/>
              <w:rPr>
                <w:sz w:val="7"/>
                <w:szCs w:val="7"/>
                <w:color w:val="auto"/>
              </w:rPr>
            </w:pPr>
          </w:p>
        </w:tc>
        <w:tc>
          <w:tcPr>
            <w:tcW w:w="660" w:type="dxa"/>
            <w:vAlign w:val="bottom"/>
            <w:shd w:val="clear" w:color="auto" w:fill="EFE9FC"/>
          </w:tcPr>
          <w:p>
            <w:pPr>
              <w:spacing w:after="0"/>
              <w:rPr>
                <w:sz w:val="7"/>
                <w:szCs w:val="7"/>
                <w:color w:val="auto"/>
              </w:rPr>
            </w:pPr>
          </w:p>
        </w:tc>
        <w:tc>
          <w:tcPr>
            <w:tcW w:w="0" w:type="dxa"/>
            <w:vAlign w:val="bottom"/>
          </w:tcPr>
          <w:p>
            <w:pPr>
              <w:spacing w:after="0"/>
              <w:rPr>
                <w:sz w:val="1"/>
                <w:szCs w:val="1"/>
                <w:color w:val="auto"/>
              </w:rPr>
            </w:pPr>
          </w:p>
        </w:tc>
      </w:tr>
      <w:tr>
        <w:trPr>
          <w:trHeight w:val="173"/>
        </w:trPr>
        <w:tc>
          <w:tcPr>
            <w:tcW w:w="1120" w:type="dxa"/>
            <w:vAlign w:val="bottom"/>
          </w:tcPr>
          <w:p>
            <w:pPr>
              <w:spacing w:after="0"/>
              <w:rPr>
                <w:sz w:val="15"/>
                <w:szCs w:val="15"/>
                <w:color w:val="auto"/>
              </w:rPr>
            </w:pPr>
          </w:p>
        </w:tc>
        <w:tc>
          <w:tcPr>
            <w:tcW w:w="740" w:type="dxa"/>
            <w:vAlign w:val="bottom"/>
          </w:tcPr>
          <w:p>
            <w:pPr>
              <w:jc w:val="right"/>
              <w:spacing w:after="0"/>
              <w:rPr>
                <w:sz w:val="20"/>
                <w:szCs w:val="20"/>
                <w:color w:val="auto"/>
              </w:rPr>
            </w:pPr>
            <w:r>
              <w:rPr>
                <w:rFonts w:ascii="Arial" w:cs="Arial" w:eastAsia="Arial" w:hAnsi="Arial"/>
                <w:sz w:val="13"/>
                <w:szCs w:val="13"/>
                <w:color w:val="auto"/>
              </w:rPr>
              <w:t>03/30/2019</w:t>
            </w:r>
          </w:p>
        </w:tc>
        <w:tc>
          <w:tcPr>
            <w:tcW w:w="8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780" w:type="dxa"/>
            <w:vAlign w:val="bottom"/>
          </w:tcPr>
          <w:p>
            <w:pPr>
              <w:jc w:val="right"/>
              <w:ind w:right="17"/>
              <w:spacing w:after="0"/>
              <w:rPr>
                <w:sz w:val="20"/>
                <w:szCs w:val="20"/>
                <w:color w:val="auto"/>
              </w:rPr>
            </w:pPr>
            <w:r>
              <w:rPr>
                <w:rFonts w:ascii="Arial" w:cs="Arial" w:eastAsia="Arial" w:hAnsi="Arial"/>
                <w:sz w:val="13"/>
                <w:szCs w:val="13"/>
                <w:color w:val="auto"/>
              </w:rPr>
              <w:t>463</w:t>
            </w:r>
          </w:p>
        </w:tc>
        <w:tc>
          <w:tcPr>
            <w:tcW w:w="580" w:type="dxa"/>
            <w:vAlign w:val="bottom"/>
          </w:tcPr>
          <w:p>
            <w:pPr>
              <w:jc w:val="right"/>
              <w:ind w:right="17"/>
              <w:spacing w:after="0"/>
              <w:rPr>
                <w:sz w:val="20"/>
                <w:szCs w:val="20"/>
                <w:color w:val="auto"/>
              </w:rPr>
            </w:pPr>
            <w:r>
              <w:rPr>
                <w:rFonts w:ascii="Arial" w:cs="Arial" w:eastAsia="Arial" w:hAnsi="Arial"/>
                <w:sz w:val="13"/>
                <w:szCs w:val="13"/>
                <w:color w:val="auto"/>
              </w:rPr>
              <w:t>2,313</w:t>
            </w:r>
          </w:p>
        </w:tc>
        <w:tc>
          <w:tcPr>
            <w:tcW w:w="760" w:type="dxa"/>
            <w:vAlign w:val="bottom"/>
          </w:tcPr>
          <w:p>
            <w:pPr>
              <w:jc w:val="right"/>
              <w:spacing w:after="0"/>
              <w:rPr>
                <w:sz w:val="20"/>
                <w:szCs w:val="20"/>
                <w:color w:val="auto"/>
              </w:rPr>
            </w:pPr>
            <w:r>
              <w:rPr>
                <w:rFonts w:ascii="Arial" w:cs="Arial" w:eastAsia="Arial" w:hAnsi="Arial"/>
                <w:sz w:val="13"/>
                <w:szCs w:val="13"/>
                <w:color w:val="auto"/>
              </w:rPr>
              <w:t>4,262</w:t>
            </w:r>
          </w:p>
        </w:tc>
        <w:tc>
          <w:tcPr>
            <w:tcW w:w="7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760" w:type="dxa"/>
            <w:vAlign w:val="bottom"/>
          </w:tcPr>
          <w:p>
            <w:pPr>
              <w:jc w:val="right"/>
              <w:spacing w:after="0"/>
              <w:rPr>
                <w:sz w:val="20"/>
                <w:szCs w:val="20"/>
                <w:color w:val="auto"/>
              </w:rPr>
            </w:pPr>
            <w:r>
              <w:rPr>
                <w:rFonts w:ascii="Arial" w:cs="Arial" w:eastAsia="Arial" w:hAnsi="Arial"/>
                <w:sz w:val="10"/>
                <w:szCs w:val="10"/>
                <w:color w:val="auto"/>
              </w:rPr>
              <w:t>(2)</w:t>
            </w:r>
          </w:p>
        </w:tc>
        <w:tc>
          <w:tcPr>
            <w:tcW w:w="660" w:type="dxa"/>
            <w:vAlign w:val="bottom"/>
          </w:tcPr>
          <w:p>
            <w:pPr>
              <w:jc w:val="right"/>
              <w:spacing w:after="0"/>
              <w:rPr>
                <w:sz w:val="20"/>
                <w:szCs w:val="20"/>
                <w:color w:val="auto"/>
              </w:rPr>
            </w:pPr>
            <w:r>
              <w:rPr>
                <w:rFonts w:ascii="Arial" w:cs="Arial" w:eastAsia="Arial" w:hAnsi="Arial"/>
                <w:sz w:val="13"/>
                <w:szCs w:val="13"/>
                <w:color w:val="auto"/>
              </w:rPr>
              <w:t>224,939</w:t>
            </w:r>
          </w:p>
        </w:tc>
        <w:tc>
          <w:tcPr>
            <w:tcW w:w="0" w:type="dxa"/>
            <w:vAlign w:val="bottom"/>
          </w:tcPr>
          <w:p>
            <w:pPr>
              <w:spacing w:after="0"/>
              <w:rPr>
                <w:sz w:val="1"/>
                <w:szCs w:val="1"/>
                <w:color w:val="auto"/>
              </w:rPr>
            </w:pPr>
          </w:p>
        </w:tc>
      </w:tr>
      <w:tr>
        <w:trPr>
          <w:trHeight w:val="57"/>
        </w:trPr>
        <w:tc>
          <w:tcPr>
            <w:tcW w:w="1120" w:type="dxa"/>
            <w:vAlign w:val="bottom"/>
          </w:tcPr>
          <w:p>
            <w:pPr>
              <w:spacing w:after="0"/>
              <w:rPr>
                <w:sz w:val="4"/>
                <w:szCs w:val="4"/>
                <w:color w:val="auto"/>
              </w:rPr>
            </w:pPr>
          </w:p>
        </w:tc>
        <w:tc>
          <w:tcPr>
            <w:tcW w:w="740" w:type="dxa"/>
            <w:vAlign w:val="bottom"/>
          </w:tcPr>
          <w:p>
            <w:pPr>
              <w:spacing w:after="0"/>
              <w:rPr>
                <w:sz w:val="4"/>
                <w:szCs w:val="4"/>
                <w:color w:val="auto"/>
              </w:rPr>
            </w:pPr>
          </w:p>
        </w:tc>
        <w:tc>
          <w:tcPr>
            <w:tcW w:w="800" w:type="dxa"/>
            <w:vAlign w:val="bottom"/>
          </w:tcPr>
          <w:p>
            <w:pPr>
              <w:spacing w:after="0"/>
              <w:rPr>
                <w:sz w:val="4"/>
                <w:szCs w:val="4"/>
                <w:color w:val="auto"/>
              </w:rPr>
            </w:pPr>
          </w:p>
        </w:tc>
        <w:tc>
          <w:tcPr>
            <w:tcW w:w="620" w:type="dxa"/>
            <w:vAlign w:val="bottom"/>
          </w:tcPr>
          <w:p>
            <w:pPr>
              <w:spacing w:after="0"/>
              <w:rPr>
                <w:sz w:val="4"/>
                <w:szCs w:val="4"/>
                <w:color w:val="auto"/>
              </w:rPr>
            </w:pPr>
          </w:p>
        </w:tc>
        <w:tc>
          <w:tcPr>
            <w:tcW w:w="760" w:type="dxa"/>
            <w:vAlign w:val="bottom"/>
          </w:tcPr>
          <w:p>
            <w:pPr>
              <w:spacing w:after="0"/>
              <w:rPr>
                <w:sz w:val="4"/>
                <w:szCs w:val="4"/>
                <w:color w:val="auto"/>
              </w:rPr>
            </w:pPr>
          </w:p>
        </w:tc>
        <w:tc>
          <w:tcPr>
            <w:tcW w:w="780" w:type="dxa"/>
            <w:vAlign w:val="bottom"/>
          </w:tcPr>
          <w:p>
            <w:pPr>
              <w:spacing w:after="0"/>
              <w:rPr>
                <w:sz w:val="4"/>
                <w:szCs w:val="4"/>
                <w:color w:val="auto"/>
              </w:rPr>
            </w:pPr>
          </w:p>
        </w:tc>
        <w:tc>
          <w:tcPr>
            <w:tcW w:w="580" w:type="dxa"/>
            <w:vAlign w:val="bottom"/>
          </w:tcPr>
          <w:p>
            <w:pPr>
              <w:spacing w:after="0"/>
              <w:rPr>
                <w:sz w:val="4"/>
                <w:szCs w:val="4"/>
                <w:color w:val="auto"/>
              </w:rPr>
            </w:pPr>
          </w:p>
        </w:tc>
        <w:tc>
          <w:tcPr>
            <w:tcW w:w="760" w:type="dxa"/>
            <w:vAlign w:val="bottom"/>
          </w:tcPr>
          <w:p>
            <w:pPr>
              <w:spacing w:after="0"/>
              <w:rPr>
                <w:sz w:val="4"/>
                <w:szCs w:val="4"/>
                <w:color w:val="auto"/>
              </w:rPr>
            </w:pPr>
          </w:p>
        </w:tc>
        <w:tc>
          <w:tcPr>
            <w:tcW w:w="780" w:type="dxa"/>
            <w:vAlign w:val="bottom"/>
          </w:tcPr>
          <w:p>
            <w:pPr>
              <w:spacing w:after="0"/>
              <w:rPr>
                <w:sz w:val="4"/>
                <w:szCs w:val="4"/>
                <w:color w:val="auto"/>
              </w:rPr>
            </w:pPr>
          </w:p>
        </w:tc>
        <w:tc>
          <w:tcPr>
            <w:tcW w:w="820" w:type="dxa"/>
            <w:vAlign w:val="bottom"/>
          </w:tcPr>
          <w:p>
            <w:pPr>
              <w:spacing w:after="0"/>
              <w:rPr>
                <w:sz w:val="4"/>
                <w:szCs w:val="4"/>
                <w:color w:val="auto"/>
              </w:rPr>
            </w:pPr>
          </w:p>
        </w:tc>
        <w:tc>
          <w:tcPr>
            <w:tcW w:w="760" w:type="dxa"/>
            <w:vAlign w:val="bottom"/>
          </w:tcPr>
          <w:p>
            <w:pPr>
              <w:spacing w:after="0"/>
              <w:rPr>
                <w:sz w:val="4"/>
                <w:szCs w:val="4"/>
                <w:color w:val="auto"/>
              </w:rPr>
            </w:pPr>
          </w:p>
        </w:tc>
        <w:tc>
          <w:tcPr>
            <w:tcW w:w="6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86"/>
        </w:trPr>
        <w:tc>
          <w:tcPr>
            <w:tcW w:w="1120" w:type="dxa"/>
            <w:vAlign w:val="bottom"/>
          </w:tcPr>
          <w:p>
            <w:pPr>
              <w:spacing w:after="0"/>
              <w:rPr>
                <w:sz w:val="16"/>
                <w:szCs w:val="16"/>
                <w:color w:val="auto"/>
              </w:rPr>
            </w:pPr>
          </w:p>
        </w:tc>
        <w:tc>
          <w:tcPr>
            <w:tcW w:w="740" w:type="dxa"/>
            <w:vAlign w:val="bottom"/>
            <w:shd w:val="clear" w:color="auto" w:fill="EFE9FC"/>
          </w:tcPr>
          <w:p>
            <w:pPr>
              <w:jc w:val="right"/>
              <w:spacing w:after="0"/>
              <w:rPr>
                <w:sz w:val="20"/>
                <w:szCs w:val="20"/>
                <w:color w:val="auto"/>
              </w:rPr>
            </w:pPr>
            <w:r>
              <w:rPr>
                <w:rFonts w:ascii="Arial" w:cs="Arial" w:eastAsia="Arial" w:hAnsi="Arial"/>
                <w:sz w:val="13"/>
                <w:szCs w:val="13"/>
                <w:color w:val="auto"/>
              </w:rPr>
              <w:t>03/30/2019</w:t>
            </w:r>
          </w:p>
        </w:tc>
        <w:tc>
          <w:tcPr>
            <w:tcW w:w="800" w:type="dxa"/>
            <w:vAlign w:val="bottom"/>
            <w:shd w:val="clear" w:color="auto" w:fill="EFE9FC"/>
          </w:tcPr>
          <w:p>
            <w:pPr>
              <w:spacing w:after="0"/>
              <w:rPr>
                <w:sz w:val="16"/>
                <w:szCs w:val="16"/>
                <w:color w:val="auto"/>
              </w:rPr>
            </w:pPr>
          </w:p>
        </w:tc>
        <w:tc>
          <w:tcPr>
            <w:tcW w:w="620" w:type="dxa"/>
            <w:vAlign w:val="bottom"/>
            <w:shd w:val="clear" w:color="auto" w:fill="EFE9FC"/>
          </w:tcPr>
          <w:p>
            <w:pPr>
              <w:spacing w:after="0"/>
              <w:rPr>
                <w:sz w:val="16"/>
                <w:szCs w:val="16"/>
                <w:color w:val="auto"/>
              </w:rPr>
            </w:pPr>
          </w:p>
        </w:tc>
        <w:tc>
          <w:tcPr>
            <w:tcW w:w="760" w:type="dxa"/>
            <w:vAlign w:val="bottom"/>
            <w:shd w:val="clear" w:color="auto" w:fill="EFE9FC"/>
          </w:tcPr>
          <w:p>
            <w:pPr>
              <w:spacing w:after="0"/>
              <w:rPr>
                <w:sz w:val="16"/>
                <w:szCs w:val="16"/>
                <w:color w:val="auto"/>
              </w:rPr>
            </w:pPr>
          </w:p>
        </w:tc>
        <w:tc>
          <w:tcPr>
            <w:tcW w:w="780" w:type="dxa"/>
            <w:vAlign w:val="bottom"/>
            <w:shd w:val="clear" w:color="auto" w:fill="EFE9FC"/>
          </w:tcPr>
          <w:p>
            <w:pPr>
              <w:spacing w:after="0"/>
              <w:rPr>
                <w:sz w:val="16"/>
                <w:szCs w:val="16"/>
                <w:color w:val="auto"/>
              </w:rPr>
            </w:pPr>
          </w:p>
        </w:tc>
        <w:tc>
          <w:tcPr>
            <w:tcW w:w="580" w:type="dxa"/>
            <w:vAlign w:val="bottom"/>
            <w:shd w:val="clear" w:color="auto" w:fill="EFE9FC"/>
          </w:tcPr>
          <w:p>
            <w:pPr>
              <w:spacing w:after="0"/>
              <w:rPr>
                <w:sz w:val="16"/>
                <w:szCs w:val="16"/>
                <w:color w:val="auto"/>
              </w:rPr>
            </w:pPr>
          </w:p>
        </w:tc>
        <w:tc>
          <w:tcPr>
            <w:tcW w:w="760" w:type="dxa"/>
            <w:vAlign w:val="bottom"/>
            <w:shd w:val="clear" w:color="auto" w:fill="EFE9FC"/>
          </w:tcPr>
          <w:p>
            <w:pPr>
              <w:spacing w:after="0"/>
              <w:rPr>
                <w:sz w:val="16"/>
                <w:szCs w:val="16"/>
                <w:color w:val="auto"/>
              </w:rPr>
            </w:pPr>
          </w:p>
        </w:tc>
        <w:tc>
          <w:tcPr>
            <w:tcW w:w="780" w:type="dxa"/>
            <w:vAlign w:val="bottom"/>
            <w:shd w:val="clear" w:color="auto" w:fill="EFE9FC"/>
          </w:tcPr>
          <w:p>
            <w:pPr>
              <w:jc w:val="right"/>
              <w:spacing w:after="0"/>
              <w:rPr>
                <w:sz w:val="20"/>
                <w:szCs w:val="20"/>
                <w:color w:val="auto"/>
              </w:rPr>
            </w:pPr>
            <w:r>
              <w:rPr>
                <w:rFonts w:ascii="Arial" w:cs="Arial" w:eastAsia="Arial" w:hAnsi="Arial"/>
                <w:sz w:val="13"/>
                <w:szCs w:val="13"/>
                <w:color w:val="auto"/>
              </w:rPr>
              <w:t>2,313</w:t>
            </w:r>
          </w:p>
        </w:tc>
        <w:tc>
          <w:tcPr>
            <w:tcW w:w="820" w:type="dxa"/>
            <w:vAlign w:val="bottom"/>
            <w:shd w:val="clear" w:color="auto" w:fill="EFE9FC"/>
          </w:tcPr>
          <w:p>
            <w:pPr>
              <w:spacing w:after="0"/>
              <w:rPr>
                <w:sz w:val="16"/>
                <w:szCs w:val="16"/>
                <w:color w:val="auto"/>
              </w:rPr>
            </w:pPr>
          </w:p>
        </w:tc>
        <w:tc>
          <w:tcPr>
            <w:tcW w:w="760" w:type="dxa"/>
            <w:vAlign w:val="bottom"/>
            <w:shd w:val="clear" w:color="auto" w:fill="EFE9FC"/>
          </w:tcPr>
          <w:p>
            <w:pPr>
              <w:jc w:val="right"/>
              <w:spacing w:after="0"/>
              <w:rPr>
                <w:sz w:val="20"/>
                <w:szCs w:val="20"/>
                <w:color w:val="auto"/>
              </w:rPr>
            </w:pPr>
            <w:r>
              <w:rPr>
                <w:rFonts w:ascii="Arial" w:cs="Arial" w:eastAsia="Arial" w:hAnsi="Arial"/>
                <w:sz w:val="10"/>
                <w:szCs w:val="10"/>
                <w:color w:val="auto"/>
              </w:rPr>
              <w:t>(1)</w:t>
            </w:r>
          </w:p>
        </w:tc>
        <w:tc>
          <w:tcPr>
            <w:tcW w:w="660" w:type="dxa"/>
            <w:vAlign w:val="bottom"/>
            <w:shd w:val="clear" w:color="auto" w:fill="EFE9FC"/>
          </w:tcPr>
          <w:p>
            <w:pPr>
              <w:jc w:val="right"/>
              <w:spacing w:after="0"/>
              <w:rPr>
                <w:sz w:val="20"/>
                <w:szCs w:val="20"/>
                <w:color w:val="auto"/>
              </w:rPr>
            </w:pPr>
            <w:r>
              <w:rPr>
                <w:rFonts w:ascii="Arial" w:cs="Arial" w:eastAsia="Arial" w:hAnsi="Arial"/>
                <w:sz w:val="13"/>
                <w:szCs w:val="13"/>
                <w:color w:val="auto"/>
              </w:rPr>
              <w:t>224,939</w:t>
            </w:r>
          </w:p>
        </w:tc>
        <w:tc>
          <w:tcPr>
            <w:tcW w:w="0" w:type="dxa"/>
            <w:vAlign w:val="bottom"/>
          </w:tcPr>
          <w:p>
            <w:pPr>
              <w:spacing w:after="0"/>
              <w:rPr>
                <w:sz w:val="1"/>
                <w:szCs w:val="1"/>
                <w:color w:val="auto"/>
              </w:rPr>
            </w:pPr>
          </w:p>
        </w:tc>
      </w:tr>
      <w:tr>
        <w:trPr>
          <w:trHeight w:val="70"/>
        </w:trPr>
        <w:tc>
          <w:tcPr>
            <w:tcW w:w="1120" w:type="dxa"/>
            <w:vAlign w:val="bottom"/>
          </w:tcPr>
          <w:p>
            <w:pPr>
              <w:spacing w:after="0"/>
              <w:rPr>
                <w:sz w:val="6"/>
                <w:szCs w:val="6"/>
                <w:color w:val="auto"/>
              </w:rPr>
            </w:pPr>
          </w:p>
        </w:tc>
        <w:tc>
          <w:tcPr>
            <w:tcW w:w="740" w:type="dxa"/>
            <w:vAlign w:val="bottom"/>
            <w:shd w:val="clear" w:color="auto" w:fill="EFE9FC"/>
          </w:tcPr>
          <w:p>
            <w:pPr>
              <w:spacing w:after="0"/>
              <w:rPr>
                <w:sz w:val="6"/>
                <w:szCs w:val="6"/>
                <w:color w:val="auto"/>
              </w:rPr>
            </w:pPr>
          </w:p>
        </w:tc>
        <w:tc>
          <w:tcPr>
            <w:tcW w:w="800" w:type="dxa"/>
            <w:vAlign w:val="bottom"/>
            <w:shd w:val="clear" w:color="auto" w:fill="EFE9FC"/>
          </w:tcPr>
          <w:p>
            <w:pPr>
              <w:spacing w:after="0"/>
              <w:rPr>
                <w:sz w:val="6"/>
                <w:szCs w:val="6"/>
                <w:color w:val="auto"/>
              </w:rPr>
            </w:pPr>
          </w:p>
        </w:tc>
        <w:tc>
          <w:tcPr>
            <w:tcW w:w="620" w:type="dxa"/>
            <w:vAlign w:val="bottom"/>
            <w:shd w:val="clear" w:color="auto" w:fill="EFE9FC"/>
          </w:tcPr>
          <w:p>
            <w:pPr>
              <w:spacing w:after="0"/>
              <w:rPr>
                <w:sz w:val="6"/>
                <w:szCs w:val="6"/>
                <w:color w:val="auto"/>
              </w:rPr>
            </w:pPr>
          </w:p>
        </w:tc>
        <w:tc>
          <w:tcPr>
            <w:tcW w:w="760" w:type="dxa"/>
            <w:vAlign w:val="bottom"/>
            <w:shd w:val="clear" w:color="auto" w:fill="EFE9FC"/>
          </w:tcPr>
          <w:p>
            <w:pPr>
              <w:spacing w:after="0"/>
              <w:rPr>
                <w:sz w:val="6"/>
                <w:szCs w:val="6"/>
                <w:color w:val="auto"/>
              </w:rPr>
            </w:pPr>
          </w:p>
        </w:tc>
        <w:tc>
          <w:tcPr>
            <w:tcW w:w="780" w:type="dxa"/>
            <w:vAlign w:val="bottom"/>
            <w:shd w:val="clear" w:color="auto" w:fill="EFE9FC"/>
          </w:tcPr>
          <w:p>
            <w:pPr>
              <w:spacing w:after="0"/>
              <w:rPr>
                <w:sz w:val="6"/>
                <w:szCs w:val="6"/>
                <w:color w:val="auto"/>
              </w:rPr>
            </w:pPr>
          </w:p>
        </w:tc>
        <w:tc>
          <w:tcPr>
            <w:tcW w:w="580" w:type="dxa"/>
            <w:vAlign w:val="bottom"/>
            <w:shd w:val="clear" w:color="auto" w:fill="EFE9FC"/>
          </w:tcPr>
          <w:p>
            <w:pPr>
              <w:spacing w:after="0"/>
              <w:rPr>
                <w:sz w:val="6"/>
                <w:szCs w:val="6"/>
                <w:color w:val="auto"/>
              </w:rPr>
            </w:pPr>
          </w:p>
        </w:tc>
        <w:tc>
          <w:tcPr>
            <w:tcW w:w="760" w:type="dxa"/>
            <w:vAlign w:val="bottom"/>
            <w:shd w:val="clear" w:color="auto" w:fill="EFE9FC"/>
          </w:tcPr>
          <w:p>
            <w:pPr>
              <w:spacing w:after="0"/>
              <w:rPr>
                <w:sz w:val="6"/>
                <w:szCs w:val="6"/>
                <w:color w:val="auto"/>
              </w:rPr>
            </w:pPr>
          </w:p>
        </w:tc>
        <w:tc>
          <w:tcPr>
            <w:tcW w:w="780" w:type="dxa"/>
            <w:vAlign w:val="bottom"/>
            <w:shd w:val="clear" w:color="auto" w:fill="EFE9FC"/>
          </w:tcPr>
          <w:p>
            <w:pPr>
              <w:spacing w:after="0"/>
              <w:rPr>
                <w:sz w:val="6"/>
                <w:szCs w:val="6"/>
                <w:color w:val="auto"/>
              </w:rPr>
            </w:pPr>
          </w:p>
        </w:tc>
        <w:tc>
          <w:tcPr>
            <w:tcW w:w="820" w:type="dxa"/>
            <w:vAlign w:val="bottom"/>
            <w:shd w:val="clear" w:color="auto" w:fill="EFE9FC"/>
          </w:tcPr>
          <w:p>
            <w:pPr>
              <w:spacing w:after="0"/>
              <w:rPr>
                <w:sz w:val="6"/>
                <w:szCs w:val="6"/>
                <w:color w:val="auto"/>
              </w:rPr>
            </w:pPr>
          </w:p>
        </w:tc>
        <w:tc>
          <w:tcPr>
            <w:tcW w:w="760" w:type="dxa"/>
            <w:vAlign w:val="bottom"/>
            <w:shd w:val="clear" w:color="auto" w:fill="EFE9FC"/>
          </w:tcPr>
          <w:p>
            <w:pPr>
              <w:spacing w:after="0"/>
              <w:rPr>
                <w:sz w:val="6"/>
                <w:szCs w:val="6"/>
                <w:color w:val="auto"/>
              </w:rPr>
            </w:pPr>
          </w:p>
        </w:tc>
        <w:tc>
          <w:tcPr>
            <w:tcW w:w="660" w:type="dxa"/>
            <w:vAlign w:val="bottom"/>
            <w:shd w:val="clear" w:color="auto" w:fill="EFE9FC"/>
          </w:tcPr>
          <w:p>
            <w:pPr>
              <w:spacing w:after="0"/>
              <w:rPr>
                <w:sz w:val="6"/>
                <w:szCs w:val="6"/>
                <w:color w:val="auto"/>
              </w:rPr>
            </w:pPr>
          </w:p>
        </w:tc>
        <w:tc>
          <w:tcPr>
            <w:tcW w:w="0" w:type="dxa"/>
            <w:vAlign w:val="bottom"/>
          </w:tcPr>
          <w:p>
            <w:pPr>
              <w:spacing w:after="0"/>
              <w:rPr>
                <w:sz w:val="1"/>
                <w:szCs w:val="1"/>
                <w:color w:val="auto"/>
              </w:rPr>
            </w:pPr>
          </w:p>
        </w:tc>
      </w:tr>
      <w:tr>
        <w:trPr>
          <w:trHeight w:val="230"/>
        </w:trPr>
        <w:tc>
          <w:tcPr>
            <w:tcW w:w="1120" w:type="dxa"/>
            <w:vAlign w:val="bottom"/>
            <w:tcBorders>
              <w:bottom w:val="single" w:sz="8" w:color="4800E6"/>
            </w:tcBorders>
          </w:tcPr>
          <w:p>
            <w:pPr>
              <w:spacing w:after="0"/>
              <w:rPr>
                <w:sz w:val="19"/>
                <w:szCs w:val="19"/>
                <w:color w:val="auto"/>
              </w:rPr>
            </w:pPr>
          </w:p>
        </w:tc>
        <w:tc>
          <w:tcPr>
            <w:tcW w:w="740" w:type="dxa"/>
            <w:vAlign w:val="bottom"/>
            <w:tcBorders>
              <w:bottom w:val="single" w:sz="8" w:color="4800E6"/>
            </w:tcBorders>
          </w:tcPr>
          <w:p>
            <w:pPr>
              <w:jc w:val="right"/>
              <w:spacing w:after="0"/>
              <w:rPr>
                <w:sz w:val="20"/>
                <w:szCs w:val="20"/>
                <w:color w:val="auto"/>
              </w:rPr>
            </w:pPr>
            <w:r>
              <w:rPr>
                <w:rFonts w:ascii="Arial" w:cs="Arial" w:eastAsia="Arial" w:hAnsi="Arial"/>
                <w:sz w:val="13"/>
                <w:szCs w:val="13"/>
                <w:color w:val="auto"/>
              </w:rPr>
              <w:t>03/30/2019</w:t>
            </w:r>
          </w:p>
        </w:tc>
        <w:tc>
          <w:tcPr>
            <w:tcW w:w="800" w:type="dxa"/>
            <w:vAlign w:val="bottom"/>
            <w:tcBorders>
              <w:bottom w:val="single" w:sz="8" w:color="4800E6"/>
            </w:tcBorders>
          </w:tcPr>
          <w:p>
            <w:pPr>
              <w:spacing w:after="0"/>
              <w:rPr>
                <w:sz w:val="19"/>
                <w:szCs w:val="19"/>
                <w:color w:val="auto"/>
              </w:rPr>
            </w:pPr>
          </w:p>
        </w:tc>
        <w:tc>
          <w:tcPr>
            <w:tcW w:w="620" w:type="dxa"/>
            <w:vAlign w:val="bottom"/>
            <w:tcBorders>
              <w:bottom w:val="single" w:sz="8" w:color="4800E6"/>
            </w:tcBorders>
          </w:tcPr>
          <w:p>
            <w:pPr>
              <w:spacing w:after="0"/>
              <w:rPr>
                <w:sz w:val="19"/>
                <w:szCs w:val="19"/>
                <w:color w:val="auto"/>
              </w:rPr>
            </w:pPr>
          </w:p>
        </w:tc>
        <w:tc>
          <w:tcPr>
            <w:tcW w:w="760" w:type="dxa"/>
            <w:vAlign w:val="bottom"/>
            <w:tcBorders>
              <w:bottom w:val="single" w:sz="8" w:color="4800E6"/>
            </w:tcBorders>
          </w:tcPr>
          <w:p>
            <w:pPr>
              <w:spacing w:after="0"/>
              <w:rPr>
                <w:sz w:val="19"/>
                <w:szCs w:val="19"/>
                <w:color w:val="auto"/>
              </w:rPr>
            </w:pPr>
          </w:p>
        </w:tc>
        <w:tc>
          <w:tcPr>
            <w:tcW w:w="780" w:type="dxa"/>
            <w:vAlign w:val="bottom"/>
            <w:tcBorders>
              <w:bottom w:val="single" w:sz="8" w:color="4800E6"/>
            </w:tcBorders>
          </w:tcPr>
          <w:p>
            <w:pPr>
              <w:spacing w:after="0"/>
              <w:rPr>
                <w:sz w:val="19"/>
                <w:szCs w:val="19"/>
                <w:color w:val="auto"/>
              </w:rPr>
            </w:pPr>
          </w:p>
        </w:tc>
        <w:tc>
          <w:tcPr>
            <w:tcW w:w="580" w:type="dxa"/>
            <w:vAlign w:val="bottom"/>
            <w:tcBorders>
              <w:bottom w:val="single" w:sz="8" w:color="4800E6"/>
            </w:tcBorders>
          </w:tcPr>
          <w:p>
            <w:pPr>
              <w:spacing w:after="0"/>
              <w:rPr>
                <w:sz w:val="19"/>
                <w:szCs w:val="19"/>
                <w:color w:val="auto"/>
              </w:rPr>
            </w:pPr>
          </w:p>
        </w:tc>
        <w:tc>
          <w:tcPr>
            <w:tcW w:w="760" w:type="dxa"/>
            <w:vAlign w:val="bottom"/>
            <w:tcBorders>
              <w:bottom w:val="single" w:sz="8" w:color="4800E6"/>
            </w:tcBorders>
          </w:tcPr>
          <w:p>
            <w:pPr>
              <w:spacing w:after="0"/>
              <w:rPr>
                <w:sz w:val="19"/>
                <w:szCs w:val="19"/>
                <w:color w:val="auto"/>
              </w:rPr>
            </w:pPr>
          </w:p>
        </w:tc>
        <w:tc>
          <w:tcPr>
            <w:tcW w:w="780" w:type="dxa"/>
            <w:vAlign w:val="bottom"/>
            <w:tcBorders>
              <w:bottom w:val="single" w:sz="8" w:color="4800E6"/>
            </w:tcBorders>
          </w:tcPr>
          <w:p>
            <w:pPr>
              <w:spacing w:after="0"/>
              <w:rPr>
                <w:sz w:val="19"/>
                <w:szCs w:val="19"/>
                <w:color w:val="auto"/>
              </w:rPr>
            </w:pPr>
          </w:p>
        </w:tc>
        <w:tc>
          <w:tcPr>
            <w:tcW w:w="820" w:type="dxa"/>
            <w:vAlign w:val="bottom"/>
            <w:tcBorders>
              <w:bottom w:val="single" w:sz="8" w:color="4800E6"/>
            </w:tcBorders>
          </w:tcPr>
          <w:p>
            <w:pPr>
              <w:jc w:val="right"/>
              <w:spacing w:after="0"/>
              <w:rPr>
                <w:sz w:val="20"/>
                <w:szCs w:val="20"/>
                <w:color w:val="auto"/>
              </w:rPr>
            </w:pPr>
            <w:r>
              <w:rPr>
                <w:rFonts w:ascii="Arial" w:cs="Arial" w:eastAsia="Arial" w:hAnsi="Arial"/>
                <w:sz w:val="13"/>
                <w:szCs w:val="13"/>
                <w:color w:val="auto"/>
              </w:rPr>
              <w:t>7,084</w:t>
            </w:r>
          </w:p>
        </w:tc>
        <w:tc>
          <w:tcPr>
            <w:tcW w:w="760" w:type="dxa"/>
            <w:vAlign w:val="bottom"/>
            <w:tcBorders>
              <w:bottom w:val="single" w:sz="8" w:color="4800E6"/>
            </w:tcBorders>
          </w:tcPr>
          <w:p>
            <w:pPr>
              <w:jc w:val="right"/>
              <w:spacing w:after="0"/>
              <w:rPr>
                <w:sz w:val="20"/>
                <w:szCs w:val="20"/>
                <w:color w:val="auto"/>
              </w:rPr>
            </w:pPr>
            <w:r>
              <w:rPr>
                <w:rFonts w:ascii="Arial" w:cs="Arial" w:eastAsia="Arial" w:hAnsi="Arial"/>
                <w:sz w:val="13"/>
                <w:szCs w:val="13"/>
                <w:color w:val="auto"/>
              </w:rPr>
              <w:t>97.25</w:t>
            </w:r>
            <w:r>
              <w:rPr>
                <w:rFonts w:ascii="Arial" w:cs="Arial" w:eastAsia="Arial" w:hAnsi="Arial"/>
                <w:sz w:val="19"/>
                <w:szCs w:val="19"/>
                <w:color w:val="auto"/>
                <w:vertAlign w:val="superscript"/>
              </w:rPr>
              <w:t>(2)</w:t>
            </w:r>
          </w:p>
        </w:tc>
        <w:tc>
          <w:tcPr>
            <w:tcW w:w="660" w:type="dxa"/>
            <w:vAlign w:val="bottom"/>
            <w:tcBorders>
              <w:bottom w:val="single" w:sz="8" w:color="4800E6"/>
            </w:tcBorders>
          </w:tcPr>
          <w:p>
            <w:pPr>
              <w:jc w:val="right"/>
              <w:spacing w:after="0"/>
              <w:rPr>
                <w:sz w:val="20"/>
                <w:szCs w:val="20"/>
                <w:color w:val="auto"/>
              </w:rPr>
            </w:pPr>
            <w:r>
              <w:rPr>
                <w:rFonts w:ascii="Arial" w:cs="Arial" w:eastAsia="Arial" w:hAnsi="Arial"/>
                <w:sz w:val="13"/>
                <w:szCs w:val="13"/>
                <w:color w:val="auto"/>
              </w:rPr>
              <w:t>224,988</w:t>
            </w:r>
          </w:p>
        </w:tc>
        <w:tc>
          <w:tcPr>
            <w:tcW w:w="0" w:type="dxa"/>
            <w:vAlign w:val="bottom"/>
          </w:tcPr>
          <w:p>
            <w:pPr>
              <w:spacing w:after="0"/>
              <w:rPr>
                <w:sz w:val="1"/>
                <w:szCs w:val="1"/>
                <w:color w:val="auto"/>
              </w:rPr>
            </w:pPr>
          </w:p>
        </w:tc>
      </w:tr>
      <w:tr>
        <w:trPr>
          <w:trHeight w:val="217"/>
        </w:trPr>
        <w:tc>
          <w:tcPr>
            <w:tcW w:w="1120" w:type="dxa"/>
            <w:vAlign w:val="bottom"/>
          </w:tcPr>
          <w:p>
            <w:pPr>
              <w:ind w:left="40"/>
              <w:spacing w:after="0"/>
              <w:rPr>
                <w:sz w:val="20"/>
                <w:szCs w:val="20"/>
                <w:color w:val="auto"/>
              </w:rPr>
            </w:pPr>
            <w:r>
              <w:rPr>
                <w:rFonts w:ascii="Arial" w:cs="Arial" w:eastAsia="Arial" w:hAnsi="Arial"/>
                <w:sz w:val="13"/>
                <w:szCs w:val="13"/>
                <w:b w:val="1"/>
                <w:bCs w:val="1"/>
                <w:color w:val="auto"/>
              </w:rPr>
              <w:t>Edward Andrle</w:t>
            </w:r>
          </w:p>
        </w:tc>
        <w:tc>
          <w:tcPr>
            <w:tcW w:w="740" w:type="dxa"/>
            <w:vAlign w:val="bottom"/>
            <w:tcBorders>
              <w:bottom w:val="single" w:sz="8" w:color="EFE9FC"/>
            </w:tcBorders>
            <w:shd w:val="clear" w:color="auto" w:fill="EFE9FC"/>
          </w:tcPr>
          <w:p>
            <w:pPr>
              <w:spacing w:after="0"/>
              <w:rPr>
                <w:sz w:val="18"/>
                <w:szCs w:val="18"/>
                <w:color w:val="auto"/>
              </w:rPr>
            </w:pPr>
          </w:p>
        </w:tc>
        <w:tc>
          <w:tcPr>
            <w:tcW w:w="800" w:type="dxa"/>
            <w:vAlign w:val="bottom"/>
            <w:tcBorders>
              <w:bottom w:val="single" w:sz="8" w:color="EFE9FC"/>
            </w:tcBorders>
            <w:shd w:val="clear" w:color="auto" w:fill="EFE9FC"/>
          </w:tcPr>
          <w:p>
            <w:pPr>
              <w:jc w:val="right"/>
              <w:ind w:right="37"/>
              <w:spacing w:after="0"/>
              <w:rPr>
                <w:sz w:val="20"/>
                <w:szCs w:val="20"/>
                <w:color w:val="auto"/>
              </w:rPr>
            </w:pPr>
            <w:r>
              <w:rPr>
                <w:rFonts w:ascii="Arial" w:cs="Arial" w:eastAsia="Arial" w:hAnsi="Arial"/>
                <w:sz w:val="13"/>
                <w:szCs w:val="13"/>
                <w:color w:val="auto"/>
              </w:rPr>
              <w:t>0</w:t>
            </w:r>
          </w:p>
        </w:tc>
        <w:tc>
          <w:tcPr>
            <w:tcW w:w="620" w:type="dxa"/>
            <w:vAlign w:val="bottom"/>
            <w:tcBorders>
              <w:bottom w:val="single" w:sz="8" w:color="EFE9FC"/>
            </w:tcBorders>
            <w:shd w:val="clear" w:color="auto" w:fill="EFE9FC"/>
          </w:tcPr>
          <w:p>
            <w:pPr>
              <w:jc w:val="center"/>
              <w:spacing w:after="0"/>
              <w:rPr>
                <w:sz w:val="20"/>
                <w:szCs w:val="20"/>
                <w:color w:val="auto"/>
              </w:rPr>
            </w:pPr>
            <w:r>
              <w:rPr>
                <w:rFonts w:ascii="Arial" w:cs="Arial" w:eastAsia="Arial" w:hAnsi="Arial"/>
                <w:sz w:val="13"/>
                <w:szCs w:val="13"/>
                <w:color w:val="auto"/>
                <w:w w:val="97"/>
              </w:rPr>
              <w:t>274,658</w:t>
            </w:r>
          </w:p>
        </w:tc>
        <w:tc>
          <w:tcPr>
            <w:tcW w:w="760" w:type="dxa"/>
            <w:vAlign w:val="bottom"/>
            <w:tcBorders>
              <w:bottom w:val="single" w:sz="8" w:color="EFE9FC"/>
            </w:tcBorders>
            <w:shd w:val="clear" w:color="auto" w:fill="EFE9FC"/>
          </w:tcPr>
          <w:p>
            <w:pPr>
              <w:jc w:val="right"/>
              <w:spacing w:after="0"/>
              <w:rPr>
                <w:sz w:val="20"/>
                <w:szCs w:val="20"/>
                <w:color w:val="auto"/>
              </w:rPr>
            </w:pPr>
            <w:r>
              <w:rPr>
                <w:rFonts w:ascii="Arial" w:cs="Arial" w:eastAsia="Arial" w:hAnsi="Arial"/>
                <w:sz w:val="13"/>
                <w:szCs w:val="13"/>
                <w:color w:val="auto"/>
              </w:rPr>
              <w:t>428,466</w:t>
            </w:r>
          </w:p>
        </w:tc>
        <w:tc>
          <w:tcPr>
            <w:tcW w:w="780" w:type="dxa"/>
            <w:vAlign w:val="bottom"/>
            <w:tcBorders>
              <w:bottom w:val="single" w:sz="8" w:color="EFE9FC"/>
            </w:tcBorders>
            <w:shd w:val="clear" w:color="auto" w:fill="EFE9FC"/>
          </w:tcPr>
          <w:p>
            <w:pPr>
              <w:spacing w:after="0"/>
              <w:rPr>
                <w:sz w:val="18"/>
                <w:szCs w:val="18"/>
                <w:color w:val="auto"/>
              </w:rPr>
            </w:pPr>
          </w:p>
        </w:tc>
        <w:tc>
          <w:tcPr>
            <w:tcW w:w="580" w:type="dxa"/>
            <w:vAlign w:val="bottom"/>
            <w:tcBorders>
              <w:bottom w:val="single" w:sz="8" w:color="EFE9FC"/>
            </w:tcBorders>
            <w:shd w:val="clear" w:color="auto" w:fill="EFE9FC"/>
          </w:tcPr>
          <w:p>
            <w:pPr>
              <w:spacing w:after="0"/>
              <w:rPr>
                <w:sz w:val="18"/>
                <w:szCs w:val="18"/>
                <w:color w:val="auto"/>
              </w:rPr>
            </w:pPr>
          </w:p>
        </w:tc>
        <w:tc>
          <w:tcPr>
            <w:tcW w:w="760" w:type="dxa"/>
            <w:vAlign w:val="bottom"/>
            <w:tcBorders>
              <w:bottom w:val="single" w:sz="8" w:color="EFE9FC"/>
            </w:tcBorders>
            <w:shd w:val="clear" w:color="auto" w:fill="EFE9FC"/>
          </w:tcPr>
          <w:p>
            <w:pPr>
              <w:spacing w:after="0"/>
              <w:rPr>
                <w:sz w:val="18"/>
                <w:szCs w:val="18"/>
                <w:color w:val="auto"/>
              </w:rPr>
            </w:pPr>
          </w:p>
        </w:tc>
        <w:tc>
          <w:tcPr>
            <w:tcW w:w="780" w:type="dxa"/>
            <w:vAlign w:val="bottom"/>
            <w:tcBorders>
              <w:bottom w:val="single" w:sz="8" w:color="EFE9FC"/>
            </w:tcBorders>
            <w:shd w:val="clear" w:color="auto" w:fill="EFE9FC"/>
          </w:tcPr>
          <w:p>
            <w:pPr>
              <w:spacing w:after="0"/>
              <w:rPr>
                <w:sz w:val="18"/>
                <w:szCs w:val="18"/>
                <w:color w:val="auto"/>
              </w:rPr>
            </w:pPr>
          </w:p>
        </w:tc>
        <w:tc>
          <w:tcPr>
            <w:tcW w:w="820" w:type="dxa"/>
            <w:vAlign w:val="bottom"/>
            <w:tcBorders>
              <w:bottom w:val="single" w:sz="8" w:color="EFE9FC"/>
            </w:tcBorders>
            <w:shd w:val="clear" w:color="auto" w:fill="EFE9FC"/>
          </w:tcPr>
          <w:p>
            <w:pPr>
              <w:spacing w:after="0"/>
              <w:rPr>
                <w:sz w:val="18"/>
                <w:szCs w:val="18"/>
                <w:color w:val="auto"/>
              </w:rPr>
            </w:pPr>
          </w:p>
        </w:tc>
        <w:tc>
          <w:tcPr>
            <w:tcW w:w="760" w:type="dxa"/>
            <w:vAlign w:val="bottom"/>
            <w:tcBorders>
              <w:bottom w:val="single" w:sz="8" w:color="EFE9FC"/>
            </w:tcBorders>
            <w:shd w:val="clear" w:color="auto" w:fill="EFE9FC"/>
          </w:tcPr>
          <w:p>
            <w:pPr>
              <w:spacing w:after="0"/>
              <w:rPr>
                <w:sz w:val="18"/>
                <w:szCs w:val="18"/>
                <w:color w:val="auto"/>
              </w:rPr>
            </w:pPr>
          </w:p>
        </w:tc>
        <w:tc>
          <w:tcPr>
            <w:tcW w:w="660" w:type="dxa"/>
            <w:vAlign w:val="bottom"/>
            <w:tcBorders>
              <w:bottom w:val="single" w:sz="8" w:color="EFE9FC"/>
            </w:tcBorders>
            <w:shd w:val="clear" w:color="auto" w:fill="EFE9FC"/>
          </w:tcPr>
          <w:p>
            <w:pPr>
              <w:spacing w:after="0"/>
              <w:rPr>
                <w:sz w:val="18"/>
                <w:szCs w:val="18"/>
                <w:color w:val="auto"/>
              </w:rPr>
            </w:pPr>
          </w:p>
        </w:tc>
        <w:tc>
          <w:tcPr>
            <w:tcW w:w="0" w:type="dxa"/>
            <w:vAlign w:val="bottom"/>
          </w:tcPr>
          <w:p>
            <w:pPr>
              <w:spacing w:after="0"/>
              <w:rPr>
                <w:sz w:val="1"/>
                <w:szCs w:val="1"/>
                <w:color w:val="auto"/>
              </w:rPr>
            </w:pPr>
          </w:p>
        </w:tc>
      </w:tr>
      <w:tr>
        <w:trPr>
          <w:trHeight w:val="173"/>
        </w:trPr>
        <w:tc>
          <w:tcPr>
            <w:tcW w:w="1120" w:type="dxa"/>
            <w:vAlign w:val="bottom"/>
          </w:tcPr>
          <w:p>
            <w:pPr>
              <w:spacing w:after="0"/>
              <w:rPr>
                <w:sz w:val="15"/>
                <w:szCs w:val="15"/>
                <w:color w:val="auto"/>
              </w:rPr>
            </w:pPr>
          </w:p>
        </w:tc>
        <w:tc>
          <w:tcPr>
            <w:tcW w:w="740" w:type="dxa"/>
            <w:vAlign w:val="bottom"/>
          </w:tcPr>
          <w:p>
            <w:pPr>
              <w:jc w:val="right"/>
              <w:spacing w:after="0"/>
              <w:rPr>
                <w:sz w:val="20"/>
                <w:szCs w:val="20"/>
                <w:color w:val="auto"/>
              </w:rPr>
            </w:pPr>
            <w:r>
              <w:rPr>
                <w:rFonts w:ascii="Arial" w:cs="Arial" w:eastAsia="Arial" w:hAnsi="Arial"/>
                <w:sz w:val="13"/>
                <w:szCs w:val="13"/>
                <w:color w:val="auto"/>
              </w:rPr>
              <w:t>03/30/2019</w:t>
            </w:r>
          </w:p>
        </w:tc>
        <w:tc>
          <w:tcPr>
            <w:tcW w:w="8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780" w:type="dxa"/>
            <w:vAlign w:val="bottom"/>
          </w:tcPr>
          <w:p>
            <w:pPr>
              <w:jc w:val="right"/>
              <w:ind w:right="17"/>
              <w:spacing w:after="0"/>
              <w:rPr>
                <w:sz w:val="20"/>
                <w:szCs w:val="20"/>
                <w:color w:val="auto"/>
              </w:rPr>
            </w:pPr>
            <w:r>
              <w:rPr>
                <w:rFonts w:ascii="Arial" w:cs="Arial" w:eastAsia="Arial" w:hAnsi="Arial"/>
                <w:sz w:val="13"/>
                <w:szCs w:val="13"/>
                <w:color w:val="auto"/>
              </w:rPr>
              <w:t>771</w:t>
            </w:r>
          </w:p>
        </w:tc>
        <w:tc>
          <w:tcPr>
            <w:tcW w:w="580" w:type="dxa"/>
            <w:vAlign w:val="bottom"/>
          </w:tcPr>
          <w:p>
            <w:pPr>
              <w:jc w:val="right"/>
              <w:ind w:right="17"/>
              <w:spacing w:after="0"/>
              <w:rPr>
                <w:sz w:val="20"/>
                <w:szCs w:val="20"/>
                <w:color w:val="auto"/>
              </w:rPr>
            </w:pPr>
            <w:r>
              <w:rPr>
                <w:rFonts w:ascii="Arial" w:cs="Arial" w:eastAsia="Arial" w:hAnsi="Arial"/>
                <w:sz w:val="13"/>
                <w:szCs w:val="13"/>
                <w:color w:val="auto"/>
              </w:rPr>
              <w:t>1,928</w:t>
            </w:r>
          </w:p>
        </w:tc>
        <w:tc>
          <w:tcPr>
            <w:tcW w:w="760" w:type="dxa"/>
            <w:vAlign w:val="bottom"/>
          </w:tcPr>
          <w:p>
            <w:pPr>
              <w:jc w:val="right"/>
              <w:spacing w:after="0"/>
              <w:rPr>
                <w:sz w:val="20"/>
                <w:szCs w:val="20"/>
                <w:color w:val="auto"/>
              </w:rPr>
            </w:pPr>
            <w:r>
              <w:rPr>
                <w:rFonts w:ascii="Arial" w:cs="Arial" w:eastAsia="Arial" w:hAnsi="Arial"/>
                <w:sz w:val="13"/>
                <w:szCs w:val="13"/>
                <w:color w:val="auto"/>
              </w:rPr>
              <w:t>3,856</w:t>
            </w:r>
          </w:p>
        </w:tc>
        <w:tc>
          <w:tcPr>
            <w:tcW w:w="780" w:type="dxa"/>
            <w:vAlign w:val="bottom"/>
          </w:tcPr>
          <w:p>
            <w:pPr>
              <w:spacing w:after="0"/>
              <w:rPr>
                <w:sz w:val="15"/>
                <w:szCs w:val="15"/>
                <w:color w:val="auto"/>
              </w:rPr>
            </w:pPr>
          </w:p>
        </w:tc>
        <w:tc>
          <w:tcPr>
            <w:tcW w:w="820" w:type="dxa"/>
            <w:vAlign w:val="bottom"/>
          </w:tcPr>
          <w:p>
            <w:pPr>
              <w:jc w:val="right"/>
              <w:spacing w:after="0"/>
              <w:rPr>
                <w:sz w:val="20"/>
                <w:szCs w:val="20"/>
                <w:color w:val="auto"/>
              </w:rPr>
            </w:pPr>
            <w:r>
              <w:rPr>
                <w:rFonts w:ascii="Arial" w:cs="Arial" w:eastAsia="Arial" w:hAnsi="Arial"/>
                <w:sz w:val="13"/>
                <w:szCs w:val="13"/>
                <w:color w:val="auto"/>
              </w:rPr>
              <w:t>–</w:t>
            </w:r>
          </w:p>
        </w:tc>
        <w:tc>
          <w:tcPr>
            <w:tcW w:w="760" w:type="dxa"/>
            <w:vAlign w:val="bottom"/>
          </w:tcPr>
          <w:p>
            <w:pPr>
              <w:jc w:val="right"/>
              <w:spacing w:after="0"/>
              <w:rPr>
                <w:sz w:val="20"/>
                <w:szCs w:val="20"/>
                <w:color w:val="auto"/>
              </w:rPr>
            </w:pPr>
            <w:r>
              <w:rPr>
                <w:rFonts w:ascii="Arial" w:cs="Arial" w:eastAsia="Arial" w:hAnsi="Arial"/>
                <w:sz w:val="10"/>
                <w:szCs w:val="10"/>
                <w:color w:val="auto"/>
              </w:rPr>
              <w:t>(2)</w:t>
            </w:r>
          </w:p>
        </w:tc>
        <w:tc>
          <w:tcPr>
            <w:tcW w:w="660" w:type="dxa"/>
            <w:vAlign w:val="bottom"/>
          </w:tcPr>
          <w:p>
            <w:pPr>
              <w:jc w:val="right"/>
              <w:spacing w:after="0"/>
              <w:rPr>
                <w:sz w:val="20"/>
                <w:szCs w:val="20"/>
                <w:color w:val="auto"/>
              </w:rPr>
            </w:pPr>
            <w:r>
              <w:rPr>
                <w:rFonts w:ascii="Arial" w:cs="Arial" w:eastAsia="Arial" w:hAnsi="Arial"/>
                <w:sz w:val="13"/>
                <w:szCs w:val="13"/>
                <w:color w:val="auto"/>
              </w:rPr>
              <w:t>194,917</w:t>
            </w:r>
          </w:p>
        </w:tc>
        <w:tc>
          <w:tcPr>
            <w:tcW w:w="0" w:type="dxa"/>
            <w:vAlign w:val="bottom"/>
          </w:tcPr>
          <w:p>
            <w:pPr>
              <w:spacing w:after="0"/>
              <w:rPr>
                <w:sz w:val="1"/>
                <w:szCs w:val="1"/>
                <w:color w:val="auto"/>
              </w:rPr>
            </w:pPr>
          </w:p>
        </w:tc>
      </w:tr>
      <w:tr>
        <w:trPr>
          <w:trHeight w:val="70"/>
        </w:trPr>
        <w:tc>
          <w:tcPr>
            <w:tcW w:w="1120" w:type="dxa"/>
            <w:vAlign w:val="bottom"/>
          </w:tcPr>
          <w:p>
            <w:pPr>
              <w:spacing w:after="0"/>
              <w:rPr>
                <w:sz w:val="6"/>
                <w:szCs w:val="6"/>
                <w:color w:val="auto"/>
              </w:rPr>
            </w:pPr>
          </w:p>
        </w:tc>
        <w:tc>
          <w:tcPr>
            <w:tcW w:w="740" w:type="dxa"/>
            <w:vAlign w:val="bottom"/>
          </w:tcPr>
          <w:p>
            <w:pPr>
              <w:spacing w:after="0"/>
              <w:rPr>
                <w:sz w:val="6"/>
                <w:szCs w:val="6"/>
                <w:color w:val="auto"/>
              </w:rPr>
            </w:pPr>
          </w:p>
        </w:tc>
        <w:tc>
          <w:tcPr>
            <w:tcW w:w="800" w:type="dxa"/>
            <w:vAlign w:val="bottom"/>
          </w:tcPr>
          <w:p>
            <w:pPr>
              <w:spacing w:after="0"/>
              <w:rPr>
                <w:sz w:val="6"/>
                <w:szCs w:val="6"/>
                <w:color w:val="auto"/>
              </w:rPr>
            </w:pPr>
          </w:p>
        </w:tc>
        <w:tc>
          <w:tcPr>
            <w:tcW w:w="620" w:type="dxa"/>
            <w:vAlign w:val="bottom"/>
          </w:tcPr>
          <w:p>
            <w:pPr>
              <w:spacing w:after="0"/>
              <w:rPr>
                <w:sz w:val="6"/>
                <w:szCs w:val="6"/>
                <w:color w:val="auto"/>
              </w:rPr>
            </w:pPr>
          </w:p>
        </w:tc>
        <w:tc>
          <w:tcPr>
            <w:tcW w:w="760" w:type="dxa"/>
            <w:vAlign w:val="bottom"/>
          </w:tcPr>
          <w:p>
            <w:pPr>
              <w:spacing w:after="0"/>
              <w:rPr>
                <w:sz w:val="6"/>
                <w:szCs w:val="6"/>
                <w:color w:val="auto"/>
              </w:rPr>
            </w:pPr>
          </w:p>
        </w:tc>
        <w:tc>
          <w:tcPr>
            <w:tcW w:w="780" w:type="dxa"/>
            <w:vAlign w:val="bottom"/>
          </w:tcPr>
          <w:p>
            <w:pPr>
              <w:spacing w:after="0"/>
              <w:rPr>
                <w:sz w:val="6"/>
                <w:szCs w:val="6"/>
                <w:color w:val="auto"/>
              </w:rPr>
            </w:pPr>
          </w:p>
        </w:tc>
        <w:tc>
          <w:tcPr>
            <w:tcW w:w="580" w:type="dxa"/>
            <w:vAlign w:val="bottom"/>
          </w:tcPr>
          <w:p>
            <w:pPr>
              <w:spacing w:after="0"/>
              <w:rPr>
                <w:sz w:val="6"/>
                <w:szCs w:val="6"/>
                <w:color w:val="auto"/>
              </w:rPr>
            </w:pPr>
          </w:p>
        </w:tc>
        <w:tc>
          <w:tcPr>
            <w:tcW w:w="760" w:type="dxa"/>
            <w:vAlign w:val="bottom"/>
          </w:tcPr>
          <w:p>
            <w:pPr>
              <w:spacing w:after="0"/>
              <w:rPr>
                <w:sz w:val="6"/>
                <w:szCs w:val="6"/>
                <w:color w:val="auto"/>
              </w:rPr>
            </w:pPr>
          </w:p>
        </w:tc>
        <w:tc>
          <w:tcPr>
            <w:tcW w:w="780" w:type="dxa"/>
            <w:vAlign w:val="bottom"/>
          </w:tcPr>
          <w:p>
            <w:pPr>
              <w:spacing w:after="0"/>
              <w:rPr>
                <w:sz w:val="6"/>
                <w:szCs w:val="6"/>
                <w:color w:val="auto"/>
              </w:rPr>
            </w:pPr>
          </w:p>
        </w:tc>
        <w:tc>
          <w:tcPr>
            <w:tcW w:w="820" w:type="dxa"/>
            <w:vAlign w:val="bottom"/>
          </w:tcPr>
          <w:p>
            <w:pPr>
              <w:spacing w:after="0"/>
              <w:rPr>
                <w:sz w:val="6"/>
                <w:szCs w:val="6"/>
                <w:color w:val="auto"/>
              </w:rPr>
            </w:pPr>
          </w:p>
        </w:tc>
        <w:tc>
          <w:tcPr>
            <w:tcW w:w="760" w:type="dxa"/>
            <w:vAlign w:val="bottom"/>
          </w:tcPr>
          <w:p>
            <w:pPr>
              <w:spacing w:after="0"/>
              <w:rPr>
                <w:sz w:val="6"/>
                <w:szCs w:val="6"/>
                <w:color w:val="auto"/>
              </w:rPr>
            </w:pPr>
          </w:p>
        </w:tc>
        <w:tc>
          <w:tcPr>
            <w:tcW w:w="66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86"/>
        </w:trPr>
        <w:tc>
          <w:tcPr>
            <w:tcW w:w="1120" w:type="dxa"/>
            <w:vAlign w:val="bottom"/>
          </w:tcPr>
          <w:p>
            <w:pPr>
              <w:spacing w:after="0"/>
              <w:rPr>
                <w:sz w:val="16"/>
                <w:szCs w:val="16"/>
                <w:color w:val="auto"/>
              </w:rPr>
            </w:pPr>
          </w:p>
        </w:tc>
        <w:tc>
          <w:tcPr>
            <w:tcW w:w="740" w:type="dxa"/>
            <w:vAlign w:val="bottom"/>
            <w:shd w:val="clear" w:color="auto" w:fill="EFE9FC"/>
          </w:tcPr>
          <w:p>
            <w:pPr>
              <w:jc w:val="right"/>
              <w:spacing w:after="0"/>
              <w:rPr>
                <w:sz w:val="20"/>
                <w:szCs w:val="20"/>
                <w:color w:val="auto"/>
              </w:rPr>
            </w:pPr>
            <w:r>
              <w:rPr>
                <w:rFonts w:ascii="Arial" w:cs="Arial" w:eastAsia="Arial" w:hAnsi="Arial"/>
                <w:sz w:val="13"/>
                <w:szCs w:val="13"/>
                <w:color w:val="auto"/>
              </w:rPr>
              <w:t>03/30/2019</w:t>
            </w:r>
          </w:p>
        </w:tc>
        <w:tc>
          <w:tcPr>
            <w:tcW w:w="800" w:type="dxa"/>
            <w:vAlign w:val="bottom"/>
            <w:shd w:val="clear" w:color="auto" w:fill="EFE9FC"/>
          </w:tcPr>
          <w:p>
            <w:pPr>
              <w:spacing w:after="0"/>
              <w:rPr>
                <w:sz w:val="16"/>
                <w:szCs w:val="16"/>
                <w:color w:val="auto"/>
              </w:rPr>
            </w:pPr>
          </w:p>
        </w:tc>
        <w:tc>
          <w:tcPr>
            <w:tcW w:w="620" w:type="dxa"/>
            <w:vAlign w:val="bottom"/>
            <w:shd w:val="clear" w:color="auto" w:fill="EFE9FC"/>
          </w:tcPr>
          <w:p>
            <w:pPr>
              <w:spacing w:after="0"/>
              <w:rPr>
                <w:sz w:val="16"/>
                <w:szCs w:val="16"/>
                <w:color w:val="auto"/>
              </w:rPr>
            </w:pPr>
          </w:p>
        </w:tc>
        <w:tc>
          <w:tcPr>
            <w:tcW w:w="760" w:type="dxa"/>
            <w:vAlign w:val="bottom"/>
            <w:shd w:val="clear" w:color="auto" w:fill="EFE9FC"/>
          </w:tcPr>
          <w:p>
            <w:pPr>
              <w:spacing w:after="0"/>
              <w:rPr>
                <w:sz w:val="16"/>
                <w:szCs w:val="16"/>
                <w:color w:val="auto"/>
              </w:rPr>
            </w:pPr>
          </w:p>
        </w:tc>
        <w:tc>
          <w:tcPr>
            <w:tcW w:w="780" w:type="dxa"/>
            <w:vAlign w:val="bottom"/>
            <w:shd w:val="clear" w:color="auto" w:fill="EFE9FC"/>
          </w:tcPr>
          <w:p>
            <w:pPr>
              <w:jc w:val="right"/>
              <w:ind w:right="17"/>
              <w:spacing w:after="0"/>
              <w:rPr>
                <w:sz w:val="20"/>
                <w:szCs w:val="20"/>
                <w:color w:val="auto"/>
              </w:rPr>
            </w:pPr>
            <w:r>
              <w:rPr>
                <w:rFonts w:ascii="Arial" w:cs="Arial" w:eastAsia="Arial" w:hAnsi="Arial"/>
                <w:sz w:val="13"/>
                <w:szCs w:val="13"/>
                <w:color w:val="auto"/>
              </w:rPr>
              <w:t>386</w:t>
            </w:r>
          </w:p>
        </w:tc>
        <w:tc>
          <w:tcPr>
            <w:tcW w:w="580" w:type="dxa"/>
            <w:vAlign w:val="bottom"/>
            <w:shd w:val="clear" w:color="auto" w:fill="EFE9FC"/>
          </w:tcPr>
          <w:p>
            <w:pPr>
              <w:jc w:val="right"/>
              <w:ind w:right="17"/>
              <w:spacing w:after="0"/>
              <w:rPr>
                <w:sz w:val="20"/>
                <w:szCs w:val="20"/>
                <w:color w:val="auto"/>
              </w:rPr>
            </w:pPr>
            <w:r>
              <w:rPr>
                <w:rFonts w:ascii="Arial" w:cs="Arial" w:eastAsia="Arial" w:hAnsi="Arial"/>
                <w:sz w:val="13"/>
                <w:szCs w:val="13"/>
                <w:color w:val="auto"/>
              </w:rPr>
              <w:t>1,928</w:t>
            </w:r>
          </w:p>
        </w:tc>
        <w:tc>
          <w:tcPr>
            <w:tcW w:w="760" w:type="dxa"/>
            <w:vAlign w:val="bottom"/>
            <w:shd w:val="clear" w:color="auto" w:fill="EFE9FC"/>
          </w:tcPr>
          <w:p>
            <w:pPr>
              <w:jc w:val="right"/>
              <w:spacing w:after="0"/>
              <w:rPr>
                <w:sz w:val="20"/>
                <w:szCs w:val="20"/>
                <w:color w:val="auto"/>
              </w:rPr>
            </w:pPr>
            <w:r>
              <w:rPr>
                <w:rFonts w:ascii="Arial" w:cs="Arial" w:eastAsia="Arial" w:hAnsi="Arial"/>
                <w:sz w:val="13"/>
                <w:szCs w:val="13"/>
                <w:color w:val="auto"/>
              </w:rPr>
              <w:t>3,856</w:t>
            </w:r>
          </w:p>
        </w:tc>
        <w:tc>
          <w:tcPr>
            <w:tcW w:w="780" w:type="dxa"/>
            <w:vAlign w:val="bottom"/>
            <w:shd w:val="clear" w:color="auto" w:fill="EFE9FC"/>
          </w:tcPr>
          <w:p>
            <w:pPr>
              <w:spacing w:after="0"/>
              <w:rPr>
                <w:sz w:val="16"/>
                <w:szCs w:val="16"/>
                <w:color w:val="auto"/>
              </w:rPr>
            </w:pPr>
          </w:p>
        </w:tc>
        <w:tc>
          <w:tcPr>
            <w:tcW w:w="820" w:type="dxa"/>
            <w:vAlign w:val="bottom"/>
            <w:shd w:val="clear" w:color="auto" w:fill="EFE9FC"/>
          </w:tcPr>
          <w:p>
            <w:pPr>
              <w:spacing w:after="0"/>
              <w:rPr>
                <w:sz w:val="16"/>
                <w:szCs w:val="16"/>
                <w:color w:val="auto"/>
              </w:rPr>
            </w:pPr>
          </w:p>
        </w:tc>
        <w:tc>
          <w:tcPr>
            <w:tcW w:w="760" w:type="dxa"/>
            <w:vAlign w:val="bottom"/>
            <w:shd w:val="clear" w:color="auto" w:fill="EFE9FC"/>
          </w:tcPr>
          <w:p>
            <w:pPr>
              <w:jc w:val="right"/>
              <w:spacing w:after="0"/>
              <w:rPr>
                <w:sz w:val="20"/>
                <w:szCs w:val="20"/>
                <w:color w:val="auto"/>
              </w:rPr>
            </w:pPr>
            <w:r>
              <w:rPr>
                <w:rFonts w:ascii="Arial" w:cs="Arial" w:eastAsia="Arial" w:hAnsi="Arial"/>
                <w:sz w:val="10"/>
                <w:szCs w:val="10"/>
                <w:color w:val="auto"/>
              </w:rPr>
              <w:t>(2)</w:t>
            </w:r>
          </w:p>
        </w:tc>
        <w:tc>
          <w:tcPr>
            <w:tcW w:w="660" w:type="dxa"/>
            <w:vAlign w:val="bottom"/>
            <w:shd w:val="clear" w:color="auto" w:fill="EFE9FC"/>
          </w:tcPr>
          <w:p>
            <w:pPr>
              <w:jc w:val="right"/>
              <w:spacing w:after="0"/>
              <w:rPr>
                <w:sz w:val="20"/>
                <w:szCs w:val="20"/>
                <w:color w:val="auto"/>
              </w:rPr>
            </w:pPr>
            <w:r>
              <w:rPr>
                <w:rFonts w:ascii="Arial" w:cs="Arial" w:eastAsia="Arial" w:hAnsi="Arial"/>
                <w:sz w:val="13"/>
                <w:szCs w:val="13"/>
                <w:color w:val="auto"/>
              </w:rPr>
              <w:t>187,498</w:t>
            </w:r>
          </w:p>
        </w:tc>
        <w:tc>
          <w:tcPr>
            <w:tcW w:w="0" w:type="dxa"/>
            <w:vAlign w:val="bottom"/>
          </w:tcPr>
          <w:p>
            <w:pPr>
              <w:spacing w:after="0"/>
              <w:rPr>
                <w:sz w:val="1"/>
                <w:szCs w:val="1"/>
                <w:color w:val="auto"/>
              </w:rPr>
            </w:pPr>
          </w:p>
        </w:tc>
      </w:tr>
      <w:tr>
        <w:trPr>
          <w:trHeight w:val="70"/>
        </w:trPr>
        <w:tc>
          <w:tcPr>
            <w:tcW w:w="1120" w:type="dxa"/>
            <w:vAlign w:val="bottom"/>
          </w:tcPr>
          <w:p>
            <w:pPr>
              <w:spacing w:after="0"/>
              <w:rPr>
                <w:sz w:val="6"/>
                <w:szCs w:val="6"/>
                <w:color w:val="auto"/>
              </w:rPr>
            </w:pPr>
          </w:p>
        </w:tc>
        <w:tc>
          <w:tcPr>
            <w:tcW w:w="740" w:type="dxa"/>
            <w:vAlign w:val="bottom"/>
            <w:shd w:val="clear" w:color="auto" w:fill="EFE9FC"/>
          </w:tcPr>
          <w:p>
            <w:pPr>
              <w:spacing w:after="0"/>
              <w:rPr>
                <w:sz w:val="6"/>
                <w:szCs w:val="6"/>
                <w:color w:val="auto"/>
              </w:rPr>
            </w:pPr>
          </w:p>
        </w:tc>
        <w:tc>
          <w:tcPr>
            <w:tcW w:w="800" w:type="dxa"/>
            <w:vAlign w:val="bottom"/>
            <w:shd w:val="clear" w:color="auto" w:fill="EFE9FC"/>
          </w:tcPr>
          <w:p>
            <w:pPr>
              <w:spacing w:after="0"/>
              <w:rPr>
                <w:sz w:val="6"/>
                <w:szCs w:val="6"/>
                <w:color w:val="auto"/>
              </w:rPr>
            </w:pPr>
          </w:p>
        </w:tc>
        <w:tc>
          <w:tcPr>
            <w:tcW w:w="620" w:type="dxa"/>
            <w:vAlign w:val="bottom"/>
            <w:shd w:val="clear" w:color="auto" w:fill="EFE9FC"/>
          </w:tcPr>
          <w:p>
            <w:pPr>
              <w:spacing w:after="0"/>
              <w:rPr>
                <w:sz w:val="6"/>
                <w:szCs w:val="6"/>
                <w:color w:val="auto"/>
              </w:rPr>
            </w:pPr>
          </w:p>
        </w:tc>
        <w:tc>
          <w:tcPr>
            <w:tcW w:w="760" w:type="dxa"/>
            <w:vAlign w:val="bottom"/>
            <w:shd w:val="clear" w:color="auto" w:fill="EFE9FC"/>
          </w:tcPr>
          <w:p>
            <w:pPr>
              <w:spacing w:after="0"/>
              <w:rPr>
                <w:sz w:val="6"/>
                <w:szCs w:val="6"/>
                <w:color w:val="auto"/>
              </w:rPr>
            </w:pPr>
          </w:p>
        </w:tc>
        <w:tc>
          <w:tcPr>
            <w:tcW w:w="780" w:type="dxa"/>
            <w:vAlign w:val="bottom"/>
            <w:shd w:val="clear" w:color="auto" w:fill="EFE9FC"/>
          </w:tcPr>
          <w:p>
            <w:pPr>
              <w:spacing w:after="0"/>
              <w:rPr>
                <w:sz w:val="6"/>
                <w:szCs w:val="6"/>
                <w:color w:val="auto"/>
              </w:rPr>
            </w:pPr>
          </w:p>
        </w:tc>
        <w:tc>
          <w:tcPr>
            <w:tcW w:w="580" w:type="dxa"/>
            <w:vAlign w:val="bottom"/>
            <w:shd w:val="clear" w:color="auto" w:fill="EFE9FC"/>
          </w:tcPr>
          <w:p>
            <w:pPr>
              <w:spacing w:after="0"/>
              <w:rPr>
                <w:sz w:val="6"/>
                <w:szCs w:val="6"/>
                <w:color w:val="auto"/>
              </w:rPr>
            </w:pPr>
          </w:p>
        </w:tc>
        <w:tc>
          <w:tcPr>
            <w:tcW w:w="760" w:type="dxa"/>
            <w:vAlign w:val="bottom"/>
            <w:shd w:val="clear" w:color="auto" w:fill="EFE9FC"/>
          </w:tcPr>
          <w:p>
            <w:pPr>
              <w:spacing w:after="0"/>
              <w:rPr>
                <w:sz w:val="6"/>
                <w:szCs w:val="6"/>
                <w:color w:val="auto"/>
              </w:rPr>
            </w:pPr>
          </w:p>
        </w:tc>
        <w:tc>
          <w:tcPr>
            <w:tcW w:w="780" w:type="dxa"/>
            <w:vAlign w:val="bottom"/>
            <w:shd w:val="clear" w:color="auto" w:fill="EFE9FC"/>
          </w:tcPr>
          <w:p>
            <w:pPr>
              <w:spacing w:after="0"/>
              <w:rPr>
                <w:sz w:val="6"/>
                <w:szCs w:val="6"/>
                <w:color w:val="auto"/>
              </w:rPr>
            </w:pPr>
          </w:p>
        </w:tc>
        <w:tc>
          <w:tcPr>
            <w:tcW w:w="820" w:type="dxa"/>
            <w:vAlign w:val="bottom"/>
            <w:shd w:val="clear" w:color="auto" w:fill="EFE9FC"/>
          </w:tcPr>
          <w:p>
            <w:pPr>
              <w:spacing w:after="0"/>
              <w:rPr>
                <w:sz w:val="6"/>
                <w:szCs w:val="6"/>
                <w:color w:val="auto"/>
              </w:rPr>
            </w:pPr>
          </w:p>
        </w:tc>
        <w:tc>
          <w:tcPr>
            <w:tcW w:w="760" w:type="dxa"/>
            <w:vAlign w:val="bottom"/>
            <w:shd w:val="clear" w:color="auto" w:fill="EFE9FC"/>
          </w:tcPr>
          <w:p>
            <w:pPr>
              <w:spacing w:after="0"/>
              <w:rPr>
                <w:sz w:val="6"/>
                <w:szCs w:val="6"/>
                <w:color w:val="auto"/>
              </w:rPr>
            </w:pPr>
          </w:p>
        </w:tc>
        <w:tc>
          <w:tcPr>
            <w:tcW w:w="660" w:type="dxa"/>
            <w:vAlign w:val="bottom"/>
            <w:shd w:val="clear" w:color="auto" w:fill="EFE9FC"/>
          </w:tcPr>
          <w:p>
            <w:pPr>
              <w:spacing w:after="0"/>
              <w:rPr>
                <w:sz w:val="6"/>
                <w:szCs w:val="6"/>
                <w:color w:val="auto"/>
              </w:rPr>
            </w:pPr>
          </w:p>
        </w:tc>
        <w:tc>
          <w:tcPr>
            <w:tcW w:w="0" w:type="dxa"/>
            <w:vAlign w:val="bottom"/>
          </w:tcPr>
          <w:p>
            <w:pPr>
              <w:spacing w:after="0"/>
              <w:rPr>
                <w:sz w:val="1"/>
                <w:szCs w:val="1"/>
                <w:color w:val="auto"/>
              </w:rPr>
            </w:pPr>
          </w:p>
        </w:tc>
      </w:tr>
      <w:tr>
        <w:trPr>
          <w:trHeight w:val="173"/>
        </w:trPr>
        <w:tc>
          <w:tcPr>
            <w:tcW w:w="1120" w:type="dxa"/>
            <w:vAlign w:val="bottom"/>
          </w:tcPr>
          <w:p>
            <w:pPr>
              <w:spacing w:after="0"/>
              <w:rPr>
                <w:sz w:val="15"/>
                <w:szCs w:val="15"/>
                <w:color w:val="auto"/>
              </w:rPr>
            </w:pPr>
          </w:p>
        </w:tc>
        <w:tc>
          <w:tcPr>
            <w:tcW w:w="740" w:type="dxa"/>
            <w:vAlign w:val="bottom"/>
          </w:tcPr>
          <w:p>
            <w:pPr>
              <w:jc w:val="right"/>
              <w:spacing w:after="0"/>
              <w:rPr>
                <w:sz w:val="20"/>
                <w:szCs w:val="20"/>
                <w:color w:val="auto"/>
              </w:rPr>
            </w:pPr>
            <w:r>
              <w:rPr>
                <w:rFonts w:ascii="Arial" w:cs="Arial" w:eastAsia="Arial" w:hAnsi="Arial"/>
                <w:sz w:val="13"/>
                <w:szCs w:val="13"/>
                <w:color w:val="auto"/>
              </w:rPr>
              <w:t>03/30/2019</w:t>
            </w:r>
          </w:p>
        </w:tc>
        <w:tc>
          <w:tcPr>
            <w:tcW w:w="8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780" w:type="dxa"/>
            <w:vAlign w:val="bottom"/>
          </w:tcPr>
          <w:p>
            <w:pPr>
              <w:jc w:val="right"/>
              <w:spacing w:after="0"/>
              <w:rPr>
                <w:sz w:val="20"/>
                <w:szCs w:val="20"/>
                <w:color w:val="auto"/>
              </w:rPr>
            </w:pPr>
            <w:r>
              <w:rPr>
                <w:rFonts w:ascii="Arial" w:cs="Arial" w:eastAsia="Arial" w:hAnsi="Arial"/>
                <w:sz w:val="13"/>
                <w:szCs w:val="13"/>
                <w:color w:val="auto"/>
              </w:rPr>
              <w:t>1,928</w:t>
            </w:r>
          </w:p>
        </w:tc>
        <w:tc>
          <w:tcPr>
            <w:tcW w:w="820" w:type="dxa"/>
            <w:vAlign w:val="bottom"/>
          </w:tcPr>
          <w:p>
            <w:pPr>
              <w:spacing w:after="0"/>
              <w:rPr>
                <w:sz w:val="15"/>
                <w:szCs w:val="15"/>
                <w:color w:val="auto"/>
              </w:rPr>
            </w:pPr>
          </w:p>
        </w:tc>
        <w:tc>
          <w:tcPr>
            <w:tcW w:w="760" w:type="dxa"/>
            <w:vAlign w:val="bottom"/>
          </w:tcPr>
          <w:p>
            <w:pPr>
              <w:jc w:val="right"/>
              <w:spacing w:after="0"/>
              <w:rPr>
                <w:sz w:val="20"/>
                <w:szCs w:val="20"/>
                <w:color w:val="auto"/>
              </w:rPr>
            </w:pPr>
            <w:r>
              <w:rPr>
                <w:rFonts w:ascii="Arial" w:cs="Arial" w:eastAsia="Arial" w:hAnsi="Arial"/>
                <w:sz w:val="10"/>
                <w:szCs w:val="10"/>
                <w:color w:val="auto"/>
              </w:rPr>
              <w:t>(1)</w:t>
            </w:r>
          </w:p>
        </w:tc>
        <w:tc>
          <w:tcPr>
            <w:tcW w:w="660" w:type="dxa"/>
            <w:vAlign w:val="bottom"/>
          </w:tcPr>
          <w:p>
            <w:pPr>
              <w:jc w:val="right"/>
              <w:spacing w:after="0"/>
              <w:rPr>
                <w:sz w:val="20"/>
                <w:szCs w:val="20"/>
                <w:color w:val="auto"/>
              </w:rPr>
            </w:pPr>
            <w:r>
              <w:rPr>
                <w:rFonts w:ascii="Arial" w:cs="Arial" w:eastAsia="Arial" w:hAnsi="Arial"/>
                <w:sz w:val="13"/>
                <w:szCs w:val="13"/>
                <w:color w:val="auto"/>
              </w:rPr>
              <w:t>187,498</w:t>
            </w:r>
          </w:p>
        </w:tc>
        <w:tc>
          <w:tcPr>
            <w:tcW w:w="0" w:type="dxa"/>
            <w:vAlign w:val="bottom"/>
          </w:tcPr>
          <w:p>
            <w:pPr>
              <w:spacing w:after="0"/>
              <w:rPr>
                <w:sz w:val="1"/>
                <w:szCs w:val="1"/>
                <w:color w:val="auto"/>
              </w:rPr>
            </w:pPr>
          </w:p>
        </w:tc>
      </w:tr>
      <w:tr>
        <w:trPr>
          <w:trHeight w:val="57"/>
        </w:trPr>
        <w:tc>
          <w:tcPr>
            <w:tcW w:w="1120" w:type="dxa"/>
            <w:vAlign w:val="bottom"/>
          </w:tcPr>
          <w:p>
            <w:pPr>
              <w:spacing w:after="0"/>
              <w:rPr>
                <w:sz w:val="4"/>
                <w:szCs w:val="4"/>
                <w:color w:val="auto"/>
              </w:rPr>
            </w:pPr>
          </w:p>
        </w:tc>
        <w:tc>
          <w:tcPr>
            <w:tcW w:w="740" w:type="dxa"/>
            <w:vAlign w:val="bottom"/>
          </w:tcPr>
          <w:p>
            <w:pPr>
              <w:spacing w:after="0"/>
              <w:rPr>
                <w:sz w:val="4"/>
                <w:szCs w:val="4"/>
                <w:color w:val="auto"/>
              </w:rPr>
            </w:pPr>
          </w:p>
        </w:tc>
        <w:tc>
          <w:tcPr>
            <w:tcW w:w="800" w:type="dxa"/>
            <w:vAlign w:val="bottom"/>
          </w:tcPr>
          <w:p>
            <w:pPr>
              <w:spacing w:after="0"/>
              <w:rPr>
                <w:sz w:val="4"/>
                <w:szCs w:val="4"/>
                <w:color w:val="auto"/>
              </w:rPr>
            </w:pPr>
          </w:p>
        </w:tc>
        <w:tc>
          <w:tcPr>
            <w:tcW w:w="620" w:type="dxa"/>
            <w:vAlign w:val="bottom"/>
          </w:tcPr>
          <w:p>
            <w:pPr>
              <w:spacing w:after="0"/>
              <w:rPr>
                <w:sz w:val="4"/>
                <w:szCs w:val="4"/>
                <w:color w:val="auto"/>
              </w:rPr>
            </w:pPr>
          </w:p>
        </w:tc>
        <w:tc>
          <w:tcPr>
            <w:tcW w:w="760" w:type="dxa"/>
            <w:vAlign w:val="bottom"/>
          </w:tcPr>
          <w:p>
            <w:pPr>
              <w:spacing w:after="0"/>
              <w:rPr>
                <w:sz w:val="4"/>
                <w:szCs w:val="4"/>
                <w:color w:val="auto"/>
              </w:rPr>
            </w:pPr>
          </w:p>
        </w:tc>
        <w:tc>
          <w:tcPr>
            <w:tcW w:w="780" w:type="dxa"/>
            <w:vAlign w:val="bottom"/>
          </w:tcPr>
          <w:p>
            <w:pPr>
              <w:spacing w:after="0"/>
              <w:rPr>
                <w:sz w:val="4"/>
                <w:szCs w:val="4"/>
                <w:color w:val="auto"/>
              </w:rPr>
            </w:pPr>
          </w:p>
        </w:tc>
        <w:tc>
          <w:tcPr>
            <w:tcW w:w="580" w:type="dxa"/>
            <w:vAlign w:val="bottom"/>
          </w:tcPr>
          <w:p>
            <w:pPr>
              <w:spacing w:after="0"/>
              <w:rPr>
                <w:sz w:val="4"/>
                <w:szCs w:val="4"/>
                <w:color w:val="auto"/>
              </w:rPr>
            </w:pPr>
          </w:p>
        </w:tc>
        <w:tc>
          <w:tcPr>
            <w:tcW w:w="760" w:type="dxa"/>
            <w:vAlign w:val="bottom"/>
          </w:tcPr>
          <w:p>
            <w:pPr>
              <w:spacing w:after="0"/>
              <w:rPr>
                <w:sz w:val="4"/>
                <w:szCs w:val="4"/>
                <w:color w:val="auto"/>
              </w:rPr>
            </w:pPr>
          </w:p>
        </w:tc>
        <w:tc>
          <w:tcPr>
            <w:tcW w:w="780" w:type="dxa"/>
            <w:vAlign w:val="bottom"/>
          </w:tcPr>
          <w:p>
            <w:pPr>
              <w:spacing w:after="0"/>
              <w:rPr>
                <w:sz w:val="4"/>
                <w:szCs w:val="4"/>
                <w:color w:val="auto"/>
              </w:rPr>
            </w:pPr>
          </w:p>
        </w:tc>
        <w:tc>
          <w:tcPr>
            <w:tcW w:w="820" w:type="dxa"/>
            <w:vAlign w:val="bottom"/>
          </w:tcPr>
          <w:p>
            <w:pPr>
              <w:spacing w:after="0"/>
              <w:rPr>
                <w:sz w:val="4"/>
                <w:szCs w:val="4"/>
                <w:color w:val="auto"/>
              </w:rPr>
            </w:pPr>
          </w:p>
        </w:tc>
        <w:tc>
          <w:tcPr>
            <w:tcW w:w="760" w:type="dxa"/>
            <w:vAlign w:val="bottom"/>
          </w:tcPr>
          <w:p>
            <w:pPr>
              <w:spacing w:after="0"/>
              <w:rPr>
                <w:sz w:val="4"/>
                <w:szCs w:val="4"/>
                <w:color w:val="auto"/>
              </w:rPr>
            </w:pPr>
          </w:p>
        </w:tc>
        <w:tc>
          <w:tcPr>
            <w:tcW w:w="6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43"/>
        </w:trPr>
        <w:tc>
          <w:tcPr>
            <w:tcW w:w="1120" w:type="dxa"/>
            <w:vAlign w:val="bottom"/>
            <w:tcBorders>
              <w:bottom w:val="single" w:sz="8" w:color="4800E6"/>
            </w:tcBorders>
          </w:tcPr>
          <w:p>
            <w:pPr>
              <w:spacing w:after="0"/>
              <w:rPr>
                <w:sz w:val="21"/>
                <w:szCs w:val="21"/>
                <w:color w:val="auto"/>
              </w:rPr>
            </w:pPr>
          </w:p>
        </w:tc>
        <w:tc>
          <w:tcPr>
            <w:tcW w:w="740" w:type="dxa"/>
            <w:vAlign w:val="bottom"/>
            <w:tcBorders>
              <w:bottom w:val="single" w:sz="8" w:color="4800E6"/>
            </w:tcBorders>
            <w:shd w:val="clear" w:color="auto" w:fill="EFE9FC"/>
          </w:tcPr>
          <w:p>
            <w:pPr>
              <w:jc w:val="right"/>
              <w:spacing w:after="0"/>
              <w:rPr>
                <w:sz w:val="20"/>
                <w:szCs w:val="20"/>
                <w:color w:val="auto"/>
              </w:rPr>
            </w:pPr>
            <w:r>
              <w:rPr>
                <w:rFonts w:ascii="Arial" w:cs="Arial" w:eastAsia="Arial" w:hAnsi="Arial"/>
                <w:sz w:val="13"/>
                <w:szCs w:val="13"/>
                <w:color w:val="auto"/>
              </w:rPr>
              <w:t>03/30/2019</w:t>
            </w:r>
          </w:p>
        </w:tc>
        <w:tc>
          <w:tcPr>
            <w:tcW w:w="800" w:type="dxa"/>
            <w:vAlign w:val="bottom"/>
            <w:tcBorders>
              <w:bottom w:val="single" w:sz="8" w:color="4800E6"/>
            </w:tcBorders>
            <w:shd w:val="clear" w:color="auto" w:fill="EFE9FC"/>
          </w:tcPr>
          <w:p>
            <w:pPr>
              <w:spacing w:after="0"/>
              <w:rPr>
                <w:sz w:val="21"/>
                <w:szCs w:val="21"/>
                <w:color w:val="auto"/>
              </w:rPr>
            </w:pPr>
          </w:p>
        </w:tc>
        <w:tc>
          <w:tcPr>
            <w:tcW w:w="620" w:type="dxa"/>
            <w:vAlign w:val="bottom"/>
            <w:tcBorders>
              <w:bottom w:val="single" w:sz="8" w:color="4800E6"/>
            </w:tcBorders>
            <w:shd w:val="clear" w:color="auto" w:fill="EFE9FC"/>
          </w:tcPr>
          <w:p>
            <w:pPr>
              <w:spacing w:after="0"/>
              <w:rPr>
                <w:sz w:val="21"/>
                <w:szCs w:val="21"/>
                <w:color w:val="auto"/>
              </w:rPr>
            </w:pPr>
          </w:p>
        </w:tc>
        <w:tc>
          <w:tcPr>
            <w:tcW w:w="760" w:type="dxa"/>
            <w:vAlign w:val="bottom"/>
            <w:tcBorders>
              <w:bottom w:val="single" w:sz="8" w:color="4800E6"/>
            </w:tcBorders>
            <w:shd w:val="clear" w:color="auto" w:fill="EFE9FC"/>
          </w:tcPr>
          <w:p>
            <w:pPr>
              <w:spacing w:after="0"/>
              <w:rPr>
                <w:sz w:val="21"/>
                <w:szCs w:val="21"/>
                <w:color w:val="auto"/>
              </w:rPr>
            </w:pPr>
          </w:p>
        </w:tc>
        <w:tc>
          <w:tcPr>
            <w:tcW w:w="780" w:type="dxa"/>
            <w:vAlign w:val="bottom"/>
            <w:tcBorders>
              <w:bottom w:val="single" w:sz="8" w:color="4800E6"/>
            </w:tcBorders>
            <w:shd w:val="clear" w:color="auto" w:fill="EFE9FC"/>
          </w:tcPr>
          <w:p>
            <w:pPr>
              <w:spacing w:after="0"/>
              <w:rPr>
                <w:sz w:val="21"/>
                <w:szCs w:val="21"/>
                <w:color w:val="auto"/>
              </w:rPr>
            </w:pPr>
          </w:p>
        </w:tc>
        <w:tc>
          <w:tcPr>
            <w:tcW w:w="580" w:type="dxa"/>
            <w:vAlign w:val="bottom"/>
            <w:tcBorders>
              <w:bottom w:val="single" w:sz="8" w:color="4800E6"/>
            </w:tcBorders>
            <w:shd w:val="clear" w:color="auto" w:fill="EFE9FC"/>
          </w:tcPr>
          <w:p>
            <w:pPr>
              <w:spacing w:after="0"/>
              <w:rPr>
                <w:sz w:val="21"/>
                <w:szCs w:val="21"/>
                <w:color w:val="auto"/>
              </w:rPr>
            </w:pPr>
          </w:p>
        </w:tc>
        <w:tc>
          <w:tcPr>
            <w:tcW w:w="760" w:type="dxa"/>
            <w:vAlign w:val="bottom"/>
            <w:tcBorders>
              <w:bottom w:val="single" w:sz="8" w:color="4800E6"/>
            </w:tcBorders>
            <w:shd w:val="clear" w:color="auto" w:fill="EFE9FC"/>
          </w:tcPr>
          <w:p>
            <w:pPr>
              <w:spacing w:after="0"/>
              <w:rPr>
                <w:sz w:val="21"/>
                <w:szCs w:val="21"/>
                <w:color w:val="auto"/>
              </w:rPr>
            </w:pPr>
          </w:p>
        </w:tc>
        <w:tc>
          <w:tcPr>
            <w:tcW w:w="780" w:type="dxa"/>
            <w:vAlign w:val="bottom"/>
            <w:tcBorders>
              <w:bottom w:val="single" w:sz="8" w:color="4800E6"/>
            </w:tcBorders>
            <w:shd w:val="clear" w:color="auto" w:fill="EFE9FC"/>
          </w:tcPr>
          <w:p>
            <w:pPr>
              <w:spacing w:after="0"/>
              <w:rPr>
                <w:sz w:val="21"/>
                <w:szCs w:val="21"/>
                <w:color w:val="auto"/>
              </w:rPr>
            </w:pPr>
          </w:p>
        </w:tc>
        <w:tc>
          <w:tcPr>
            <w:tcW w:w="820" w:type="dxa"/>
            <w:vAlign w:val="bottom"/>
            <w:tcBorders>
              <w:bottom w:val="single" w:sz="8" w:color="4800E6"/>
            </w:tcBorders>
            <w:shd w:val="clear" w:color="auto" w:fill="EFE9FC"/>
          </w:tcPr>
          <w:p>
            <w:pPr>
              <w:jc w:val="right"/>
              <w:spacing w:after="0"/>
              <w:rPr>
                <w:sz w:val="20"/>
                <w:szCs w:val="20"/>
                <w:color w:val="auto"/>
              </w:rPr>
            </w:pPr>
            <w:r>
              <w:rPr>
                <w:rFonts w:ascii="Arial" w:cs="Arial" w:eastAsia="Arial" w:hAnsi="Arial"/>
                <w:sz w:val="13"/>
                <w:szCs w:val="13"/>
                <w:color w:val="auto"/>
              </w:rPr>
              <w:t>5,903</w:t>
            </w:r>
          </w:p>
        </w:tc>
        <w:tc>
          <w:tcPr>
            <w:tcW w:w="760" w:type="dxa"/>
            <w:vAlign w:val="bottom"/>
            <w:tcBorders>
              <w:bottom w:val="single" w:sz="8" w:color="4800E6"/>
            </w:tcBorders>
            <w:shd w:val="clear" w:color="auto" w:fill="EFE9FC"/>
          </w:tcPr>
          <w:p>
            <w:pPr>
              <w:jc w:val="right"/>
              <w:spacing w:after="0"/>
              <w:rPr>
                <w:sz w:val="20"/>
                <w:szCs w:val="20"/>
                <w:color w:val="auto"/>
              </w:rPr>
            </w:pPr>
            <w:r>
              <w:rPr>
                <w:rFonts w:ascii="Arial" w:cs="Arial" w:eastAsia="Arial" w:hAnsi="Arial"/>
                <w:sz w:val="13"/>
                <w:szCs w:val="13"/>
                <w:color w:val="auto"/>
              </w:rPr>
              <w:t>97.25</w:t>
            </w:r>
            <w:r>
              <w:rPr>
                <w:rFonts w:ascii="Arial" w:cs="Arial" w:eastAsia="Arial" w:hAnsi="Arial"/>
                <w:sz w:val="19"/>
                <w:szCs w:val="19"/>
                <w:color w:val="auto"/>
                <w:vertAlign w:val="superscript"/>
              </w:rPr>
              <w:t>(2)</w:t>
            </w:r>
          </w:p>
        </w:tc>
        <w:tc>
          <w:tcPr>
            <w:tcW w:w="660" w:type="dxa"/>
            <w:vAlign w:val="bottom"/>
            <w:tcBorders>
              <w:bottom w:val="single" w:sz="8" w:color="4800E6"/>
            </w:tcBorders>
            <w:shd w:val="clear" w:color="auto" w:fill="EFE9FC"/>
          </w:tcPr>
          <w:p>
            <w:pPr>
              <w:jc w:val="right"/>
              <w:spacing w:after="0"/>
              <w:rPr>
                <w:sz w:val="20"/>
                <w:szCs w:val="20"/>
                <w:color w:val="auto"/>
              </w:rPr>
            </w:pPr>
            <w:r>
              <w:rPr>
                <w:rFonts w:ascii="Arial" w:cs="Arial" w:eastAsia="Arial" w:hAnsi="Arial"/>
                <w:sz w:val="13"/>
                <w:szCs w:val="13"/>
                <w:color w:val="auto"/>
              </w:rPr>
              <w:t>187,479</w:t>
            </w:r>
          </w:p>
        </w:tc>
        <w:tc>
          <w:tcPr>
            <w:tcW w:w="0" w:type="dxa"/>
            <w:vAlign w:val="bottom"/>
          </w:tcPr>
          <w:p>
            <w:pPr>
              <w:spacing w:after="0"/>
              <w:rPr>
                <w:sz w:val="1"/>
                <w:szCs w:val="1"/>
                <w:color w:val="auto"/>
              </w:rPr>
            </w:pPr>
          </w:p>
        </w:tc>
      </w:tr>
      <w:tr>
        <w:trPr>
          <w:trHeight w:val="193"/>
        </w:trPr>
        <w:tc>
          <w:tcPr>
            <w:tcW w:w="1120" w:type="dxa"/>
            <w:vAlign w:val="bottom"/>
          </w:tcPr>
          <w:p>
            <w:pPr>
              <w:ind w:left="40"/>
              <w:spacing w:after="0"/>
              <w:rPr>
                <w:sz w:val="20"/>
                <w:szCs w:val="20"/>
                <w:color w:val="auto"/>
              </w:rPr>
            </w:pPr>
            <w:r>
              <w:rPr>
                <w:rFonts w:ascii="Arial" w:cs="Arial" w:eastAsia="Arial" w:hAnsi="Arial"/>
                <w:sz w:val="13"/>
                <w:szCs w:val="13"/>
                <w:b w:val="1"/>
                <w:bCs w:val="1"/>
                <w:color w:val="auto"/>
              </w:rPr>
              <w:t>Alistair Simpson</w:t>
            </w:r>
          </w:p>
        </w:tc>
        <w:tc>
          <w:tcPr>
            <w:tcW w:w="740" w:type="dxa"/>
            <w:vAlign w:val="bottom"/>
          </w:tcPr>
          <w:p>
            <w:pPr>
              <w:spacing w:after="0"/>
              <w:rPr>
                <w:sz w:val="16"/>
                <w:szCs w:val="16"/>
                <w:color w:val="auto"/>
              </w:rPr>
            </w:pPr>
          </w:p>
        </w:tc>
        <w:tc>
          <w:tcPr>
            <w:tcW w:w="800" w:type="dxa"/>
            <w:vAlign w:val="bottom"/>
          </w:tcPr>
          <w:p>
            <w:pPr>
              <w:jc w:val="right"/>
              <w:ind w:right="37"/>
              <w:spacing w:after="0"/>
              <w:rPr>
                <w:sz w:val="20"/>
                <w:szCs w:val="20"/>
                <w:color w:val="auto"/>
              </w:rPr>
            </w:pPr>
            <w:r>
              <w:rPr>
                <w:rFonts w:ascii="Arial" w:cs="Arial" w:eastAsia="Arial" w:hAnsi="Arial"/>
                <w:sz w:val="13"/>
                <w:szCs w:val="13"/>
                <w:color w:val="auto"/>
              </w:rPr>
              <w:t>0</w:t>
            </w:r>
          </w:p>
        </w:tc>
        <w:tc>
          <w:tcPr>
            <w:tcW w:w="620" w:type="dxa"/>
            <w:vAlign w:val="bottom"/>
          </w:tcPr>
          <w:p>
            <w:pPr>
              <w:jc w:val="center"/>
              <w:spacing w:after="0"/>
              <w:rPr>
                <w:sz w:val="20"/>
                <w:szCs w:val="20"/>
                <w:color w:val="auto"/>
              </w:rPr>
            </w:pPr>
            <w:r>
              <w:rPr>
                <w:rFonts w:ascii="Arial" w:cs="Arial" w:eastAsia="Arial" w:hAnsi="Arial"/>
                <w:sz w:val="13"/>
                <w:szCs w:val="13"/>
                <w:color w:val="auto"/>
                <w:w w:val="97"/>
              </w:rPr>
              <w:t>191,918</w:t>
            </w:r>
          </w:p>
        </w:tc>
        <w:tc>
          <w:tcPr>
            <w:tcW w:w="760" w:type="dxa"/>
            <w:vAlign w:val="bottom"/>
          </w:tcPr>
          <w:p>
            <w:pPr>
              <w:jc w:val="right"/>
              <w:spacing w:after="0"/>
              <w:rPr>
                <w:sz w:val="20"/>
                <w:szCs w:val="20"/>
                <w:color w:val="auto"/>
              </w:rPr>
            </w:pPr>
            <w:r>
              <w:rPr>
                <w:rFonts w:ascii="Arial" w:cs="Arial" w:eastAsia="Arial" w:hAnsi="Arial"/>
                <w:sz w:val="13"/>
                <w:szCs w:val="13"/>
                <w:color w:val="auto"/>
              </w:rPr>
              <w:t>299,392</w:t>
            </w:r>
          </w:p>
        </w:tc>
        <w:tc>
          <w:tcPr>
            <w:tcW w:w="78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3"/>
        </w:trPr>
        <w:tc>
          <w:tcPr>
            <w:tcW w:w="1120" w:type="dxa"/>
            <w:vAlign w:val="bottom"/>
          </w:tcPr>
          <w:p>
            <w:pPr>
              <w:spacing w:after="0"/>
              <w:rPr>
                <w:sz w:val="3"/>
                <w:szCs w:val="3"/>
                <w:color w:val="auto"/>
              </w:rPr>
            </w:pPr>
          </w:p>
        </w:tc>
        <w:tc>
          <w:tcPr>
            <w:tcW w:w="740" w:type="dxa"/>
            <w:vAlign w:val="bottom"/>
          </w:tcPr>
          <w:p>
            <w:pPr>
              <w:spacing w:after="0"/>
              <w:rPr>
                <w:sz w:val="3"/>
                <w:szCs w:val="3"/>
                <w:color w:val="auto"/>
              </w:rPr>
            </w:pPr>
          </w:p>
        </w:tc>
        <w:tc>
          <w:tcPr>
            <w:tcW w:w="800" w:type="dxa"/>
            <w:vAlign w:val="bottom"/>
          </w:tcPr>
          <w:p>
            <w:pPr>
              <w:spacing w:after="0"/>
              <w:rPr>
                <w:sz w:val="3"/>
                <w:szCs w:val="3"/>
                <w:color w:val="auto"/>
              </w:rPr>
            </w:pPr>
          </w:p>
        </w:tc>
        <w:tc>
          <w:tcPr>
            <w:tcW w:w="620" w:type="dxa"/>
            <w:vAlign w:val="bottom"/>
          </w:tcPr>
          <w:p>
            <w:pPr>
              <w:spacing w:after="0"/>
              <w:rPr>
                <w:sz w:val="3"/>
                <w:szCs w:val="3"/>
                <w:color w:val="auto"/>
              </w:rPr>
            </w:pPr>
          </w:p>
        </w:tc>
        <w:tc>
          <w:tcPr>
            <w:tcW w:w="760" w:type="dxa"/>
            <w:vAlign w:val="bottom"/>
          </w:tcPr>
          <w:p>
            <w:pPr>
              <w:spacing w:after="0"/>
              <w:rPr>
                <w:sz w:val="3"/>
                <w:szCs w:val="3"/>
                <w:color w:val="auto"/>
              </w:rPr>
            </w:pPr>
          </w:p>
        </w:tc>
        <w:tc>
          <w:tcPr>
            <w:tcW w:w="780" w:type="dxa"/>
            <w:vAlign w:val="bottom"/>
          </w:tcPr>
          <w:p>
            <w:pPr>
              <w:spacing w:after="0"/>
              <w:rPr>
                <w:sz w:val="3"/>
                <w:szCs w:val="3"/>
                <w:color w:val="auto"/>
              </w:rPr>
            </w:pPr>
          </w:p>
        </w:tc>
        <w:tc>
          <w:tcPr>
            <w:tcW w:w="580" w:type="dxa"/>
            <w:vAlign w:val="bottom"/>
          </w:tcPr>
          <w:p>
            <w:pPr>
              <w:spacing w:after="0"/>
              <w:rPr>
                <w:sz w:val="3"/>
                <w:szCs w:val="3"/>
                <w:color w:val="auto"/>
              </w:rPr>
            </w:pPr>
          </w:p>
        </w:tc>
        <w:tc>
          <w:tcPr>
            <w:tcW w:w="760" w:type="dxa"/>
            <w:vAlign w:val="bottom"/>
          </w:tcPr>
          <w:p>
            <w:pPr>
              <w:spacing w:after="0"/>
              <w:rPr>
                <w:sz w:val="3"/>
                <w:szCs w:val="3"/>
                <w:color w:val="auto"/>
              </w:rPr>
            </w:pPr>
          </w:p>
        </w:tc>
        <w:tc>
          <w:tcPr>
            <w:tcW w:w="780" w:type="dxa"/>
            <w:vAlign w:val="bottom"/>
          </w:tcPr>
          <w:p>
            <w:pPr>
              <w:spacing w:after="0"/>
              <w:rPr>
                <w:sz w:val="3"/>
                <w:szCs w:val="3"/>
                <w:color w:val="auto"/>
              </w:rPr>
            </w:pPr>
          </w:p>
        </w:tc>
        <w:tc>
          <w:tcPr>
            <w:tcW w:w="820" w:type="dxa"/>
            <w:vAlign w:val="bottom"/>
          </w:tcPr>
          <w:p>
            <w:pPr>
              <w:spacing w:after="0"/>
              <w:rPr>
                <w:sz w:val="3"/>
                <w:szCs w:val="3"/>
                <w:color w:val="auto"/>
              </w:rPr>
            </w:pPr>
          </w:p>
        </w:tc>
        <w:tc>
          <w:tcPr>
            <w:tcW w:w="760" w:type="dxa"/>
            <w:vAlign w:val="bottom"/>
          </w:tcPr>
          <w:p>
            <w:pPr>
              <w:spacing w:after="0"/>
              <w:rPr>
                <w:sz w:val="3"/>
                <w:szCs w:val="3"/>
                <w:color w:val="auto"/>
              </w:rPr>
            </w:pPr>
          </w:p>
        </w:tc>
        <w:tc>
          <w:tcPr>
            <w:tcW w:w="6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1120" w:type="dxa"/>
            <w:vAlign w:val="bottom"/>
          </w:tcPr>
          <w:p>
            <w:pPr>
              <w:spacing w:after="0"/>
              <w:rPr>
                <w:sz w:val="15"/>
                <w:szCs w:val="15"/>
                <w:color w:val="auto"/>
              </w:rPr>
            </w:pPr>
          </w:p>
        </w:tc>
        <w:tc>
          <w:tcPr>
            <w:tcW w:w="740" w:type="dxa"/>
            <w:vAlign w:val="bottom"/>
            <w:shd w:val="clear" w:color="auto" w:fill="EFE9FC"/>
          </w:tcPr>
          <w:p>
            <w:pPr>
              <w:jc w:val="right"/>
              <w:spacing w:after="0"/>
              <w:rPr>
                <w:sz w:val="20"/>
                <w:szCs w:val="20"/>
                <w:color w:val="auto"/>
              </w:rPr>
            </w:pPr>
            <w:r>
              <w:rPr>
                <w:rFonts w:ascii="Arial" w:cs="Arial" w:eastAsia="Arial" w:hAnsi="Arial"/>
                <w:sz w:val="13"/>
                <w:szCs w:val="13"/>
                <w:color w:val="auto"/>
              </w:rPr>
              <w:t>03/30/2019</w:t>
            </w:r>
          </w:p>
        </w:tc>
        <w:tc>
          <w:tcPr>
            <w:tcW w:w="800" w:type="dxa"/>
            <w:vAlign w:val="bottom"/>
            <w:shd w:val="clear" w:color="auto" w:fill="EFE9FC"/>
          </w:tcPr>
          <w:p>
            <w:pPr>
              <w:spacing w:after="0"/>
              <w:rPr>
                <w:sz w:val="15"/>
                <w:szCs w:val="15"/>
                <w:color w:val="auto"/>
              </w:rPr>
            </w:pPr>
          </w:p>
        </w:tc>
        <w:tc>
          <w:tcPr>
            <w:tcW w:w="620" w:type="dxa"/>
            <w:vAlign w:val="bottom"/>
            <w:shd w:val="clear" w:color="auto" w:fill="EFE9FC"/>
          </w:tcPr>
          <w:p>
            <w:pPr>
              <w:spacing w:after="0"/>
              <w:rPr>
                <w:sz w:val="15"/>
                <w:szCs w:val="15"/>
                <w:color w:val="auto"/>
              </w:rPr>
            </w:pPr>
          </w:p>
        </w:tc>
        <w:tc>
          <w:tcPr>
            <w:tcW w:w="760" w:type="dxa"/>
            <w:vAlign w:val="bottom"/>
            <w:shd w:val="clear" w:color="auto" w:fill="EFE9FC"/>
          </w:tcPr>
          <w:p>
            <w:pPr>
              <w:spacing w:after="0"/>
              <w:rPr>
                <w:sz w:val="15"/>
                <w:szCs w:val="15"/>
                <w:color w:val="auto"/>
              </w:rPr>
            </w:pPr>
          </w:p>
        </w:tc>
        <w:tc>
          <w:tcPr>
            <w:tcW w:w="780" w:type="dxa"/>
            <w:vAlign w:val="bottom"/>
            <w:shd w:val="clear" w:color="auto" w:fill="EFE9FC"/>
          </w:tcPr>
          <w:p>
            <w:pPr>
              <w:jc w:val="right"/>
              <w:ind w:right="17"/>
              <w:spacing w:after="0"/>
              <w:rPr>
                <w:sz w:val="20"/>
                <w:szCs w:val="20"/>
                <w:color w:val="auto"/>
              </w:rPr>
            </w:pPr>
            <w:r>
              <w:rPr>
                <w:rFonts w:ascii="Arial" w:cs="Arial" w:eastAsia="Arial" w:hAnsi="Arial"/>
                <w:sz w:val="13"/>
                <w:szCs w:val="13"/>
                <w:color w:val="auto"/>
              </w:rPr>
              <w:t>771</w:t>
            </w:r>
          </w:p>
        </w:tc>
        <w:tc>
          <w:tcPr>
            <w:tcW w:w="580" w:type="dxa"/>
            <w:vAlign w:val="bottom"/>
            <w:shd w:val="clear" w:color="auto" w:fill="EFE9FC"/>
          </w:tcPr>
          <w:p>
            <w:pPr>
              <w:jc w:val="right"/>
              <w:ind w:right="17"/>
              <w:spacing w:after="0"/>
              <w:rPr>
                <w:sz w:val="20"/>
                <w:szCs w:val="20"/>
                <w:color w:val="auto"/>
              </w:rPr>
            </w:pPr>
            <w:r>
              <w:rPr>
                <w:rFonts w:ascii="Arial" w:cs="Arial" w:eastAsia="Arial" w:hAnsi="Arial"/>
                <w:sz w:val="13"/>
                <w:szCs w:val="13"/>
                <w:color w:val="auto"/>
              </w:rPr>
              <w:t>1,928</w:t>
            </w:r>
          </w:p>
        </w:tc>
        <w:tc>
          <w:tcPr>
            <w:tcW w:w="760" w:type="dxa"/>
            <w:vAlign w:val="bottom"/>
            <w:shd w:val="clear" w:color="auto" w:fill="EFE9FC"/>
          </w:tcPr>
          <w:p>
            <w:pPr>
              <w:jc w:val="right"/>
              <w:spacing w:after="0"/>
              <w:rPr>
                <w:sz w:val="20"/>
                <w:szCs w:val="20"/>
                <w:color w:val="auto"/>
              </w:rPr>
            </w:pPr>
            <w:r>
              <w:rPr>
                <w:rFonts w:ascii="Arial" w:cs="Arial" w:eastAsia="Arial" w:hAnsi="Arial"/>
                <w:sz w:val="13"/>
                <w:szCs w:val="13"/>
                <w:color w:val="auto"/>
              </w:rPr>
              <w:t>3,856</w:t>
            </w:r>
          </w:p>
        </w:tc>
        <w:tc>
          <w:tcPr>
            <w:tcW w:w="780" w:type="dxa"/>
            <w:vAlign w:val="bottom"/>
            <w:shd w:val="clear" w:color="auto" w:fill="EFE9FC"/>
          </w:tcPr>
          <w:p>
            <w:pPr>
              <w:spacing w:after="0"/>
              <w:rPr>
                <w:sz w:val="15"/>
                <w:szCs w:val="15"/>
                <w:color w:val="auto"/>
              </w:rPr>
            </w:pPr>
          </w:p>
        </w:tc>
        <w:tc>
          <w:tcPr>
            <w:tcW w:w="820" w:type="dxa"/>
            <w:vAlign w:val="bottom"/>
            <w:shd w:val="clear" w:color="auto" w:fill="EFE9FC"/>
          </w:tcPr>
          <w:p>
            <w:pPr>
              <w:jc w:val="right"/>
              <w:spacing w:after="0"/>
              <w:rPr>
                <w:sz w:val="20"/>
                <w:szCs w:val="20"/>
                <w:color w:val="auto"/>
              </w:rPr>
            </w:pPr>
            <w:r>
              <w:rPr>
                <w:rFonts w:ascii="Arial" w:cs="Arial" w:eastAsia="Arial" w:hAnsi="Arial"/>
                <w:sz w:val="13"/>
                <w:szCs w:val="13"/>
                <w:color w:val="auto"/>
              </w:rPr>
              <w:t>–</w:t>
            </w:r>
          </w:p>
        </w:tc>
        <w:tc>
          <w:tcPr>
            <w:tcW w:w="760" w:type="dxa"/>
            <w:vAlign w:val="bottom"/>
            <w:shd w:val="clear" w:color="auto" w:fill="EFE9FC"/>
          </w:tcPr>
          <w:p>
            <w:pPr>
              <w:jc w:val="right"/>
              <w:spacing w:after="0"/>
              <w:rPr>
                <w:sz w:val="20"/>
                <w:szCs w:val="20"/>
                <w:color w:val="auto"/>
              </w:rPr>
            </w:pPr>
            <w:r>
              <w:rPr>
                <w:rFonts w:ascii="Arial" w:cs="Arial" w:eastAsia="Arial" w:hAnsi="Arial"/>
                <w:sz w:val="10"/>
                <w:szCs w:val="10"/>
                <w:color w:val="auto"/>
              </w:rPr>
              <w:t>(2)</w:t>
            </w:r>
          </w:p>
        </w:tc>
        <w:tc>
          <w:tcPr>
            <w:tcW w:w="660" w:type="dxa"/>
            <w:vAlign w:val="bottom"/>
            <w:shd w:val="clear" w:color="auto" w:fill="EFE9FC"/>
          </w:tcPr>
          <w:p>
            <w:pPr>
              <w:jc w:val="right"/>
              <w:spacing w:after="0"/>
              <w:rPr>
                <w:sz w:val="20"/>
                <w:szCs w:val="20"/>
                <w:color w:val="auto"/>
              </w:rPr>
            </w:pPr>
            <w:r>
              <w:rPr>
                <w:rFonts w:ascii="Arial" w:cs="Arial" w:eastAsia="Arial" w:hAnsi="Arial"/>
                <w:sz w:val="13"/>
                <w:szCs w:val="13"/>
                <w:color w:val="auto"/>
              </w:rPr>
              <w:t>194,917</w:t>
            </w:r>
          </w:p>
        </w:tc>
        <w:tc>
          <w:tcPr>
            <w:tcW w:w="0" w:type="dxa"/>
            <w:vAlign w:val="bottom"/>
          </w:tcPr>
          <w:p>
            <w:pPr>
              <w:spacing w:after="0"/>
              <w:rPr>
                <w:sz w:val="1"/>
                <w:szCs w:val="1"/>
                <w:color w:val="auto"/>
              </w:rPr>
            </w:pPr>
          </w:p>
        </w:tc>
      </w:tr>
      <w:tr>
        <w:trPr>
          <w:trHeight w:val="83"/>
        </w:trPr>
        <w:tc>
          <w:tcPr>
            <w:tcW w:w="1120" w:type="dxa"/>
            <w:vAlign w:val="bottom"/>
          </w:tcPr>
          <w:p>
            <w:pPr>
              <w:spacing w:after="0"/>
              <w:rPr>
                <w:sz w:val="7"/>
                <w:szCs w:val="7"/>
                <w:color w:val="auto"/>
              </w:rPr>
            </w:pPr>
          </w:p>
        </w:tc>
        <w:tc>
          <w:tcPr>
            <w:tcW w:w="740" w:type="dxa"/>
            <w:vAlign w:val="bottom"/>
            <w:shd w:val="clear" w:color="auto" w:fill="EFE9FC"/>
          </w:tcPr>
          <w:p>
            <w:pPr>
              <w:spacing w:after="0"/>
              <w:rPr>
                <w:sz w:val="7"/>
                <w:szCs w:val="7"/>
                <w:color w:val="auto"/>
              </w:rPr>
            </w:pPr>
          </w:p>
        </w:tc>
        <w:tc>
          <w:tcPr>
            <w:tcW w:w="800" w:type="dxa"/>
            <w:vAlign w:val="bottom"/>
            <w:shd w:val="clear" w:color="auto" w:fill="EFE9FC"/>
          </w:tcPr>
          <w:p>
            <w:pPr>
              <w:spacing w:after="0"/>
              <w:rPr>
                <w:sz w:val="7"/>
                <w:szCs w:val="7"/>
                <w:color w:val="auto"/>
              </w:rPr>
            </w:pPr>
          </w:p>
        </w:tc>
        <w:tc>
          <w:tcPr>
            <w:tcW w:w="620" w:type="dxa"/>
            <w:vAlign w:val="bottom"/>
            <w:shd w:val="clear" w:color="auto" w:fill="EFE9FC"/>
          </w:tcPr>
          <w:p>
            <w:pPr>
              <w:spacing w:after="0"/>
              <w:rPr>
                <w:sz w:val="7"/>
                <w:szCs w:val="7"/>
                <w:color w:val="auto"/>
              </w:rPr>
            </w:pPr>
          </w:p>
        </w:tc>
        <w:tc>
          <w:tcPr>
            <w:tcW w:w="760" w:type="dxa"/>
            <w:vAlign w:val="bottom"/>
            <w:shd w:val="clear" w:color="auto" w:fill="EFE9FC"/>
          </w:tcPr>
          <w:p>
            <w:pPr>
              <w:spacing w:after="0"/>
              <w:rPr>
                <w:sz w:val="7"/>
                <w:szCs w:val="7"/>
                <w:color w:val="auto"/>
              </w:rPr>
            </w:pPr>
          </w:p>
        </w:tc>
        <w:tc>
          <w:tcPr>
            <w:tcW w:w="780" w:type="dxa"/>
            <w:vAlign w:val="bottom"/>
            <w:shd w:val="clear" w:color="auto" w:fill="EFE9FC"/>
          </w:tcPr>
          <w:p>
            <w:pPr>
              <w:spacing w:after="0"/>
              <w:rPr>
                <w:sz w:val="7"/>
                <w:szCs w:val="7"/>
                <w:color w:val="auto"/>
              </w:rPr>
            </w:pPr>
          </w:p>
        </w:tc>
        <w:tc>
          <w:tcPr>
            <w:tcW w:w="580" w:type="dxa"/>
            <w:vAlign w:val="bottom"/>
            <w:shd w:val="clear" w:color="auto" w:fill="EFE9FC"/>
          </w:tcPr>
          <w:p>
            <w:pPr>
              <w:spacing w:after="0"/>
              <w:rPr>
                <w:sz w:val="7"/>
                <w:szCs w:val="7"/>
                <w:color w:val="auto"/>
              </w:rPr>
            </w:pPr>
          </w:p>
        </w:tc>
        <w:tc>
          <w:tcPr>
            <w:tcW w:w="760" w:type="dxa"/>
            <w:vAlign w:val="bottom"/>
            <w:shd w:val="clear" w:color="auto" w:fill="EFE9FC"/>
          </w:tcPr>
          <w:p>
            <w:pPr>
              <w:spacing w:after="0"/>
              <w:rPr>
                <w:sz w:val="7"/>
                <w:szCs w:val="7"/>
                <w:color w:val="auto"/>
              </w:rPr>
            </w:pPr>
          </w:p>
        </w:tc>
        <w:tc>
          <w:tcPr>
            <w:tcW w:w="780" w:type="dxa"/>
            <w:vAlign w:val="bottom"/>
            <w:shd w:val="clear" w:color="auto" w:fill="EFE9FC"/>
          </w:tcPr>
          <w:p>
            <w:pPr>
              <w:spacing w:after="0"/>
              <w:rPr>
                <w:sz w:val="7"/>
                <w:szCs w:val="7"/>
                <w:color w:val="auto"/>
              </w:rPr>
            </w:pPr>
          </w:p>
        </w:tc>
        <w:tc>
          <w:tcPr>
            <w:tcW w:w="820" w:type="dxa"/>
            <w:vAlign w:val="bottom"/>
            <w:shd w:val="clear" w:color="auto" w:fill="EFE9FC"/>
          </w:tcPr>
          <w:p>
            <w:pPr>
              <w:spacing w:after="0"/>
              <w:rPr>
                <w:sz w:val="7"/>
                <w:szCs w:val="7"/>
                <w:color w:val="auto"/>
              </w:rPr>
            </w:pPr>
          </w:p>
        </w:tc>
        <w:tc>
          <w:tcPr>
            <w:tcW w:w="760" w:type="dxa"/>
            <w:vAlign w:val="bottom"/>
            <w:shd w:val="clear" w:color="auto" w:fill="EFE9FC"/>
          </w:tcPr>
          <w:p>
            <w:pPr>
              <w:spacing w:after="0"/>
              <w:rPr>
                <w:sz w:val="7"/>
                <w:szCs w:val="7"/>
                <w:color w:val="auto"/>
              </w:rPr>
            </w:pPr>
          </w:p>
        </w:tc>
        <w:tc>
          <w:tcPr>
            <w:tcW w:w="660" w:type="dxa"/>
            <w:vAlign w:val="bottom"/>
            <w:shd w:val="clear" w:color="auto" w:fill="EFE9FC"/>
          </w:tcPr>
          <w:p>
            <w:pPr>
              <w:spacing w:after="0"/>
              <w:rPr>
                <w:sz w:val="7"/>
                <w:szCs w:val="7"/>
                <w:color w:val="auto"/>
              </w:rPr>
            </w:pPr>
          </w:p>
        </w:tc>
        <w:tc>
          <w:tcPr>
            <w:tcW w:w="0" w:type="dxa"/>
            <w:vAlign w:val="bottom"/>
          </w:tcPr>
          <w:p>
            <w:pPr>
              <w:spacing w:after="0"/>
              <w:rPr>
                <w:sz w:val="1"/>
                <w:szCs w:val="1"/>
                <w:color w:val="auto"/>
              </w:rPr>
            </w:pPr>
          </w:p>
        </w:tc>
      </w:tr>
      <w:tr>
        <w:trPr>
          <w:trHeight w:val="173"/>
        </w:trPr>
        <w:tc>
          <w:tcPr>
            <w:tcW w:w="1120" w:type="dxa"/>
            <w:vAlign w:val="bottom"/>
          </w:tcPr>
          <w:p>
            <w:pPr>
              <w:spacing w:after="0"/>
              <w:rPr>
                <w:sz w:val="15"/>
                <w:szCs w:val="15"/>
                <w:color w:val="auto"/>
              </w:rPr>
            </w:pPr>
          </w:p>
        </w:tc>
        <w:tc>
          <w:tcPr>
            <w:tcW w:w="740" w:type="dxa"/>
            <w:vAlign w:val="bottom"/>
          </w:tcPr>
          <w:p>
            <w:pPr>
              <w:jc w:val="right"/>
              <w:spacing w:after="0"/>
              <w:rPr>
                <w:sz w:val="20"/>
                <w:szCs w:val="20"/>
                <w:color w:val="auto"/>
              </w:rPr>
            </w:pPr>
            <w:r>
              <w:rPr>
                <w:rFonts w:ascii="Arial" w:cs="Arial" w:eastAsia="Arial" w:hAnsi="Arial"/>
                <w:sz w:val="13"/>
                <w:szCs w:val="13"/>
                <w:color w:val="auto"/>
              </w:rPr>
              <w:t>03/30/2019</w:t>
            </w:r>
          </w:p>
        </w:tc>
        <w:tc>
          <w:tcPr>
            <w:tcW w:w="8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780" w:type="dxa"/>
            <w:vAlign w:val="bottom"/>
          </w:tcPr>
          <w:p>
            <w:pPr>
              <w:jc w:val="right"/>
              <w:ind w:right="17"/>
              <w:spacing w:after="0"/>
              <w:rPr>
                <w:sz w:val="20"/>
                <w:szCs w:val="20"/>
                <w:color w:val="auto"/>
              </w:rPr>
            </w:pPr>
            <w:r>
              <w:rPr>
                <w:rFonts w:ascii="Arial" w:cs="Arial" w:eastAsia="Arial" w:hAnsi="Arial"/>
                <w:sz w:val="13"/>
                <w:szCs w:val="13"/>
                <w:color w:val="auto"/>
              </w:rPr>
              <w:t>386</w:t>
            </w:r>
          </w:p>
        </w:tc>
        <w:tc>
          <w:tcPr>
            <w:tcW w:w="580" w:type="dxa"/>
            <w:vAlign w:val="bottom"/>
          </w:tcPr>
          <w:p>
            <w:pPr>
              <w:jc w:val="right"/>
              <w:ind w:right="17"/>
              <w:spacing w:after="0"/>
              <w:rPr>
                <w:sz w:val="20"/>
                <w:szCs w:val="20"/>
                <w:color w:val="auto"/>
              </w:rPr>
            </w:pPr>
            <w:r>
              <w:rPr>
                <w:rFonts w:ascii="Arial" w:cs="Arial" w:eastAsia="Arial" w:hAnsi="Arial"/>
                <w:sz w:val="13"/>
                <w:szCs w:val="13"/>
                <w:color w:val="auto"/>
              </w:rPr>
              <w:t>1,928</w:t>
            </w:r>
          </w:p>
        </w:tc>
        <w:tc>
          <w:tcPr>
            <w:tcW w:w="760" w:type="dxa"/>
            <w:vAlign w:val="bottom"/>
          </w:tcPr>
          <w:p>
            <w:pPr>
              <w:jc w:val="right"/>
              <w:spacing w:after="0"/>
              <w:rPr>
                <w:sz w:val="20"/>
                <w:szCs w:val="20"/>
                <w:color w:val="auto"/>
              </w:rPr>
            </w:pPr>
            <w:r>
              <w:rPr>
                <w:rFonts w:ascii="Arial" w:cs="Arial" w:eastAsia="Arial" w:hAnsi="Arial"/>
                <w:sz w:val="13"/>
                <w:szCs w:val="13"/>
                <w:color w:val="auto"/>
              </w:rPr>
              <w:t>3,856</w:t>
            </w:r>
          </w:p>
        </w:tc>
        <w:tc>
          <w:tcPr>
            <w:tcW w:w="7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760" w:type="dxa"/>
            <w:vAlign w:val="bottom"/>
          </w:tcPr>
          <w:p>
            <w:pPr>
              <w:jc w:val="right"/>
              <w:spacing w:after="0"/>
              <w:rPr>
                <w:sz w:val="20"/>
                <w:szCs w:val="20"/>
                <w:color w:val="auto"/>
              </w:rPr>
            </w:pPr>
            <w:r>
              <w:rPr>
                <w:rFonts w:ascii="Arial" w:cs="Arial" w:eastAsia="Arial" w:hAnsi="Arial"/>
                <w:sz w:val="10"/>
                <w:szCs w:val="10"/>
                <w:color w:val="auto"/>
              </w:rPr>
              <w:t>(2)</w:t>
            </w:r>
          </w:p>
        </w:tc>
        <w:tc>
          <w:tcPr>
            <w:tcW w:w="660" w:type="dxa"/>
            <w:vAlign w:val="bottom"/>
          </w:tcPr>
          <w:p>
            <w:pPr>
              <w:jc w:val="right"/>
              <w:spacing w:after="0"/>
              <w:rPr>
                <w:sz w:val="20"/>
                <w:szCs w:val="20"/>
                <w:color w:val="auto"/>
              </w:rPr>
            </w:pPr>
            <w:r>
              <w:rPr>
                <w:rFonts w:ascii="Arial" w:cs="Arial" w:eastAsia="Arial" w:hAnsi="Arial"/>
                <w:sz w:val="13"/>
                <w:szCs w:val="13"/>
                <w:color w:val="auto"/>
              </w:rPr>
              <w:t>187,498</w:t>
            </w:r>
          </w:p>
        </w:tc>
        <w:tc>
          <w:tcPr>
            <w:tcW w:w="0" w:type="dxa"/>
            <w:vAlign w:val="bottom"/>
          </w:tcPr>
          <w:p>
            <w:pPr>
              <w:spacing w:after="0"/>
              <w:rPr>
                <w:sz w:val="1"/>
                <w:szCs w:val="1"/>
                <w:color w:val="auto"/>
              </w:rPr>
            </w:pPr>
          </w:p>
        </w:tc>
      </w:tr>
      <w:tr>
        <w:trPr>
          <w:trHeight w:val="57"/>
        </w:trPr>
        <w:tc>
          <w:tcPr>
            <w:tcW w:w="1120" w:type="dxa"/>
            <w:vAlign w:val="bottom"/>
          </w:tcPr>
          <w:p>
            <w:pPr>
              <w:spacing w:after="0"/>
              <w:rPr>
                <w:sz w:val="4"/>
                <w:szCs w:val="4"/>
                <w:color w:val="auto"/>
              </w:rPr>
            </w:pPr>
          </w:p>
        </w:tc>
        <w:tc>
          <w:tcPr>
            <w:tcW w:w="740" w:type="dxa"/>
            <w:vAlign w:val="bottom"/>
          </w:tcPr>
          <w:p>
            <w:pPr>
              <w:spacing w:after="0"/>
              <w:rPr>
                <w:sz w:val="4"/>
                <w:szCs w:val="4"/>
                <w:color w:val="auto"/>
              </w:rPr>
            </w:pPr>
          </w:p>
        </w:tc>
        <w:tc>
          <w:tcPr>
            <w:tcW w:w="800" w:type="dxa"/>
            <w:vAlign w:val="bottom"/>
          </w:tcPr>
          <w:p>
            <w:pPr>
              <w:spacing w:after="0"/>
              <w:rPr>
                <w:sz w:val="4"/>
                <w:szCs w:val="4"/>
                <w:color w:val="auto"/>
              </w:rPr>
            </w:pPr>
          </w:p>
        </w:tc>
        <w:tc>
          <w:tcPr>
            <w:tcW w:w="620" w:type="dxa"/>
            <w:vAlign w:val="bottom"/>
          </w:tcPr>
          <w:p>
            <w:pPr>
              <w:spacing w:after="0"/>
              <w:rPr>
                <w:sz w:val="4"/>
                <w:szCs w:val="4"/>
                <w:color w:val="auto"/>
              </w:rPr>
            </w:pPr>
          </w:p>
        </w:tc>
        <w:tc>
          <w:tcPr>
            <w:tcW w:w="760" w:type="dxa"/>
            <w:vAlign w:val="bottom"/>
          </w:tcPr>
          <w:p>
            <w:pPr>
              <w:spacing w:after="0"/>
              <w:rPr>
                <w:sz w:val="4"/>
                <w:szCs w:val="4"/>
                <w:color w:val="auto"/>
              </w:rPr>
            </w:pPr>
          </w:p>
        </w:tc>
        <w:tc>
          <w:tcPr>
            <w:tcW w:w="780" w:type="dxa"/>
            <w:vAlign w:val="bottom"/>
          </w:tcPr>
          <w:p>
            <w:pPr>
              <w:spacing w:after="0"/>
              <w:rPr>
                <w:sz w:val="4"/>
                <w:szCs w:val="4"/>
                <w:color w:val="auto"/>
              </w:rPr>
            </w:pPr>
          </w:p>
        </w:tc>
        <w:tc>
          <w:tcPr>
            <w:tcW w:w="580" w:type="dxa"/>
            <w:vAlign w:val="bottom"/>
          </w:tcPr>
          <w:p>
            <w:pPr>
              <w:spacing w:after="0"/>
              <w:rPr>
                <w:sz w:val="4"/>
                <w:szCs w:val="4"/>
                <w:color w:val="auto"/>
              </w:rPr>
            </w:pPr>
          </w:p>
        </w:tc>
        <w:tc>
          <w:tcPr>
            <w:tcW w:w="760" w:type="dxa"/>
            <w:vAlign w:val="bottom"/>
          </w:tcPr>
          <w:p>
            <w:pPr>
              <w:spacing w:after="0"/>
              <w:rPr>
                <w:sz w:val="4"/>
                <w:szCs w:val="4"/>
                <w:color w:val="auto"/>
              </w:rPr>
            </w:pPr>
          </w:p>
        </w:tc>
        <w:tc>
          <w:tcPr>
            <w:tcW w:w="780" w:type="dxa"/>
            <w:vAlign w:val="bottom"/>
          </w:tcPr>
          <w:p>
            <w:pPr>
              <w:spacing w:after="0"/>
              <w:rPr>
                <w:sz w:val="4"/>
                <w:szCs w:val="4"/>
                <w:color w:val="auto"/>
              </w:rPr>
            </w:pPr>
          </w:p>
        </w:tc>
        <w:tc>
          <w:tcPr>
            <w:tcW w:w="820" w:type="dxa"/>
            <w:vAlign w:val="bottom"/>
          </w:tcPr>
          <w:p>
            <w:pPr>
              <w:spacing w:after="0"/>
              <w:rPr>
                <w:sz w:val="4"/>
                <w:szCs w:val="4"/>
                <w:color w:val="auto"/>
              </w:rPr>
            </w:pPr>
          </w:p>
        </w:tc>
        <w:tc>
          <w:tcPr>
            <w:tcW w:w="760" w:type="dxa"/>
            <w:vAlign w:val="bottom"/>
          </w:tcPr>
          <w:p>
            <w:pPr>
              <w:spacing w:after="0"/>
              <w:rPr>
                <w:sz w:val="4"/>
                <w:szCs w:val="4"/>
                <w:color w:val="auto"/>
              </w:rPr>
            </w:pPr>
          </w:p>
        </w:tc>
        <w:tc>
          <w:tcPr>
            <w:tcW w:w="6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86"/>
        </w:trPr>
        <w:tc>
          <w:tcPr>
            <w:tcW w:w="1120" w:type="dxa"/>
            <w:vAlign w:val="bottom"/>
          </w:tcPr>
          <w:p>
            <w:pPr>
              <w:spacing w:after="0"/>
              <w:rPr>
                <w:sz w:val="16"/>
                <w:szCs w:val="16"/>
                <w:color w:val="auto"/>
              </w:rPr>
            </w:pPr>
          </w:p>
        </w:tc>
        <w:tc>
          <w:tcPr>
            <w:tcW w:w="740" w:type="dxa"/>
            <w:vAlign w:val="bottom"/>
            <w:shd w:val="clear" w:color="auto" w:fill="EFE9FC"/>
          </w:tcPr>
          <w:p>
            <w:pPr>
              <w:jc w:val="right"/>
              <w:spacing w:after="0"/>
              <w:rPr>
                <w:sz w:val="20"/>
                <w:szCs w:val="20"/>
                <w:color w:val="auto"/>
              </w:rPr>
            </w:pPr>
            <w:r>
              <w:rPr>
                <w:rFonts w:ascii="Arial" w:cs="Arial" w:eastAsia="Arial" w:hAnsi="Arial"/>
                <w:sz w:val="13"/>
                <w:szCs w:val="13"/>
                <w:color w:val="auto"/>
              </w:rPr>
              <w:t>03/30/2019</w:t>
            </w:r>
          </w:p>
        </w:tc>
        <w:tc>
          <w:tcPr>
            <w:tcW w:w="800" w:type="dxa"/>
            <w:vAlign w:val="bottom"/>
            <w:shd w:val="clear" w:color="auto" w:fill="EFE9FC"/>
          </w:tcPr>
          <w:p>
            <w:pPr>
              <w:spacing w:after="0"/>
              <w:rPr>
                <w:sz w:val="16"/>
                <w:szCs w:val="16"/>
                <w:color w:val="auto"/>
              </w:rPr>
            </w:pPr>
          </w:p>
        </w:tc>
        <w:tc>
          <w:tcPr>
            <w:tcW w:w="620" w:type="dxa"/>
            <w:vAlign w:val="bottom"/>
            <w:shd w:val="clear" w:color="auto" w:fill="EFE9FC"/>
          </w:tcPr>
          <w:p>
            <w:pPr>
              <w:spacing w:after="0"/>
              <w:rPr>
                <w:sz w:val="16"/>
                <w:szCs w:val="16"/>
                <w:color w:val="auto"/>
              </w:rPr>
            </w:pPr>
          </w:p>
        </w:tc>
        <w:tc>
          <w:tcPr>
            <w:tcW w:w="760" w:type="dxa"/>
            <w:vAlign w:val="bottom"/>
            <w:shd w:val="clear" w:color="auto" w:fill="EFE9FC"/>
          </w:tcPr>
          <w:p>
            <w:pPr>
              <w:spacing w:after="0"/>
              <w:rPr>
                <w:sz w:val="16"/>
                <w:szCs w:val="16"/>
                <w:color w:val="auto"/>
              </w:rPr>
            </w:pPr>
          </w:p>
        </w:tc>
        <w:tc>
          <w:tcPr>
            <w:tcW w:w="780" w:type="dxa"/>
            <w:vAlign w:val="bottom"/>
            <w:shd w:val="clear" w:color="auto" w:fill="EFE9FC"/>
          </w:tcPr>
          <w:p>
            <w:pPr>
              <w:spacing w:after="0"/>
              <w:rPr>
                <w:sz w:val="16"/>
                <w:szCs w:val="16"/>
                <w:color w:val="auto"/>
              </w:rPr>
            </w:pPr>
          </w:p>
        </w:tc>
        <w:tc>
          <w:tcPr>
            <w:tcW w:w="580" w:type="dxa"/>
            <w:vAlign w:val="bottom"/>
            <w:shd w:val="clear" w:color="auto" w:fill="EFE9FC"/>
          </w:tcPr>
          <w:p>
            <w:pPr>
              <w:spacing w:after="0"/>
              <w:rPr>
                <w:sz w:val="16"/>
                <w:szCs w:val="16"/>
                <w:color w:val="auto"/>
              </w:rPr>
            </w:pPr>
          </w:p>
        </w:tc>
        <w:tc>
          <w:tcPr>
            <w:tcW w:w="760" w:type="dxa"/>
            <w:vAlign w:val="bottom"/>
            <w:shd w:val="clear" w:color="auto" w:fill="EFE9FC"/>
          </w:tcPr>
          <w:p>
            <w:pPr>
              <w:spacing w:after="0"/>
              <w:rPr>
                <w:sz w:val="16"/>
                <w:szCs w:val="16"/>
                <w:color w:val="auto"/>
              </w:rPr>
            </w:pPr>
          </w:p>
        </w:tc>
        <w:tc>
          <w:tcPr>
            <w:tcW w:w="780" w:type="dxa"/>
            <w:vAlign w:val="bottom"/>
            <w:shd w:val="clear" w:color="auto" w:fill="EFE9FC"/>
          </w:tcPr>
          <w:p>
            <w:pPr>
              <w:jc w:val="right"/>
              <w:spacing w:after="0"/>
              <w:rPr>
                <w:sz w:val="20"/>
                <w:szCs w:val="20"/>
                <w:color w:val="auto"/>
              </w:rPr>
            </w:pPr>
            <w:r>
              <w:rPr>
                <w:rFonts w:ascii="Arial" w:cs="Arial" w:eastAsia="Arial" w:hAnsi="Arial"/>
                <w:sz w:val="13"/>
                <w:szCs w:val="13"/>
                <w:color w:val="auto"/>
              </w:rPr>
              <w:t>1,928</w:t>
            </w:r>
          </w:p>
        </w:tc>
        <w:tc>
          <w:tcPr>
            <w:tcW w:w="820" w:type="dxa"/>
            <w:vAlign w:val="bottom"/>
            <w:shd w:val="clear" w:color="auto" w:fill="EFE9FC"/>
          </w:tcPr>
          <w:p>
            <w:pPr>
              <w:spacing w:after="0"/>
              <w:rPr>
                <w:sz w:val="16"/>
                <w:szCs w:val="16"/>
                <w:color w:val="auto"/>
              </w:rPr>
            </w:pPr>
          </w:p>
        </w:tc>
        <w:tc>
          <w:tcPr>
            <w:tcW w:w="760" w:type="dxa"/>
            <w:vAlign w:val="bottom"/>
            <w:shd w:val="clear" w:color="auto" w:fill="EFE9FC"/>
          </w:tcPr>
          <w:p>
            <w:pPr>
              <w:jc w:val="right"/>
              <w:spacing w:after="0"/>
              <w:rPr>
                <w:sz w:val="20"/>
                <w:szCs w:val="20"/>
                <w:color w:val="auto"/>
              </w:rPr>
            </w:pPr>
            <w:r>
              <w:rPr>
                <w:rFonts w:ascii="Arial" w:cs="Arial" w:eastAsia="Arial" w:hAnsi="Arial"/>
                <w:sz w:val="10"/>
                <w:szCs w:val="10"/>
                <w:color w:val="auto"/>
              </w:rPr>
              <w:t>(1)</w:t>
            </w:r>
          </w:p>
        </w:tc>
        <w:tc>
          <w:tcPr>
            <w:tcW w:w="660" w:type="dxa"/>
            <w:vAlign w:val="bottom"/>
            <w:shd w:val="clear" w:color="auto" w:fill="EFE9FC"/>
          </w:tcPr>
          <w:p>
            <w:pPr>
              <w:jc w:val="right"/>
              <w:spacing w:after="0"/>
              <w:rPr>
                <w:sz w:val="20"/>
                <w:szCs w:val="20"/>
                <w:color w:val="auto"/>
              </w:rPr>
            </w:pPr>
            <w:r>
              <w:rPr>
                <w:rFonts w:ascii="Arial" w:cs="Arial" w:eastAsia="Arial" w:hAnsi="Arial"/>
                <w:sz w:val="13"/>
                <w:szCs w:val="13"/>
                <w:color w:val="auto"/>
              </w:rPr>
              <w:t>187,498</w:t>
            </w:r>
          </w:p>
        </w:tc>
        <w:tc>
          <w:tcPr>
            <w:tcW w:w="0" w:type="dxa"/>
            <w:vAlign w:val="bottom"/>
          </w:tcPr>
          <w:p>
            <w:pPr>
              <w:spacing w:after="0"/>
              <w:rPr>
                <w:sz w:val="1"/>
                <w:szCs w:val="1"/>
                <w:color w:val="auto"/>
              </w:rPr>
            </w:pPr>
          </w:p>
        </w:tc>
      </w:tr>
      <w:tr>
        <w:trPr>
          <w:trHeight w:val="70"/>
        </w:trPr>
        <w:tc>
          <w:tcPr>
            <w:tcW w:w="1120" w:type="dxa"/>
            <w:vAlign w:val="bottom"/>
          </w:tcPr>
          <w:p>
            <w:pPr>
              <w:spacing w:after="0"/>
              <w:rPr>
                <w:sz w:val="6"/>
                <w:szCs w:val="6"/>
                <w:color w:val="auto"/>
              </w:rPr>
            </w:pPr>
          </w:p>
        </w:tc>
        <w:tc>
          <w:tcPr>
            <w:tcW w:w="740" w:type="dxa"/>
            <w:vAlign w:val="bottom"/>
            <w:shd w:val="clear" w:color="auto" w:fill="EFE9FC"/>
          </w:tcPr>
          <w:p>
            <w:pPr>
              <w:spacing w:after="0"/>
              <w:rPr>
                <w:sz w:val="6"/>
                <w:szCs w:val="6"/>
                <w:color w:val="auto"/>
              </w:rPr>
            </w:pPr>
          </w:p>
        </w:tc>
        <w:tc>
          <w:tcPr>
            <w:tcW w:w="800" w:type="dxa"/>
            <w:vAlign w:val="bottom"/>
            <w:shd w:val="clear" w:color="auto" w:fill="EFE9FC"/>
          </w:tcPr>
          <w:p>
            <w:pPr>
              <w:spacing w:after="0"/>
              <w:rPr>
                <w:sz w:val="6"/>
                <w:szCs w:val="6"/>
                <w:color w:val="auto"/>
              </w:rPr>
            </w:pPr>
          </w:p>
        </w:tc>
        <w:tc>
          <w:tcPr>
            <w:tcW w:w="620" w:type="dxa"/>
            <w:vAlign w:val="bottom"/>
            <w:shd w:val="clear" w:color="auto" w:fill="EFE9FC"/>
          </w:tcPr>
          <w:p>
            <w:pPr>
              <w:spacing w:after="0"/>
              <w:rPr>
                <w:sz w:val="6"/>
                <w:szCs w:val="6"/>
                <w:color w:val="auto"/>
              </w:rPr>
            </w:pPr>
          </w:p>
        </w:tc>
        <w:tc>
          <w:tcPr>
            <w:tcW w:w="760" w:type="dxa"/>
            <w:vAlign w:val="bottom"/>
            <w:shd w:val="clear" w:color="auto" w:fill="EFE9FC"/>
          </w:tcPr>
          <w:p>
            <w:pPr>
              <w:spacing w:after="0"/>
              <w:rPr>
                <w:sz w:val="6"/>
                <w:szCs w:val="6"/>
                <w:color w:val="auto"/>
              </w:rPr>
            </w:pPr>
          </w:p>
        </w:tc>
        <w:tc>
          <w:tcPr>
            <w:tcW w:w="780" w:type="dxa"/>
            <w:vAlign w:val="bottom"/>
            <w:shd w:val="clear" w:color="auto" w:fill="EFE9FC"/>
          </w:tcPr>
          <w:p>
            <w:pPr>
              <w:spacing w:after="0"/>
              <w:rPr>
                <w:sz w:val="6"/>
                <w:szCs w:val="6"/>
                <w:color w:val="auto"/>
              </w:rPr>
            </w:pPr>
          </w:p>
        </w:tc>
        <w:tc>
          <w:tcPr>
            <w:tcW w:w="580" w:type="dxa"/>
            <w:vAlign w:val="bottom"/>
            <w:shd w:val="clear" w:color="auto" w:fill="EFE9FC"/>
          </w:tcPr>
          <w:p>
            <w:pPr>
              <w:spacing w:after="0"/>
              <w:rPr>
                <w:sz w:val="6"/>
                <w:szCs w:val="6"/>
                <w:color w:val="auto"/>
              </w:rPr>
            </w:pPr>
          </w:p>
        </w:tc>
        <w:tc>
          <w:tcPr>
            <w:tcW w:w="760" w:type="dxa"/>
            <w:vAlign w:val="bottom"/>
            <w:shd w:val="clear" w:color="auto" w:fill="EFE9FC"/>
          </w:tcPr>
          <w:p>
            <w:pPr>
              <w:spacing w:after="0"/>
              <w:rPr>
                <w:sz w:val="6"/>
                <w:szCs w:val="6"/>
                <w:color w:val="auto"/>
              </w:rPr>
            </w:pPr>
          </w:p>
        </w:tc>
        <w:tc>
          <w:tcPr>
            <w:tcW w:w="780" w:type="dxa"/>
            <w:vAlign w:val="bottom"/>
            <w:shd w:val="clear" w:color="auto" w:fill="EFE9FC"/>
          </w:tcPr>
          <w:p>
            <w:pPr>
              <w:spacing w:after="0"/>
              <w:rPr>
                <w:sz w:val="6"/>
                <w:szCs w:val="6"/>
                <w:color w:val="auto"/>
              </w:rPr>
            </w:pPr>
          </w:p>
        </w:tc>
        <w:tc>
          <w:tcPr>
            <w:tcW w:w="820" w:type="dxa"/>
            <w:vAlign w:val="bottom"/>
            <w:shd w:val="clear" w:color="auto" w:fill="EFE9FC"/>
          </w:tcPr>
          <w:p>
            <w:pPr>
              <w:spacing w:after="0"/>
              <w:rPr>
                <w:sz w:val="6"/>
                <w:szCs w:val="6"/>
                <w:color w:val="auto"/>
              </w:rPr>
            </w:pPr>
          </w:p>
        </w:tc>
        <w:tc>
          <w:tcPr>
            <w:tcW w:w="760" w:type="dxa"/>
            <w:vAlign w:val="bottom"/>
            <w:shd w:val="clear" w:color="auto" w:fill="EFE9FC"/>
          </w:tcPr>
          <w:p>
            <w:pPr>
              <w:spacing w:after="0"/>
              <w:rPr>
                <w:sz w:val="6"/>
                <w:szCs w:val="6"/>
                <w:color w:val="auto"/>
              </w:rPr>
            </w:pPr>
          </w:p>
        </w:tc>
        <w:tc>
          <w:tcPr>
            <w:tcW w:w="660" w:type="dxa"/>
            <w:vAlign w:val="bottom"/>
            <w:shd w:val="clear" w:color="auto" w:fill="EFE9FC"/>
          </w:tcPr>
          <w:p>
            <w:pPr>
              <w:spacing w:after="0"/>
              <w:rPr>
                <w:sz w:val="6"/>
                <w:szCs w:val="6"/>
                <w:color w:val="auto"/>
              </w:rPr>
            </w:pPr>
          </w:p>
        </w:tc>
        <w:tc>
          <w:tcPr>
            <w:tcW w:w="0" w:type="dxa"/>
            <w:vAlign w:val="bottom"/>
          </w:tcPr>
          <w:p>
            <w:pPr>
              <w:spacing w:after="0"/>
              <w:rPr>
                <w:sz w:val="1"/>
                <w:szCs w:val="1"/>
                <w:color w:val="auto"/>
              </w:rPr>
            </w:pPr>
          </w:p>
        </w:tc>
      </w:tr>
      <w:tr>
        <w:trPr>
          <w:trHeight w:val="270"/>
        </w:trPr>
        <w:tc>
          <w:tcPr>
            <w:tcW w:w="1120" w:type="dxa"/>
            <w:vAlign w:val="bottom"/>
          </w:tcPr>
          <w:p>
            <w:pPr>
              <w:spacing w:after="0"/>
              <w:rPr>
                <w:sz w:val="23"/>
                <w:szCs w:val="23"/>
                <w:color w:val="auto"/>
              </w:rPr>
            </w:pPr>
          </w:p>
        </w:tc>
        <w:tc>
          <w:tcPr>
            <w:tcW w:w="740" w:type="dxa"/>
            <w:vAlign w:val="bottom"/>
          </w:tcPr>
          <w:p>
            <w:pPr>
              <w:jc w:val="right"/>
              <w:spacing w:after="0"/>
              <w:rPr>
                <w:sz w:val="20"/>
                <w:szCs w:val="20"/>
                <w:color w:val="auto"/>
              </w:rPr>
            </w:pPr>
            <w:r>
              <w:rPr>
                <w:rFonts w:ascii="Arial" w:cs="Arial" w:eastAsia="Arial" w:hAnsi="Arial"/>
                <w:sz w:val="13"/>
                <w:szCs w:val="13"/>
                <w:color w:val="auto"/>
              </w:rPr>
              <w:t>03/30/2019</w:t>
            </w:r>
          </w:p>
        </w:tc>
        <w:tc>
          <w:tcPr>
            <w:tcW w:w="800" w:type="dxa"/>
            <w:vAlign w:val="bottom"/>
          </w:tcPr>
          <w:p>
            <w:pPr>
              <w:spacing w:after="0"/>
              <w:rPr>
                <w:sz w:val="23"/>
                <w:szCs w:val="23"/>
                <w:color w:val="auto"/>
              </w:rPr>
            </w:pPr>
          </w:p>
        </w:tc>
        <w:tc>
          <w:tcPr>
            <w:tcW w:w="62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820" w:type="dxa"/>
            <w:vAlign w:val="bottom"/>
          </w:tcPr>
          <w:p>
            <w:pPr>
              <w:jc w:val="right"/>
              <w:spacing w:after="0"/>
              <w:rPr>
                <w:sz w:val="20"/>
                <w:szCs w:val="20"/>
                <w:color w:val="auto"/>
              </w:rPr>
            </w:pPr>
            <w:r>
              <w:rPr>
                <w:rFonts w:ascii="Arial" w:cs="Arial" w:eastAsia="Arial" w:hAnsi="Arial"/>
                <w:sz w:val="13"/>
                <w:szCs w:val="13"/>
                <w:color w:val="auto"/>
              </w:rPr>
              <w:t>5,903</w:t>
            </w:r>
          </w:p>
        </w:tc>
        <w:tc>
          <w:tcPr>
            <w:tcW w:w="760" w:type="dxa"/>
            <w:vAlign w:val="bottom"/>
          </w:tcPr>
          <w:p>
            <w:pPr>
              <w:jc w:val="right"/>
              <w:spacing w:after="0"/>
              <w:rPr>
                <w:sz w:val="20"/>
                <w:szCs w:val="20"/>
                <w:color w:val="auto"/>
              </w:rPr>
            </w:pPr>
            <w:r>
              <w:rPr>
                <w:rFonts w:ascii="Arial" w:cs="Arial" w:eastAsia="Arial" w:hAnsi="Arial"/>
                <w:sz w:val="13"/>
                <w:szCs w:val="13"/>
                <w:color w:val="auto"/>
              </w:rPr>
              <w:t>97.25</w:t>
            </w:r>
            <w:r>
              <w:rPr>
                <w:rFonts w:ascii="Arial" w:cs="Arial" w:eastAsia="Arial" w:hAnsi="Arial"/>
                <w:sz w:val="19"/>
                <w:szCs w:val="19"/>
                <w:color w:val="auto"/>
                <w:vertAlign w:val="superscript"/>
              </w:rPr>
              <w:t>(2)</w:t>
            </w:r>
          </w:p>
        </w:tc>
        <w:tc>
          <w:tcPr>
            <w:tcW w:w="660" w:type="dxa"/>
            <w:vAlign w:val="bottom"/>
          </w:tcPr>
          <w:p>
            <w:pPr>
              <w:jc w:val="right"/>
              <w:spacing w:after="0"/>
              <w:rPr>
                <w:sz w:val="20"/>
                <w:szCs w:val="20"/>
                <w:color w:val="auto"/>
              </w:rPr>
            </w:pPr>
            <w:r>
              <w:rPr>
                <w:rFonts w:ascii="Arial" w:cs="Arial" w:eastAsia="Arial" w:hAnsi="Arial"/>
                <w:sz w:val="13"/>
                <w:szCs w:val="13"/>
                <w:color w:val="auto"/>
              </w:rPr>
              <w:t>187,479</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485140</wp:posOffset>
            </wp:positionH>
            <wp:positionV relativeFrom="paragraph">
              <wp:posOffset>68580</wp:posOffset>
            </wp:positionV>
            <wp:extent cx="5829300" cy="8255"/>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5">
                      <a:extLst>
                        <a:ext uri="{28A0092B-C50C-407E-A947-70E740481C1C}"/>
                      </a:extLst>
                    </a:blip>
                    <a:srcRect/>
                    <a:stretch>
                      <a:fillRect/>
                    </a:stretch>
                  </pic:blipFill>
                  <pic:spPr bwMode="auto">
                    <a:xfrm>
                      <a:off x="0" y="0"/>
                      <a:ext cx="5829300" cy="8255"/>
                    </a:xfrm>
                    <a:prstGeom prst="rect">
                      <a:avLst/>
                    </a:prstGeom>
                    <a:noFill/>
                  </pic:spPr>
                </pic:pic>
              </a:graphicData>
            </a:graphic>
          </wp:anchor>
        </w:drawing>
      </w:r>
    </w:p>
    <w:p>
      <w:pPr>
        <w:spacing w:after="0" w:line="113" w:lineRule="exact"/>
        <w:rPr>
          <w:sz w:val="20"/>
          <w:szCs w:val="20"/>
          <w:color w:val="auto"/>
        </w:rPr>
      </w:pPr>
    </w:p>
    <w:p>
      <w:pPr>
        <w:ind w:left="980" w:right="239" w:hanging="216"/>
        <w:spacing w:after="0" w:line="245" w:lineRule="auto"/>
        <w:tabs>
          <w:tab w:leader="none" w:pos="980" w:val="left"/>
        </w:tabs>
        <w:numPr>
          <w:ilvl w:val="0"/>
          <w:numId w:val="65"/>
        </w:numPr>
        <w:rPr>
          <w:rFonts w:ascii="Arial" w:cs="Arial" w:eastAsia="Arial" w:hAnsi="Arial"/>
          <w:sz w:val="13"/>
          <w:szCs w:val="13"/>
          <w:i w:val="1"/>
          <w:iCs w:val="1"/>
          <w:color w:val="auto"/>
        </w:rPr>
      </w:pPr>
      <w:r>
        <w:rPr>
          <w:rFonts w:ascii="Arial" w:cs="Arial" w:eastAsia="Arial" w:hAnsi="Arial"/>
          <w:sz w:val="13"/>
          <w:szCs w:val="13"/>
          <w:i w:val="1"/>
          <w:iCs w:val="1"/>
          <w:color w:val="auto"/>
        </w:rPr>
        <w:t>The amounts reported represent the fair value of the RSU and SARs awards computed in accordance with FASB ASC Topic 718 on the grant date. The fair value for RSU awards is calculated by multiplying the number of units in each award by the closing price of an ordinary share of our stock on Nasdaq on the grant date, eventually discounted in case of a market price condition. The fair value for SARs awards is calculated by multiplying the number of rights subject to the award by the Black-Scholes value of an option for an ordinary share of our stock on the grant date. For a further discussion of the accounting treatment of the RSU and SAR awards, see “Note 2. Basis of Presentation, Use of Accounting Estimates and Significant Accounting Policies” included in the consolidated financial statements accompanying our US Annual Report on Form 10-K for the year ended December 31, 2019.</w:t>
      </w:r>
    </w:p>
    <w:p>
      <w:pPr>
        <w:spacing w:after="0" w:line="3" w:lineRule="exact"/>
        <w:rPr>
          <w:rFonts w:ascii="Arial" w:cs="Arial" w:eastAsia="Arial" w:hAnsi="Arial"/>
          <w:sz w:val="13"/>
          <w:szCs w:val="13"/>
          <w:i w:val="1"/>
          <w:iCs w:val="1"/>
          <w:color w:val="auto"/>
        </w:rPr>
      </w:pPr>
    </w:p>
    <w:p>
      <w:pPr>
        <w:ind w:left="980" w:right="299" w:hanging="216"/>
        <w:spacing w:after="0" w:line="259" w:lineRule="auto"/>
        <w:tabs>
          <w:tab w:leader="none" w:pos="980" w:val="left"/>
        </w:tabs>
        <w:numPr>
          <w:ilvl w:val="0"/>
          <w:numId w:val="65"/>
        </w:numPr>
        <w:rPr>
          <w:rFonts w:ascii="Arial" w:cs="Arial" w:eastAsia="Arial" w:hAnsi="Arial"/>
          <w:sz w:val="13"/>
          <w:szCs w:val="13"/>
          <w:i w:val="1"/>
          <w:iCs w:val="1"/>
          <w:color w:val="auto"/>
        </w:rPr>
      </w:pPr>
      <w:r>
        <w:rPr>
          <w:rFonts w:ascii="Arial" w:cs="Arial" w:eastAsia="Arial" w:hAnsi="Arial"/>
          <w:sz w:val="13"/>
          <w:szCs w:val="13"/>
          <w:i w:val="1"/>
          <w:iCs w:val="1"/>
          <w:color w:val="auto"/>
        </w:rPr>
        <w:t>The amounts reported represent the fair value of the PSU awards computed in accordance with FASB ASC Topic 718 on the grant date. LivaNova received a computed Fair Value from an outside source, MTI Consulting, that computed the Fair Value of the LivaNova PLC (LIVN) PSU contracts using the risk-neutral approach (i.e., assuming hedging and selling of the contract).</w:t>
      </w:r>
    </w:p>
    <w:p>
      <w:pPr>
        <w:sectPr>
          <w:pgSz w:w="11900" w:h="16838" w:orient="portrait"/>
          <w:cols w:equalWidth="0" w:num="1">
            <w:col w:w="10139"/>
          </w:cols>
          <w:pgMar w:left="320" w:top="132"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ind w:left="480"/>
        <w:spacing w:after="0"/>
        <w:tabs>
          <w:tab w:leader="none" w:pos="4400" w:val="left"/>
          <w:tab w:leader="none" w:pos="8760" w:val="left"/>
        </w:tabs>
        <w:rPr>
          <w:sz w:val="20"/>
          <w:szCs w:val="20"/>
          <w:color w:val="auto"/>
        </w:rPr>
      </w:pPr>
      <w:r>
        <w:rPr>
          <w:rFonts w:ascii="Arial" w:cs="Arial" w:eastAsia="Arial" w:hAnsi="Arial"/>
          <w:sz w:val="29"/>
          <w:szCs w:val="29"/>
          <w:b w:val="1"/>
          <w:bCs w:val="1"/>
          <w:color w:val="auto"/>
          <w:vertAlign w:val="subscript"/>
        </w:rPr>
        <w:t>41</w:t>
      </w:r>
      <w:r>
        <w:rPr>
          <w:sz w:val="20"/>
          <w:szCs w:val="20"/>
          <w:color w:val="auto"/>
        </w:rPr>
        <w:tab/>
      </w:r>
      <w:r>
        <w:rPr>
          <w:rFonts w:ascii="Arial" w:cs="Arial" w:eastAsia="Arial" w:hAnsi="Arial"/>
          <w:sz w:val="13"/>
          <w:szCs w:val="13"/>
          <w:b w:val="1"/>
          <w:bCs w:val="1"/>
          <w:color w:val="4800E6"/>
        </w:rPr>
        <w:t xml:space="preserve">LIVANOVA </w:t>
      </w:r>
      <w:r>
        <w:rPr>
          <w:rFonts w:ascii="Arial" w:cs="Arial" w:eastAsia="Arial" w:hAnsi="Arial"/>
          <w:sz w:val="13"/>
          <w:szCs w:val="13"/>
          <w:color w:val="000000"/>
        </w:rPr>
        <w:t>|</w:t>
      </w:r>
      <w:r>
        <w:rPr>
          <w:rFonts w:ascii="Arial" w:cs="Arial" w:eastAsia="Arial" w:hAnsi="Arial"/>
          <w:sz w:val="13"/>
          <w:szCs w:val="13"/>
          <w:b w:val="1"/>
          <w:bCs w:val="1"/>
          <w:color w:val="4800E6"/>
        </w:rPr>
        <w:t xml:space="preserve"> </w:t>
      </w:r>
      <w:r>
        <w:rPr>
          <w:rFonts w:ascii="Arial" w:cs="Arial" w:eastAsia="Arial" w:hAnsi="Arial"/>
          <w:sz w:val="13"/>
          <w:szCs w:val="13"/>
          <w:color w:val="4800E6"/>
        </w:rPr>
        <w:t>2020</w:t>
      </w:r>
      <w:r>
        <w:rPr>
          <w:rFonts w:ascii="Arial" w:cs="Arial" w:eastAsia="Arial" w:hAnsi="Arial"/>
          <w:sz w:val="13"/>
          <w:szCs w:val="13"/>
          <w:b w:val="1"/>
          <w:bCs w:val="1"/>
          <w:color w:val="4800E6"/>
        </w:rPr>
        <w:t xml:space="preserve"> </w:t>
      </w:r>
      <w:r>
        <w:rPr>
          <w:rFonts w:ascii="Arial" w:cs="Arial" w:eastAsia="Arial" w:hAnsi="Arial"/>
          <w:sz w:val="13"/>
          <w:szCs w:val="13"/>
          <w:color w:val="000000"/>
        </w:rPr>
        <w:t>Proxy Statement</w:t>
      </w:r>
      <w:r>
        <w:rPr>
          <w:sz w:val="20"/>
          <w:szCs w:val="20"/>
          <w:color w:val="auto"/>
        </w:rPr>
        <w:tab/>
      </w:r>
      <w:r>
        <w:rPr>
          <w:rFonts w:ascii="Arial" w:cs="Arial" w:eastAsia="Arial" w:hAnsi="Arial"/>
          <w:sz w:val="12"/>
          <w:szCs w:val="12"/>
          <w:b w:val="1"/>
          <w:bCs w:val="1"/>
          <w:color w:val="4800E6"/>
        </w:rPr>
        <w:t>www.livanova.com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561975</wp:posOffset>
            </wp:positionH>
            <wp:positionV relativeFrom="paragraph">
              <wp:posOffset>94615</wp:posOffset>
            </wp:positionV>
            <wp:extent cx="1954530" cy="8890"/>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6">
                      <a:extLst>
                        <a:ext uri="{28A0092B-C50C-407E-A947-70E740481C1C}"/>
                      </a:extLst>
                    </a:blip>
                    <a:srcRect/>
                    <a:stretch>
                      <a:fillRect/>
                    </a:stretch>
                  </pic:blipFill>
                  <pic:spPr bwMode="auto">
                    <a:xfrm>
                      <a:off x="0" y="0"/>
                      <a:ext cx="1954530" cy="8890"/>
                    </a:xfrm>
                    <a:prstGeom prst="rect">
                      <a:avLst/>
                    </a:prstGeom>
                    <a:noFill/>
                  </pic:spPr>
                </pic:pic>
              </a:graphicData>
            </a:graphic>
          </wp:anchor>
        </w:drawing>
        <w:drawing>
          <wp:anchor simplePos="0" relativeHeight="251657728" behindDoc="1" locked="0" layoutInCell="0" allowOverlap="1">
            <wp:simplePos x="0" y="0"/>
            <wp:positionH relativeFrom="column">
              <wp:posOffset>4316730</wp:posOffset>
            </wp:positionH>
            <wp:positionV relativeFrom="paragraph">
              <wp:posOffset>94615</wp:posOffset>
            </wp:positionV>
            <wp:extent cx="1028700" cy="8890"/>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27">
                      <a:extLst>
                        <a:ext uri="{28A0092B-C50C-407E-A947-70E740481C1C}"/>
                      </a:extLst>
                    </a:blip>
                    <a:srcRect/>
                    <a:stretch>
                      <a:fillRect/>
                    </a:stretch>
                  </pic:blipFill>
                  <pic:spPr bwMode="auto">
                    <a:xfrm>
                      <a:off x="0" y="0"/>
                      <a:ext cx="102870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231775</wp:posOffset>
            </wp:positionV>
            <wp:extent cx="6806565" cy="17145"/>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28">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10139"/>
          </w:cols>
          <w:pgMar w:left="320" w:top="132" w:right="1440" w:bottom="1440" w:gutter="0" w:footer="0" w:header="0"/>
          <w:type w:val="continuous"/>
        </w:sectPr>
      </w:pPr>
    </w:p>
    <w:bookmarkStart w:id="45" w:name="page46"/>
    <w:bookmarkEnd w:id="45"/>
    <w:p>
      <w:pPr>
        <w:spacing w:after="0"/>
        <w:rPr>
          <w:rFonts w:ascii="Arial" w:cs="Arial" w:eastAsia="Arial" w:hAnsi="Arial"/>
          <w:sz w:val="14"/>
          <w:szCs w:val="14"/>
          <w:color w:val="003366"/>
        </w:rPr>
      </w:pPr>
      <w:hyperlink w:anchor="page5">
        <w:r>
          <w:rPr>
            <w:rFonts w:ascii="Arial" w:cs="Arial" w:eastAsia="Arial" w:hAnsi="Arial"/>
            <w:sz w:val="14"/>
            <w:szCs w:val="14"/>
            <w:color w:val="003366"/>
          </w:rPr>
          <w:t>TABLE OF CONTENTS</w:t>
        </w:r>
      </w:hyperlink>
    </w:p>
    <w:p>
      <w:pPr>
        <w:spacing w:after="0" w:line="338" w:lineRule="exact"/>
        <w:rPr>
          <w:sz w:val="20"/>
          <w:szCs w:val="20"/>
          <w:color w:val="auto"/>
        </w:rPr>
      </w:pPr>
    </w:p>
    <w:p>
      <w:pPr>
        <w:jc w:val="right"/>
        <w:ind w:right="240"/>
        <w:spacing w:after="0"/>
        <w:rPr>
          <w:sz w:val="20"/>
          <w:szCs w:val="20"/>
          <w:color w:val="auto"/>
        </w:rPr>
      </w:pPr>
      <w:r>
        <w:rPr>
          <w:rFonts w:ascii="Arial" w:cs="Arial" w:eastAsia="Arial" w:hAnsi="Arial"/>
          <w:sz w:val="13"/>
          <w:szCs w:val="13"/>
          <w:b w:val="1"/>
          <w:bCs w:val="1"/>
          <w:color w:val="auto"/>
        </w:rPr>
        <w:t xml:space="preserve">Executive </w:t>
      </w:r>
      <w:r>
        <w:rPr>
          <w:rFonts w:ascii="Arial" w:cs="Arial" w:eastAsia="Arial" w:hAnsi="Arial"/>
          <w:sz w:val="13"/>
          <w:szCs w:val="13"/>
          <w:b w:val="1"/>
          <w:bCs w:val="1"/>
          <w:color w:val="666666"/>
        </w:rPr>
        <w:t>Compensation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485140</wp:posOffset>
            </wp:positionH>
            <wp:positionV relativeFrom="paragraph">
              <wp:posOffset>30480</wp:posOffset>
            </wp:positionV>
            <wp:extent cx="5829300" cy="8255"/>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29">
                      <a:extLst>
                        <a:ext uri="{28A0092B-C50C-407E-A947-70E740481C1C}"/>
                      </a:extLst>
                    </a:blip>
                    <a:srcRect/>
                    <a:stretch>
                      <a:fillRect/>
                    </a:stretch>
                  </pic:blipFill>
                  <pic:spPr bwMode="auto">
                    <a:xfrm>
                      <a:off x="0" y="0"/>
                      <a:ext cx="5829300" cy="8255"/>
                    </a:xfrm>
                    <a:prstGeom prst="rect">
                      <a:avLst/>
                    </a:prstGeom>
                    <a:noFill/>
                  </pic:spPr>
                </pic:pic>
              </a:graphicData>
            </a:graphic>
          </wp:anchor>
        </w:drawing>
      </w:r>
    </w:p>
    <w:p>
      <w:pPr>
        <w:spacing w:after="0" w:line="60" w:lineRule="exact"/>
        <w:rPr>
          <w:sz w:val="20"/>
          <w:szCs w:val="20"/>
          <w:color w:val="auto"/>
        </w:rPr>
      </w:pPr>
    </w:p>
    <w:p>
      <w:pPr>
        <w:jc w:val="right"/>
        <w:ind w:right="240"/>
        <w:spacing w:after="0"/>
        <w:rPr>
          <w:sz w:val="20"/>
          <w:szCs w:val="20"/>
          <w:color w:val="auto"/>
        </w:rPr>
      </w:pPr>
      <w:r>
        <w:rPr>
          <w:rFonts w:ascii="Arial" w:cs="Arial" w:eastAsia="Arial" w:hAnsi="Arial"/>
          <w:sz w:val="13"/>
          <w:szCs w:val="13"/>
          <w:b w:val="1"/>
          <w:bCs w:val="1"/>
          <w:color w:val="4800E6"/>
        </w:rPr>
        <w:t>Compensation of Executive Officers and Directors</w:t>
      </w: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ind w:left="760"/>
        <w:spacing w:after="0"/>
        <w:rPr>
          <w:sz w:val="20"/>
          <w:szCs w:val="20"/>
          <w:color w:val="auto"/>
        </w:rPr>
      </w:pPr>
      <w:r>
        <w:rPr>
          <w:rFonts w:ascii="Arial" w:cs="Arial" w:eastAsia="Arial" w:hAnsi="Arial"/>
          <w:sz w:val="20"/>
          <w:szCs w:val="20"/>
          <w:b w:val="1"/>
          <w:bCs w:val="1"/>
          <w:color w:val="FF4C4C"/>
        </w:rPr>
        <w:t>2019 Outstanding Equity Awards at Year End</w:t>
      </w:r>
    </w:p>
    <w:p>
      <w:pPr>
        <w:spacing w:after="0" w:line="124" w:lineRule="exact"/>
        <w:rPr>
          <w:sz w:val="20"/>
          <w:szCs w:val="20"/>
          <w:color w:val="auto"/>
        </w:rPr>
      </w:pPr>
    </w:p>
    <w:p>
      <w:pPr>
        <w:ind w:left="760" w:right="280"/>
        <w:spacing w:after="0" w:line="260" w:lineRule="auto"/>
        <w:rPr>
          <w:sz w:val="20"/>
          <w:szCs w:val="20"/>
          <w:color w:val="auto"/>
        </w:rPr>
      </w:pPr>
      <w:r>
        <w:rPr>
          <w:rFonts w:ascii="Arial" w:cs="Arial" w:eastAsia="Arial" w:hAnsi="Arial"/>
          <w:sz w:val="16"/>
          <w:szCs w:val="16"/>
          <w:color w:val="auto"/>
        </w:rPr>
        <w:t>The following table summarizes the number of ordinary shares of our stock underlying outstanding equity incentive plan awards for each NEO as of December 31, 2019.</w:t>
      </w:r>
    </w:p>
    <w:p>
      <w:pPr>
        <w:spacing w:after="0" w:line="69" w:lineRule="exact"/>
        <w:rPr>
          <w:sz w:val="20"/>
          <w:szCs w:val="20"/>
          <w:color w:val="auto"/>
        </w:rPr>
      </w:pPr>
    </w:p>
    <w:tbl>
      <w:tblPr>
        <w:tblLayout w:type="fixed"/>
        <w:tblInd w:w="760" w:type="dxa"/>
        <w:tblCellMar>
          <w:top w:w="0" w:type="dxa"/>
          <w:left w:w="0" w:type="dxa"/>
          <w:bottom w:w="0" w:type="dxa"/>
          <w:right w:w="0" w:type="dxa"/>
        </w:tblCellMar>
      </w:tblPr>
      <w:tr>
        <w:trPr>
          <w:trHeight w:val="178"/>
        </w:trPr>
        <w:tc>
          <w:tcPr>
            <w:tcW w:w="142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580" w:type="dxa"/>
            <w:vAlign w:val="bottom"/>
            <w:gridSpan w:val="2"/>
          </w:tcPr>
          <w:p>
            <w:pPr>
              <w:jc w:val="right"/>
              <w:ind w:right="31"/>
              <w:spacing w:after="0"/>
              <w:rPr>
                <w:sz w:val="20"/>
                <w:szCs w:val="20"/>
                <w:color w:val="auto"/>
              </w:rPr>
            </w:pPr>
            <w:r>
              <w:rPr>
                <w:rFonts w:ascii="Arial" w:cs="Arial" w:eastAsia="Arial" w:hAnsi="Arial"/>
                <w:sz w:val="13"/>
                <w:szCs w:val="13"/>
                <w:b w:val="1"/>
                <w:bCs w:val="1"/>
                <w:color w:val="4800E6"/>
              </w:rPr>
              <w:t>Option Awards</w:t>
            </w:r>
          </w:p>
        </w:tc>
        <w:tc>
          <w:tcPr>
            <w:tcW w:w="108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020" w:type="dxa"/>
            <w:vAlign w:val="bottom"/>
            <w:gridSpan w:val="2"/>
          </w:tcPr>
          <w:p>
            <w:pPr>
              <w:jc w:val="right"/>
              <w:spacing w:after="0"/>
              <w:rPr>
                <w:sz w:val="20"/>
                <w:szCs w:val="20"/>
                <w:color w:val="auto"/>
              </w:rPr>
            </w:pPr>
            <w:r>
              <w:rPr>
                <w:rFonts w:ascii="Arial" w:cs="Arial" w:eastAsia="Arial" w:hAnsi="Arial"/>
                <w:sz w:val="13"/>
                <w:szCs w:val="13"/>
                <w:b w:val="1"/>
                <w:bCs w:val="1"/>
                <w:color w:val="4800E6"/>
              </w:rPr>
              <w:t>Stock Awards</w:t>
            </w:r>
          </w:p>
        </w:tc>
        <w:tc>
          <w:tcPr>
            <w:tcW w:w="0" w:type="dxa"/>
            <w:vAlign w:val="bottom"/>
          </w:tcPr>
          <w:p>
            <w:pPr>
              <w:spacing w:after="0"/>
              <w:rPr>
                <w:sz w:val="1"/>
                <w:szCs w:val="1"/>
                <w:color w:val="auto"/>
              </w:rPr>
            </w:pPr>
          </w:p>
        </w:tc>
      </w:tr>
      <w:tr>
        <w:trPr>
          <w:trHeight w:val="28"/>
        </w:trPr>
        <w:tc>
          <w:tcPr>
            <w:tcW w:w="1420" w:type="dxa"/>
            <w:vAlign w:val="bottom"/>
          </w:tcPr>
          <w:p>
            <w:pPr>
              <w:spacing w:after="0"/>
              <w:rPr>
                <w:sz w:val="2"/>
                <w:szCs w:val="2"/>
                <w:color w:val="auto"/>
              </w:rPr>
            </w:pPr>
          </w:p>
        </w:tc>
        <w:tc>
          <w:tcPr>
            <w:tcW w:w="1020" w:type="dxa"/>
            <w:vAlign w:val="bottom"/>
            <w:tcBorders>
              <w:bottom w:val="single" w:sz="8" w:color="4800E6"/>
            </w:tcBorders>
          </w:tcPr>
          <w:p>
            <w:pPr>
              <w:spacing w:after="0"/>
              <w:rPr>
                <w:sz w:val="2"/>
                <w:szCs w:val="2"/>
                <w:color w:val="auto"/>
              </w:rPr>
            </w:pPr>
          </w:p>
        </w:tc>
        <w:tc>
          <w:tcPr>
            <w:tcW w:w="1180" w:type="dxa"/>
            <w:vAlign w:val="bottom"/>
            <w:tcBorders>
              <w:bottom w:val="single" w:sz="8" w:color="4800E6"/>
            </w:tcBorders>
          </w:tcPr>
          <w:p>
            <w:pPr>
              <w:spacing w:after="0"/>
              <w:rPr>
                <w:sz w:val="2"/>
                <w:szCs w:val="2"/>
                <w:color w:val="auto"/>
              </w:rPr>
            </w:pPr>
          </w:p>
        </w:tc>
        <w:tc>
          <w:tcPr>
            <w:tcW w:w="720" w:type="dxa"/>
            <w:vAlign w:val="bottom"/>
            <w:tcBorders>
              <w:bottom w:val="single" w:sz="8" w:color="4800E6"/>
            </w:tcBorders>
          </w:tcPr>
          <w:p>
            <w:pPr>
              <w:spacing w:after="0"/>
              <w:rPr>
                <w:sz w:val="2"/>
                <w:szCs w:val="2"/>
                <w:color w:val="auto"/>
              </w:rPr>
            </w:pPr>
          </w:p>
        </w:tc>
        <w:tc>
          <w:tcPr>
            <w:tcW w:w="860" w:type="dxa"/>
            <w:vAlign w:val="bottom"/>
            <w:tcBorders>
              <w:bottom w:val="single" w:sz="8" w:color="4800E6"/>
            </w:tcBorders>
          </w:tcPr>
          <w:p>
            <w:pPr>
              <w:spacing w:after="0"/>
              <w:rPr>
                <w:sz w:val="2"/>
                <w:szCs w:val="2"/>
                <w:color w:val="auto"/>
              </w:rPr>
            </w:pPr>
          </w:p>
        </w:tc>
        <w:tc>
          <w:tcPr>
            <w:tcW w:w="1080" w:type="dxa"/>
            <w:vAlign w:val="bottom"/>
            <w:tcBorders>
              <w:bottom w:val="single" w:sz="8" w:color="4800E6"/>
            </w:tcBorders>
          </w:tcPr>
          <w:p>
            <w:pPr>
              <w:spacing w:after="0"/>
              <w:rPr>
                <w:sz w:val="2"/>
                <w:szCs w:val="2"/>
                <w:color w:val="auto"/>
              </w:rPr>
            </w:pPr>
          </w:p>
        </w:tc>
        <w:tc>
          <w:tcPr>
            <w:tcW w:w="860" w:type="dxa"/>
            <w:vAlign w:val="bottom"/>
            <w:tcBorders>
              <w:bottom w:val="single" w:sz="8" w:color="4800E6"/>
            </w:tcBorders>
          </w:tcPr>
          <w:p>
            <w:pPr>
              <w:spacing w:after="0"/>
              <w:rPr>
                <w:sz w:val="2"/>
                <w:szCs w:val="2"/>
                <w:color w:val="auto"/>
              </w:rPr>
            </w:pPr>
          </w:p>
        </w:tc>
        <w:tc>
          <w:tcPr>
            <w:tcW w:w="1020" w:type="dxa"/>
            <w:vAlign w:val="bottom"/>
            <w:tcBorders>
              <w:bottom w:val="single" w:sz="8" w:color="4800E6"/>
            </w:tcBorders>
          </w:tcPr>
          <w:p>
            <w:pPr>
              <w:spacing w:after="0"/>
              <w:rPr>
                <w:sz w:val="2"/>
                <w:szCs w:val="2"/>
                <w:color w:val="auto"/>
              </w:rPr>
            </w:pPr>
          </w:p>
        </w:tc>
        <w:tc>
          <w:tcPr>
            <w:tcW w:w="120" w:type="dxa"/>
            <w:vAlign w:val="bottom"/>
            <w:tcBorders>
              <w:bottom w:val="single" w:sz="8" w:color="4800E6"/>
            </w:tcBorders>
          </w:tcPr>
          <w:p>
            <w:pPr>
              <w:spacing w:after="0"/>
              <w:rPr>
                <w:sz w:val="2"/>
                <w:szCs w:val="2"/>
                <w:color w:val="auto"/>
              </w:rPr>
            </w:pPr>
          </w:p>
        </w:tc>
        <w:tc>
          <w:tcPr>
            <w:tcW w:w="900" w:type="dxa"/>
            <w:vAlign w:val="bottom"/>
            <w:tcBorders>
              <w:bottom w:val="single" w:sz="8" w:color="4800E6"/>
            </w:tcBorders>
          </w:tcPr>
          <w:p>
            <w:pPr>
              <w:spacing w:after="0"/>
              <w:rPr>
                <w:sz w:val="2"/>
                <w:szCs w:val="2"/>
                <w:color w:val="auto"/>
              </w:rPr>
            </w:pPr>
          </w:p>
        </w:tc>
        <w:tc>
          <w:tcPr>
            <w:tcW w:w="0" w:type="dxa"/>
            <w:vAlign w:val="bottom"/>
          </w:tcPr>
          <w:p>
            <w:pPr>
              <w:spacing w:after="0"/>
              <w:rPr>
                <w:sz w:val="1"/>
                <w:szCs w:val="1"/>
                <w:color w:val="auto"/>
              </w:rPr>
            </w:pPr>
          </w:p>
        </w:tc>
      </w:tr>
      <w:tr>
        <w:trPr>
          <w:trHeight w:val="166"/>
        </w:trPr>
        <w:tc>
          <w:tcPr>
            <w:tcW w:w="14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020" w:type="dxa"/>
            <w:vAlign w:val="bottom"/>
          </w:tcPr>
          <w:p>
            <w:pPr>
              <w:jc w:val="right"/>
              <w:ind w:right="51"/>
              <w:spacing w:after="0"/>
              <w:rPr>
                <w:sz w:val="20"/>
                <w:szCs w:val="20"/>
                <w:color w:val="auto"/>
              </w:rPr>
            </w:pPr>
            <w:r>
              <w:rPr>
                <w:rFonts w:ascii="Arial" w:cs="Arial" w:eastAsia="Arial" w:hAnsi="Arial"/>
                <w:sz w:val="13"/>
                <w:szCs w:val="13"/>
                <w:b w:val="1"/>
                <w:bCs w:val="1"/>
                <w:color w:val="4800E6"/>
              </w:rPr>
              <w:t>Equity</w:t>
            </w:r>
          </w:p>
        </w:tc>
        <w:tc>
          <w:tcPr>
            <w:tcW w:w="120" w:type="dxa"/>
            <w:vAlign w:val="bottom"/>
          </w:tcPr>
          <w:p>
            <w:pPr>
              <w:spacing w:after="0"/>
              <w:rPr>
                <w:sz w:val="14"/>
                <w:szCs w:val="14"/>
                <w:color w:val="auto"/>
              </w:rPr>
            </w:pPr>
          </w:p>
        </w:tc>
        <w:tc>
          <w:tcPr>
            <w:tcW w:w="900" w:type="dxa"/>
            <w:vAlign w:val="bottom"/>
          </w:tcPr>
          <w:p>
            <w:pPr>
              <w:jc w:val="right"/>
              <w:ind w:right="31"/>
              <w:spacing w:after="0"/>
              <w:rPr>
                <w:sz w:val="20"/>
                <w:szCs w:val="20"/>
                <w:color w:val="auto"/>
              </w:rPr>
            </w:pPr>
            <w:r>
              <w:rPr>
                <w:rFonts w:ascii="Arial" w:cs="Arial" w:eastAsia="Arial" w:hAnsi="Arial"/>
                <w:sz w:val="13"/>
                <w:szCs w:val="13"/>
                <w:b w:val="1"/>
                <w:bCs w:val="1"/>
                <w:color w:val="4800E6"/>
              </w:rPr>
              <w:t>Equity</w:t>
            </w:r>
          </w:p>
        </w:tc>
        <w:tc>
          <w:tcPr>
            <w:tcW w:w="0" w:type="dxa"/>
            <w:vAlign w:val="bottom"/>
          </w:tcPr>
          <w:p>
            <w:pPr>
              <w:spacing w:after="0"/>
              <w:rPr>
                <w:sz w:val="1"/>
                <w:szCs w:val="1"/>
                <w:color w:val="auto"/>
              </w:rPr>
            </w:pPr>
          </w:p>
        </w:tc>
      </w:tr>
      <w:tr>
        <w:trPr>
          <w:trHeight w:val="149"/>
        </w:trPr>
        <w:tc>
          <w:tcPr>
            <w:tcW w:w="142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020" w:type="dxa"/>
            <w:vAlign w:val="bottom"/>
          </w:tcPr>
          <w:p>
            <w:pPr>
              <w:jc w:val="right"/>
              <w:ind w:right="51"/>
              <w:spacing w:after="0"/>
              <w:rPr>
                <w:sz w:val="20"/>
                <w:szCs w:val="20"/>
                <w:color w:val="auto"/>
              </w:rPr>
            </w:pPr>
            <w:r>
              <w:rPr>
                <w:rFonts w:ascii="Arial" w:cs="Arial" w:eastAsia="Arial" w:hAnsi="Arial"/>
                <w:sz w:val="13"/>
                <w:szCs w:val="13"/>
                <w:b w:val="1"/>
                <w:bCs w:val="1"/>
                <w:color w:val="4800E6"/>
              </w:rPr>
              <w:t>Incentive</w:t>
            </w:r>
          </w:p>
        </w:tc>
        <w:tc>
          <w:tcPr>
            <w:tcW w:w="120" w:type="dxa"/>
            <w:vAlign w:val="bottom"/>
          </w:tcPr>
          <w:p>
            <w:pPr>
              <w:spacing w:after="0"/>
              <w:rPr>
                <w:sz w:val="12"/>
                <w:szCs w:val="12"/>
                <w:color w:val="auto"/>
              </w:rPr>
            </w:pPr>
          </w:p>
        </w:tc>
        <w:tc>
          <w:tcPr>
            <w:tcW w:w="900" w:type="dxa"/>
            <w:vAlign w:val="bottom"/>
          </w:tcPr>
          <w:p>
            <w:pPr>
              <w:jc w:val="right"/>
              <w:ind w:right="31"/>
              <w:spacing w:after="0"/>
              <w:rPr>
                <w:sz w:val="20"/>
                <w:szCs w:val="20"/>
                <w:color w:val="auto"/>
              </w:rPr>
            </w:pPr>
            <w:r>
              <w:rPr>
                <w:rFonts w:ascii="Arial" w:cs="Arial" w:eastAsia="Arial" w:hAnsi="Arial"/>
                <w:sz w:val="13"/>
                <w:szCs w:val="13"/>
                <w:b w:val="1"/>
                <w:bCs w:val="1"/>
                <w:color w:val="4800E6"/>
              </w:rPr>
              <w:t>Incentive</w:t>
            </w:r>
          </w:p>
        </w:tc>
        <w:tc>
          <w:tcPr>
            <w:tcW w:w="0" w:type="dxa"/>
            <w:vAlign w:val="bottom"/>
          </w:tcPr>
          <w:p>
            <w:pPr>
              <w:spacing w:after="0"/>
              <w:rPr>
                <w:sz w:val="1"/>
                <w:szCs w:val="1"/>
                <w:color w:val="auto"/>
              </w:rPr>
            </w:pPr>
          </w:p>
        </w:tc>
      </w:tr>
      <w:tr>
        <w:trPr>
          <w:trHeight w:val="148"/>
        </w:trPr>
        <w:tc>
          <w:tcPr>
            <w:tcW w:w="142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020" w:type="dxa"/>
            <w:vAlign w:val="bottom"/>
          </w:tcPr>
          <w:p>
            <w:pPr>
              <w:jc w:val="right"/>
              <w:ind w:right="51"/>
              <w:spacing w:after="0"/>
              <w:rPr>
                <w:sz w:val="20"/>
                <w:szCs w:val="20"/>
                <w:color w:val="auto"/>
              </w:rPr>
            </w:pPr>
            <w:r>
              <w:rPr>
                <w:rFonts w:ascii="Arial" w:cs="Arial" w:eastAsia="Arial" w:hAnsi="Arial"/>
                <w:sz w:val="13"/>
                <w:szCs w:val="13"/>
                <w:b w:val="1"/>
                <w:bCs w:val="1"/>
                <w:color w:val="4800E6"/>
              </w:rPr>
              <w:t>Plan</w:t>
            </w:r>
          </w:p>
        </w:tc>
        <w:tc>
          <w:tcPr>
            <w:tcW w:w="1020" w:type="dxa"/>
            <w:vAlign w:val="bottom"/>
            <w:gridSpan w:val="2"/>
          </w:tcPr>
          <w:p>
            <w:pPr>
              <w:jc w:val="right"/>
              <w:ind w:right="31"/>
              <w:spacing w:after="0"/>
              <w:rPr>
                <w:sz w:val="20"/>
                <w:szCs w:val="20"/>
                <w:color w:val="auto"/>
              </w:rPr>
            </w:pPr>
            <w:r>
              <w:rPr>
                <w:rFonts w:ascii="Arial" w:cs="Arial" w:eastAsia="Arial" w:hAnsi="Arial"/>
                <w:sz w:val="13"/>
                <w:szCs w:val="13"/>
                <w:b w:val="1"/>
                <w:bCs w:val="1"/>
                <w:color w:val="4800E6"/>
              </w:rPr>
              <w:t>Plan Awards:</w:t>
            </w:r>
          </w:p>
        </w:tc>
        <w:tc>
          <w:tcPr>
            <w:tcW w:w="0" w:type="dxa"/>
            <w:vAlign w:val="bottom"/>
          </w:tcPr>
          <w:p>
            <w:pPr>
              <w:spacing w:after="0"/>
              <w:rPr>
                <w:sz w:val="1"/>
                <w:szCs w:val="1"/>
                <w:color w:val="auto"/>
              </w:rPr>
            </w:pPr>
          </w:p>
        </w:tc>
      </w:tr>
      <w:tr>
        <w:trPr>
          <w:trHeight w:val="148"/>
        </w:trPr>
        <w:tc>
          <w:tcPr>
            <w:tcW w:w="142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020" w:type="dxa"/>
            <w:vAlign w:val="bottom"/>
          </w:tcPr>
          <w:p>
            <w:pPr>
              <w:jc w:val="right"/>
              <w:ind w:right="51"/>
              <w:spacing w:after="0"/>
              <w:rPr>
                <w:sz w:val="20"/>
                <w:szCs w:val="20"/>
                <w:color w:val="auto"/>
              </w:rPr>
            </w:pPr>
            <w:r>
              <w:rPr>
                <w:rFonts w:ascii="Arial" w:cs="Arial" w:eastAsia="Arial" w:hAnsi="Arial"/>
                <w:sz w:val="13"/>
                <w:szCs w:val="13"/>
                <w:b w:val="1"/>
                <w:bCs w:val="1"/>
                <w:color w:val="4800E6"/>
              </w:rPr>
              <w:t>Awards:</w:t>
            </w:r>
          </w:p>
        </w:tc>
        <w:tc>
          <w:tcPr>
            <w:tcW w:w="120" w:type="dxa"/>
            <w:vAlign w:val="bottom"/>
          </w:tcPr>
          <w:p>
            <w:pPr>
              <w:spacing w:after="0"/>
              <w:rPr>
                <w:sz w:val="12"/>
                <w:szCs w:val="12"/>
                <w:color w:val="auto"/>
              </w:rPr>
            </w:pPr>
          </w:p>
        </w:tc>
        <w:tc>
          <w:tcPr>
            <w:tcW w:w="900" w:type="dxa"/>
            <w:vAlign w:val="bottom"/>
          </w:tcPr>
          <w:p>
            <w:pPr>
              <w:jc w:val="right"/>
              <w:ind w:right="31"/>
              <w:spacing w:after="0"/>
              <w:rPr>
                <w:sz w:val="20"/>
                <w:szCs w:val="20"/>
                <w:color w:val="auto"/>
              </w:rPr>
            </w:pPr>
            <w:r>
              <w:rPr>
                <w:rFonts w:ascii="Arial" w:cs="Arial" w:eastAsia="Arial" w:hAnsi="Arial"/>
                <w:sz w:val="13"/>
                <w:szCs w:val="13"/>
                <w:b w:val="1"/>
                <w:bCs w:val="1"/>
                <w:color w:val="4800E6"/>
              </w:rPr>
              <w:t>Market or</w:t>
            </w:r>
          </w:p>
        </w:tc>
        <w:tc>
          <w:tcPr>
            <w:tcW w:w="0" w:type="dxa"/>
            <w:vAlign w:val="bottom"/>
          </w:tcPr>
          <w:p>
            <w:pPr>
              <w:spacing w:after="0"/>
              <w:rPr>
                <w:sz w:val="1"/>
                <w:szCs w:val="1"/>
                <w:color w:val="auto"/>
              </w:rPr>
            </w:pPr>
          </w:p>
        </w:tc>
      </w:tr>
      <w:tr>
        <w:trPr>
          <w:trHeight w:val="148"/>
        </w:trPr>
        <w:tc>
          <w:tcPr>
            <w:tcW w:w="1420" w:type="dxa"/>
            <w:vAlign w:val="bottom"/>
          </w:tcPr>
          <w:p>
            <w:pPr>
              <w:spacing w:after="0"/>
              <w:rPr>
                <w:sz w:val="12"/>
                <w:szCs w:val="12"/>
                <w:color w:val="auto"/>
              </w:rPr>
            </w:pPr>
          </w:p>
        </w:tc>
        <w:tc>
          <w:tcPr>
            <w:tcW w:w="1020" w:type="dxa"/>
            <w:vAlign w:val="bottom"/>
            <w:vMerge w:val="restart"/>
          </w:tcPr>
          <w:p>
            <w:pPr>
              <w:jc w:val="right"/>
              <w:ind w:right="51"/>
              <w:spacing w:after="0"/>
              <w:rPr>
                <w:sz w:val="20"/>
                <w:szCs w:val="20"/>
                <w:color w:val="auto"/>
              </w:rPr>
            </w:pPr>
            <w:r>
              <w:rPr>
                <w:rFonts w:ascii="Arial" w:cs="Arial" w:eastAsia="Arial" w:hAnsi="Arial"/>
                <w:sz w:val="13"/>
                <w:szCs w:val="13"/>
                <w:b w:val="1"/>
                <w:bCs w:val="1"/>
                <w:color w:val="4800E6"/>
              </w:rPr>
              <w:t>Number of</w:t>
            </w:r>
          </w:p>
        </w:tc>
        <w:tc>
          <w:tcPr>
            <w:tcW w:w="1180" w:type="dxa"/>
            <w:vAlign w:val="bottom"/>
            <w:vMerge w:val="restart"/>
          </w:tcPr>
          <w:p>
            <w:pPr>
              <w:jc w:val="right"/>
              <w:ind w:right="51"/>
              <w:spacing w:after="0"/>
              <w:rPr>
                <w:sz w:val="20"/>
                <w:szCs w:val="20"/>
                <w:color w:val="auto"/>
              </w:rPr>
            </w:pPr>
            <w:r>
              <w:rPr>
                <w:rFonts w:ascii="Arial" w:cs="Arial" w:eastAsia="Arial" w:hAnsi="Arial"/>
                <w:sz w:val="13"/>
                <w:szCs w:val="13"/>
                <w:b w:val="1"/>
                <w:bCs w:val="1"/>
                <w:color w:val="4800E6"/>
              </w:rPr>
              <w:t>Number of</w:t>
            </w:r>
          </w:p>
        </w:tc>
        <w:tc>
          <w:tcPr>
            <w:tcW w:w="7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940" w:type="dxa"/>
            <w:vAlign w:val="bottom"/>
            <w:gridSpan w:val="2"/>
            <w:vMerge w:val="restart"/>
          </w:tcPr>
          <w:p>
            <w:pPr>
              <w:jc w:val="right"/>
              <w:ind w:right="51"/>
              <w:spacing w:after="0"/>
              <w:rPr>
                <w:sz w:val="20"/>
                <w:szCs w:val="20"/>
                <w:color w:val="auto"/>
              </w:rPr>
            </w:pPr>
            <w:r>
              <w:rPr>
                <w:rFonts w:ascii="Arial" w:cs="Arial" w:eastAsia="Arial" w:hAnsi="Arial"/>
                <w:sz w:val="13"/>
                <w:szCs w:val="13"/>
                <w:b w:val="1"/>
                <w:bCs w:val="1"/>
                <w:color w:val="4800E6"/>
              </w:rPr>
              <w:t>Number of   Market Value</w:t>
            </w:r>
          </w:p>
        </w:tc>
        <w:tc>
          <w:tcPr>
            <w:tcW w:w="1020" w:type="dxa"/>
            <w:vAlign w:val="bottom"/>
          </w:tcPr>
          <w:p>
            <w:pPr>
              <w:jc w:val="right"/>
              <w:ind w:right="51"/>
              <w:spacing w:after="0"/>
              <w:rPr>
                <w:sz w:val="20"/>
                <w:szCs w:val="20"/>
                <w:color w:val="auto"/>
              </w:rPr>
            </w:pPr>
            <w:r>
              <w:rPr>
                <w:rFonts w:ascii="Arial" w:cs="Arial" w:eastAsia="Arial" w:hAnsi="Arial"/>
                <w:sz w:val="13"/>
                <w:szCs w:val="13"/>
                <w:b w:val="1"/>
                <w:bCs w:val="1"/>
                <w:color w:val="4800E6"/>
              </w:rPr>
              <w:t>Number of</w:t>
            </w:r>
          </w:p>
        </w:tc>
        <w:tc>
          <w:tcPr>
            <w:tcW w:w="1020" w:type="dxa"/>
            <w:vAlign w:val="bottom"/>
            <w:gridSpan w:val="2"/>
          </w:tcPr>
          <w:p>
            <w:pPr>
              <w:jc w:val="right"/>
              <w:ind w:right="31"/>
              <w:spacing w:after="0"/>
              <w:rPr>
                <w:sz w:val="20"/>
                <w:szCs w:val="20"/>
                <w:color w:val="auto"/>
              </w:rPr>
            </w:pPr>
            <w:r>
              <w:rPr>
                <w:rFonts w:ascii="Arial" w:cs="Arial" w:eastAsia="Arial" w:hAnsi="Arial"/>
                <w:sz w:val="13"/>
                <w:szCs w:val="13"/>
                <w:b w:val="1"/>
                <w:bCs w:val="1"/>
                <w:color w:val="4800E6"/>
              </w:rPr>
              <w:t>Payout Value</w:t>
            </w:r>
          </w:p>
        </w:tc>
        <w:tc>
          <w:tcPr>
            <w:tcW w:w="0" w:type="dxa"/>
            <w:vAlign w:val="bottom"/>
          </w:tcPr>
          <w:p>
            <w:pPr>
              <w:spacing w:after="0"/>
              <w:rPr>
                <w:sz w:val="1"/>
                <w:szCs w:val="1"/>
                <w:color w:val="auto"/>
              </w:rPr>
            </w:pPr>
          </w:p>
        </w:tc>
      </w:tr>
      <w:tr>
        <w:trPr>
          <w:trHeight w:val="138"/>
        </w:trPr>
        <w:tc>
          <w:tcPr>
            <w:tcW w:w="1420" w:type="dxa"/>
            <w:vAlign w:val="bottom"/>
          </w:tcPr>
          <w:p>
            <w:pPr>
              <w:spacing w:after="0"/>
              <w:rPr>
                <w:sz w:val="12"/>
                <w:szCs w:val="12"/>
                <w:color w:val="auto"/>
              </w:rPr>
            </w:pPr>
          </w:p>
        </w:tc>
        <w:tc>
          <w:tcPr>
            <w:tcW w:w="1020" w:type="dxa"/>
            <w:vAlign w:val="bottom"/>
            <w:vMerge w:val="continue"/>
          </w:tcPr>
          <w:p>
            <w:pPr>
              <w:spacing w:after="0"/>
              <w:rPr>
                <w:sz w:val="12"/>
                <w:szCs w:val="12"/>
                <w:color w:val="auto"/>
              </w:rPr>
            </w:pPr>
          </w:p>
        </w:tc>
        <w:tc>
          <w:tcPr>
            <w:tcW w:w="1180" w:type="dxa"/>
            <w:vAlign w:val="bottom"/>
            <w:vMerge w:val="continue"/>
          </w:tcPr>
          <w:p>
            <w:pPr>
              <w:spacing w:after="0"/>
              <w:rPr>
                <w:sz w:val="12"/>
                <w:szCs w:val="12"/>
                <w:color w:val="auto"/>
              </w:rPr>
            </w:pPr>
          </w:p>
        </w:tc>
        <w:tc>
          <w:tcPr>
            <w:tcW w:w="7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940" w:type="dxa"/>
            <w:vAlign w:val="bottom"/>
            <w:gridSpan w:val="2"/>
            <w:vMerge w:val="continue"/>
          </w:tcPr>
          <w:p>
            <w:pPr>
              <w:spacing w:after="0"/>
              <w:rPr>
                <w:sz w:val="12"/>
                <w:szCs w:val="12"/>
                <w:color w:val="auto"/>
              </w:rPr>
            </w:pPr>
          </w:p>
        </w:tc>
        <w:tc>
          <w:tcPr>
            <w:tcW w:w="1020" w:type="dxa"/>
            <w:vAlign w:val="bottom"/>
          </w:tcPr>
          <w:p>
            <w:pPr>
              <w:jc w:val="right"/>
              <w:ind w:right="51"/>
              <w:spacing w:after="0" w:line="138" w:lineRule="exact"/>
              <w:rPr>
                <w:sz w:val="20"/>
                <w:szCs w:val="20"/>
                <w:color w:val="auto"/>
              </w:rPr>
            </w:pPr>
            <w:r>
              <w:rPr>
                <w:rFonts w:ascii="Arial" w:cs="Arial" w:eastAsia="Arial" w:hAnsi="Arial"/>
                <w:sz w:val="13"/>
                <w:szCs w:val="13"/>
                <w:b w:val="1"/>
                <w:bCs w:val="1"/>
                <w:color w:val="4800E6"/>
              </w:rPr>
              <w:t>Unearned</w:t>
            </w:r>
          </w:p>
        </w:tc>
        <w:tc>
          <w:tcPr>
            <w:tcW w:w="120" w:type="dxa"/>
            <w:vAlign w:val="bottom"/>
          </w:tcPr>
          <w:p>
            <w:pPr>
              <w:spacing w:after="0"/>
              <w:rPr>
                <w:sz w:val="12"/>
                <w:szCs w:val="12"/>
                <w:color w:val="auto"/>
              </w:rPr>
            </w:pPr>
          </w:p>
        </w:tc>
        <w:tc>
          <w:tcPr>
            <w:tcW w:w="900" w:type="dxa"/>
            <w:vAlign w:val="bottom"/>
          </w:tcPr>
          <w:p>
            <w:pPr>
              <w:jc w:val="right"/>
              <w:ind w:right="31"/>
              <w:spacing w:after="0" w:line="138" w:lineRule="exact"/>
              <w:rPr>
                <w:sz w:val="20"/>
                <w:szCs w:val="20"/>
                <w:color w:val="auto"/>
              </w:rPr>
            </w:pPr>
            <w:r>
              <w:rPr>
                <w:rFonts w:ascii="Arial" w:cs="Arial" w:eastAsia="Arial" w:hAnsi="Arial"/>
                <w:sz w:val="13"/>
                <w:szCs w:val="13"/>
                <w:b w:val="1"/>
                <w:bCs w:val="1"/>
                <w:color w:val="4800E6"/>
              </w:rPr>
              <w:t>of Unearned</w:t>
            </w:r>
          </w:p>
        </w:tc>
        <w:tc>
          <w:tcPr>
            <w:tcW w:w="0" w:type="dxa"/>
            <w:vAlign w:val="bottom"/>
          </w:tcPr>
          <w:p>
            <w:pPr>
              <w:spacing w:after="0"/>
              <w:rPr>
                <w:sz w:val="1"/>
                <w:szCs w:val="1"/>
                <w:color w:val="auto"/>
              </w:rPr>
            </w:pPr>
          </w:p>
        </w:tc>
      </w:tr>
      <w:tr>
        <w:trPr>
          <w:trHeight w:val="148"/>
        </w:trPr>
        <w:tc>
          <w:tcPr>
            <w:tcW w:w="1420" w:type="dxa"/>
            <w:vAlign w:val="bottom"/>
          </w:tcPr>
          <w:p>
            <w:pPr>
              <w:spacing w:after="0"/>
              <w:rPr>
                <w:sz w:val="12"/>
                <w:szCs w:val="12"/>
                <w:color w:val="auto"/>
              </w:rPr>
            </w:pPr>
          </w:p>
        </w:tc>
        <w:tc>
          <w:tcPr>
            <w:tcW w:w="1020" w:type="dxa"/>
            <w:vAlign w:val="bottom"/>
          </w:tcPr>
          <w:p>
            <w:pPr>
              <w:jc w:val="right"/>
              <w:ind w:right="51"/>
              <w:spacing w:after="0"/>
              <w:rPr>
                <w:sz w:val="20"/>
                <w:szCs w:val="20"/>
                <w:color w:val="auto"/>
              </w:rPr>
            </w:pPr>
            <w:r>
              <w:rPr>
                <w:rFonts w:ascii="Arial" w:cs="Arial" w:eastAsia="Arial" w:hAnsi="Arial"/>
                <w:sz w:val="13"/>
                <w:szCs w:val="13"/>
                <w:b w:val="1"/>
                <w:bCs w:val="1"/>
                <w:color w:val="4800E6"/>
              </w:rPr>
              <w:t>Securities</w:t>
            </w:r>
          </w:p>
        </w:tc>
        <w:tc>
          <w:tcPr>
            <w:tcW w:w="1180" w:type="dxa"/>
            <w:vAlign w:val="bottom"/>
          </w:tcPr>
          <w:p>
            <w:pPr>
              <w:jc w:val="right"/>
              <w:ind w:right="51"/>
              <w:spacing w:after="0"/>
              <w:rPr>
                <w:sz w:val="20"/>
                <w:szCs w:val="20"/>
                <w:color w:val="auto"/>
              </w:rPr>
            </w:pPr>
            <w:r>
              <w:rPr>
                <w:rFonts w:ascii="Arial" w:cs="Arial" w:eastAsia="Arial" w:hAnsi="Arial"/>
                <w:sz w:val="13"/>
                <w:szCs w:val="13"/>
                <w:b w:val="1"/>
                <w:bCs w:val="1"/>
                <w:color w:val="4800E6"/>
              </w:rPr>
              <w:t>Securities</w:t>
            </w:r>
          </w:p>
        </w:tc>
        <w:tc>
          <w:tcPr>
            <w:tcW w:w="7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080" w:type="dxa"/>
            <w:vAlign w:val="bottom"/>
          </w:tcPr>
          <w:p>
            <w:pPr>
              <w:jc w:val="right"/>
              <w:ind w:right="211"/>
              <w:spacing w:after="0"/>
              <w:rPr>
                <w:sz w:val="20"/>
                <w:szCs w:val="20"/>
                <w:color w:val="auto"/>
              </w:rPr>
            </w:pPr>
            <w:r>
              <w:rPr>
                <w:rFonts w:ascii="Arial" w:cs="Arial" w:eastAsia="Arial" w:hAnsi="Arial"/>
                <w:sz w:val="13"/>
                <w:szCs w:val="13"/>
                <w:b w:val="1"/>
                <w:bCs w:val="1"/>
                <w:color w:val="4800E6"/>
              </w:rPr>
              <w:t>Shares or</w:t>
            </w:r>
          </w:p>
        </w:tc>
        <w:tc>
          <w:tcPr>
            <w:tcW w:w="860" w:type="dxa"/>
            <w:vAlign w:val="bottom"/>
          </w:tcPr>
          <w:p>
            <w:pPr>
              <w:jc w:val="right"/>
              <w:ind w:right="51"/>
              <w:spacing w:after="0"/>
              <w:rPr>
                <w:sz w:val="20"/>
                <w:szCs w:val="20"/>
                <w:color w:val="auto"/>
              </w:rPr>
            </w:pPr>
            <w:r>
              <w:rPr>
                <w:rFonts w:ascii="Arial" w:cs="Arial" w:eastAsia="Arial" w:hAnsi="Arial"/>
                <w:sz w:val="13"/>
                <w:szCs w:val="13"/>
                <w:b w:val="1"/>
                <w:bCs w:val="1"/>
                <w:color w:val="4800E6"/>
              </w:rPr>
              <w:t>of Shares</w:t>
            </w:r>
          </w:p>
        </w:tc>
        <w:tc>
          <w:tcPr>
            <w:tcW w:w="1020" w:type="dxa"/>
            <w:vAlign w:val="bottom"/>
          </w:tcPr>
          <w:p>
            <w:pPr>
              <w:jc w:val="right"/>
              <w:ind w:right="51"/>
              <w:spacing w:after="0"/>
              <w:rPr>
                <w:sz w:val="20"/>
                <w:szCs w:val="20"/>
                <w:color w:val="auto"/>
              </w:rPr>
            </w:pPr>
            <w:r>
              <w:rPr>
                <w:rFonts w:ascii="Arial" w:cs="Arial" w:eastAsia="Arial" w:hAnsi="Arial"/>
                <w:sz w:val="13"/>
                <w:szCs w:val="13"/>
                <w:b w:val="1"/>
                <w:bCs w:val="1"/>
                <w:color w:val="4800E6"/>
              </w:rPr>
              <w:t>Shares,</w:t>
            </w:r>
          </w:p>
        </w:tc>
        <w:tc>
          <w:tcPr>
            <w:tcW w:w="120" w:type="dxa"/>
            <w:vAlign w:val="bottom"/>
          </w:tcPr>
          <w:p>
            <w:pPr>
              <w:spacing w:after="0"/>
              <w:rPr>
                <w:sz w:val="12"/>
                <w:szCs w:val="12"/>
                <w:color w:val="auto"/>
              </w:rPr>
            </w:pPr>
          </w:p>
        </w:tc>
        <w:tc>
          <w:tcPr>
            <w:tcW w:w="900" w:type="dxa"/>
            <w:vAlign w:val="bottom"/>
          </w:tcPr>
          <w:p>
            <w:pPr>
              <w:jc w:val="right"/>
              <w:ind w:right="31"/>
              <w:spacing w:after="0"/>
              <w:rPr>
                <w:sz w:val="20"/>
                <w:szCs w:val="20"/>
                <w:color w:val="auto"/>
              </w:rPr>
            </w:pPr>
            <w:r>
              <w:rPr>
                <w:rFonts w:ascii="Arial" w:cs="Arial" w:eastAsia="Arial" w:hAnsi="Arial"/>
                <w:sz w:val="13"/>
                <w:szCs w:val="13"/>
                <w:b w:val="1"/>
                <w:bCs w:val="1"/>
                <w:color w:val="4800E6"/>
              </w:rPr>
              <w:t>Shares,</w:t>
            </w:r>
          </w:p>
        </w:tc>
        <w:tc>
          <w:tcPr>
            <w:tcW w:w="0" w:type="dxa"/>
            <w:vAlign w:val="bottom"/>
          </w:tcPr>
          <w:p>
            <w:pPr>
              <w:spacing w:after="0"/>
              <w:rPr>
                <w:sz w:val="1"/>
                <w:szCs w:val="1"/>
                <w:color w:val="auto"/>
              </w:rPr>
            </w:pPr>
          </w:p>
        </w:tc>
      </w:tr>
      <w:tr>
        <w:trPr>
          <w:trHeight w:val="148"/>
        </w:trPr>
        <w:tc>
          <w:tcPr>
            <w:tcW w:w="1420" w:type="dxa"/>
            <w:vAlign w:val="bottom"/>
          </w:tcPr>
          <w:p>
            <w:pPr>
              <w:spacing w:after="0"/>
              <w:rPr>
                <w:sz w:val="12"/>
                <w:szCs w:val="12"/>
                <w:color w:val="auto"/>
              </w:rPr>
            </w:pPr>
          </w:p>
        </w:tc>
        <w:tc>
          <w:tcPr>
            <w:tcW w:w="1020" w:type="dxa"/>
            <w:vAlign w:val="bottom"/>
          </w:tcPr>
          <w:p>
            <w:pPr>
              <w:jc w:val="right"/>
              <w:ind w:right="51"/>
              <w:spacing w:after="0"/>
              <w:rPr>
                <w:sz w:val="20"/>
                <w:szCs w:val="20"/>
                <w:color w:val="auto"/>
              </w:rPr>
            </w:pPr>
            <w:r>
              <w:rPr>
                <w:rFonts w:ascii="Arial" w:cs="Arial" w:eastAsia="Arial" w:hAnsi="Arial"/>
                <w:sz w:val="13"/>
                <w:szCs w:val="13"/>
                <w:b w:val="1"/>
                <w:bCs w:val="1"/>
                <w:color w:val="4800E6"/>
              </w:rPr>
              <w:t>Underlying</w:t>
            </w:r>
          </w:p>
        </w:tc>
        <w:tc>
          <w:tcPr>
            <w:tcW w:w="1180" w:type="dxa"/>
            <w:vAlign w:val="bottom"/>
          </w:tcPr>
          <w:p>
            <w:pPr>
              <w:jc w:val="right"/>
              <w:ind w:right="51"/>
              <w:spacing w:after="0"/>
              <w:rPr>
                <w:sz w:val="20"/>
                <w:szCs w:val="20"/>
                <w:color w:val="auto"/>
              </w:rPr>
            </w:pPr>
            <w:r>
              <w:rPr>
                <w:rFonts w:ascii="Arial" w:cs="Arial" w:eastAsia="Arial" w:hAnsi="Arial"/>
                <w:sz w:val="13"/>
                <w:szCs w:val="13"/>
                <w:b w:val="1"/>
                <w:bCs w:val="1"/>
                <w:color w:val="4800E6"/>
              </w:rPr>
              <w:t>Underlying</w:t>
            </w:r>
          </w:p>
        </w:tc>
        <w:tc>
          <w:tcPr>
            <w:tcW w:w="7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080" w:type="dxa"/>
            <w:vAlign w:val="bottom"/>
          </w:tcPr>
          <w:p>
            <w:pPr>
              <w:jc w:val="right"/>
              <w:ind w:right="211"/>
              <w:spacing w:after="0"/>
              <w:rPr>
                <w:sz w:val="20"/>
                <w:szCs w:val="20"/>
                <w:color w:val="auto"/>
              </w:rPr>
            </w:pPr>
            <w:r>
              <w:rPr>
                <w:rFonts w:ascii="Arial" w:cs="Arial" w:eastAsia="Arial" w:hAnsi="Arial"/>
                <w:sz w:val="13"/>
                <w:szCs w:val="13"/>
                <w:b w:val="1"/>
                <w:bCs w:val="1"/>
                <w:color w:val="4800E6"/>
              </w:rPr>
              <w:t>Units of</w:t>
            </w:r>
          </w:p>
        </w:tc>
        <w:tc>
          <w:tcPr>
            <w:tcW w:w="860" w:type="dxa"/>
            <w:vAlign w:val="bottom"/>
          </w:tcPr>
          <w:p>
            <w:pPr>
              <w:jc w:val="right"/>
              <w:ind w:right="51"/>
              <w:spacing w:after="0"/>
              <w:rPr>
                <w:sz w:val="20"/>
                <w:szCs w:val="20"/>
                <w:color w:val="auto"/>
              </w:rPr>
            </w:pPr>
            <w:r>
              <w:rPr>
                <w:rFonts w:ascii="Arial" w:cs="Arial" w:eastAsia="Arial" w:hAnsi="Arial"/>
                <w:sz w:val="13"/>
                <w:szCs w:val="13"/>
                <w:b w:val="1"/>
                <w:bCs w:val="1"/>
                <w:color w:val="4800E6"/>
              </w:rPr>
              <w:t>or Units of</w:t>
            </w:r>
          </w:p>
        </w:tc>
        <w:tc>
          <w:tcPr>
            <w:tcW w:w="1020" w:type="dxa"/>
            <w:vAlign w:val="bottom"/>
          </w:tcPr>
          <w:p>
            <w:pPr>
              <w:jc w:val="right"/>
              <w:ind w:right="51"/>
              <w:spacing w:after="0"/>
              <w:rPr>
                <w:sz w:val="20"/>
                <w:szCs w:val="20"/>
                <w:color w:val="auto"/>
              </w:rPr>
            </w:pPr>
            <w:r>
              <w:rPr>
                <w:rFonts w:ascii="Arial" w:cs="Arial" w:eastAsia="Arial" w:hAnsi="Arial"/>
                <w:sz w:val="13"/>
                <w:szCs w:val="13"/>
                <w:b w:val="1"/>
                <w:bCs w:val="1"/>
                <w:color w:val="4800E6"/>
              </w:rPr>
              <w:t>Units or</w:t>
            </w:r>
          </w:p>
        </w:tc>
        <w:tc>
          <w:tcPr>
            <w:tcW w:w="120" w:type="dxa"/>
            <w:vAlign w:val="bottom"/>
          </w:tcPr>
          <w:p>
            <w:pPr>
              <w:spacing w:after="0"/>
              <w:rPr>
                <w:sz w:val="12"/>
                <w:szCs w:val="12"/>
                <w:color w:val="auto"/>
              </w:rPr>
            </w:pPr>
          </w:p>
        </w:tc>
        <w:tc>
          <w:tcPr>
            <w:tcW w:w="900" w:type="dxa"/>
            <w:vAlign w:val="bottom"/>
          </w:tcPr>
          <w:p>
            <w:pPr>
              <w:jc w:val="right"/>
              <w:ind w:right="31"/>
              <w:spacing w:after="0"/>
              <w:rPr>
                <w:sz w:val="20"/>
                <w:szCs w:val="20"/>
                <w:color w:val="auto"/>
              </w:rPr>
            </w:pPr>
            <w:r>
              <w:rPr>
                <w:rFonts w:ascii="Arial" w:cs="Arial" w:eastAsia="Arial" w:hAnsi="Arial"/>
                <w:sz w:val="13"/>
                <w:szCs w:val="13"/>
                <w:b w:val="1"/>
                <w:bCs w:val="1"/>
                <w:color w:val="4800E6"/>
              </w:rPr>
              <w:t>Units or</w:t>
            </w:r>
          </w:p>
        </w:tc>
        <w:tc>
          <w:tcPr>
            <w:tcW w:w="0" w:type="dxa"/>
            <w:vAlign w:val="bottom"/>
          </w:tcPr>
          <w:p>
            <w:pPr>
              <w:spacing w:after="0"/>
              <w:rPr>
                <w:sz w:val="1"/>
                <w:szCs w:val="1"/>
                <w:color w:val="auto"/>
              </w:rPr>
            </w:pPr>
          </w:p>
        </w:tc>
      </w:tr>
      <w:tr>
        <w:trPr>
          <w:trHeight w:val="148"/>
        </w:trPr>
        <w:tc>
          <w:tcPr>
            <w:tcW w:w="1420" w:type="dxa"/>
            <w:vAlign w:val="bottom"/>
          </w:tcPr>
          <w:p>
            <w:pPr>
              <w:spacing w:after="0"/>
              <w:rPr>
                <w:sz w:val="12"/>
                <w:szCs w:val="12"/>
                <w:color w:val="auto"/>
              </w:rPr>
            </w:pPr>
          </w:p>
        </w:tc>
        <w:tc>
          <w:tcPr>
            <w:tcW w:w="1020" w:type="dxa"/>
            <w:vAlign w:val="bottom"/>
          </w:tcPr>
          <w:p>
            <w:pPr>
              <w:jc w:val="right"/>
              <w:ind w:right="51"/>
              <w:spacing w:after="0"/>
              <w:rPr>
                <w:sz w:val="20"/>
                <w:szCs w:val="20"/>
                <w:color w:val="auto"/>
              </w:rPr>
            </w:pPr>
            <w:r>
              <w:rPr>
                <w:rFonts w:ascii="Arial" w:cs="Arial" w:eastAsia="Arial" w:hAnsi="Arial"/>
                <w:sz w:val="13"/>
                <w:szCs w:val="13"/>
                <w:b w:val="1"/>
                <w:bCs w:val="1"/>
                <w:color w:val="4800E6"/>
              </w:rPr>
              <w:t>Unexercised</w:t>
            </w:r>
          </w:p>
        </w:tc>
        <w:tc>
          <w:tcPr>
            <w:tcW w:w="1180" w:type="dxa"/>
            <w:vAlign w:val="bottom"/>
          </w:tcPr>
          <w:p>
            <w:pPr>
              <w:jc w:val="right"/>
              <w:ind w:right="51"/>
              <w:spacing w:after="0"/>
              <w:rPr>
                <w:sz w:val="20"/>
                <w:szCs w:val="20"/>
                <w:color w:val="auto"/>
              </w:rPr>
            </w:pPr>
            <w:r>
              <w:rPr>
                <w:rFonts w:ascii="Arial" w:cs="Arial" w:eastAsia="Arial" w:hAnsi="Arial"/>
                <w:sz w:val="13"/>
                <w:szCs w:val="13"/>
                <w:b w:val="1"/>
                <w:bCs w:val="1"/>
                <w:color w:val="4800E6"/>
              </w:rPr>
              <w:t>Unexercised</w:t>
            </w:r>
          </w:p>
        </w:tc>
        <w:tc>
          <w:tcPr>
            <w:tcW w:w="720" w:type="dxa"/>
            <w:vAlign w:val="bottom"/>
          </w:tcPr>
          <w:p>
            <w:pPr>
              <w:jc w:val="right"/>
              <w:ind w:right="51"/>
              <w:spacing w:after="0"/>
              <w:rPr>
                <w:sz w:val="20"/>
                <w:szCs w:val="20"/>
                <w:color w:val="auto"/>
              </w:rPr>
            </w:pPr>
            <w:r>
              <w:rPr>
                <w:rFonts w:ascii="Arial" w:cs="Arial" w:eastAsia="Arial" w:hAnsi="Arial"/>
                <w:sz w:val="13"/>
                <w:szCs w:val="13"/>
                <w:b w:val="1"/>
                <w:bCs w:val="1"/>
                <w:color w:val="4800E6"/>
              </w:rPr>
              <w:t>Option</w:t>
            </w:r>
          </w:p>
        </w:tc>
        <w:tc>
          <w:tcPr>
            <w:tcW w:w="860" w:type="dxa"/>
            <w:vAlign w:val="bottom"/>
          </w:tcPr>
          <w:p>
            <w:pPr>
              <w:jc w:val="right"/>
              <w:ind w:right="71"/>
              <w:spacing w:after="0"/>
              <w:rPr>
                <w:sz w:val="20"/>
                <w:szCs w:val="20"/>
                <w:color w:val="auto"/>
              </w:rPr>
            </w:pPr>
            <w:r>
              <w:rPr>
                <w:rFonts w:ascii="Arial" w:cs="Arial" w:eastAsia="Arial" w:hAnsi="Arial"/>
                <w:sz w:val="13"/>
                <w:szCs w:val="13"/>
                <w:b w:val="1"/>
                <w:bCs w:val="1"/>
                <w:color w:val="4800E6"/>
              </w:rPr>
              <w:t>Option</w:t>
            </w:r>
          </w:p>
        </w:tc>
        <w:tc>
          <w:tcPr>
            <w:tcW w:w="1080" w:type="dxa"/>
            <w:vAlign w:val="bottom"/>
          </w:tcPr>
          <w:p>
            <w:pPr>
              <w:jc w:val="right"/>
              <w:ind w:right="211"/>
              <w:spacing w:after="0"/>
              <w:rPr>
                <w:sz w:val="20"/>
                <w:szCs w:val="20"/>
                <w:color w:val="auto"/>
              </w:rPr>
            </w:pPr>
            <w:r>
              <w:rPr>
                <w:rFonts w:ascii="Arial" w:cs="Arial" w:eastAsia="Arial" w:hAnsi="Arial"/>
                <w:sz w:val="13"/>
                <w:szCs w:val="13"/>
                <w:b w:val="1"/>
                <w:bCs w:val="1"/>
                <w:color w:val="4800E6"/>
              </w:rPr>
              <w:t>Stock That</w:t>
            </w:r>
          </w:p>
        </w:tc>
        <w:tc>
          <w:tcPr>
            <w:tcW w:w="860" w:type="dxa"/>
            <w:vAlign w:val="bottom"/>
          </w:tcPr>
          <w:p>
            <w:pPr>
              <w:jc w:val="right"/>
              <w:ind w:right="51"/>
              <w:spacing w:after="0"/>
              <w:rPr>
                <w:sz w:val="20"/>
                <w:szCs w:val="20"/>
                <w:color w:val="auto"/>
              </w:rPr>
            </w:pPr>
            <w:r>
              <w:rPr>
                <w:rFonts w:ascii="Arial" w:cs="Arial" w:eastAsia="Arial" w:hAnsi="Arial"/>
                <w:sz w:val="13"/>
                <w:szCs w:val="13"/>
                <w:b w:val="1"/>
                <w:bCs w:val="1"/>
                <w:color w:val="4800E6"/>
              </w:rPr>
              <w:t>Stock That</w:t>
            </w:r>
          </w:p>
        </w:tc>
        <w:tc>
          <w:tcPr>
            <w:tcW w:w="1020" w:type="dxa"/>
            <w:vAlign w:val="bottom"/>
          </w:tcPr>
          <w:p>
            <w:pPr>
              <w:jc w:val="right"/>
              <w:ind w:right="51"/>
              <w:spacing w:after="0"/>
              <w:rPr>
                <w:sz w:val="20"/>
                <w:szCs w:val="20"/>
                <w:color w:val="auto"/>
              </w:rPr>
            </w:pPr>
            <w:r>
              <w:rPr>
                <w:rFonts w:ascii="Arial" w:cs="Arial" w:eastAsia="Arial" w:hAnsi="Arial"/>
                <w:sz w:val="13"/>
                <w:szCs w:val="13"/>
                <w:b w:val="1"/>
                <w:bCs w:val="1"/>
                <w:color w:val="4800E6"/>
              </w:rPr>
              <w:t>Other Rights</w:t>
            </w:r>
          </w:p>
        </w:tc>
        <w:tc>
          <w:tcPr>
            <w:tcW w:w="120" w:type="dxa"/>
            <w:vAlign w:val="bottom"/>
          </w:tcPr>
          <w:p>
            <w:pPr>
              <w:spacing w:after="0"/>
              <w:rPr>
                <w:sz w:val="12"/>
                <w:szCs w:val="12"/>
                <w:color w:val="auto"/>
              </w:rPr>
            </w:pPr>
          </w:p>
        </w:tc>
        <w:tc>
          <w:tcPr>
            <w:tcW w:w="900" w:type="dxa"/>
            <w:vAlign w:val="bottom"/>
          </w:tcPr>
          <w:p>
            <w:pPr>
              <w:jc w:val="right"/>
              <w:ind w:right="31"/>
              <w:spacing w:after="0"/>
              <w:rPr>
                <w:sz w:val="20"/>
                <w:szCs w:val="20"/>
                <w:color w:val="auto"/>
              </w:rPr>
            </w:pPr>
            <w:r>
              <w:rPr>
                <w:rFonts w:ascii="Arial" w:cs="Arial" w:eastAsia="Arial" w:hAnsi="Arial"/>
                <w:sz w:val="13"/>
                <w:szCs w:val="13"/>
                <w:b w:val="1"/>
                <w:bCs w:val="1"/>
                <w:color w:val="4800E6"/>
                <w:w w:val="99"/>
              </w:rPr>
              <w:t>Other Rights</w:t>
            </w:r>
          </w:p>
        </w:tc>
        <w:tc>
          <w:tcPr>
            <w:tcW w:w="0" w:type="dxa"/>
            <w:vAlign w:val="bottom"/>
          </w:tcPr>
          <w:p>
            <w:pPr>
              <w:spacing w:after="0"/>
              <w:rPr>
                <w:sz w:val="1"/>
                <w:szCs w:val="1"/>
                <w:color w:val="auto"/>
              </w:rPr>
            </w:pPr>
          </w:p>
        </w:tc>
      </w:tr>
      <w:tr>
        <w:trPr>
          <w:trHeight w:val="149"/>
        </w:trPr>
        <w:tc>
          <w:tcPr>
            <w:tcW w:w="1420" w:type="dxa"/>
            <w:vAlign w:val="bottom"/>
          </w:tcPr>
          <w:p>
            <w:pPr>
              <w:spacing w:after="0"/>
              <w:rPr>
                <w:sz w:val="12"/>
                <w:szCs w:val="12"/>
                <w:color w:val="auto"/>
              </w:rPr>
            </w:pPr>
          </w:p>
        </w:tc>
        <w:tc>
          <w:tcPr>
            <w:tcW w:w="1020" w:type="dxa"/>
            <w:vAlign w:val="bottom"/>
          </w:tcPr>
          <w:p>
            <w:pPr>
              <w:jc w:val="right"/>
              <w:ind w:right="51"/>
              <w:spacing w:after="0"/>
              <w:rPr>
                <w:sz w:val="20"/>
                <w:szCs w:val="20"/>
                <w:color w:val="auto"/>
              </w:rPr>
            </w:pPr>
            <w:r>
              <w:rPr>
                <w:rFonts w:ascii="Arial" w:cs="Arial" w:eastAsia="Arial" w:hAnsi="Arial"/>
                <w:sz w:val="13"/>
                <w:szCs w:val="13"/>
                <w:b w:val="1"/>
                <w:bCs w:val="1"/>
                <w:color w:val="4800E6"/>
              </w:rPr>
              <w:t>Options (#)</w:t>
            </w:r>
          </w:p>
        </w:tc>
        <w:tc>
          <w:tcPr>
            <w:tcW w:w="1180" w:type="dxa"/>
            <w:vAlign w:val="bottom"/>
          </w:tcPr>
          <w:p>
            <w:pPr>
              <w:jc w:val="right"/>
              <w:ind w:right="51"/>
              <w:spacing w:after="0"/>
              <w:rPr>
                <w:sz w:val="20"/>
                <w:szCs w:val="20"/>
                <w:color w:val="auto"/>
              </w:rPr>
            </w:pPr>
            <w:r>
              <w:rPr>
                <w:rFonts w:ascii="Arial" w:cs="Arial" w:eastAsia="Arial" w:hAnsi="Arial"/>
                <w:sz w:val="13"/>
                <w:szCs w:val="13"/>
                <w:b w:val="1"/>
                <w:bCs w:val="1"/>
                <w:color w:val="4800E6"/>
              </w:rPr>
              <w:t>Options (#)</w:t>
            </w:r>
          </w:p>
        </w:tc>
        <w:tc>
          <w:tcPr>
            <w:tcW w:w="720" w:type="dxa"/>
            <w:vAlign w:val="bottom"/>
          </w:tcPr>
          <w:p>
            <w:pPr>
              <w:jc w:val="right"/>
              <w:ind w:right="51"/>
              <w:spacing w:after="0"/>
              <w:rPr>
                <w:sz w:val="20"/>
                <w:szCs w:val="20"/>
                <w:color w:val="auto"/>
              </w:rPr>
            </w:pPr>
            <w:r>
              <w:rPr>
                <w:rFonts w:ascii="Arial" w:cs="Arial" w:eastAsia="Arial" w:hAnsi="Arial"/>
                <w:sz w:val="13"/>
                <w:szCs w:val="13"/>
                <w:b w:val="1"/>
                <w:bCs w:val="1"/>
                <w:color w:val="4800E6"/>
              </w:rPr>
              <w:t>Exercise</w:t>
            </w:r>
          </w:p>
        </w:tc>
        <w:tc>
          <w:tcPr>
            <w:tcW w:w="860" w:type="dxa"/>
            <w:vAlign w:val="bottom"/>
          </w:tcPr>
          <w:p>
            <w:pPr>
              <w:jc w:val="right"/>
              <w:ind w:right="71"/>
              <w:spacing w:after="0"/>
              <w:rPr>
                <w:sz w:val="20"/>
                <w:szCs w:val="20"/>
                <w:color w:val="auto"/>
              </w:rPr>
            </w:pPr>
            <w:r>
              <w:rPr>
                <w:rFonts w:ascii="Arial" w:cs="Arial" w:eastAsia="Arial" w:hAnsi="Arial"/>
                <w:sz w:val="13"/>
                <w:szCs w:val="13"/>
                <w:b w:val="1"/>
                <w:bCs w:val="1"/>
                <w:color w:val="4800E6"/>
              </w:rPr>
              <w:t>Expiration</w:t>
            </w:r>
          </w:p>
        </w:tc>
        <w:tc>
          <w:tcPr>
            <w:tcW w:w="1080" w:type="dxa"/>
            <w:vAlign w:val="bottom"/>
          </w:tcPr>
          <w:p>
            <w:pPr>
              <w:jc w:val="right"/>
              <w:ind w:right="211"/>
              <w:spacing w:after="0"/>
              <w:rPr>
                <w:sz w:val="20"/>
                <w:szCs w:val="20"/>
                <w:color w:val="auto"/>
              </w:rPr>
            </w:pPr>
            <w:r>
              <w:rPr>
                <w:rFonts w:ascii="Arial" w:cs="Arial" w:eastAsia="Arial" w:hAnsi="Arial"/>
                <w:sz w:val="13"/>
                <w:szCs w:val="13"/>
                <w:b w:val="1"/>
                <w:bCs w:val="1"/>
                <w:color w:val="4800E6"/>
              </w:rPr>
              <w:t>Have Not</w:t>
            </w:r>
          </w:p>
        </w:tc>
        <w:tc>
          <w:tcPr>
            <w:tcW w:w="860" w:type="dxa"/>
            <w:vAlign w:val="bottom"/>
          </w:tcPr>
          <w:p>
            <w:pPr>
              <w:jc w:val="right"/>
              <w:ind w:right="51"/>
              <w:spacing w:after="0"/>
              <w:rPr>
                <w:sz w:val="20"/>
                <w:szCs w:val="20"/>
                <w:color w:val="auto"/>
              </w:rPr>
            </w:pPr>
            <w:r>
              <w:rPr>
                <w:rFonts w:ascii="Arial" w:cs="Arial" w:eastAsia="Arial" w:hAnsi="Arial"/>
                <w:sz w:val="13"/>
                <w:szCs w:val="13"/>
                <w:b w:val="1"/>
                <w:bCs w:val="1"/>
                <w:color w:val="4800E6"/>
              </w:rPr>
              <w:t>Have Not</w:t>
            </w:r>
          </w:p>
        </w:tc>
        <w:tc>
          <w:tcPr>
            <w:tcW w:w="1020" w:type="dxa"/>
            <w:vAlign w:val="bottom"/>
          </w:tcPr>
          <w:p>
            <w:pPr>
              <w:jc w:val="right"/>
              <w:ind w:right="51"/>
              <w:spacing w:after="0"/>
              <w:rPr>
                <w:sz w:val="20"/>
                <w:szCs w:val="20"/>
                <w:color w:val="auto"/>
              </w:rPr>
            </w:pPr>
            <w:r>
              <w:rPr>
                <w:rFonts w:ascii="Arial" w:cs="Arial" w:eastAsia="Arial" w:hAnsi="Arial"/>
                <w:sz w:val="13"/>
                <w:szCs w:val="13"/>
                <w:b w:val="1"/>
                <w:bCs w:val="1"/>
                <w:color w:val="4800E6"/>
              </w:rPr>
              <w:t>That Have</w:t>
            </w:r>
          </w:p>
        </w:tc>
        <w:tc>
          <w:tcPr>
            <w:tcW w:w="120" w:type="dxa"/>
            <w:vAlign w:val="bottom"/>
          </w:tcPr>
          <w:p>
            <w:pPr>
              <w:spacing w:after="0"/>
              <w:rPr>
                <w:sz w:val="12"/>
                <w:szCs w:val="12"/>
                <w:color w:val="auto"/>
              </w:rPr>
            </w:pPr>
          </w:p>
        </w:tc>
        <w:tc>
          <w:tcPr>
            <w:tcW w:w="900" w:type="dxa"/>
            <w:vAlign w:val="bottom"/>
          </w:tcPr>
          <w:p>
            <w:pPr>
              <w:jc w:val="right"/>
              <w:ind w:right="31"/>
              <w:spacing w:after="0"/>
              <w:rPr>
                <w:sz w:val="20"/>
                <w:szCs w:val="20"/>
                <w:color w:val="auto"/>
              </w:rPr>
            </w:pPr>
            <w:r>
              <w:rPr>
                <w:rFonts w:ascii="Arial" w:cs="Arial" w:eastAsia="Arial" w:hAnsi="Arial"/>
                <w:sz w:val="13"/>
                <w:szCs w:val="13"/>
                <w:b w:val="1"/>
                <w:bCs w:val="1"/>
                <w:color w:val="4800E6"/>
              </w:rPr>
              <w:t>That Have</w:t>
            </w:r>
          </w:p>
        </w:tc>
        <w:tc>
          <w:tcPr>
            <w:tcW w:w="0" w:type="dxa"/>
            <w:vAlign w:val="bottom"/>
          </w:tcPr>
          <w:p>
            <w:pPr>
              <w:spacing w:after="0"/>
              <w:rPr>
                <w:sz w:val="1"/>
                <w:szCs w:val="1"/>
                <w:color w:val="auto"/>
              </w:rPr>
            </w:pPr>
          </w:p>
        </w:tc>
      </w:tr>
      <w:tr>
        <w:trPr>
          <w:trHeight w:val="216"/>
        </w:trPr>
        <w:tc>
          <w:tcPr>
            <w:tcW w:w="1420" w:type="dxa"/>
            <w:vAlign w:val="bottom"/>
            <w:tcBorders>
              <w:bottom w:val="single" w:sz="8" w:color="4800E6"/>
            </w:tcBorders>
          </w:tcPr>
          <w:p>
            <w:pPr>
              <w:ind w:left="40"/>
              <w:spacing w:after="0"/>
              <w:rPr>
                <w:sz w:val="20"/>
                <w:szCs w:val="20"/>
                <w:color w:val="auto"/>
              </w:rPr>
            </w:pPr>
            <w:r>
              <w:rPr>
                <w:rFonts w:ascii="Arial" w:cs="Arial" w:eastAsia="Arial" w:hAnsi="Arial"/>
                <w:sz w:val="13"/>
                <w:szCs w:val="13"/>
                <w:b w:val="1"/>
                <w:bCs w:val="1"/>
                <w:color w:val="4800E6"/>
              </w:rPr>
              <w:t>Name</w:t>
            </w:r>
          </w:p>
        </w:tc>
        <w:tc>
          <w:tcPr>
            <w:tcW w:w="1020" w:type="dxa"/>
            <w:vAlign w:val="bottom"/>
            <w:tcBorders>
              <w:bottom w:val="single" w:sz="8" w:color="4800E6"/>
            </w:tcBorders>
          </w:tcPr>
          <w:p>
            <w:pPr>
              <w:jc w:val="right"/>
              <w:ind w:right="11"/>
              <w:spacing w:after="0" w:line="216" w:lineRule="exact"/>
              <w:rPr>
                <w:sz w:val="20"/>
                <w:szCs w:val="20"/>
                <w:color w:val="auto"/>
              </w:rPr>
            </w:pPr>
            <w:r>
              <w:rPr>
                <w:rFonts w:ascii="Arial" w:cs="Arial" w:eastAsia="Arial" w:hAnsi="Arial"/>
                <w:sz w:val="13"/>
                <w:szCs w:val="13"/>
                <w:b w:val="1"/>
                <w:bCs w:val="1"/>
                <w:color w:val="4800E6"/>
              </w:rPr>
              <w:t>Exercisable</w:t>
            </w:r>
            <w:r>
              <w:rPr>
                <w:rFonts w:ascii="Arial" w:cs="Arial" w:eastAsia="Arial" w:hAnsi="Arial"/>
                <w:sz w:val="19"/>
                <w:szCs w:val="19"/>
                <w:b w:val="1"/>
                <w:bCs w:val="1"/>
                <w:color w:val="4800E6"/>
                <w:vertAlign w:val="superscript"/>
              </w:rPr>
              <w:t>(1)</w:t>
            </w:r>
          </w:p>
        </w:tc>
        <w:tc>
          <w:tcPr>
            <w:tcW w:w="1180" w:type="dxa"/>
            <w:vAlign w:val="bottom"/>
            <w:tcBorders>
              <w:bottom w:val="single" w:sz="8" w:color="4800E6"/>
            </w:tcBorders>
          </w:tcPr>
          <w:p>
            <w:pPr>
              <w:jc w:val="right"/>
              <w:ind w:right="11"/>
              <w:spacing w:after="0" w:line="216" w:lineRule="exact"/>
              <w:rPr>
                <w:sz w:val="20"/>
                <w:szCs w:val="20"/>
                <w:color w:val="auto"/>
              </w:rPr>
            </w:pPr>
            <w:r>
              <w:rPr>
                <w:rFonts w:ascii="Arial" w:cs="Arial" w:eastAsia="Arial" w:hAnsi="Arial"/>
                <w:sz w:val="13"/>
                <w:szCs w:val="13"/>
                <w:b w:val="1"/>
                <w:bCs w:val="1"/>
                <w:color w:val="4800E6"/>
              </w:rPr>
              <w:t>Unexercisable</w:t>
            </w:r>
            <w:r>
              <w:rPr>
                <w:rFonts w:ascii="Arial" w:cs="Arial" w:eastAsia="Arial" w:hAnsi="Arial"/>
                <w:sz w:val="19"/>
                <w:szCs w:val="19"/>
                <w:b w:val="1"/>
                <w:bCs w:val="1"/>
                <w:color w:val="4800E6"/>
                <w:vertAlign w:val="superscript"/>
              </w:rPr>
              <w:t>(2)</w:t>
            </w:r>
          </w:p>
        </w:tc>
        <w:tc>
          <w:tcPr>
            <w:tcW w:w="720" w:type="dxa"/>
            <w:vAlign w:val="bottom"/>
            <w:tcBorders>
              <w:bottom w:val="single" w:sz="8" w:color="4800E6"/>
            </w:tcBorders>
          </w:tcPr>
          <w:p>
            <w:pPr>
              <w:jc w:val="right"/>
              <w:ind w:right="11"/>
              <w:spacing w:after="0"/>
              <w:rPr>
                <w:sz w:val="20"/>
                <w:szCs w:val="20"/>
                <w:color w:val="auto"/>
              </w:rPr>
            </w:pPr>
            <w:r>
              <w:rPr>
                <w:rFonts w:ascii="Arial" w:cs="Arial" w:eastAsia="Arial" w:hAnsi="Arial"/>
                <w:sz w:val="13"/>
                <w:szCs w:val="13"/>
                <w:b w:val="1"/>
                <w:bCs w:val="1"/>
                <w:color w:val="4800E6"/>
              </w:rPr>
              <w:t>Price ($)</w:t>
            </w:r>
          </w:p>
        </w:tc>
        <w:tc>
          <w:tcPr>
            <w:tcW w:w="860" w:type="dxa"/>
            <w:vAlign w:val="bottom"/>
            <w:tcBorders>
              <w:bottom w:val="single" w:sz="8" w:color="4800E6"/>
            </w:tcBorders>
          </w:tcPr>
          <w:p>
            <w:pPr>
              <w:jc w:val="right"/>
              <w:ind w:right="31"/>
              <w:spacing w:after="0"/>
              <w:rPr>
                <w:sz w:val="20"/>
                <w:szCs w:val="20"/>
                <w:color w:val="auto"/>
              </w:rPr>
            </w:pPr>
            <w:r>
              <w:rPr>
                <w:rFonts w:ascii="Arial" w:cs="Arial" w:eastAsia="Arial" w:hAnsi="Arial"/>
                <w:sz w:val="13"/>
                <w:szCs w:val="13"/>
                <w:b w:val="1"/>
                <w:bCs w:val="1"/>
                <w:color w:val="4800E6"/>
              </w:rPr>
              <w:t>Date</w:t>
            </w:r>
          </w:p>
        </w:tc>
        <w:tc>
          <w:tcPr>
            <w:tcW w:w="1080" w:type="dxa"/>
            <w:vAlign w:val="bottom"/>
            <w:tcBorders>
              <w:bottom w:val="single" w:sz="8" w:color="4800E6"/>
            </w:tcBorders>
          </w:tcPr>
          <w:p>
            <w:pPr>
              <w:jc w:val="right"/>
              <w:ind w:right="171"/>
              <w:spacing w:after="0" w:line="216" w:lineRule="exact"/>
              <w:rPr>
                <w:sz w:val="20"/>
                <w:szCs w:val="20"/>
                <w:color w:val="auto"/>
              </w:rPr>
            </w:pPr>
            <w:r>
              <w:rPr>
                <w:rFonts w:ascii="Arial" w:cs="Arial" w:eastAsia="Arial" w:hAnsi="Arial"/>
                <w:sz w:val="13"/>
                <w:szCs w:val="13"/>
                <w:b w:val="1"/>
                <w:bCs w:val="1"/>
                <w:color w:val="4800E6"/>
              </w:rPr>
              <w:t>Vested (#)</w:t>
            </w:r>
            <w:r>
              <w:rPr>
                <w:rFonts w:ascii="Arial" w:cs="Arial" w:eastAsia="Arial" w:hAnsi="Arial"/>
                <w:sz w:val="19"/>
                <w:szCs w:val="19"/>
                <w:b w:val="1"/>
                <w:bCs w:val="1"/>
                <w:color w:val="4800E6"/>
                <w:vertAlign w:val="superscript"/>
              </w:rPr>
              <w:t>(3)</w:t>
            </w:r>
          </w:p>
        </w:tc>
        <w:tc>
          <w:tcPr>
            <w:tcW w:w="860" w:type="dxa"/>
            <w:vAlign w:val="bottom"/>
            <w:tcBorders>
              <w:bottom w:val="single" w:sz="8" w:color="4800E6"/>
            </w:tcBorders>
          </w:tcPr>
          <w:p>
            <w:pPr>
              <w:jc w:val="right"/>
              <w:ind w:right="11"/>
              <w:spacing w:after="0" w:line="216" w:lineRule="exact"/>
              <w:rPr>
                <w:sz w:val="20"/>
                <w:szCs w:val="20"/>
                <w:color w:val="auto"/>
              </w:rPr>
            </w:pPr>
            <w:r>
              <w:rPr>
                <w:rFonts w:ascii="Arial" w:cs="Arial" w:eastAsia="Arial" w:hAnsi="Arial"/>
                <w:sz w:val="13"/>
                <w:szCs w:val="13"/>
                <w:b w:val="1"/>
                <w:bCs w:val="1"/>
                <w:color w:val="4800E6"/>
                <w:w w:val="97"/>
              </w:rPr>
              <w:t>Vested ($)</w:t>
            </w:r>
            <w:r>
              <w:rPr>
                <w:rFonts w:ascii="Arial" w:cs="Arial" w:eastAsia="Arial" w:hAnsi="Arial"/>
                <w:sz w:val="19"/>
                <w:szCs w:val="19"/>
                <w:b w:val="1"/>
                <w:bCs w:val="1"/>
                <w:color w:val="4800E6"/>
                <w:w w:val="97"/>
                <w:vertAlign w:val="superscript"/>
              </w:rPr>
              <w:t>(4)</w:t>
            </w:r>
          </w:p>
        </w:tc>
        <w:tc>
          <w:tcPr>
            <w:tcW w:w="1020" w:type="dxa"/>
            <w:vAlign w:val="bottom"/>
            <w:tcBorders>
              <w:bottom w:val="single" w:sz="8" w:color="4800E6"/>
            </w:tcBorders>
          </w:tcPr>
          <w:p>
            <w:pPr>
              <w:jc w:val="right"/>
              <w:ind w:right="31"/>
              <w:spacing w:after="0"/>
              <w:rPr>
                <w:sz w:val="20"/>
                <w:szCs w:val="20"/>
                <w:color w:val="auto"/>
              </w:rPr>
            </w:pPr>
            <w:r>
              <w:rPr>
                <w:rFonts w:ascii="Arial" w:cs="Arial" w:eastAsia="Arial" w:hAnsi="Arial"/>
                <w:sz w:val="13"/>
                <w:szCs w:val="13"/>
                <w:b w:val="1"/>
                <w:bCs w:val="1"/>
                <w:color w:val="4800E6"/>
              </w:rPr>
              <w:t>Not Vested</w:t>
            </w:r>
          </w:p>
        </w:tc>
        <w:tc>
          <w:tcPr>
            <w:tcW w:w="120" w:type="dxa"/>
            <w:vAlign w:val="bottom"/>
            <w:tcBorders>
              <w:bottom w:val="single" w:sz="8" w:color="4800E6"/>
            </w:tcBorders>
          </w:tcPr>
          <w:p>
            <w:pPr>
              <w:spacing w:after="0"/>
              <w:rPr>
                <w:sz w:val="18"/>
                <w:szCs w:val="18"/>
                <w:color w:val="auto"/>
              </w:rPr>
            </w:pPr>
          </w:p>
        </w:tc>
        <w:tc>
          <w:tcPr>
            <w:tcW w:w="900" w:type="dxa"/>
            <w:vAlign w:val="bottom"/>
            <w:tcBorders>
              <w:bottom w:val="single" w:sz="8" w:color="4800E6"/>
            </w:tcBorders>
          </w:tcPr>
          <w:p>
            <w:pPr>
              <w:jc w:val="right"/>
              <w:spacing w:after="0"/>
              <w:rPr>
                <w:sz w:val="20"/>
                <w:szCs w:val="20"/>
                <w:color w:val="auto"/>
              </w:rPr>
            </w:pPr>
            <w:r>
              <w:rPr>
                <w:rFonts w:ascii="Arial" w:cs="Arial" w:eastAsia="Arial" w:hAnsi="Arial"/>
                <w:sz w:val="13"/>
                <w:szCs w:val="13"/>
                <w:b w:val="1"/>
                <w:bCs w:val="1"/>
                <w:color w:val="4800E6"/>
              </w:rPr>
              <w:t>Not Vested</w:t>
            </w:r>
          </w:p>
        </w:tc>
        <w:tc>
          <w:tcPr>
            <w:tcW w:w="0" w:type="dxa"/>
            <w:vAlign w:val="bottom"/>
          </w:tcPr>
          <w:p>
            <w:pPr>
              <w:spacing w:after="0"/>
              <w:rPr>
                <w:sz w:val="1"/>
                <w:szCs w:val="1"/>
                <w:color w:val="auto"/>
              </w:rPr>
            </w:pPr>
          </w:p>
        </w:tc>
      </w:tr>
      <w:tr>
        <w:trPr>
          <w:trHeight w:val="211"/>
        </w:trPr>
        <w:tc>
          <w:tcPr>
            <w:tcW w:w="1420" w:type="dxa"/>
            <w:vAlign w:val="bottom"/>
          </w:tcPr>
          <w:p>
            <w:pPr>
              <w:ind w:left="40"/>
              <w:spacing w:after="0"/>
              <w:rPr>
                <w:sz w:val="20"/>
                <w:szCs w:val="20"/>
                <w:color w:val="auto"/>
              </w:rPr>
            </w:pPr>
            <w:r>
              <w:rPr>
                <w:rFonts w:ascii="Arial" w:cs="Arial" w:eastAsia="Arial" w:hAnsi="Arial"/>
                <w:sz w:val="14"/>
                <w:szCs w:val="14"/>
                <w:b w:val="1"/>
                <w:bCs w:val="1"/>
                <w:color w:val="auto"/>
              </w:rPr>
              <w:t>Damien McDonald</w:t>
            </w:r>
          </w:p>
        </w:tc>
        <w:tc>
          <w:tcPr>
            <w:tcW w:w="1020" w:type="dxa"/>
            <w:vAlign w:val="bottom"/>
          </w:tcPr>
          <w:p>
            <w:pPr>
              <w:jc w:val="right"/>
              <w:ind w:right="11"/>
              <w:spacing w:after="0"/>
              <w:rPr>
                <w:sz w:val="20"/>
                <w:szCs w:val="20"/>
                <w:color w:val="auto"/>
              </w:rPr>
            </w:pPr>
            <w:r>
              <w:rPr>
                <w:rFonts w:ascii="Arial" w:cs="Arial" w:eastAsia="Arial" w:hAnsi="Arial"/>
                <w:sz w:val="14"/>
                <w:szCs w:val="14"/>
                <w:color w:val="auto"/>
              </w:rPr>
              <w:t>87,114</w:t>
            </w:r>
          </w:p>
        </w:tc>
        <w:tc>
          <w:tcPr>
            <w:tcW w:w="1180" w:type="dxa"/>
            <w:vAlign w:val="bottom"/>
          </w:tcPr>
          <w:p>
            <w:pPr>
              <w:jc w:val="right"/>
              <w:ind w:right="11"/>
              <w:spacing w:after="0"/>
              <w:rPr>
                <w:sz w:val="20"/>
                <w:szCs w:val="20"/>
                <w:color w:val="auto"/>
              </w:rPr>
            </w:pPr>
            <w:r>
              <w:rPr>
                <w:rFonts w:ascii="Arial" w:cs="Arial" w:eastAsia="Arial" w:hAnsi="Arial"/>
                <w:sz w:val="14"/>
                <w:szCs w:val="14"/>
                <w:color w:val="auto"/>
              </w:rPr>
              <w:t>43,556</w:t>
            </w:r>
          </w:p>
        </w:tc>
        <w:tc>
          <w:tcPr>
            <w:tcW w:w="720" w:type="dxa"/>
            <w:vAlign w:val="bottom"/>
          </w:tcPr>
          <w:p>
            <w:pPr>
              <w:jc w:val="right"/>
              <w:spacing w:after="0"/>
              <w:rPr>
                <w:sz w:val="20"/>
                <w:szCs w:val="20"/>
                <w:color w:val="auto"/>
              </w:rPr>
            </w:pPr>
            <w:r>
              <w:rPr>
                <w:rFonts w:ascii="Arial" w:cs="Arial" w:eastAsia="Arial" w:hAnsi="Arial"/>
                <w:sz w:val="14"/>
                <w:szCs w:val="14"/>
                <w:color w:val="auto"/>
              </w:rPr>
              <w:t>44.79</w:t>
            </w:r>
          </w:p>
        </w:tc>
        <w:tc>
          <w:tcPr>
            <w:tcW w:w="860" w:type="dxa"/>
            <w:vAlign w:val="bottom"/>
          </w:tcPr>
          <w:p>
            <w:pPr>
              <w:jc w:val="right"/>
              <w:ind w:right="31"/>
              <w:spacing w:after="0"/>
              <w:rPr>
                <w:sz w:val="20"/>
                <w:szCs w:val="20"/>
                <w:color w:val="auto"/>
              </w:rPr>
            </w:pPr>
            <w:r>
              <w:rPr>
                <w:rFonts w:ascii="Arial" w:cs="Arial" w:eastAsia="Arial" w:hAnsi="Arial"/>
                <w:sz w:val="14"/>
                <w:szCs w:val="14"/>
                <w:color w:val="auto"/>
              </w:rPr>
              <w:t>11/4/2026</w:t>
            </w:r>
          </w:p>
        </w:tc>
        <w:tc>
          <w:tcPr>
            <w:tcW w:w="10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9"/>
        </w:trPr>
        <w:tc>
          <w:tcPr>
            <w:tcW w:w="1420" w:type="dxa"/>
            <w:vAlign w:val="bottom"/>
          </w:tcPr>
          <w:p>
            <w:pPr>
              <w:spacing w:after="0"/>
              <w:rPr>
                <w:sz w:val="3"/>
                <w:szCs w:val="3"/>
                <w:color w:val="auto"/>
              </w:rPr>
            </w:pPr>
          </w:p>
        </w:tc>
        <w:tc>
          <w:tcPr>
            <w:tcW w:w="1020" w:type="dxa"/>
            <w:vAlign w:val="bottom"/>
          </w:tcPr>
          <w:p>
            <w:pPr>
              <w:spacing w:after="0"/>
              <w:rPr>
                <w:sz w:val="3"/>
                <w:szCs w:val="3"/>
                <w:color w:val="auto"/>
              </w:rPr>
            </w:pPr>
          </w:p>
        </w:tc>
        <w:tc>
          <w:tcPr>
            <w:tcW w:w="1180" w:type="dxa"/>
            <w:vAlign w:val="bottom"/>
          </w:tcPr>
          <w:p>
            <w:pPr>
              <w:spacing w:after="0"/>
              <w:rPr>
                <w:sz w:val="3"/>
                <w:szCs w:val="3"/>
                <w:color w:val="auto"/>
              </w:rPr>
            </w:pPr>
          </w:p>
        </w:tc>
        <w:tc>
          <w:tcPr>
            <w:tcW w:w="720" w:type="dxa"/>
            <w:vAlign w:val="bottom"/>
          </w:tcPr>
          <w:p>
            <w:pPr>
              <w:spacing w:after="0"/>
              <w:rPr>
                <w:sz w:val="3"/>
                <w:szCs w:val="3"/>
                <w:color w:val="auto"/>
              </w:rPr>
            </w:pPr>
          </w:p>
        </w:tc>
        <w:tc>
          <w:tcPr>
            <w:tcW w:w="860" w:type="dxa"/>
            <w:vAlign w:val="bottom"/>
          </w:tcPr>
          <w:p>
            <w:pPr>
              <w:spacing w:after="0"/>
              <w:rPr>
                <w:sz w:val="3"/>
                <w:szCs w:val="3"/>
                <w:color w:val="auto"/>
              </w:rPr>
            </w:pPr>
          </w:p>
        </w:tc>
        <w:tc>
          <w:tcPr>
            <w:tcW w:w="1080" w:type="dxa"/>
            <w:vAlign w:val="bottom"/>
          </w:tcPr>
          <w:p>
            <w:pPr>
              <w:spacing w:after="0"/>
              <w:rPr>
                <w:sz w:val="3"/>
                <w:szCs w:val="3"/>
                <w:color w:val="auto"/>
              </w:rPr>
            </w:pPr>
          </w:p>
        </w:tc>
        <w:tc>
          <w:tcPr>
            <w:tcW w:w="860" w:type="dxa"/>
            <w:vAlign w:val="bottom"/>
          </w:tcPr>
          <w:p>
            <w:pPr>
              <w:spacing w:after="0"/>
              <w:rPr>
                <w:sz w:val="3"/>
                <w:szCs w:val="3"/>
                <w:color w:val="auto"/>
              </w:rPr>
            </w:pPr>
          </w:p>
        </w:tc>
        <w:tc>
          <w:tcPr>
            <w:tcW w:w="1020" w:type="dxa"/>
            <w:vAlign w:val="bottom"/>
          </w:tcPr>
          <w:p>
            <w:pPr>
              <w:spacing w:after="0"/>
              <w:rPr>
                <w:sz w:val="3"/>
                <w:szCs w:val="3"/>
                <w:color w:val="auto"/>
              </w:rPr>
            </w:pPr>
          </w:p>
        </w:tc>
        <w:tc>
          <w:tcPr>
            <w:tcW w:w="120" w:type="dxa"/>
            <w:vAlign w:val="bottom"/>
          </w:tcPr>
          <w:p>
            <w:pPr>
              <w:spacing w:after="0"/>
              <w:rPr>
                <w:sz w:val="3"/>
                <w:szCs w:val="3"/>
                <w:color w:val="auto"/>
              </w:rPr>
            </w:pPr>
          </w:p>
        </w:tc>
        <w:tc>
          <w:tcPr>
            <w:tcW w:w="9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04"/>
        </w:trPr>
        <w:tc>
          <w:tcPr>
            <w:tcW w:w="1420" w:type="dxa"/>
            <w:vAlign w:val="bottom"/>
          </w:tcPr>
          <w:p>
            <w:pPr>
              <w:spacing w:after="0"/>
              <w:rPr>
                <w:sz w:val="17"/>
                <w:szCs w:val="17"/>
                <w:color w:val="auto"/>
              </w:rPr>
            </w:pPr>
          </w:p>
        </w:tc>
        <w:tc>
          <w:tcPr>
            <w:tcW w:w="1020" w:type="dxa"/>
            <w:vAlign w:val="bottom"/>
            <w:shd w:val="clear" w:color="auto" w:fill="EFE9FC"/>
          </w:tcPr>
          <w:p>
            <w:pPr>
              <w:jc w:val="right"/>
              <w:ind w:right="11"/>
              <w:spacing w:after="0"/>
              <w:rPr>
                <w:sz w:val="20"/>
                <w:szCs w:val="20"/>
                <w:color w:val="auto"/>
              </w:rPr>
            </w:pPr>
            <w:r>
              <w:rPr>
                <w:rFonts w:ascii="Arial" w:cs="Arial" w:eastAsia="Arial" w:hAnsi="Arial"/>
                <w:sz w:val="14"/>
                <w:szCs w:val="14"/>
                <w:color w:val="auto"/>
              </w:rPr>
              <w:t>10,378</w:t>
            </w:r>
          </w:p>
        </w:tc>
        <w:tc>
          <w:tcPr>
            <w:tcW w:w="1180" w:type="dxa"/>
            <w:vAlign w:val="bottom"/>
            <w:shd w:val="clear" w:color="auto" w:fill="EFE9FC"/>
          </w:tcPr>
          <w:p>
            <w:pPr>
              <w:jc w:val="right"/>
              <w:ind w:right="11"/>
              <w:spacing w:after="0"/>
              <w:rPr>
                <w:sz w:val="20"/>
                <w:szCs w:val="20"/>
                <w:color w:val="auto"/>
              </w:rPr>
            </w:pPr>
            <w:r>
              <w:rPr>
                <w:rFonts w:ascii="Arial" w:cs="Arial" w:eastAsia="Arial" w:hAnsi="Arial"/>
                <w:sz w:val="14"/>
                <w:szCs w:val="14"/>
                <w:color w:val="auto"/>
              </w:rPr>
              <w:t>31,134</w:t>
            </w:r>
          </w:p>
        </w:tc>
        <w:tc>
          <w:tcPr>
            <w:tcW w:w="720" w:type="dxa"/>
            <w:vAlign w:val="bottom"/>
            <w:shd w:val="clear" w:color="auto" w:fill="EFE9FC"/>
          </w:tcPr>
          <w:p>
            <w:pPr>
              <w:jc w:val="right"/>
              <w:spacing w:after="0"/>
              <w:rPr>
                <w:sz w:val="20"/>
                <w:szCs w:val="20"/>
                <w:color w:val="auto"/>
              </w:rPr>
            </w:pPr>
            <w:r>
              <w:rPr>
                <w:rFonts w:ascii="Arial" w:cs="Arial" w:eastAsia="Arial" w:hAnsi="Arial"/>
                <w:sz w:val="14"/>
                <w:szCs w:val="14"/>
                <w:color w:val="auto"/>
              </w:rPr>
              <w:t>88.38</w:t>
            </w:r>
          </w:p>
        </w:tc>
        <w:tc>
          <w:tcPr>
            <w:tcW w:w="860" w:type="dxa"/>
            <w:vAlign w:val="bottom"/>
            <w:shd w:val="clear" w:color="auto" w:fill="EFE9FC"/>
          </w:tcPr>
          <w:p>
            <w:pPr>
              <w:jc w:val="right"/>
              <w:ind w:right="31"/>
              <w:spacing w:after="0"/>
              <w:rPr>
                <w:sz w:val="20"/>
                <w:szCs w:val="20"/>
                <w:color w:val="auto"/>
              </w:rPr>
            </w:pPr>
            <w:r>
              <w:rPr>
                <w:rFonts w:ascii="Arial" w:cs="Arial" w:eastAsia="Arial" w:hAnsi="Arial"/>
                <w:sz w:val="14"/>
                <w:szCs w:val="14"/>
                <w:color w:val="auto"/>
              </w:rPr>
              <w:t>3/15/2028</w:t>
            </w:r>
          </w:p>
        </w:tc>
        <w:tc>
          <w:tcPr>
            <w:tcW w:w="1080" w:type="dxa"/>
            <w:vAlign w:val="bottom"/>
            <w:shd w:val="clear" w:color="auto" w:fill="EFE9FC"/>
          </w:tcPr>
          <w:p>
            <w:pPr>
              <w:spacing w:after="0"/>
              <w:rPr>
                <w:sz w:val="17"/>
                <w:szCs w:val="17"/>
                <w:color w:val="auto"/>
              </w:rPr>
            </w:pPr>
          </w:p>
        </w:tc>
        <w:tc>
          <w:tcPr>
            <w:tcW w:w="860" w:type="dxa"/>
            <w:vAlign w:val="bottom"/>
            <w:shd w:val="clear" w:color="auto" w:fill="EFE9FC"/>
          </w:tcPr>
          <w:p>
            <w:pPr>
              <w:spacing w:after="0"/>
              <w:rPr>
                <w:sz w:val="17"/>
                <w:szCs w:val="17"/>
                <w:color w:val="auto"/>
              </w:rPr>
            </w:pPr>
          </w:p>
        </w:tc>
        <w:tc>
          <w:tcPr>
            <w:tcW w:w="1020" w:type="dxa"/>
            <w:vAlign w:val="bottom"/>
            <w:shd w:val="clear" w:color="auto" w:fill="EFE9FC"/>
          </w:tcPr>
          <w:p>
            <w:pPr>
              <w:spacing w:after="0"/>
              <w:rPr>
                <w:sz w:val="17"/>
                <w:szCs w:val="17"/>
                <w:color w:val="auto"/>
              </w:rPr>
            </w:pPr>
          </w:p>
        </w:tc>
        <w:tc>
          <w:tcPr>
            <w:tcW w:w="120" w:type="dxa"/>
            <w:vAlign w:val="bottom"/>
            <w:shd w:val="clear" w:color="auto" w:fill="EFE9FC"/>
          </w:tcPr>
          <w:p>
            <w:pPr>
              <w:spacing w:after="0"/>
              <w:rPr>
                <w:sz w:val="17"/>
                <w:szCs w:val="17"/>
                <w:color w:val="auto"/>
              </w:rPr>
            </w:pPr>
          </w:p>
        </w:tc>
        <w:tc>
          <w:tcPr>
            <w:tcW w:w="900" w:type="dxa"/>
            <w:vAlign w:val="bottom"/>
            <w:shd w:val="clear" w:color="auto" w:fill="EFE9FC"/>
          </w:tcPr>
          <w:p>
            <w:pPr>
              <w:spacing w:after="0"/>
              <w:rPr>
                <w:sz w:val="17"/>
                <w:szCs w:val="17"/>
                <w:color w:val="auto"/>
              </w:rPr>
            </w:pPr>
          </w:p>
        </w:tc>
        <w:tc>
          <w:tcPr>
            <w:tcW w:w="0" w:type="dxa"/>
            <w:vAlign w:val="bottom"/>
          </w:tcPr>
          <w:p>
            <w:pPr>
              <w:spacing w:after="0"/>
              <w:rPr>
                <w:sz w:val="1"/>
                <w:szCs w:val="1"/>
                <w:color w:val="auto"/>
              </w:rPr>
            </w:pPr>
          </w:p>
        </w:tc>
      </w:tr>
      <w:tr>
        <w:trPr>
          <w:trHeight w:val="66"/>
        </w:trPr>
        <w:tc>
          <w:tcPr>
            <w:tcW w:w="1420" w:type="dxa"/>
            <w:vAlign w:val="bottom"/>
          </w:tcPr>
          <w:p>
            <w:pPr>
              <w:spacing w:after="0"/>
              <w:rPr>
                <w:sz w:val="5"/>
                <w:szCs w:val="5"/>
                <w:color w:val="auto"/>
              </w:rPr>
            </w:pPr>
          </w:p>
        </w:tc>
        <w:tc>
          <w:tcPr>
            <w:tcW w:w="1020" w:type="dxa"/>
            <w:vAlign w:val="bottom"/>
            <w:shd w:val="clear" w:color="auto" w:fill="EFE9FC"/>
          </w:tcPr>
          <w:p>
            <w:pPr>
              <w:spacing w:after="0"/>
              <w:rPr>
                <w:sz w:val="5"/>
                <w:szCs w:val="5"/>
                <w:color w:val="auto"/>
              </w:rPr>
            </w:pPr>
          </w:p>
        </w:tc>
        <w:tc>
          <w:tcPr>
            <w:tcW w:w="1180" w:type="dxa"/>
            <w:vAlign w:val="bottom"/>
            <w:shd w:val="clear" w:color="auto" w:fill="EFE9FC"/>
          </w:tcPr>
          <w:p>
            <w:pPr>
              <w:spacing w:after="0"/>
              <w:rPr>
                <w:sz w:val="5"/>
                <w:szCs w:val="5"/>
                <w:color w:val="auto"/>
              </w:rPr>
            </w:pPr>
          </w:p>
        </w:tc>
        <w:tc>
          <w:tcPr>
            <w:tcW w:w="720" w:type="dxa"/>
            <w:vAlign w:val="bottom"/>
            <w:shd w:val="clear" w:color="auto" w:fill="EFE9FC"/>
          </w:tcPr>
          <w:p>
            <w:pPr>
              <w:spacing w:after="0"/>
              <w:rPr>
                <w:sz w:val="5"/>
                <w:szCs w:val="5"/>
                <w:color w:val="auto"/>
              </w:rPr>
            </w:pPr>
          </w:p>
        </w:tc>
        <w:tc>
          <w:tcPr>
            <w:tcW w:w="860" w:type="dxa"/>
            <w:vAlign w:val="bottom"/>
            <w:shd w:val="clear" w:color="auto" w:fill="EFE9FC"/>
          </w:tcPr>
          <w:p>
            <w:pPr>
              <w:spacing w:after="0"/>
              <w:rPr>
                <w:sz w:val="5"/>
                <w:szCs w:val="5"/>
                <w:color w:val="auto"/>
              </w:rPr>
            </w:pPr>
          </w:p>
        </w:tc>
        <w:tc>
          <w:tcPr>
            <w:tcW w:w="1080" w:type="dxa"/>
            <w:vAlign w:val="bottom"/>
            <w:shd w:val="clear" w:color="auto" w:fill="EFE9FC"/>
          </w:tcPr>
          <w:p>
            <w:pPr>
              <w:spacing w:after="0"/>
              <w:rPr>
                <w:sz w:val="5"/>
                <w:szCs w:val="5"/>
                <w:color w:val="auto"/>
              </w:rPr>
            </w:pPr>
          </w:p>
        </w:tc>
        <w:tc>
          <w:tcPr>
            <w:tcW w:w="860" w:type="dxa"/>
            <w:vAlign w:val="bottom"/>
            <w:shd w:val="clear" w:color="auto" w:fill="EFE9FC"/>
          </w:tcPr>
          <w:p>
            <w:pPr>
              <w:spacing w:after="0"/>
              <w:rPr>
                <w:sz w:val="5"/>
                <w:szCs w:val="5"/>
                <w:color w:val="auto"/>
              </w:rPr>
            </w:pPr>
          </w:p>
        </w:tc>
        <w:tc>
          <w:tcPr>
            <w:tcW w:w="1020" w:type="dxa"/>
            <w:vAlign w:val="bottom"/>
            <w:shd w:val="clear" w:color="auto" w:fill="EFE9FC"/>
          </w:tcPr>
          <w:p>
            <w:pPr>
              <w:spacing w:after="0"/>
              <w:rPr>
                <w:sz w:val="5"/>
                <w:szCs w:val="5"/>
                <w:color w:val="auto"/>
              </w:rPr>
            </w:pPr>
          </w:p>
        </w:tc>
        <w:tc>
          <w:tcPr>
            <w:tcW w:w="120" w:type="dxa"/>
            <w:vAlign w:val="bottom"/>
            <w:shd w:val="clear" w:color="auto" w:fill="EFE9FC"/>
          </w:tcPr>
          <w:p>
            <w:pPr>
              <w:spacing w:after="0"/>
              <w:rPr>
                <w:sz w:val="5"/>
                <w:szCs w:val="5"/>
                <w:color w:val="auto"/>
              </w:rPr>
            </w:pPr>
          </w:p>
        </w:tc>
        <w:tc>
          <w:tcPr>
            <w:tcW w:w="900" w:type="dxa"/>
            <w:vAlign w:val="bottom"/>
            <w:shd w:val="clear" w:color="auto" w:fill="EFE9FC"/>
          </w:tcPr>
          <w:p>
            <w:pPr>
              <w:spacing w:after="0"/>
              <w:rPr>
                <w:sz w:val="5"/>
                <w:szCs w:val="5"/>
                <w:color w:val="auto"/>
              </w:rPr>
            </w:pPr>
          </w:p>
        </w:tc>
        <w:tc>
          <w:tcPr>
            <w:tcW w:w="0" w:type="dxa"/>
            <w:vAlign w:val="bottom"/>
          </w:tcPr>
          <w:p>
            <w:pPr>
              <w:spacing w:after="0"/>
              <w:rPr>
                <w:sz w:val="1"/>
                <w:szCs w:val="1"/>
                <w:color w:val="auto"/>
              </w:rPr>
            </w:pPr>
          </w:p>
        </w:tc>
      </w:tr>
      <w:tr>
        <w:trPr>
          <w:trHeight w:val="204"/>
        </w:trPr>
        <w:tc>
          <w:tcPr>
            <w:tcW w:w="1420" w:type="dxa"/>
            <w:vAlign w:val="bottom"/>
          </w:tcPr>
          <w:p>
            <w:pPr>
              <w:spacing w:after="0"/>
              <w:rPr>
                <w:sz w:val="17"/>
                <w:szCs w:val="17"/>
                <w:color w:val="auto"/>
              </w:rPr>
            </w:pPr>
          </w:p>
        </w:tc>
        <w:tc>
          <w:tcPr>
            <w:tcW w:w="1020" w:type="dxa"/>
            <w:vAlign w:val="bottom"/>
          </w:tcPr>
          <w:p>
            <w:pPr>
              <w:jc w:val="right"/>
              <w:ind w:right="11"/>
              <w:spacing w:after="0"/>
              <w:rPr>
                <w:sz w:val="20"/>
                <w:szCs w:val="20"/>
                <w:color w:val="auto"/>
              </w:rPr>
            </w:pPr>
            <w:r>
              <w:rPr>
                <w:rFonts w:ascii="Arial" w:cs="Arial" w:eastAsia="Arial" w:hAnsi="Arial"/>
                <w:sz w:val="14"/>
                <w:szCs w:val="14"/>
                <w:color w:val="auto"/>
              </w:rPr>
              <w:t>–</w:t>
            </w:r>
          </w:p>
        </w:tc>
        <w:tc>
          <w:tcPr>
            <w:tcW w:w="1180" w:type="dxa"/>
            <w:vAlign w:val="bottom"/>
          </w:tcPr>
          <w:p>
            <w:pPr>
              <w:jc w:val="right"/>
              <w:ind w:right="11"/>
              <w:spacing w:after="0"/>
              <w:rPr>
                <w:sz w:val="20"/>
                <w:szCs w:val="20"/>
                <w:color w:val="auto"/>
              </w:rPr>
            </w:pPr>
            <w:r>
              <w:rPr>
                <w:rFonts w:ascii="Arial" w:cs="Arial" w:eastAsia="Arial" w:hAnsi="Arial"/>
                <w:sz w:val="14"/>
                <w:szCs w:val="14"/>
                <w:color w:val="auto"/>
              </w:rPr>
              <w:t>39,357</w:t>
            </w:r>
          </w:p>
        </w:tc>
        <w:tc>
          <w:tcPr>
            <w:tcW w:w="720" w:type="dxa"/>
            <w:vAlign w:val="bottom"/>
          </w:tcPr>
          <w:p>
            <w:pPr>
              <w:jc w:val="right"/>
              <w:spacing w:after="0"/>
              <w:rPr>
                <w:sz w:val="20"/>
                <w:szCs w:val="20"/>
                <w:color w:val="auto"/>
              </w:rPr>
            </w:pPr>
            <w:r>
              <w:rPr>
                <w:rFonts w:ascii="Arial" w:cs="Arial" w:eastAsia="Arial" w:hAnsi="Arial"/>
                <w:sz w:val="14"/>
                <w:szCs w:val="14"/>
                <w:color w:val="auto"/>
              </w:rPr>
              <w:t>97.25</w:t>
            </w:r>
          </w:p>
        </w:tc>
        <w:tc>
          <w:tcPr>
            <w:tcW w:w="860" w:type="dxa"/>
            <w:vAlign w:val="bottom"/>
          </w:tcPr>
          <w:p>
            <w:pPr>
              <w:jc w:val="right"/>
              <w:ind w:right="31"/>
              <w:spacing w:after="0"/>
              <w:rPr>
                <w:sz w:val="20"/>
                <w:szCs w:val="20"/>
                <w:color w:val="auto"/>
              </w:rPr>
            </w:pPr>
            <w:r>
              <w:rPr>
                <w:rFonts w:ascii="Arial" w:cs="Arial" w:eastAsia="Arial" w:hAnsi="Arial"/>
                <w:sz w:val="14"/>
                <w:szCs w:val="14"/>
                <w:color w:val="auto"/>
              </w:rPr>
              <w:t>3/30/2029</w:t>
            </w:r>
          </w:p>
        </w:tc>
        <w:tc>
          <w:tcPr>
            <w:tcW w:w="108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9"/>
        </w:trPr>
        <w:tc>
          <w:tcPr>
            <w:tcW w:w="1420" w:type="dxa"/>
            <w:vAlign w:val="bottom"/>
          </w:tcPr>
          <w:p>
            <w:pPr>
              <w:spacing w:after="0"/>
              <w:rPr>
                <w:sz w:val="3"/>
                <w:szCs w:val="3"/>
                <w:color w:val="auto"/>
              </w:rPr>
            </w:pPr>
          </w:p>
        </w:tc>
        <w:tc>
          <w:tcPr>
            <w:tcW w:w="1020" w:type="dxa"/>
            <w:vAlign w:val="bottom"/>
          </w:tcPr>
          <w:p>
            <w:pPr>
              <w:spacing w:after="0"/>
              <w:rPr>
                <w:sz w:val="3"/>
                <w:szCs w:val="3"/>
                <w:color w:val="auto"/>
              </w:rPr>
            </w:pPr>
          </w:p>
        </w:tc>
        <w:tc>
          <w:tcPr>
            <w:tcW w:w="1180" w:type="dxa"/>
            <w:vAlign w:val="bottom"/>
          </w:tcPr>
          <w:p>
            <w:pPr>
              <w:spacing w:after="0"/>
              <w:rPr>
                <w:sz w:val="3"/>
                <w:szCs w:val="3"/>
                <w:color w:val="auto"/>
              </w:rPr>
            </w:pPr>
          </w:p>
        </w:tc>
        <w:tc>
          <w:tcPr>
            <w:tcW w:w="720" w:type="dxa"/>
            <w:vAlign w:val="bottom"/>
          </w:tcPr>
          <w:p>
            <w:pPr>
              <w:spacing w:after="0"/>
              <w:rPr>
                <w:sz w:val="3"/>
                <w:szCs w:val="3"/>
                <w:color w:val="auto"/>
              </w:rPr>
            </w:pPr>
          </w:p>
        </w:tc>
        <w:tc>
          <w:tcPr>
            <w:tcW w:w="860" w:type="dxa"/>
            <w:vAlign w:val="bottom"/>
          </w:tcPr>
          <w:p>
            <w:pPr>
              <w:spacing w:after="0"/>
              <w:rPr>
                <w:sz w:val="3"/>
                <w:szCs w:val="3"/>
                <w:color w:val="auto"/>
              </w:rPr>
            </w:pPr>
          </w:p>
        </w:tc>
        <w:tc>
          <w:tcPr>
            <w:tcW w:w="1080" w:type="dxa"/>
            <w:vAlign w:val="bottom"/>
          </w:tcPr>
          <w:p>
            <w:pPr>
              <w:spacing w:after="0"/>
              <w:rPr>
                <w:sz w:val="3"/>
                <w:szCs w:val="3"/>
                <w:color w:val="auto"/>
              </w:rPr>
            </w:pPr>
          </w:p>
        </w:tc>
        <w:tc>
          <w:tcPr>
            <w:tcW w:w="860" w:type="dxa"/>
            <w:vAlign w:val="bottom"/>
          </w:tcPr>
          <w:p>
            <w:pPr>
              <w:spacing w:after="0"/>
              <w:rPr>
                <w:sz w:val="3"/>
                <w:szCs w:val="3"/>
                <w:color w:val="auto"/>
              </w:rPr>
            </w:pPr>
          </w:p>
        </w:tc>
        <w:tc>
          <w:tcPr>
            <w:tcW w:w="1020" w:type="dxa"/>
            <w:vAlign w:val="bottom"/>
          </w:tcPr>
          <w:p>
            <w:pPr>
              <w:spacing w:after="0"/>
              <w:rPr>
                <w:sz w:val="3"/>
                <w:szCs w:val="3"/>
                <w:color w:val="auto"/>
              </w:rPr>
            </w:pPr>
          </w:p>
        </w:tc>
        <w:tc>
          <w:tcPr>
            <w:tcW w:w="120" w:type="dxa"/>
            <w:vAlign w:val="bottom"/>
          </w:tcPr>
          <w:p>
            <w:pPr>
              <w:spacing w:after="0"/>
              <w:rPr>
                <w:sz w:val="3"/>
                <w:szCs w:val="3"/>
                <w:color w:val="auto"/>
              </w:rPr>
            </w:pPr>
          </w:p>
        </w:tc>
        <w:tc>
          <w:tcPr>
            <w:tcW w:w="9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70"/>
        </w:trPr>
        <w:tc>
          <w:tcPr>
            <w:tcW w:w="1420" w:type="dxa"/>
            <w:vAlign w:val="bottom"/>
          </w:tcPr>
          <w:p>
            <w:pPr>
              <w:spacing w:after="0"/>
              <w:rPr>
                <w:sz w:val="23"/>
                <w:szCs w:val="23"/>
                <w:color w:val="auto"/>
              </w:rPr>
            </w:pPr>
          </w:p>
        </w:tc>
        <w:tc>
          <w:tcPr>
            <w:tcW w:w="1020" w:type="dxa"/>
            <w:vAlign w:val="bottom"/>
            <w:shd w:val="clear" w:color="auto" w:fill="EFE9FC"/>
          </w:tcPr>
          <w:p>
            <w:pPr>
              <w:spacing w:after="0"/>
              <w:rPr>
                <w:sz w:val="23"/>
                <w:szCs w:val="23"/>
                <w:color w:val="auto"/>
              </w:rPr>
            </w:pPr>
          </w:p>
        </w:tc>
        <w:tc>
          <w:tcPr>
            <w:tcW w:w="1180" w:type="dxa"/>
            <w:vAlign w:val="bottom"/>
            <w:shd w:val="clear" w:color="auto" w:fill="EFE9FC"/>
          </w:tcPr>
          <w:p>
            <w:pPr>
              <w:spacing w:after="0"/>
              <w:rPr>
                <w:sz w:val="23"/>
                <w:szCs w:val="23"/>
                <w:color w:val="auto"/>
              </w:rPr>
            </w:pPr>
          </w:p>
        </w:tc>
        <w:tc>
          <w:tcPr>
            <w:tcW w:w="720" w:type="dxa"/>
            <w:vAlign w:val="bottom"/>
            <w:shd w:val="clear" w:color="auto" w:fill="EFE9FC"/>
          </w:tcPr>
          <w:p>
            <w:pPr>
              <w:spacing w:after="0"/>
              <w:rPr>
                <w:sz w:val="23"/>
                <w:szCs w:val="23"/>
                <w:color w:val="auto"/>
              </w:rPr>
            </w:pPr>
          </w:p>
        </w:tc>
        <w:tc>
          <w:tcPr>
            <w:tcW w:w="860" w:type="dxa"/>
            <w:vAlign w:val="bottom"/>
            <w:shd w:val="clear" w:color="auto" w:fill="EFE9FC"/>
          </w:tcPr>
          <w:p>
            <w:pPr>
              <w:spacing w:after="0"/>
              <w:rPr>
                <w:sz w:val="23"/>
                <w:szCs w:val="23"/>
                <w:color w:val="auto"/>
              </w:rPr>
            </w:pPr>
          </w:p>
        </w:tc>
        <w:tc>
          <w:tcPr>
            <w:tcW w:w="1080" w:type="dxa"/>
            <w:vAlign w:val="bottom"/>
            <w:shd w:val="clear" w:color="auto" w:fill="EFE9FC"/>
          </w:tcPr>
          <w:p>
            <w:pPr>
              <w:jc w:val="right"/>
              <w:ind w:right="31"/>
              <w:spacing w:after="0"/>
              <w:rPr>
                <w:sz w:val="20"/>
                <w:szCs w:val="20"/>
                <w:color w:val="auto"/>
              </w:rPr>
            </w:pPr>
            <w:r>
              <w:rPr>
                <w:rFonts w:ascii="Arial" w:cs="Arial" w:eastAsia="Arial" w:hAnsi="Arial"/>
                <w:sz w:val="14"/>
                <w:szCs w:val="14"/>
                <w:color w:val="auto"/>
              </w:rPr>
              <w:t>16,744</w:t>
            </w:r>
            <w:r>
              <w:rPr>
                <w:rFonts w:ascii="Arial" w:cs="Arial" w:eastAsia="Arial" w:hAnsi="Arial"/>
                <w:sz w:val="21"/>
                <w:szCs w:val="21"/>
                <w:color w:val="auto"/>
                <w:vertAlign w:val="superscript"/>
              </w:rPr>
              <w:t>(5)</w:t>
            </w:r>
          </w:p>
        </w:tc>
        <w:tc>
          <w:tcPr>
            <w:tcW w:w="860" w:type="dxa"/>
            <w:vAlign w:val="bottom"/>
            <w:shd w:val="clear" w:color="auto" w:fill="EFE9FC"/>
          </w:tcPr>
          <w:p>
            <w:pPr>
              <w:jc w:val="right"/>
              <w:ind w:right="11"/>
              <w:spacing w:after="0"/>
              <w:rPr>
                <w:sz w:val="20"/>
                <w:szCs w:val="20"/>
                <w:color w:val="auto"/>
              </w:rPr>
            </w:pPr>
            <w:r>
              <w:rPr>
                <w:rFonts w:ascii="Arial" w:cs="Arial" w:eastAsia="Arial" w:hAnsi="Arial"/>
                <w:sz w:val="14"/>
                <w:szCs w:val="14"/>
                <w:color w:val="auto"/>
              </w:rPr>
              <w:t>1,263,000</w:t>
            </w:r>
          </w:p>
        </w:tc>
        <w:tc>
          <w:tcPr>
            <w:tcW w:w="1020" w:type="dxa"/>
            <w:vAlign w:val="bottom"/>
            <w:shd w:val="clear" w:color="auto" w:fill="EFE9FC"/>
          </w:tcPr>
          <w:p>
            <w:pPr>
              <w:spacing w:after="0"/>
              <w:rPr>
                <w:sz w:val="23"/>
                <w:szCs w:val="23"/>
                <w:color w:val="auto"/>
              </w:rPr>
            </w:pPr>
          </w:p>
        </w:tc>
        <w:tc>
          <w:tcPr>
            <w:tcW w:w="120" w:type="dxa"/>
            <w:vAlign w:val="bottom"/>
            <w:shd w:val="clear" w:color="auto" w:fill="EFE9FC"/>
          </w:tcPr>
          <w:p>
            <w:pPr>
              <w:spacing w:after="0"/>
              <w:rPr>
                <w:sz w:val="23"/>
                <w:szCs w:val="23"/>
                <w:color w:val="auto"/>
              </w:rPr>
            </w:pPr>
          </w:p>
        </w:tc>
        <w:tc>
          <w:tcPr>
            <w:tcW w:w="900" w:type="dxa"/>
            <w:vAlign w:val="bottom"/>
            <w:shd w:val="clear" w:color="auto" w:fill="EFE9FC"/>
          </w:tcPr>
          <w:p>
            <w:pPr>
              <w:spacing w:after="0"/>
              <w:rPr>
                <w:sz w:val="23"/>
                <w:szCs w:val="23"/>
                <w:color w:val="auto"/>
              </w:rPr>
            </w:pPr>
          </w:p>
        </w:tc>
        <w:tc>
          <w:tcPr>
            <w:tcW w:w="0" w:type="dxa"/>
            <w:vAlign w:val="bottom"/>
          </w:tcPr>
          <w:p>
            <w:pPr>
              <w:spacing w:after="0"/>
              <w:rPr>
                <w:sz w:val="1"/>
                <w:szCs w:val="1"/>
                <w:color w:val="auto"/>
              </w:rPr>
            </w:pPr>
          </w:p>
        </w:tc>
      </w:tr>
      <w:tr>
        <w:trPr>
          <w:trHeight w:val="243"/>
        </w:trPr>
        <w:tc>
          <w:tcPr>
            <w:tcW w:w="142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1080" w:type="dxa"/>
            <w:vAlign w:val="bottom"/>
          </w:tcPr>
          <w:p>
            <w:pPr>
              <w:jc w:val="right"/>
              <w:ind w:right="31"/>
              <w:spacing w:after="0"/>
              <w:rPr>
                <w:sz w:val="20"/>
                <w:szCs w:val="20"/>
                <w:color w:val="auto"/>
              </w:rPr>
            </w:pPr>
            <w:r>
              <w:rPr>
                <w:rFonts w:ascii="Arial" w:cs="Arial" w:eastAsia="Arial" w:hAnsi="Arial"/>
                <w:sz w:val="14"/>
                <w:szCs w:val="14"/>
                <w:color w:val="auto"/>
              </w:rPr>
              <w:t>26,704</w:t>
            </w:r>
            <w:r>
              <w:rPr>
                <w:rFonts w:ascii="Arial" w:cs="Arial" w:eastAsia="Arial" w:hAnsi="Arial"/>
                <w:sz w:val="21"/>
                <w:szCs w:val="21"/>
                <w:color w:val="auto"/>
                <w:vertAlign w:val="superscript"/>
              </w:rPr>
              <w:t>(6)</w:t>
            </w:r>
          </w:p>
        </w:tc>
        <w:tc>
          <w:tcPr>
            <w:tcW w:w="860" w:type="dxa"/>
            <w:vAlign w:val="bottom"/>
          </w:tcPr>
          <w:p>
            <w:pPr>
              <w:jc w:val="right"/>
              <w:ind w:right="11"/>
              <w:spacing w:after="0"/>
              <w:rPr>
                <w:sz w:val="20"/>
                <w:szCs w:val="20"/>
                <w:color w:val="auto"/>
              </w:rPr>
            </w:pPr>
            <w:r>
              <w:rPr>
                <w:rFonts w:ascii="Arial" w:cs="Arial" w:eastAsia="Arial" w:hAnsi="Arial"/>
                <w:sz w:val="14"/>
                <w:szCs w:val="14"/>
                <w:color w:val="auto"/>
              </w:rPr>
              <w:t>2,014,283</w:t>
            </w:r>
          </w:p>
        </w:tc>
        <w:tc>
          <w:tcPr>
            <w:tcW w:w="10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0"/>
        </w:trPr>
        <w:tc>
          <w:tcPr>
            <w:tcW w:w="1420" w:type="dxa"/>
            <w:vAlign w:val="bottom"/>
          </w:tcPr>
          <w:p>
            <w:pPr>
              <w:spacing w:after="0"/>
              <w:rPr>
                <w:sz w:val="23"/>
                <w:szCs w:val="23"/>
                <w:color w:val="auto"/>
              </w:rPr>
            </w:pPr>
          </w:p>
        </w:tc>
        <w:tc>
          <w:tcPr>
            <w:tcW w:w="1020" w:type="dxa"/>
            <w:vAlign w:val="bottom"/>
            <w:shd w:val="clear" w:color="auto" w:fill="EFE9FC"/>
          </w:tcPr>
          <w:p>
            <w:pPr>
              <w:spacing w:after="0"/>
              <w:rPr>
                <w:sz w:val="23"/>
                <w:szCs w:val="23"/>
                <w:color w:val="auto"/>
              </w:rPr>
            </w:pPr>
          </w:p>
        </w:tc>
        <w:tc>
          <w:tcPr>
            <w:tcW w:w="1180" w:type="dxa"/>
            <w:vAlign w:val="bottom"/>
            <w:shd w:val="clear" w:color="auto" w:fill="EFE9FC"/>
          </w:tcPr>
          <w:p>
            <w:pPr>
              <w:spacing w:after="0"/>
              <w:rPr>
                <w:sz w:val="23"/>
                <w:szCs w:val="23"/>
                <w:color w:val="auto"/>
              </w:rPr>
            </w:pPr>
          </w:p>
        </w:tc>
        <w:tc>
          <w:tcPr>
            <w:tcW w:w="720" w:type="dxa"/>
            <w:vAlign w:val="bottom"/>
            <w:shd w:val="clear" w:color="auto" w:fill="EFE9FC"/>
          </w:tcPr>
          <w:p>
            <w:pPr>
              <w:spacing w:after="0"/>
              <w:rPr>
                <w:sz w:val="23"/>
                <w:szCs w:val="23"/>
                <w:color w:val="auto"/>
              </w:rPr>
            </w:pPr>
          </w:p>
        </w:tc>
        <w:tc>
          <w:tcPr>
            <w:tcW w:w="860" w:type="dxa"/>
            <w:vAlign w:val="bottom"/>
            <w:shd w:val="clear" w:color="auto" w:fill="EFE9FC"/>
          </w:tcPr>
          <w:p>
            <w:pPr>
              <w:spacing w:after="0"/>
              <w:rPr>
                <w:sz w:val="23"/>
                <w:szCs w:val="23"/>
                <w:color w:val="auto"/>
              </w:rPr>
            </w:pPr>
          </w:p>
        </w:tc>
        <w:tc>
          <w:tcPr>
            <w:tcW w:w="1080" w:type="dxa"/>
            <w:vAlign w:val="bottom"/>
            <w:shd w:val="clear" w:color="auto" w:fill="EFE9FC"/>
          </w:tcPr>
          <w:p>
            <w:pPr>
              <w:jc w:val="right"/>
              <w:ind w:right="31"/>
              <w:spacing w:after="0"/>
              <w:rPr>
                <w:sz w:val="20"/>
                <w:szCs w:val="20"/>
                <w:color w:val="auto"/>
              </w:rPr>
            </w:pPr>
            <w:r>
              <w:rPr>
                <w:rFonts w:ascii="Arial" w:cs="Arial" w:eastAsia="Arial" w:hAnsi="Arial"/>
                <w:sz w:val="14"/>
                <w:szCs w:val="14"/>
                <w:color w:val="auto"/>
              </w:rPr>
              <w:t>8,901</w:t>
            </w:r>
            <w:r>
              <w:rPr>
                <w:rFonts w:ascii="Arial" w:cs="Arial" w:eastAsia="Arial" w:hAnsi="Arial"/>
                <w:sz w:val="21"/>
                <w:szCs w:val="21"/>
                <w:color w:val="auto"/>
                <w:vertAlign w:val="superscript"/>
              </w:rPr>
              <w:t>(7)</w:t>
            </w:r>
          </w:p>
        </w:tc>
        <w:tc>
          <w:tcPr>
            <w:tcW w:w="860" w:type="dxa"/>
            <w:vAlign w:val="bottom"/>
            <w:shd w:val="clear" w:color="auto" w:fill="EFE9FC"/>
          </w:tcPr>
          <w:p>
            <w:pPr>
              <w:jc w:val="right"/>
              <w:ind w:right="11"/>
              <w:spacing w:after="0"/>
              <w:rPr>
                <w:sz w:val="20"/>
                <w:szCs w:val="20"/>
                <w:color w:val="auto"/>
              </w:rPr>
            </w:pPr>
            <w:r>
              <w:rPr>
                <w:rFonts w:ascii="Arial" w:cs="Arial" w:eastAsia="Arial" w:hAnsi="Arial"/>
                <w:sz w:val="14"/>
                <w:szCs w:val="14"/>
                <w:color w:val="auto"/>
              </w:rPr>
              <w:t>671,402</w:t>
            </w:r>
          </w:p>
        </w:tc>
        <w:tc>
          <w:tcPr>
            <w:tcW w:w="1020" w:type="dxa"/>
            <w:vAlign w:val="bottom"/>
            <w:shd w:val="clear" w:color="auto" w:fill="EFE9FC"/>
          </w:tcPr>
          <w:p>
            <w:pPr>
              <w:spacing w:after="0"/>
              <w:rPr>
                <w:sz w:val="23"/>
                <w:szCs w:val="23"/>
                <w:color w:val="auto"/>
              </w:rPr>
            </w:pPr>
          </w:p>
        </w:tc>
        <w:tc>
          <w:tcPr>
            <w:tcW w:w="120" w:type="dxa"/>
            <w:vAlign w:val="bottom"/>
            <w:shd w:val="clear" w:color="auto" w:fill="EFE9FC"/>
          </w:tcPr>
          <w:p>
            <w:pPr>
              <w:spacing w:after="0"/>
              <w:rPr>
                <w:sz w:val="23"/>
                <w:szCs w:val="23"/>
                <w:color w:val="auto"/>
              </w:rPr>
            </w:pPr>
          </w:p>
        </w:tc>
        <w:tc>
          <w:tcPr>
            <w:tcW w:w="900" w:type="dxa"/>
            <w:vAlign w:val="bottom"/>
            <w:shd w:val="clear" w:color="auto" w:fill="EFE9FC"/>
          </w:tcPr>
          <w:p>
            <w:pPr>
              <w:spacing w:after="0"/>
              <w:rPr>
                <w:sz w:val="23"/>
                <w:szCs w:val="23"/>
                <w:color w:val="auto"/>
              </w:rPr>
            </w:pPr>
          </w:p>
        </w:tc>
        <w:tc>
          <w:tcPr>
            <w:tcW w:w="0" w:type="dxa"/>
            <w:vAlign w:val="bottom"/>
          </w:tcPr>
          <w:p>
            <w:pPr>
              <w:spacing w:after="0"/>
              <w:rPr>
                <w:sz w:val="1"/>
                <w:szCs w:val="1"/>
                <w:color w:val="auto"/>
              </w:rPr>
            </w:pPr>
          </w:p>
        </w:tc>
      </w:tr>
      <w:tr>
        <w:trPr>
          <w:trHeight w:val="243"/>
        </w:trPr>
        <w:tc>
          <w:tcPr>
            <w:tcW w:w="142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1080" w:type="dxa"/>
            <w:vAlign w:val="bottom"/>
          </w:tcPr>
          <w:p>
            <w:pPr>
              <w:jc w:val="right"/>
              <w:ind w:right="31"/>
              <w:spacing w:after="0"/>
              <w:rPr>
                <w:sz w:val="20"/>
                <w:szCs w:val="20"/>
                <w:color w:val="auto"/>
              </w:rPr>
            </w:pPr>
            <w:r>
              <w:rPr>
                <w:rFonts w:ascii="Arial" w:cs="Arial" w:eastAsia="Arial" w:hAnsi="Arial"/>
                <w:sz w:val="14"/>
                <w:szCs w:val="14"/>
                <w:color w:val="auto"/>
              </w:rPr>
              <w:t>9,546</w:t>
            </w:r>
            <w:r>
              <w:rPr>
                <w:rFonts w:ascii="Arial" w:cs="Arial" w:eastAsia="Arial" w:hAnsi="Arial"/>
                <w:sz w:val="21"/>
                <w:szCs w:val="21"/>
                <w:color w:val="auto"/>
                <w:vertAlign w:val="superscript"/>
              </w:rPr>
              <w:t>(8)</w:t>
            </w:r>
          </w:p>
        </w:tc>
        <w:tc>
          <w:tcPr>
            <w:tcW w:w="860" w:type="dxa"/>
            <w:vAlign w:val="bottom"/>
          </w:tcPr>
          <w:p>
            <w:pPr>
              <w:jc w:val="right"/>
              <w:ind w:right="11"/>
              <w:spacing w:after="0"/>
              <w:rPr>
                <w:sz w:val="20"/>
                <w:szCs w:val="20"/>
                <w:color w:val="auto"/>
              </w:rPr>
            </w:pPr>
            <w:r>
              <w:rPr>
                <w:rFonts w:ascii="Arial" w:cs="Arial" w:eastAsia="Arial" w:hAnsi="Arial"/>
                <w:sz w:val="14"/>
                <w:szCs w:val="14"/>
                <w:color w:val="auto"/>
              </w:rPr>
              <w:t>720,055</w:t>
            </w:r>
          </w:p>
        </w:tc>
        <w:tc>
          <w:tcPr>
            <w:tcW w:w="10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0"/>
        </w:trPr>
        <w:tc>
          <w:tcPr>
            <w:tcW w:w="1420" w:type="dxa"/>
            <w:vAlign w:val="bottom"/>
          </w:tcPr>
          <w:p>
            <w:pPr>
              <w:spacing w:after="0"/>
              <w:rPr>
                <w:sz w:val="23"/>
                <w:szCs w:val="23"/>
                <w:color w:val="auto"/>
              </w:rPr>
            </w:pPr>
          </w:p>
        </w:tc>
        <w:tc>
          <w:tcPr>
            <w:tcW w:w="1020" w:type="dxa"/>
            <w:vAlign w:val="bottom"/>
            <w:shd w:val="clear" w:color="auto" w:fill="EFE9FC"/>
          </w:tcPr>
          <w:p>
            <w:pPr>
              <w:spacing w:after="0"/>
              <w:rPr>
                <w:sz w:val="23"/>
                <w:szCs w:val="23"/>
                <w:color w:val="auto"/>
              </w:rPr>
            </w:pPr>
          </w:p>
        </w:tc>
        <w:tc>
          <w:tcPr>
            <w:tcW w:w="1180" w:type="dxa"/>
            <w:vAlign w:val="bottom"/>
            <w:shd w:val="clear" w:color="auto" w:fill="EFE9FC"/>
          </w:tcPr>
          <w:p>
            <w:pPr>
              <w:spacing w:after="0"/>
              <w:rPr>
                <w:sz w:val="23"/>
                <w:szCs w:val="23"/>
                <w:color w:val="auto"/>
              </w:rPr>
            </w:pPr>
          </w:p>
        </w:tc>
        <w:tc>
          <w:tcPr>
            <w:tcW w:w="720" w:type="dxa"/>
            <w:vAlign w:val="bottom"/>
            <w:shd w:val="clear" w:color="auto" w:fill="EFE9FC"/>
          </w:tcPr>
          <w:p>
            <w:pPr>
              <w:spacing w:after="0"/>
              <w:rPr>
                <w:sz w:val="23"/>
                <w:szCs w:val="23"/>
                <w:color w:val="auto"/>
              </w:rPr>
            </w:pPr>
          </w:p>
        </w:tc>
        <w:tc>
          <w:tcPr>
            <w:tcW w:w="860" w:type="dxa"/>
            <w:vAlign w:val="bottom"/>
            <w:shd w:val="clear" w:color="auto" w:fill="EFE9FC"/>
          </w:tcPr>
          <w:p>
            <w:pPr>
              <w:spacing w:after="0"/>
              <w:rPr>
                <w:sz w:val="23"/>
                <w:szCs w:val="23"/>
                <w:color w:val="auto"/>
              </w:rPr>
            </w:pPr>
          </w:p>
        </w:tc>
        <w:tc>
          <w:tcPr>
            <w:tcW w:w="1080" w:type="dxa"/>
            <w:vAlign w:val="bottom"/>
            <w:shd w:val="clear" w:color="auto" w:fill="EFE9FC"/>
          </w:tcPr>
          <w:p>
            <w:pPr>
              <w:jc w:val="right"/>
              <w:ind w:right="31"/>
              <w:spacing w:after="0"/>
              <w:rPr>
                <w:sz w:val="20"/>
                <w:szCs w:val="20"/>
                <w:color w:val="auto"/>
              </w:rPr>
            </w:pPr>
            <w:r>
              <w:rPr>
                <w:rFonts w:ascii="Arial" w:cs="Arial" w:eastAsia="Arial" w:hAnsi="Arial"/>
                <w:sz w:val="14"/>
                <w:szCs w:val="14"/>
                <w:color w:val="auto"/>
              </w:rPr>
              <w:t>12,853</w:t>
            </w:r>
            <w:r>
              <w:rPr>
                <w:rFonts w:ascii="Arial" w:cs="Arial" w:eastAsia="Arial" w:hAnsi="Arial"/>
                <w:sz w:val="21"/>
                <w:szCs w:val="21"/>
                <w:color w:val="auto"/>
                <w:vertAlign w:val="superscript"/>
              </w:rPr>
              <w:t>(9)</w:t>
            </w:r>
          </w:p>
        </w:tc>
        <w:tc>
          <w:tcPr>
            <w:tcW w:w="860" w:type="dxa"/>
            <w:vAlign w:val="bottom"/>
            <w:shd w:val="clear" w:color="auto" w:fill="EFE9FC"/>
          </w:tcPr>
          <w:p>
            <w:pPr>
              <w:jc w:val="right"/>
              <w:ind w:right="11"/>
              <w:spacing w:after="0"/>
              <w:rPr>
                <w:sz w:val="20"/>
                <w:szCs w:val="20"/>
                <w:color w:val="auto"/>
              </w:rPr>
            </w:pPr>
            <w:r>
              <w:rPr>
                <w:rFonts w:ascii="Arial" w:cs="Arial" w:eastAsia="Arial" w:hAnsi="Arial"/>
                <w:sz w:val="14"/>
                <w:szCs w:val="14"/>
                <w:color w:val="auto"/>
              </w:rPr>
              <w:t>969,502</w:t>
            </w:r>
          </w:p>
        </w:tc>
        <w:tc>
          <w:tcPr>
            <w:tcW w:w="1020" w:type="dxa"/>
            <w:vAlign w:val="bottom"/>
            <w:shd w:val="clear" w:color="auto" w:fill="EFE9FC"/>
          </w:tcPr>
          <w:p>
            <w:pPr>
              <w:spacing w:after="0"/>
              <w:rPr>
                <w:sz w:val="23"/>
                <w:szCs w:val="23"/>
                <w:color w:val="auto"/>
              </w:rPr>
            </w:pPr>
          </w:p>
        </w:tc>
        <w:tc>
          <w:tcPr>
            <w:tcW w:w="120" w:type="dxa"/>
            <w:vAlign w:val="bottom"/>
            <w:shd w:val="clear" w:color="auto" w:fill="EFE9FC"/>
          </w:tcPr>
          <w:p>
            <w:pPr>
              <w:spacing w:after="0"/>
              <w:rPr>
                <w:sz w:val="23"/>
                <w:szCs w:val="23"/>
                <w:color w:val="auto"/>
              </w:rPr>
            </w:pPr>
          </w:p>
        </w:tc>
        <w:tc>
          <w:tcPr>
            <w:tcW w:w="900" w:type="dxa"/>
            <w:vAlign w:val="bottom"/>
            <w:shd w:val="clear" w:color="auto" w:fill="EFE9FC"/>
          </w:tcPr>
          <w:p>
            <w:pPr>
              <w:spacing w:after="0"/>
              <w:rPr>
                <w:sz w:val="23"/>
                <w:szCs w:val="23"/>
                <w:color w:val="auto"/>
              </w:rPr>
            </w:pPr>
          </w:p>
        </w:tc>
        <w:tc>
          <w:tcPr>
            <w:tcW w:w="0" w:type="dxa"/>
            <w:vAlign w:val="bottom"/>
          </w:tcPr>
          <w:p>
            <w:pPr>
              <w:spacing w:after="0"/>
              <w:rPr>
                <w:sz w:val="1"/>
                <w:szCs w:val="1"/>
                <w:color w:val="auto"/>
              </w:rPr>
            </w:pPr>
          </w:p>
        </w:tc>
      </w:tr>
      <w:tr>
        <w:trPr>
          <w:trHeight w:val="243"/>
        </w:trPr>
        <w:tc>
          <w:tcPr>
            <w:tcW w:w="142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1140" w:type="dxa"/>
            <w:vAlign w:val="bottom"/>
            <w:gridSpan w:val="2"/>
          </w:tcPr>
          <w:p>
            <w:pPr>
              <w:jc w:val="right"/>
              <w:spacing w:after="0"/>
              <w:rPr>
                <w:sz w:val="20"/>
                <w:szCs w:val="20"/>
                <w:color w:val="auto"/>
              </w:rPr>
            </w:pPr>
            <w:r>
              <w:rPr>
                <w:rFonts w:ascii="Arial" w:cs="Arial" w:eastAsia="Arial" w:hAnsi="Arial"/>
                <w:sz w:val="14"/>
                <w:szCs w:val="14"/>
                <w:color w:val="auto"/>
              </w:rPr>
              <w:t>12,729</w:t>
            </w:r>
            <w:r>
              <w:rPr>
                <w:rFonts w:ascii="Arial" w:cs="Arial" w:eastAsia="Arial" w:hAnsi="Arial"/>
                <w:sz w:val="21"/>
                <w:szCs w:val="21"/>
                <w:color w:val="auto"/>
                <w:vertAlign w:val="superscript"/>
              </w:rPr>
              <w:t>(10)</w:t>
            </w:r>
          </w:p>
        </w:tc>
        <w:tc>
          <w:tcPr>
            <w:tcW w:w="900" w:type="dxa"/>
            <w:vAlign w:val="bottom"/>
          </w:tcPr>
          <w:p>
            <w:pPr>
              <w:jc w:val="right"/>
              <w:spacing w:after="0"/>
              <w:rPr>
                <w:sz w:val="20"/>
                <w:szCs w:val="20"/>
                <w:color w:val="auto"/>
              </w:rPr>
            </w:pPr>
            <w:r>
              <w:rPr>
                <w:rFonts w:ascii="Arial" w:cs="Arial" w:eastAsia="Arial" w:hAnsi="Arial"/>
                <w:sz w:val="14"/>
                <w:szCs w:val="14"/>
                <w:color w:val="auto"/>
              </w:rPr>
              <w:t>960,148</w:t>
            </w:r>
          </w:p>
        </w:tc>
        <w:tc>
          <w:tcPr>
            <w:tcW w:w="0" w:type="dxa"/>
            <w:vAlign w:val="bottom"/>
          </w:tcPr>
          <w:p>
            <w:pPr>
              <w:spacing w:after="0"/>
              <w:rPr>
                <w:sz w:val="1"/>
                <w:szCs w:val="1"/>
                <w:color w:val="auto"/>
              </w:rPr>
            </w:pPr>
          </w:p>
        </w:tc>
      </w:tr>
      <w:tr>
        <w:trPr>
          <w:trHeight w:val="270"/>
        </w:trPr>
        <w:tc>
          <w:tcPr>
            <w:tcW w:w="1420" w:type="dxa"/>
            <w:vAlign w:val="bottom"/>
          </w:tcPr>
          <w:p>
            <w:pPr>
              <w:spacing w:after="0"/>
              <w:rPr>
                <w:sz w:val="23"/>
                <w:szCs w:val="23"/>
                <w:color w:val="auto"/>
              </w:rPr>
            </w:pPr>
          </w:p>
        </w:tc>
        <w:tc>
          <w:tcPr>
            <w:tcW w:w="1020" w:type="dxa"/>
            <w:vAlign w:val="bottom"/>
            <w:shd w:val="clear" w:color="auto" w:fill="EFE9FC"/>
          </w:tcPr>
          <w:p>
            <w:pPr>
              <w:spacing w:after="0"/>
              <w:rPr>
                <w:sz w:val="23"/>
                <w:szCs w:val="23"/>
                <w:color w:val="auto"/>
              </w:rPr>
            </w:pPr>
          </w:p>
        </w:tc>
        <w:tc>
          <w:tcPr>
            <w:tcW w:w="1180" w:type="dxa"/>
            <w:vAlign w:val="bottom"/>
            <w:shd w:val="clear" w:color="auto" w:fill="EFE9FC"/>
          </w:tcPr>
          <w:p>
            <w:pPr>
              <w:spacing w:after="0"/>
              <w:rPr>
                <w:sz w:val="23"/>
                <w:szCs w:val="23"/>
                <w:color w:val="auto"/>
              </w:rPr>
            </w:pPr>
          </w:p>
        </w:tc>
        <w:tc>
          <w:tcPr>
            <w:tcW w:w="720" w:type="dxa"/>
            <w:vAlign w:val="bottom"/>
            <w:shd w:val="clear" w:color="auto" w:fill="EFE9FC"/>
          </w:tcPr>
          <w:p>
            <w:pPr>
              <w:spacing w:after="0"/>
              <w:rPr>
                <w:sz w:val="23"/>
                <w:szCs w:val="23"/>
                <w:color w:val="auto"/>
              </w:rPr>
            </w:pPr>
          </w:p>
        </w:tc>
        <w:tc>
          <w:tcPr>
            <w:tcW w:w="860" w:type="dxa"/>
            <w:vAlign w:val="bottom"/>
            <w:shd w:val="clear" w:color="auto" w:fill="EFE9FC"/>
          </w:tcPr>
          <w:p>
            <w:pPr>
              <w:spacing w:after="0"/>
              <w:rPr>
                <w:sz w:val="23"/>
                <w:szCs w:val="23"/>
                <w:color w:val="auto"/>
              </w:rPr>
            </w:pPr>
          </w:p>
        </w:tc>
        <w:tc>
          <w:tcPr>
            <w:tcW w:w="1080" w:type="dxa"/>
            <w:vAlign w:val="bottom"/>
            <w:shd w:val="clear" w:color="auto" w:fill="EFE9FC"/>
          </w:tcPr>
          <w:p>
            <w:pPr>
              <w:spacing w:after="0"/>
              <w:rPr>
                <w:sz w:val="23"/>
                <w:szCs w:val="23"/>
                <w:color w:val="auto"/>
              </w:rPr>
            </w:pPr>
          </w:p>
        </w:tc>
        <w:tc>
          <w:tcPr>
            <w:tcW w:w="860" w:type="dxa"/>
            <w:vAlign w:val="bottom"/>
            <w:shd w:val="clear" w:color="auto" w:fill="EFE9FC"/>
          </w:tcPr>
          <w:p>
            <w:pPr>
              <w:spacing w:after="0"/>
              <w:rPr>
                <w:sz w:val="23"/>
                <w:szCs w:val="23"/>
                <w:color w:val="auto"/>
              </w:rPr>
            </w:pPr>
          </w:p>
        </w:tc>
        <w:tc>
          <w:tcPr>
            <w:tcW w:w="1140" w:type="dxa"/>
            <w:vAlign w:val="bottom"/>
            <w:gridSpan w:val="2"/>
            <w:shd w:val="clear" w:color="auto" w:fill="EFE9FC"/>
          </w:tcPr>
          <w:p>
            <w:pPr>
              <w:jc w:val="right"/>
              <w:spacing w:after="0"/>
              <w:rPr>
                <w:sz w:val="20"/>
                <w:szCs w:val="20"/>
                <w:color w:val="auto"/>
              </w:rPr>
            </w:pPr>
            <w:r>
              <w:rPr>
                <w:rFonts w:ascii="Arial" w:cs="Arial" w:eastAsia="Arial" w:hAnsi="Arial"/>
                <w:sz w:val="14"/>
                <w:szCs w:val="14"/>
                <w:color w:val="auto"/>
              </w:rPr>
              <w:t>12,729</w:t>
            </w:r>
            <w:r>
              <w:rPr>
                <w:rFonts w:ascii="Arial" w:cs="Arial" w:eastAsia="Arial" w:hAnsi="Arial"/>
                <w:sz w:val="21"/>
                <w:szCs w:val="21"/>
                <w:color w:val="auto"/>
                <w:vertAlign w:val="superscript"/>
              </w:rPr>
              <w:t>(11)</w:t>
            </w:r>
          </w:p>
        </w:tc>
        <w:tc>
          <w:tcPr>
            <w:tcW w:w="900" w:type="dxa"/>
            <w:vAlign w:val="bottom"/>
            <w:shd w:val="clear" w:color="auto" w:fill="EFE9FC"/>
          </w:tcPr>
          <w:p>
            <w:pPr>
              <w:jc w:val="right"/>
              <w:spacing w:after="0"/>
              <w:rPr>
                <w:sz w:val="20"/>
                <w:szCs w:val="20"/>
                <w:color w:val="auto"/>
              </w:rPr>
            </w:pPr>
            <w:r>
              <w:rPr>
                <w:rFonts w:ascii="Arial" w:cs="Arial" w:eastAsia="Arial" w:hAnsi="Arial"/>
                <w:sz w:val="14"/>
                <w:szCs w:val="14"/>
                <w:color w:val="auto"/>
              </w:rPr>
              <w:t>960,148</w:t>
            </w:r>
          </w:p>
        </w:tc>
        <w:tc>
          <w:tcPr>
            <w:tcW w:w="0" w:type="dxa"/>
            <w:vAlign w:val="bottom"/>
          </w:tcPr>
          <w:p>
            <w:pPr>
              <w:spacing w:after="0"/>
              <w:rPr>
                <w:sz w:val="1"/>
                <w:szCs w:val="1"/>
                <w:color w:val="auto"/>
              </w:rPr>
            </w:pPr>
          </w:p>
        </w:tc>
      </w:tr>
      <w:tr>
        <w:trPr>
          <w:trHeight w:val="243"/>
        </w:trPr>
        <w:tc>
          <w:tcPr>
            <w:tcW w:w="142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1140" w:type="dxa"/>
            <w:vAlign w:val="bottom"/>
            <w:gridSpan w:val="2"/>
          </w:tcPr>
          <w:p>
            <w:pPr>
              <w:jc w:val="right"/>
              <w:spacing w:after="0"/>
              <w:rPr>
                <w:sz w:val="20"/>
                <w:szCs w:val="20"/>
                <w:color w:val="auto"/>
              </w:rPr>
            </w:pPr>
            <w:r>
              <w:rPr>
                <w:rFonts w:ascii="Arial" w:cs="Arial" w:eastAsia="Arial" w:hAnsi="Arial"/>
                <w:sz w:val="14"/>
                <w:szCs w:val="14"/>
                <w:color w:val="auto"/>
              </w:rPr>
              <w:t>15,424</w:t>
            </w:r>
            <w:r>
              <w:rPr>
                <w:rFonts w:ascii="Arial" w:cs="Arial" w:eastAsia="Arial" w:hAnsi="Arial"/>
                <w:sz w:val="21"/>
                <w:szCs w:val="21"/>
                <w:color w:val="auto"/>
                <w:vertAlign w:val="superscript"/>
              </w:rPr>
              <w:t>(12)</w:t>
            </w:r>
          </w:p>
        </w:tc>
        <w:tc>
          <w:tcPr>
            <w:tcW w:w="900" w:type="dxa"/>
            <w:vAlign w:val="bottom"/>
          </w:tcPr>
          <w:p>
            <w:pPr>
              <w:jc w:val="right"/>
              <w:spacing w:after="0"/>
              <w:rPr>
                <w:sz w:val="20"/>
                <w:szCs w:val="20"/>
                <w:color w:val="auto"/>
              </w:rPr>
            </w:pPr>
            <w:r>
              <w:rPr>
                <w:rFonts w:ascii="Arial" w:cs="Arial" w:eastAsia="Arial" w:hAnsi="Arial"/>
                <w:sz w:val="14"/>
                <w:szCs w:val="14"/>
                <w:color w:val="auto"/>
              </w:rPr>
              <w:t>1,163,432</w:t>
            </w:r>
          </w:p>
        </w:tc>
        <w:tc>
          <w:tcPr>
            <w:tcW w:w="0" w:type="dxa"/>
            <w:vAlign w:val="bottom"/>
          </w:tcPr>
          <w:p>
            <w:pPr>
              <w:spacing w:after="0"/>
              <w:rPr>
                <w:sz w:val="1"/>
                <w:szCs w:val="1"/>
                <w:color w:val="auto"/>
              </w:rPr>
            </w:pPr>
          </w:p>
        </w:tc>
      </w:tr>
      <w:tr>
        <w:trPr>
          <w:trHeight w:val="257"/>
        </w:trPr>
        <w:tc>
          <w:tcPr>
            <w:tcW w:w="1420" w:type="dxa"/>
            <w:vAlign w:val="bottom"/>
            <w:tcBorders>
              <w:bottom w:val="single" w:sz="8" w:color="4800E6"/>
            </w:tcBorders>
          </w:tcPr>
          <w:p>
            <w:pPr>
              <w:spacing w:after="0"/>
              <w:rPr>
                <w:sz w:val="22"/>
                <w:szCs w:val="22"/>
                <w:color w:val="auto"/>
              </w:rPr>
            </w:pPr>
          </w:p>
        </w:tc>
        <w:tc>
          <w:tcPr>
            <w:tcW w:w="1020" w:type="dxa"/>
            <w:vAlign w:val="bottom"/>
            <w:tcBorders>
              <w:bottom w:val="single" w:sz="8" w:color="4800E6"/>
            </w:tcBorders>
            <w:shd w:val="clear" w:color="auto" w:fill="EFE9FC"/>
          </w:tcPr>
          <w:p>
            <w:pPr>
              <w:spacing w:after="0"/>
              <w:rPr>
                <w:sz w:val="22"/>
                <w:szCs w:val="22"/>
                <w:color w:val="auto"/>
              </w:rPr>
            </w:pPr>
          </w:p>
        </w:tc>
        <w:tc>
          <w:tcPr>
            <w:tcW w:w="1180" w:type="dxa"/>
            <w:vAlign w:val="bottom"/>
            <w:tcBorders>
              <w:bottom w:val="single" w:sz="8" w:color="4800E6"/>
            </w:tcBorders>
            <w:shd w:val="clear" w:color="auto" w:fill="EFE9FC"/>
          </w:tcPr>
          <w:p>
            <w:pPr>
              <w:spacing w:after="0"/>
              <w:rPr>
                <w:sz w:val="22"/>
                <w:szCs w:val="22"/>
                <w:color w:val="auto"/>
              </w:rPr>
            </w:pPr>
          </w:p>
        </w:tc>
        <w:tc>
          <w:tcPr>
            <w:tcW w:w="720" w:type="dxa"/>
            <w:vAlign w:val="bottom"/>
            <w:tcBorders>
              <w:bottom w:val="single" w:sz="8" w:color="4800E6"/>
            </w:tcBorders>
            <w:shd w:val="clear" w:color="auto" w:fill="EFE9FC"/>
          </w:tcPr>
          <w:p>
            <w:pPr>
              <w:spacing w:after="0"/>
              <w:rPr>
                <w:sz w:val="22"/>
                <w:szCs w:val="22"/>
                <w:color w:val="auto"/>
              </w:rPr>
            </w:pPr>
          </w:p>
        </w:tc>
        <w:tc>
          <w:tcPr>
            <w:tcW w:w="860" w:type="dxa"/>
            <w:vAlign w:val="bottom"/>
            <w:tcBorders>
              <w:bottom w:val="single" w:sz="8" w:color="4800E6"/>
            </w:tcBorders>
            <w:shd w:val="clear" w:color="auto" w:fill="EFE9FC"/>
          </w:tcPr>
          <w:p>
            <w:pPr>
              <w:spacing w:after="0"/>
              <w:rPr>
                <w:sz w:val="22"/>
                <w:szCs w:val="22"/>
                <w:color w:val="auto"/>
              </w:rPr>
            </w:pPr>
          </w:p>
        </w:tc>
        <w:tc>
          <w:tcPr>
            <w:tcW w:w="1080" w:type="dxa"/>
            <w:vAlign w:val="bottom"/>
            <w:tcBorders>
              <w:bottom w:val="single" w:sz="8" w:color="4800E6"/>
            </w:tcBorders>
            <w:shd w:val="clear" w:color="auto" w:fill="EFE9FC"/>
          </w:tcPr>
          <w:p>
            <w:pPr>
              <w:spacing w:after="0"/>
              <w:rPr>
                <w:sz w:val="22"/>
                <w:szCs w:val="22"/>
                <w:color w:val="auto"/>
              </w:rPr>
            </w:pPr>
          </w:p>
        </w:tc>
        <w:tc>
          <w:tcPr>
            <w:tcW w:w="860" w:type="dxa"/>
            <w:vAlign w:val="bottom"/>
            <w:tcBorders>
              <w:bottom w:val="single" w:sz="8" w:color="4800E6"/>
            </w:tcBorders>
            <w:shd w:val="clear" w:color="auto" w:fill="EFE9FC"/>
          </w:tcPr>
          <w:p>
            <w:pPr>
              <w:spacing w:after="0"/>
              <w:rPr>
                <w:sz w:val="22"/>
                <w:szCs w:val="22"/>
                <w:color w:val="auto"/>
              </w:rPr>
            </w:pPr>
          </w:p>
        </w:tc>
        <w:tc>
          <w:tcPr>
            <w:tcW w:w="1140" w:type="dxa"/>
            <w:vAlign w:val="bottom"/>
            <w:tcBorders>
              <w:bottom w:val="single" w:sz="8" w:color="4800E6"/>
            </w:tcBorders>
            <w:gridSpan w:val="2"/>
            <w:shd w:val="clear" w:color="auto" w:fill="EFE9FC"/>
          </w:tcPr>
          <w:p>
            <w:pPr>
              <w:jc w:val="right"/>
              <w:spacing w:after="0"/>
              <w:rPr>
                <w:sz w:val="20"/>
                <w:szCs w:val="20"/>
                <w:color w:val="auto"/>
              </w:rPr>
            </w:pPr>
            <w:r>
              <w:rPr>
                <w:rFonts w:ascii="Arial" w:cs="Arial" w:eastAsia="Arial" w:hAnsi="Arial"/>
                <w:sz w:val="14"/>
                <w:szCs w:val="14"/>
                <w:color w:val="auto"/>
              </w:rPr>
              <w:t>15,424</w:t>
            </w:r>
            <w:r>
              <w:rPr>
                <w:rFonts w:ascii="Arial" w:cs="Arial" w:eastAsia="Arial" w:hAnsi="Arial"/>
                <w:sz w:val="21"/>
                <w:szCs w:val="21"/>
                <w:color w:val="auto"/>
                <w:vertAlign w:val="superscript"/>
              </w:rPr>
              <w:t>(13)</w:t>
            </w:r>
          </w:p>
        </w:tc>
        <w:tc>
          <w:tcPr>
            <w:tcW w:w="900" w:type="dxa"/>
            <w:vAlign w:val="bottom"/>
            <w:tcBorders>
              <w:bottom w:val="single" w:sz="8" w:color="4800E6"/>
            </w:tcBorders>
            <w:shd w:val="clear" w:color="auto" w:fill="EFE9FC"/>
          </w:tcPr>
          <w:p>
            <w:pPr>
              <w:jc w:val="right"/>
              <w:spacing w:after="0"/>
              <w:rPr>
                <w:sz w:val="20"/>
                <w:szCs w:val="20"/>
                <w:color w:val="auto"/>
              </w:rPr>
            </w:pPr>
            <w:r>
              <w:rPr>
                <w:rFonts w:ascii="Arial" w:cs="Arial" w:eastAsia="Arial" w:hAnsi="Arial"/>
                <w:sz w:val="14"/>
                <w:szCs w:val="14"/>
                <w:color w:val="auto"/>
              </w:rPr>
              <w:t>1,163,432</w:t>
            </w:r>
          </w:p>
        </w:tc>
        <w:tc>
          <w:tcPr>
            <w:tcW w:w="0" w:type="dxa"/>
            <w:vAlign w:val="bottom"/>
          </w:tcPr>
          <w:p>
            <w:pPr>
              <w:spacing w:after="0"/>
              <w:rPr>
                <w:sz w:val="1"/>
                <w:szCs w:val="1"/>
                <w:color w:val="auto"/>
              </w:rPr>
            </w:pPr>
          </w:p>
        </w:tc>
      </w:tr>
      <w:tr>
        <w:trPr>
          <w:trHeight w:val="211"/>
        </w:trPr>
        <w:tc>
          <w:tcPr>
            <w:tcW w:w="1420" w:type="dxa"/>
            <w:vAlign w:val="bottom"/>
          </w:tcPr>
          <w:p>
            <w:pPr>
              <w:ind w:left="40"/>
              <w:spacing w:after="0"/>
              <w:rPr>
                <w:sz w:val="20"/>
                <w:szCs w:val="20"/>
                <w:color w:val="auto"/>
              </w:rPr>
            </w:pPr>
            <w:r>
              <w:rPr>
                <w:rFonts w:ascii="Arial" w:cs="Arial" w:eastAsia="Arial" w:hAnsi="Arial"/>
                <w:sz w:val="14"/>
                <w:szCs w:val="14"/>
                <w:b w:val="1"/>
                <w:bCs w:val="1"/>
                <w:color w:val="auto"/>
              </w:rPr>
              <w:t>Thad Huston</w:t>
            </w:r>
          </w:p>
        </w:tc>
        <w:tc>
          <w:tcPr>
            <w:tcW w:w="1020" w:type="dxa"/>
            <w:vAlign w:val="bottom"/>
          </w:tcPr>
          <w:p>
            <w:pPr>
              <w:jc w:val="right"/>
              <w:ind w:right="11"/>
              <w:spacing w:after="0"/>
              <w:rPr>
                <w:sz w:val="20"/>
                <w:szCs w:val="20"/>
                <w:color w:val="auto"/>
              </w:rPr>
            </w:pPr>
            <w:r>
              <w:rPr>
                <w:rFonts w:ascii="Arial" w:cs="Arial" w:eastAsia="Arial" w:hAnsi="Arial"/>
                <w:sz w:val="14"/>
                <w:szCs w:val="14"/>
                <w:color w:val="auto"/>
              </w:rPr>
              <w:t>3,460</w:t>
            </w:r>
          </w:p>
        </w:tc>
        <w:tc>
          <w:tcPr>
            <w:tcW w:w="1180" w:type="dxa"/>
            <w:vAlign w:val="bottom"/>
          </w:tcPr>
          <w:p>
            <w:pPr>
              <w:jc w:val="right"/>
              <w:ind w:right="11"/>
              <w:spacing w:after="0"/>
              <w:rPr>
                <w:sz w:val="20"/>
                <w:szCs w:val="20"/>
                <w:color w:val="auto"/>
              </w:rPr>
            </w:pPr>
            <w:r>
              <w:rPr>
                <w:rFonts w:ascii="Arial" w:cs="Arial" w:eastAsia="Arial" w:hAnsi="Arial"/>
                <w:sz w:val="14"/>
                <w:szCs w:val="14"/>
                <w:color w:val="auto"/>
              </w:rPr>
              <w:t>10,377</w:t>
            </w:r>
          </w:p>
        </w:tc>
        <w:tc>
          <w:tcPr>
            <w:tcW w:w="720" w:type="dxa"/>
            <w:vAlign w:val="bottom"/>
          </w:tcPr>
          <w:p>
            <w:pPr>
              <w:jc w:val="right"/>
              <w:spacing w:after="0"/>
              <w:rPr>
                <w:sz w:val="20"/>
                <w:szCs w:val="20"/>
                <w:color w:val="auto"/>
              </w:rPr>
            </w:pPr>
            <w:r>
              <w:rPr>
                <w:rFonts w:ascii="Arial" w:cs="Arial" w:eastAsia="Arial" w:hAnsi="Arial"/>
                <w:sz w:val="14"/>
                <w:szCs w:val="14"/>
                <w:color w:val="auto"/>
              </w:rPr>
              <w:t>88.38</w:t>
            </w:r>
          </w:p>
        </w:tc>
        <w:tc>
          <w:tcPr>
            <w:tcW w:w="860" w:type="dxa"/>
            <w:vAlign w:val="bottom"/>
          </w:tcPr>
          <w:p>
            <w:pPr>
              <w:jc w:val="right"/>
              <w:ind w:right="31"/>
              <w:spacing w:after="0"/>
              <w:rPr>
                <w:sz w:val="20"/>
                <w:szCs w:val="20"/>
                <w:color w:val="auto"/>
              </w:rPr>
            </w:pPr>
            <w:r>
              <w:rPr>
                <w:rFonts w:ascii="Arial" w:cs="Arial" w:eastAsia="Arial" w:hAnsi="Arial"/>
                <w:sz w:val="14"/>
                <w:szCs w:val="14"/>
                <w:color w:val="auto"/>
              </w:rPr>
              <w:t>3/15/2028</w:t>
            </w:r>
          </w:p>
        </w:tc>
        <w:tc>
          <w:tcPr>
            <w:tcW w:w="10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9"/>
        </w:trPr>
        <w:tc>
          <w:tcPr>
            <w:tcW w:w="1420" w:type="dxa"/>
            <w:vAlign w:val="bottom"/>
          </w:tcPr>
          <w:p>
            <w:pPr>
              <w:spacing w:after="0"/>
              <w:rPr>
                <w:sz w:val="3"/>
                <w:szCs w:val="3"/>
                <w:color w:val="auto"/>
              </w:rPr>
            </w:pPr>
          </w:p>
        </w:tc>
        <w:tc>
          <w:tcPr>
            <w:tcW w:w="1020" w:type="dxa"/>
            <w:vAlign w:val="bottom"/>
          </w:tcPr>
          <w:p>
            <w:pPr>
              <w:spacing w:after="0"/>
              <w:rPr>
                <w:sz w:val="3"/>
                <w:szCs w:val="3"/>
                <w:color w:val="auto"/>
              </w:rPr>
            </w:pPr>
          </w:p>
        </w:tc>
        <w:tc>
          <w:tcPr>
            <w:tcW w:w="1180" w:type="dxa"/>
            <w:vAlign w:val="bottom"/>
          </w:tcPr>
          <w:p>
            <w:pPr>
              <w:spacing w:after="0"/>
              <w:rPr>
                <w:sz w:val="3"/>
                <w:szCs w:val="3"/>
                <w:color w:val="auto"/>
              </w:rPr>
            </w:pPr>
          </w:p>
        </w:tc>
        <w:tc>
          <w:tcPr>
            <w:tcW w:w="720" w:type="dxa"/>
            <w:vAlign w:val="bottom"/>
          </w:tcPr>
          <w:p>
            <w:pPr>
              <w:spacing w:after="0"/>
              <w:rPr>
                <w:sz w:val="3"/>
                <w:szCs w:val="3"/>
                <w:color w:val="auto"/>
              </w:rPr>
            </w:pPr>
          </w:p>
        </w:tc>
        <w:tc>
          <w:tcPr>
            <w:tcW w:w="860" w:type="dxa"/>
            <w:vAlign w:val="bottom"/>
          </w:tcPr>
          <w:p>
            <w:pPr>
              <w:spacing w:after="0"/>
              <w:rPr>
                <w:sz w:val="3"/>
                <w:szCs w:val="3"/>
                <w:color w:val="auto"/>
              </w:rPr>
            </w:pPr>
          </w:p>
        </w:tc>
        <w:tc>
          <w:tcPr>
            <w:tcW w:w="1080" w:type="dxa"/>
            <w:vAlign w:val="bottom"/>
          </w:tcPr>
          <w:p>
            <w:pPr>
              <w:spacing w:after="0"/>
              <w:rPr>
                <w:sz w:val="3"/>
                <w:szCs w:val="3"/>
                <w:color w:val="auto"/>
              </w:rPr>
            </w:pPr>
          </w:p>
        </w:tc>
        <w:tc>
          <w:tcPr>
            <w:tcW w:w="860" w:type="dxa"/>
            <w:vAlign w:val="bottom"/>
          </w:tcPr>
          <w:p>
            <w:pPr>
              <w:spacing w:after="0"/>
              <w:rPr>
                <w:sz w:val="3"/>
                <w:szCs w:val="3"/>
                <w:color w:val="auto"/>
              </w:rPr>
            </w:pPr>
          </w:p>
        </w:tc>
        <w:tc>
          <w:tcPr>
            <w:tcW w:w="1020" w:type="dxa"/>
            <w:vAlign w:val="bottom"/>
          </w:tcPr>
          <w:p>
            <w:pPr>
              <w:spacing w:after="0"/>
              <w:rPr>
                <w:sz w:val="3"/>
                <w:szCs w:val="3"/>
                <w:color w:val="auto"/>
              </w:rPr>
            </w:pPr>
          </w:p>
        </w:tc>
        <w:tc>
          <w:tcPr>
            <w:tcW w:w="120" w:type="dxa"/>
            <w:vAlign w:val="bottom"/>
          </w:tcPr>
          <w:p>
            <w:pPr>
              <w:spacing w:after="0"/>
              <w:rPr>
                <w:sz w:val="3"/>
                <w:szCs w:val="3"/>
                <w:color w:val="auto"/>
              </w:rPr>
            </w:pPr>
          </w:p>
        </w:tc>
        <w:tc>
          <w:tcPr>
            <w:tcW w:w="9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04"/>
        </w:trPr>
        <w:tc>
          <w:tcPr>
            <w:tcW w:w="1420" w:type="dxa"/>
            <w:vAlign w:val="bottom"/>
          </w:tcPr>
          <w:p>
            <w:pPr>
              <w:spacing w:after="0"/>
              <w:rPr>
                <w:sz w:val="17"/>
                <w:szCs w:val="17"/>
                <w:color w:val="auto"/>
              </w:rPr>
            </w:pPr>
          </w:p>
        </w:tc>
        <w:tc>
          <w:tcPr>
            <w:tcW w:w="1020" w:type="dxa"/>
            <w:vAlign w:val="bottom"/>
            <w:shd w:val="clear" w:color="auto" w:fill="EFE9FC"/>
          </w:tcPr>
          <w:p>
            <w:pPr>
              <w:jc w:val="right"/>
              <w:ind w:right="11"/>
              <w:spacing w:after="0"/>
              <w:rPr>
                <w:sz w:val="20"/>
                <w:szCs w:val="20"/>
                <w:color w:val="auto"/>
              </w:rPr>
            </w:pPr>
            <w:r>
              <w:rPr>
                <w:rFonts w:ascii="Arial" w:cs="Arial" w:eastAsia="Arial" w:hAnsi="Arial"/>
                <w:sz w:val="14"/>
                <w:szCs w:val="14"/>
                <w:color w:val="auto"/>
              </w:rPr>
              <w:t>–</w:t>
            </w:r>
          </w:p>
        </w:tc>
        <w:tc>
          <w:tcPr>
            <w:tcW w:w="1180" w:type="dxa"/>
            <w:vAlign w:val="bottom"/>
            <w:shd w:val="clear" w:color="auto" w:fill="EFE9FC"/>
          </w:tcPr>
          <w:p>
            <w:pPr>
              <w:jc w:val="right"/>
              <w:ind w:right="11"/>
              <w:spacing w:after="0"/>
              <w:rPr>
                <w:sz w:val="20"/>
                <w:szCs w:val="20"/>
                <w:color w:val="auto"/>
              </w:rPr>
            </w:pPr>
            <w:r>
              <w:rPr>
                <w:rFonts w:ascii="Arial" w:cs="Arial" w:eastAsia="Arial" w:hAnsi="Arial"/>
                <w:sz w:val="14"/>
                <w:szCs w:val="14"/>
                <w:color w:val="auto"/>
              </w:rPr>
              <w:t>15,743</w:t>
            </w:r>
          </w:p>
        </w:tc>
        <w:tc>
          <w:tcPr>
            <w:tcW w:w="720" w:type="dxa"/>
            <w:vAlign w:val="bottom"/>
            <w:shd w:val="clear" w:color="auto" w:fill="EFE9FC"/>
          </w:tcPr>
          <w:p>
            <w:pPr>
              <w:jc w:val="right"/>
              <w:spacing w:after="0"/>
              <w:rPr>
                <w:sz w:val="20"/>
                <w:szCs w:val="20"/>
                <w:color w:val="auto"/>
              </w:rPr>
            </w:pPr>
            <w:r>
              <w:rPr>
                <w:rFonts w:ascii="Arial" w:cs="Arial" w:eastAsia="Arial" w:hAnsi="Arial"/>
                <w:sz w:val="14"/>
                <w:szCs w:val="14"/>
                <w:color w:val="auto"/>
              </w:rPr>
              <w:t>97.25</w:t>
            </w:r>
          </w:p>
        </w:tc>
        <w:tc>
          <w:tcPr>
            <w:tcW w:w="860" w:type="dxa"/>
            <w:vAlign w:val="bottom"/>
            <w:shd w:val="clear" w:color="auto" w:fill="EFE9FC"/>
          </w:tcPr>
          <w:p>
            <w:pPr>
              <w:jc w:val="right"/>
              <w:ind w:right="31"/>
              <w:spacing w:after="0"/>
              <w:rPr>
                <w:sz w:val="20"/>
                <w:szCs w:val="20"/>
                <w:color w:val="auto"/>
              </w:rPr>
            </w:pPr>
            <w:r>
              <w:rPr>
                <w:rFonts w:ascii="Arial" w:cs="Arial" w:eastAsia="Arial" w:hAnsi="Arial"/>
                <w:sz w:val="14"/>
                <w:szCs w:val="14"/>
                <w:color w:val="auto"/>
              </w:rPr>
              <w:t>3/30/2029</w:t>
            </w:r>
          </w:p>
        </w:tc>
        <w:tc>
          <w:tcPr>
            <w:tcW w:w="1080" w:type="dxa"/>
            <w:vAlign w:val="bottom"/>
            <w:shd w:val="clear" w:color="auto" w:fill="EFE9FC"/>
          </w:tcPr>
          <w:p>
            <w:pPr>
              <w:spacing w:after="0"/>
              <w:rPr>
                <w:sz w:val="17"/>
                <w:szCs w:val="17"/>
                <w:color w:val="auto"/>
              </w:rPr>
            </w:pPr>
          </w:p>
        </w:tc>
        <w:tc>
          <w:tcPr>
            <w:tcW w:w="860" w:type="dxa"/>
            <w:vAlign w:val="bottom"/>
            <w:shd w:val="clear" w:color="auto" w:fill="EFE9FC"/>
          </w:tcPr>
          <w:p>
            <w:pPr>
              <w:spacing w:after="0"/>
              <w:rPr>
                <w:sz w:val="17"/>
                <w:szCs w:val="17"/>
                <w:color w:val="auto"/>
              </w:rPr>
            </w:pPr>
          </w:p>
        </w:tc>
        <w:tc>
          <w:tcPr>
            <w:tcW w:w="1020" w:type="dxa"/>
            <w:vAlign w:val="bottom"/>
            <w:shd w:val="clear" w:color="auto" w:fill="EFE9FC"/>
          </w:tcPr>
          <w:p>
            <w:pPr>
              <w:spacing w:after="0"/>
              <w:rPr>
                <w:sz w:val="17"/>
                <w:szCs w:val="17"/>
                <w:color w:val="auto"/>
              </w:rPr>
            </w:pPr>
          </w:p>
        </w:tc>
        <w:tc>
          <w:tcPr>
            <w:tcW w:w="120" w:type="dxa"/>
            <w:vAlign w:val="bottom"/>
            <w:shd w:val="clear" w:color="auto" w:fill="EFE9FC"/>
          </w:tcPr>
          <w:p>
            <w:pPr>
              <w:spacing w:after="0"/>
              <w:rPr>
                <w:sz w:val="17"/>
                <w:szCs w:val="17"/>
                <w:color w:val="auto"/>
              </w:rPr>
            </w:pPr>
          </w:p>
        </w:tc>
        <w:tc>
          <w:tcPr>
            <w:tcW w:w="900" w:type="dxa"/>
            <w:vAlign w:val="bottom"/>
            <w:shd w:val="clear" w:color="auto" w:fill="EFE9FC"/>
          </w:tcPr>
          <w:p>
            <w:pPr>
              <w:spacing w:after="0"/>
              <w:rPr>
                <w:sz w:val="17"/>
                <w:szCs w:val="17"/>
                <w:color w:val="auto"/>
              </w:rPr>
            </w:pPr>
          </w:p>
        </w:tc>
        <w:tc>
          <w:tcPr>
            <w:tcW w:w="0" w:type="dxa"/>
            <w:vAlign w:val="bottom"/>
          </w:tcPr>
          <w:p>
            <w:pPr>
              <w:spacing w:after="0"/>
              <w:rPr>
                <w:sz w:val="1"/>
                <w:szCs w:val="1"/>
                <w:color w:val="auto"/>
              </w:rPr>
            </w:pPr>
          </w:p>
        </w:tc>
      </w:tr>
      <w:tr>
        <w:trPr>
          <w:trHeight w:val="66"/>
        </w:trPr>
        <w:tc>
          <w:tcPr>
            <w:tcW w:w="1420" w:type="dxa"/>
            <w:vAlign w:val="bottom"/>
          </w:tcPr>
          <w:p>
            <w:pPr>
              <w:spacing w:after="0"/>
              <w:rPr>
                <w:sz w:val="5"/>
                <w:szCs w:val="5"/>
                <w:color w:val="auto"/>
              </w:rPr>
            </w:pPr>
          </w:p>
        </w:tc>
        <w:tc>
          <w:tcPr>
            <w:tcW w:w="1020" w:type="dxa"/>
            <w:vAlign w:val="bottom"/>
            <w:shd w:val="clear" w:color="auto" w:fill="EFE9FC"/>
          </w:tcPr>
          <w:p>
            <w:pPr>
              <w:spacing w:after="0"/>
              <w:rPr>
                <w:sz w:val="5"/>
                <w:szCs w:val="5"/>
                <w:color w:val="auto"/>
              </w:rPr>
            </w:pPr>
          </w:p>
        </w:tc>
        <w:tc>
          <w:tcPr>
            <w:tcW w:w="1180" w:type="dxa"/>
            <w:vAlign w:val="bottom"/>
            <w:shd w:val="clear" w:color="auto" w:fill="EFE9FC"/>
          </w:tcPr>
          <w:p>
            <w:pPr>
              <w:spacing w:after="0"/>
              <w:rPr>
                <w:sz w:val="5"/>
                <w:szCs w:val="5"/>
                <w:color w:val="auto"/>
              </w:rPr>
            </w:pPr>
          </w:p>
        </w:tc>
        <w:tc>
          <w:tcPr>
            <w:tcW w:w="720" w:type="dxa"/>
            <w:vAlign w:val="bottom"/>
            <w:shd w:val="clear" w:color="auto" w:fill="EFE9FC"/>
          </w:tcPr>
          <w:p>
            <w:pPr>
              <w:spacing w:after="0"/>
              <w:rPr>
                <w:sz w:val="5"/>
                <w:szCs w:val="5"/>
                <w:color w:val="auto"/>
              </w:rPr>
            </w:pPr>
          </w:p>
        </w:tc>
        <w:tc>
          <w:tcPr>
            <w:tcW w:w="860" w:type="dxa"/>
            <w:vAlign w:val="bottom"/>
            <w:shd w:val="clear" w:color="auto" w:fill="EFE9FC"/>
          </w:tcPr>
          <w:p>
            <w:pPr>
              <w:spacing w:after="0"/>
              <w:rPr>
                <w:sz w:val="5"/>
                <w:szCs w:val="5"/>
                <w:color w:val="auto"/>
              </w:rPr>
            </w:pPr>
          </w:p>
        </w:tc>
        <w:tc>
          <w:tcPr>
            <w:tcW w:w="1080" w:type="dxa"/>
            <w:vAlign w:val="bottom"/>
            <w:shd w:val="clear" w:color="auto" w:fill="EFE9FC"/>
          </w:tcPr>
          <w:p>
            <w:pPr>
              <w:spacing w:after="0"/>
              <w:rPr>
                <w:sz w:val="5"/>
                <w:szCs w:val="5"/>
                <w:color w:val="auto"/>
              </w:rPr>
            </w:pPr>
          </w:p>
        </w:tc>
        <w:tc>
          <w:tcPr>
            <w:tcW w:w="860" w:type="dxa"/>
            <w:vAlign w:val="bottom"/>
            <w:shd w:val="clear" w:color="auto" w:fill="EFE9FC"/>
          </w:tcPr>
          <w:p>
            <w:pPr>
              <w:spacing w:after="0"/>
              <w:rPr>
                <w:sz w:val="5"/>
                <w:szCs w:val="5"/>
                <w:color w:val="auto"/>
              </w:rPr>
            </w:pPr>
          </w:p>
        </w:tc>
        <w:tc>
          <w:tcPr>
            <w:tcW w:w="1020" w:type="dxa"/>
            <w:vAlign w:val="bottom"/>
            <w:shd w:val="clear" w:color="auto" w:fill="EFE9FC"/>
          </w:tcPr>
          <w:p>
            <w:pPr>
              <w:spacing w:after="0"/>
              <w:rPr>
                <w:sz w:val="5"/>
                <w:szCs w:val="5"/>
                <w:color w:val="auto"/>
              </w:rPr>
            </w:pPr>
          </w:p>
        </w:tc>
        <w:tc>
          <w:tcPr>
            <w:tcW w:w="120" w:type="dxa"/>
            <w:vAlign w:val="bottom"/>
            <w:shd w:val="clear" w:color="auto" w:fill="EFE9FC"/>
          </w:tcPr>
          <w:p>
            <w:pPr>
              <w:spacing w:after="0"/>
              <w:rPr>
                <w:sz w:val="5"/>
                <w:szCs w:val="5"/>
                <w:color w:val="auto"/>
              </w:rPr>
            </w:pPr>
          </w:p>
        </w:tc>
        <w:tc>
          <w:tcPr>
            <w:tcW w:w="900" w:type="dxa"/>
            <w:vAlign w:val="bottom"/>
            <w:shd w:val="clear" w:color="auto" w:fill="EFE9FC"/>
          </w:tcPr>
          <w:p>
            <w:pPr>
              <w:spacing w:after="0"/>
              <w:rPr>
                <w:sz w:val="5"/>
                <w:szCs w:val="5"/>
                <w:color w:val="auto"/>
              </w:rPr>
            </w:pPr>
          </w:p>
        </w:tc>
        <w:tc>
          <w:tcPr>
            <w:tcW w:w="0" w:type="dxa"/>
            <w:vAlign w:val="bottom"/>
          </w:tcPr>
          <w:p>
            <w:pPr>
              <w:spacing w:after="0"/>
              <w:rPr>
                <w:sz w:val="1"/>
                <w:szCs w:val="1"/>
                <w:color w:val="auto"/>
              </w:rPr>
            </w:pPr>
          </w:p>
        </w:tc>
      </w:tr>
      <w:tr>
        <w:trPr>
          <w:trHeight w:val="243"/>
        </w:trPr>
        <w:tc>
          <w:tcPr>
            <w:tcW w:w="142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3,189</w:t>
            </w:r>
            <w:r>
              <w:rPr>
                <w:rFonts w:ascii="Arial" w:cs="Arial" w:eastAsia="Arial" w:hAnsi="Arial"/>
                <w:sz w:val="21"/>
                <w:szCs w:val="21"/>
                <w:color w:val="auto"/>
                <w:vertAlign w:val="superscript"/>
              </w:rPr>
              <w:t>(14)</w:t>
            </w:r>
          </w:p>
        </w:tc>
        <w:tc>
          <w:tcPr>
            <w:tcW w:w="860" w:type="dxa"/>
            <w:vAlign w:val="bottom"/>
          </w:tcPr>
          <w:p>
            <w:pPr>
              <w:jc w:val="right"/>
              <w:ind w:right="11"/>
              <w:spacing w:after="0"/>
              <w:rPr>
                <w:sz w:val="20"/>
                <w:szCs w:val="20"/>
                <w:color w:val="auto"/>
              </w:rPr>
            </w:pPr>
            <w:r>
              <w:rPr>
                <w:rFonts w:ascii="Arial" w:cs="Arial" w:eastAsia="Arial" w:hAnsi="Arial"/>
                <w:sz w:val="14"/>
                <w:szCs w:val="14"/>
                <w:color w:val="auto"/>
              </w:rPr>
              <w:t>240,546</w:t>
            </w:r>
          </w:p>
        </w:tc>
        <w:tc>
          <w:tcPr>
            <w:tcW w:w="10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0"/>
        </w:trPr>
        <w:tc>
          <w:tcPr>
            <w:tcW w:w="1420" w:type="dxa"/>
            <w:vAlign w:val="bottom"/>
          </w:tcPr>
          <w:p>
            <w:pPr>
              <w:spacing w:after="0"/>
              <w:rPr>
                <w:sz w:val="23"/>
                <w:szCs w:val="23"/>
                <w:color w:val="auto"/>
              </w:rPr>
            </w:pPr>
          </w:p>
        </w:tc>
        <w:tc>
          <w:tcPr>
            <w:tcW w:w="1020" w:type="dxa"/>
            <w:vAlign w:val="bottom"/>
            <w:shd w:val="clear" w:color="auto" w:fill="EFE9FC"/>
          </w:tcPr>
          <w:p>
            <w:pPr>
              <w:spacing w:after="0"/>
              <w:rPr>
                <w:sz w:val="23"/>
                <w:szCs w:val="23"/>
                <w:color w:val="auto"/>
              </w:rPr>
            </w:pPr>
          </w:p>
        </w:tc>
        <w:tc>
          <w:tcPr>
            <w:tcW w:w="1180" w:type="dxa"/>
            <w:vAlign w:val="bottom"/>
            <w:shd w:val="clear" w:color="auto" w:fill="EFE9FC"/>
          </w:tcPr>
          <w:p>
            <w:pPr>
              <w:spacing w:after="0"/>
              <w:rPr>
                <w:sz w:val="23"/>
                <w:szCs w:val="23"/>
                <w:color w:val="auto"/>
              </w:rPr>
            </w:pPr>
          </w:p>
        </w:tc>
        <w:tc>
          <w:tcPr>
            <w:tcW w:w="720" w:type="dxa"/>
            <w:vAlign w:val="bottom"/>
            <w:shd w:val="clear" w:color="auto" w:fill="EFE9FC"/>
          </w:tcPr>
          <w:p>
            <w:pPr>
              <w:spacing w:after="0"/>
              <w:rPr>
                <w:sz w:val="23"/>
                <w:szCs w:val="23"/>
                <w:color w:val="auto"/>
              </w:rPr>
            </w:pPr>
          </w:p>
        </w:tc>
        <w:tc>
          <w:tcPr>
            <w:tcW w:w="860" w:type="dxa"/>
            <w:vAlign w:val="bottom"/>
            <w:shd w:val="clear" w:color="auto" w:fill="EFE9FC"/>
          </w:tcPr>
          <w:p>
            <w:pPr>
              <w:spacing w:after="0"/>
              <w:rPr>
                <w:sz w:val="23"/>
                <w:szCs w:val="23"/>
                <w:color w:val="auto"/>
              </w:rPr>
            </w:pPr>
          </w:p>
        </w:tc>
        <w:tc>
          <w:tcPr>
            <w:tcW w:w="1080" w:type="dxa"/>
            <w:vAlign w:val="bottom"/>
            <w:shd w:val="clear" w:color="auto" w:fill="EFE9FC"/>
          </w:tcPr>
          <w:p>
            <w:pPr>
              <w:jc w:val="right"/>
              <w:spacing w:after="0"/>
              <w:rPr>
                <w:sz w:val="20"/>
                <w:szCs w:val="20"/>
                <w:color w:val="auto"/>
              </w:rPr>
            </w:pPr>
            <w:r>
              <w:rPr>
                <w:rFonts w:ascii="Arial" w:cs="Arial" w:eastAsia="Arial" w:hAnsi="Arial"/>
                <w:sz w:val="14"/>
                <w:szCs w:val="14"/>
                <w:color w:val="auto"/>
              </w:rPr>
              <w:t>9,567</w:t>
            </w:r>
            <w:r>
              <w:rPr>
                <w:rFonts w:ascii="Arial" w:cs="Arial" w:eastAsia="Arial" w:hAnsi="Arial"/>
                <w:sz w:val="21"/>
                <w:szCs w:val="21"/>
                <w:color w:val="auto"/>
                <w:vertAlign w:val="superscript"/>
              </w:rPr>
              <w:t>(15)</w:t>
            </w:r>
          </w:p>
        </w:tc>
        <w:tc>
          <w:tcPr>
            <w:tcW w:w="860" w:type="dxa"/>
            <w:vAlign w:val="bottom"/>
            <w:shd w:val="clear" w:color="auto" w:fill="EFE9FC"/>
          </w:tcPr>
          <w:p>
            <w:pPr>
              <w:jc w:val="right"/>
              <w:ind w:right="11"/>
              <w:spacing w:after="0"/>
              <w:rPr>
                <w:sz w:val="20"/>
                <w:szCs w:val="20"/>
                <w:color w:val="auto"/>
              </w:rPr>
            </w:pPr>
            <w:r>
              <w:rPr>
                <w:rFonts w:ascii="Arial" w:cs="Arial" w:eastAsia="Arial" w:hAnsi="Arial"/>
                <w:sz w:val="14"/>
                <w:szCs w:val="14"/>
                <w:color w:val="auto"/>
              </w:rPr>
              <w:t>721,639</w:t>
            </w:r>
          </w:p>
        </w:tc>
        <w:tc>
          <w:tcPr>
            <w:tcW w:w="1020" w:type="dxa"/>
            <w:vAlign w:val="bottom"/>
            <w:shd w:val="clear" w:color="auto" w:fill="EFE9FC"/>
          </w:tcPr>
          <w:p>
            <w:pPr>
              <w:spacing w:after="0"/>
              <w:rPr>
                <w:sz w:val="23"/>
                <w:szCs w:val="23"/>
                <w:color w:val="auto"/>
              </w:rPr>
            </w:pPr>
          </w:p>
        </w:tc>
        <w:tc>
          <w:tcPr>
            <w:tcW w:w="120" w:type="dxa"/>
            <w:vAlign w:val="bottom"/>
            <w:shd w:val="clear" w:color="auto" w:fill="EFE9FC"/>
          </w:tcPr>
          <w:p>
            <w:pPr>
              <w:spacing w:after="0"/>
              <w:rPr>
                <w:sz w:val="23"/>
                <w:szCs w:val="23"/>
                <w:color w:val="auto"/>
              </w:rPr>
            </w:pPr>
          </w:p>
        </w:tc>
        <w:tc>
          <w:tcPr>
            <w:tcW w:w="900" w:type="dxa"/>
            <w:vAlign w:val="bottom"/>
            <w:shd w:val="clear" w:color="auto" w:fill="EFE9FC"/>
          </w:tcPr>
          <w:p>
            <w:pPr>
              <w:spacing w:after="0"/>
              <w:rPr>
                <w:sz w:val="23"/>
                <w:szCs w:val="23"/>
                <w:color w:val="auto"/>
              </w:rPr>
            </w:pPr>
          </w:p>
        </w:tc>
        <w:tc>
          <w:tcPr>
            <w:tcW w:w="0" w:type="dxa"/>
            <w:vAlign w:val="bottom"/>
          </w:tcPr>
          <w:p>
            <w:pPr>
              <w:spacing w:after="0"/>
              <w:rPr>
                <w:sz w:val="1"/>
                <w:szCs w:val="1"/>
                <w:color w:val="auto"/>
              </w:rPr>
            </w:pPr>
          </w:p>
        </w:tc>
      </w:tr>
      <w:tr>
        <w:trPr>
          <w:trHeight w:val="243"/>
        </w:trPr>
        <w:tc>
          <w:tcPr>
            <w:tcW w:w="142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19,813</w:t>
            </w:r>
            <w:r>
              <w:rPr>
                <w:rFonts w:ascii="Arial" w:cs="Arial" w:eastAsia="Arial" w:hAnsi="Arial"/>
                <w:sz w:val="21"/>
                <w:szCs w:val="21"/>
                <w:color w:val="auto"/>
                <w:vertAlign w:val="superscript"/>
              </w:rPr>
              <w:t>(16)</w:t>
            </w:r>
          </w:p>
        </w:tc>
        <w:tc>
          <w:tcPr>
            <w:tcW w:w="860" w:type="dxa"/>
            <w:vAlign w:val="bottom"/>
          </w:tcPr>
          <w:p>
            <w:pPr>
              <w:jc w:val="right"/>
              <w:ind w:right="11"/>
              <w:spacing w:after="0"/>
              <w:rPr>
                <w:sz w:val="20"/>
                <w:szCs w:val="20"/>
                <w:color w:val="auto"/>
              </w:rPr>
            </w:pPr>
            <w:r>
              <w:rPr>
                <w:rFonts w:ascii="Arial" w:cs="Arial" w:eastAsia="Arial" w:hAnsi="Arial"/>
                <w:sz w:val="14"/>
                <w:szCs w:val="14"/>
                <w:color w:val="auto"/>
              </w:rPr>
              <w:t>1,494,495</w:t>
            </w:r>
          </w:p>
        </w:tc>
        <w:tc>
          <w:tcPr>
            <w:tcW w:w="10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0"/>
        </w:trPr>
        <w:tc>
          <w:tcPr>
            <w:tcW w:w="1420" w:type="dxa"/>
            <w:vAlign w:val="bottom"/>
          </w:tcPr>
          <w:p>
            <w:pPr>
              <w:spacing w:after="0"/>
              <w:rPr>
                <w:sz w:val="23"/>
                <w:szCs w:val="23"/>
                <w:color w:val="auto"/>
              </w:rPr>
            </w:pPr>
          </w:p>
        </w:tc>
        <w:tc>
          <w:tcPr>
            <w:tcW w:w="1020" w:type="dxa"/>
            <w:vAlign w:val="bottom"/>
            <w:shd w:val="clear" w:color="auto" w:fill="EFE9FC"/>
          </w:tcPr>
          <w:p>
            <w:pPr>
              <w:spacing w:after="0"/>
              <w:rPr>
                <w:sz w:val="23"/>
                <w:szCs w:val="23"/>
                <w:color w:val="auto"/>
              </w:rPr>
            </w:pPr>
          </w:p>
        </w:tc>
        <w:tc>
          <w:tcPr>
            <w:tcW w:w="1180" w:type="dxa"/>
            <w:vAlign w:val="bottom"/>
            <w:shd w:val="clear" w:color="auto" w:fill="EFE9FC"/>
          </w:tcPr>
          <w:p>
            <w:pPr>
              <w:spacing w:after="0"/>
              <w:rPr>
                <w:sz w:val="23"/>
                <w:szCs w:val="23"/>
                <w:color w:val="auto"/>
              </w:rPr>
            </w:pPr>
          </w:p>
        </w:tc>
        <w:tc>
          <w:tcPr>
            <w:tcW w:w="720" w:type="dxa"/>
            <w:vAlign w:val="bottom"/>
            <w:shd w:val="clear" w:color="auto" w:fill="EFE9FC"/>
          </w:tcPr>
          <w:p>
            <w:pPr>
              <w:spacing w:after="0"/>
              <w:rPr>
                <w:sz w:val="23"/>
                <w:szCs w:val="23"/>
                <w:color w:val="auto"/>
              </w:rPr>
            </w:pPr>
          </w:p>
        </w:tc>
        <w:tc>
          <w:tcPr>
            <w:tcW w:w="860" w:type="dxa"/>
            <w:vAlign w:val="bottom"/>
            <w:shd w:val="clear" w:color="auto" w:fill="EFE9FC"/>
          </w:tcPr>
          <w:p>
            <w:pPr>
              <w:spacing w:after="0"/>
              <w:rPr>
                <w:sz w:val="23"/>
                <w:szCs w:val="23"/>
                <w:color w:val="auto"/>
              </w:rPr>
            </w:pPr>
          </w:p>
        </w:tc>
        <w:tc>
          <w:tcPr>
            <w:tcW w:w="1080" w:type="dxa"/>
            <w:vAlign w:val="bottom"/>
            <w:shd w:val="clear" w:color="auto" w:fill="EFE9FC"/>
          </w:tcPr>
          <w:p>
            <w:pPr>
              <w:jc w:val="right"/>
              <w:ind w:right="31"/>
              <w:spacing w:after="0"/>
              <w:rPr>
                <w:sz w:val="20"/>
                <w:szCs w:val="20"/>
                <w:color w:val="auto"/>
              </w:rPr>
            </w:pPr>
            <w:r>
              <w:rPr>
                <w:rFonts w:ascii="Arial" w:cs="Arial" w:eastAsia="Arial" w:hAnsi="Arial"/>
                <w:sz w:val="14"/>
                <w:szCs w:val="14"/>
                <w:color w:val="auto"/>
              </w:rPr>
              <w:t>3,182</w:t>
            </w:r>
            <w:r>
              <w:rPr>
                <w:rFonts w:ascii="Arial" w:cs="Arial" w:eastAsia="Arial" w:hAnsi="Arial"/>
                <w:sz w:val="21"/>
                <w:szCs w:val="21"/>
                <w:color w:val="auto"/>
                <w:vertAlign w:val="superscript"/>
              </w:rPr>
              <w:t>(8)</w:t>
            </w:r>
          </w:p>
        </w:tc>
        <w:tc>
          <w:tcPr>
            <w:tcW w:w="860" w:type="dxa"/>
            <w:vAlign w:val="bottom"/>
            <w:shd w:val="clear" w:color="auto" w:fill="EFE9FC"/>
          </w:tcPr>
          <w:p>
            <w:pPr>
              <w:jc w:val="right"/>
              <w:ind w:right="11"/>
              <w:spacing w:after="0"/>
              <w:rPr>
                <w:sz w:val="20"/>
                <w:szCs w:val="20"/>
                <w:color w:val="auto"/>
              </w:rPr>
            </w:pPr>
            <w:r>
              <w:rPr>
                <w:rFonts w:ascii="Arial" w:cs="Arial" w:eastAsia="Arial" w:hAnsi="Arial"/>
                <w:sz w:val="14"/>
                <w:szCs w:val="14"/>
                <w:color w:val="auto"/>
              </w:rPr>
              <w:t>240,018</w:t>
            </w:r>
          </w:p>
        </w:tc>
        <w:tc>
          <w:tcPr>
            <w:tcW w:w="1020" w:type="dxa"/>
            <w:vAlign w:val="bottom"/>
            <w:shd w:val="clear" w:color="auto" w:fill="EFE9FC"/>
          </w:tcPr>
          <w:p>
            <w:pPr>
              <w:spacing w:after="0"/>
              <w:rPr>
                <w:sz w:val="23"/>
                <w:szCs w:val="23"/>
                <w:color w:val="auto"/>
              </w:rPr>
            </w:pPr>
          </w:p>
        </w:tc>
        <w:tc>
          <w:tcPr>
            <w:tcW w:w="120" w:type="dxa"/>
            <w:vAlign w:val="bottom"/>
            <w:shd w:val="clear" w:color="auto" w:fill="EFE9FC"/>
          </w:tcPr>
          <w:p>
            <w:pPr>
              <w:spacing w:after="0"/>
              <w:rPr>
                <w:sz w:val="23"/>
                <w:szCs w:val="23"/>
                <w:color w:val="auto"/>
              </w:rPr>
            </w:pPr>
          </w:p>
        </w:tc>
        <w:tc>
          <w:tcPr>
            <w:tcW w:w="900" w:type="dxa"/>
            <w:vAlign w:val="bottom"/>
            <w:shd w:val="clear" w:color="auto" w:fill="EFE9FC"/>
          </w:tcPr>
          <w:p>
            <w:pPr>
              <w:spacing w:after="0"/>
              <w:rPr>
                <w:sz w:val="23"/>
                <w:szCs w:val="23"/>
                <w:color w:val="auto"/>
              </w:rPr>
            </w:pPr>
          </w:p>
        </w:tc>
        <w:tc>
          <w:tcPr>
            <w:tcW w:w="0" w:type="dxa"/>
            <w:vAlign w:val="bottom"/>
          </w:tcPr>
          <w:p>
            <w:pPr>
              <w:spacing w:after="0"/>
              <w:rPr>
                <w:sz w:val="1"/>
                <w:szCs w:val="1"/>
                <w:color w:val="auto"/>
              </w:rPr>
            </w:pPr>
          </w:p>
        </w:tc>
      </w:tr>
      <w:tr>
        <w:trPr>
          <w:trHeight w:val="243"/>
        </w:trPr>
        <w:tc>
          <w:tcPr>
            <w:tcW w:w="142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1080" w:type="dxa"/>
            <w:vAlign w:val="bottom"/>
          </w:tcPr>
          <w:p>
            <w:pPr>
              <w:jc w:val="right"/>
              <w:ind w:right="31"/>
              <w:spacing w:after="0"/>
              <w:rPr>
                <w:sz w:val="20"/>
                <w:szCs w:val="20"/>
                <w:color w:val="auto"/>
              </w:rPr>
            </w:pPr>
            <w:r>
              <w:rPr>
                <w:rFonts w:ascii="Arial" w:cs="Arial" w:eastAsia="Arial" w:hAnsi="Arial"/>
                <w:sz w:val="14"/>
                <w:szCs w:val="14"/>
                <w:color w:val="auto"/>
              </w:rPr>
              <w:t>5,141</w:t>
            </w:r>
            <w:r>
              <w:rPr>
                <w:rFonts w:ascii="Arial" w:cs="Arial" w:eastAsia="Arial" w:hAnsi="Arial"/>
                <w:sz w:val="21"/>
                <w:szCs w:val="21"/>
                <w:color w:val="auto"/>
                <w:vertAlign w:val="superscript"/>
              </w:rPr>
              <w:t>(9)</w:t>
            </w:r>
          </w:p>
        </w:tc>
        <w:tc>
          <w:tcPr>
            <w:tcW w:w="860" w:type="dxa"/>
            <w:vAlign w:val="bottom"/>
          </w:tcPr>
          <w:p>
            <w:pPr>
              <w:jc w:val="right"/>
              <w:ind w:right="11"/>
              <w:spacing w:after="0"/>
              <w:rPr>
                <w:sz w:val="20"/>
                <w:szCs w:val="20"/>
                <w:color w:val="auto"/>
              </w:rPr>
            </w:pPr>
            <w:r>
              <w:rPr>
                <w:rFonts w:ascii="Arial" w:cs="Arial" w:eastAsia="Arial" w:hAnsi="Arial"/>
                <w:sz w:val="14"/>
                <w:szCs w:val="14"/>
                <w:color w:val="auto"/>
              </w:rPr>
              <w:t>387,786</w:t>
            </w:r>
          </w:p>
        </w:tc>
        <w:tc>
          <w:tcPr>
            <w:tcW w:w="1020" w:type="dxa"/>
            <w:vAlign w:val="bottom"/>
          </w:tcPr>
          <w:p>
            <w:pPr>
              <w:jc w:val="right"/>
              <w:ind w:right="11"/>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0"/>
        </w:trPr>
        <w:tc>
          <w:tcPr>
            <w:tcW w:w="1420" w:type="dxa"/>
            <w:vAlign w:val="bottom"/>
          </w:tcPr>
          <w:p>
            <w:pPr>
              <w:spacing w:after="0"/>
              <w:rPr>
                <w:sz w:val="23"/>
                <w:szCs w:val="23"/>
                <w:color w:val="auto"/>
              </w:rPr>
            </w:pPr>
          </w:p>
        </w:tc>
        <w:tc>
          <w:tcPr>
            <w:tcW w:w="1020" w:type="dxa"/>
            <w:vAlign w:val="bottom"/>
            <w:shd w:val="clear" w:color="auto" w:fill="EFE9FC"/>
          </w:tcPr>
          <w:p>
            <w:pPr>
              <w:spacing w:after="0"/>
              <w:rPr>
                <w:sz w:val="23"/>
                <w:szCs w:val="23"/>
                <w:color w:val="auto"/>
              </w:rPr>
            </w:pPr>
          </w:p>
        </w:tc>
        <w:tc>
          <w:tcPr>
            <w:tcW w:w="1180" w:type="dxa"/>
            <w:vAlign w:val="bottom"/>
            <w:shd w:val="clear" w:color="auto" w:fill="EFE9FC"/>
          </w:tcPr>
          <w:p>
            <w:pPr>
              <w:spacing w:after="0"/>
              <w:rPr>
                <w:sz w:val="23"/>
                <w:szCs w:val="23"/>
                <w:color w:val="auto"/>
              </w:rPr>
            </w:pPr>
          </w:p>
        </w:tc>
        <w:tc>
          <w:tcPr>
            <w:tcW w:w="720" w:type="dxa"/>
            <w:vAlign w:val="bottom"/>
            <w:shd w:val="clear" w:color="auto" w:fill="EFE9FC"/>
          </w:tcPr>
          <w:p>
            <w:pPr>
              <w:spacing w:after="0"/>
              <w:rPr>
                <w:sz w:val="23"/>
                <w:szCs w:val="23"/>
                <w:color w:val="auto"/>
              </w:rPr>
            </w:pPr>
          </w:p>
        </w:tc>
        <w:tc>
          <w:tcPr>
            <w:tcW w:w="860" w:type="dxa"/>
            <w:vAlign w:val="bottom"/>
            <w:shd w:val="clear" w:color="auto" w:fill="EFE9FC"/>
          </w:tcPr>
          <w:p>
            <w:pPr>
              <w:spacing w:after="0"/>
              <w:rPr>
                <w:sz w:val="23"/>
                <w:szCs w:val="23"/>
                <w:color w:val="auto"/>
              </w:rPr>
            </w:pPr>
          </w:p>
        </w:tc>
        <w:tc>
          <w:tcPr>
            <w:tcW w:w="1080" w:type="dxa"/>
            <w:vAlign w:val="bottom"/>
            <w:shd w:val="clear" w:color="auto" w:fill="EFE9FC"/>
          </w:tcPr>
          <w:p>
            <w:pPr>
              <w:spacing w:after="0"/>
              <w:rPr>
                <w:sz w:val="23"/>
                <w:szCs w:val="23"/>
                <w:color w:val="auto"/>
              </w:rPr>
            </w:pPr>
          </w:p>
        </w:tc>
        <w:tc>
          <w:tcPr>
            <w:tcW w:w="860" w:type="dxa"/>
            <w:vAlign w:val="bottom"/>
            <w:shd w:val="clear" w:color="auto" w:fill="EFE9FC"/>
          </w:tcPr>
          <w:p>
            <w:pPr>
              <w:spacing w:after="0"/>
              <w:rPr>
                <w:sz w:val="23"/>
                <w:szCs w:val="23"/>
                <w:color w:val="auto"/>
              </w:rPr>
            </w:pPr>
          </w:p>
        </w:tc>
        <w:tc>
          <w:tcPr>
            <w:tcW w:w="1140" w:type="dxa"/>
            <w:vAlign w:val="bottom"/>
            <w:gridSpan w:val="2"/>
            <w:shd w:val="clear" w:color="auto" w:fill="EFE9FC"/>
          </w:tcPr>
          <w:p>
            <w:pPr>
              <w:jc w:val="right"/>
              <w:spacing w:after="0"/>
              <w:rPr>
                <w:sz w:val="20"/>
                <w:szCs w:val="20"/>
                <w:color w:val="auto"/>
              </w:rPr>
            </w:pPr>
            <w:r>
              <w:rPr>
                <w:rFonts w:ascii="Arial" w:cs="Arial" w:eastAsia="Arial" w:hAnsi="Arial"/>
                <w:sz w:val="14"/>
                <w:szCs w:val="14"/>
                <w:color w:val="auto"/>
              </w:rPr>
              <w:t>4,243</w:t>
            </w:r>
            <w:r>
              <w:rPr>
                <w:rFonts w:ascii="Arial" w:cs="Arial" w:eastAsia="Arial" w:hAnsi="Arial"/>
                <w:sz w:val="21"/>
                <w:szCs w:val="21"/>
                <w:color w:val="auto"/>
                <w:vertAlign w:val="superscript"/>
              </w:rPr>
              <w:t>(10)</w:t>
            </w:r>
          </w:p>
        </w:tc>
        <w:tc>
          <w:tcPr>
            <w:tcW w:w="900" w:type="dxa"/>
            <w:vAlign w:val="bottom"/>
            <w:shd w:val="clear" w:color="auto" w:fill="EFE9FC"/>
          </w:tcPr>
          <w:p>
            <w:pPr>
              <w:jc w:val="right"/>
              <w:spacing w:after="0"/>
              <w:rPr>
                <w:sz w:val="20"/>
                <w:szCs w:val="20"/>
                <w:color w:val="auto"/>
              </w:rPr>
            </w:pPr>
            <w:r>
              <w:rPr>
                <w:rFonts w:ascii="Arial" w:cs="Arial" w:eastAsia="Arial" w:hAnsi="Arial"/>
                <w:sz w:val="14"/>
                <w:szCs w:val="14"/>
                <w:color w:val="auto"/>
              </w:rPr>
              <w:t>320,049</w:t>
            </w:r>
          </w:p>
        </w:tc>
        <w:tc>
          <w:tcPr>
            <w:tcW w:w="0" w:type="dxa"/>
            <w:vAlign w:val="bottom"/>
          </w:tcPr>
          <w:p>
            <w:pPr>
              <w:spacing w:after="0"/>
              <w:rPr>
                <w:sz w:val="1"/>
                <w:szCs w:val="1"/>
                <w:color w:val="auto"/>
              </w:rPr>
            </w:pPr>
          </w:p>
        </w:tc>
      </w:tr>
      <w:tr>
        <w:trPr>
          <w:trHeight w:val="243"/>
        </w:trPr>
        <w:tc>
          <w:tcPr>
            <w:tcW w:w="142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1140" w:type="dxa"/>
            <w:vAlign w:val="bottom"/>
            <w:gridSpan w:val="2"/>
          </w:tcPr>
          <w:p>
            <w:pPr>
              <w:jc w:val="right"/>
              <w:spacing w:after="0"/>
              <w:rPr>
                <w:sz w:val="20"/>
                <w:szCs w:val="20"/>
                <w:color w:val="auto"/>
              </w:rPr>
            </w:pPr>
            <w:r>
              <w:rPr>
                <w:rFonts w:ascii="Arial" w:cs="Arial" w:eastAsia="Arial" w:hAnsi="Arial"/>
                <w:sz w:val="14"/>
                <w:szCs w:val="14"/>
                <w:color w:val="auto"/>
              </w:rPr>
              <w:t>4,243</w:t>
            </w:r>
            <w:r>
              <w:rPr>
                <w:rFonts w:ascii="Arial" w:cs="Arial" w:eastAsia="Arial" w:hAnsi="Arial"/>
                <w:sz w:val="21"/>
                <w:szCs w:val="21"/>
                <w:color w:val="auto"/>
                <w:vertAlign w:val="superscript"/>
              </w:rPr>
              <w:t>(11)</w:t>
            </w:r>
          </w:p>
        </w:tc>
        <w:tc>
          <w:tcPr>
            <w:tcW w:w="900" w:type="dxa"/>
            <w:vAlign w:val="bottom"/>
          </w:tcPr>
          <w:p>
            <w:pPr>
              <w:jc w:val="right"/>
              <w:spacing w:after="0"/>
              <w:rPr>
                <w:sz w:val="20"/>
                <w:szCs w:val="20"/>
                <w:color w:val="auto"/>
              </w:rPr>
            </w:pPr>
            <w:r>
              <w:rPr>
                <w:rFonts w:ascii="Arial" w:cs="Arial" w:eastAsia="Arial" w:hAnsi="Arial"/>
                <w:sz w:val="14"/>
                <w:szCs w:val="14"/>
                <w:color w:val="auto"/>
              </w:rPr>
              <w:t>320,049</w:t>
            </w:r>
          </w:p>
        </w:tc>
        <w:tc>
          <w:tcPr>
            <w:tcW w:w="0" w:type="dxa"/>
            <w:vAlign w:val="bottom"/>
          </w:tcPr>
          <w:p>
            <w:pPr>
              <w:spacing w:after="0"/>
              <w:rPr>
                <w:sz w:val="1"/>
                <w:szCs w:val="1"/>
                <w:color w:val="auto"/>
              </w:rPr>
            </w:pPr>
          </w:p>
        </w:tc>
      </w:tr>
      <w:tr>
        <w:trPr>
          <w:trHeight w:val="270"/>
        </w:trPr>
        <w:tc>
          <w:tcPr>
            <w:tcW w:w="1420" w:type="dxa"/>
            <w:vAlign w:val="bottom"/>
          </w:tcPr>
          <w:p>
            <w:pPr>
              <w:spacing w:after="0"/>
              <w:rPr>
                <w:sz w:val="23"/>
                <w:szCs w:val="23"/>
                <w:color w:val="auto"/>
              </w:rPr>
            </w:pPr>
          </w:p>
        </w:tc>
        <w:tc>
          <w:tcPr>
            <w:tcW w:w="1020" w:type="dxa"/>
            <w:vAlign w:val="bottom"/>
            <w:shd w:val="clear" w:color="auto" w:fill="EFE9FC"/>
          </w:tcPr>
          <w:p>
            <w:pPr>
              <w:spacing w:after="0"/>
              <w:rPr>
                <w:sz w:val="23"/>
                <w:szCs w:val="23"/>
                <w:color w:val="auto"/>
              </w:rPr>
            </w:pPr>
          </w:p>
        </w:tc>
        <w:tc>
          <w:tcPr>
            <w:tcW w:w="1180" w:type="dxa"/>
            <w:vAlign w:val="bottom"/>
            <w:shd w:val="clear" w:color="auto" w:fill="EFE9FC"/>
          </w:tcPr>
          <w:p>
            <w:pPr>
              <w:spacing w:after="0"/>
              <w:rPr>
                <w:sz w:val="23"/>
                <w:szCs w:val="23"/>
                <w:color w:val="auto"/>
              </w:rPr>
            </w:pPr>
          </w:p>
        </w:tc>
        <w:tc>
          <w:tcPr>
            <w:tcW w:w="720" w:type="dxa"/>
            <w:vAlign w:val="bottom"/>
            <w:shd w:val="clear" w:color="auto" w:fill="EFE9FC"/>
          </w:tcPr>
          <w:p>
            <w:pPr>
              <w:spacing w:after="0"/>
              <w:rPr>
                <w:sz w:val="23"/>
                <w:szCs w:val="23"/>
                <w:color w:val="auto"/>
              </w:rPr>
            </w:pPr>
          </w:p>
        </w:tc>
        <w:tc>
          <w:tcPr>
            <w:tcW w:w="860" w:type="dxa"/>
            <w:vAlign w:val="bottom"/>
            <w:shd w:val="clear" w:color="auto" w:fill="EFE9FC"/>
          </w:tcPr>
          <w:p>
            <w:pPr>
              <w:spacing w:after="0"/>
              <w:rPr>
                <w:sz w:val="23"/>
                <w:szCs w:val="23"/>
                <w:color w:val="auto"/>
              </w:rPr>
            </w:pPr>
          </w:p>
        </w:tc>
        <w:tc>
          <w:tcPr>
            <w:tcW w:w="1080" w:type="dxa"/>
            <w:vAlign w:val="bottom"/>
            <w:shd w:val="clear" w:color="auto" w:fill="EFE9FC"/>
          </w:tcPr>
          <w:p>
            <w:pPr>
              <w:spacing w:after="0"/>
              <w:rPr>
                <w:sz w:val="23"/>
                <w:szCs w:val="23"/>
                <w:color w:val="auto"/>
              </w:rPr>
            </w:pPr>
          </w:p>
        </w:tc>
        <w:tc>
          <w:tcPr>
            <w:tcW w:w="860" w:type="dxa"/>
            <w:vAlign w:val="bottom"/>
            <w:shd w:val="clear" w:color="auto" w:fill="EFE9FC"/>
          </w:tcPr>
          <w:p>
            <w:pPr>
              <w:spacing w:after="0"/>
              <w:rPr>
                <w:sz w:val="23"/>
                <w:szCs w:val="23"/>
                <w:color w:val="auto"/>
              </w:rPr>
            </w:pPr>
          </w:p>
        </w:tc>
        <w:tc>
          <w:tcPr>
            <w:tcW w:w="1140" w:type="dxa"/>
            <w:vAlign w:val="bottom"/>
            <w:gridSpan w:val="2"/>
            <w:shd w:val="clear" w:color="auto" w:fill="EFE9FC"/>
          </w:tcPr>
          <w:p>
            <w:pPr>
              <w:jc w:val="right"/>
              <w:spacing w:after="0"/>
              <w:rPr>
                <w:sz w:val="20"/>
                <w:szCs w:val="20"/>
                <w:color w:val="auto"/>
              </w:rPr>
            </w:pPr>
            <w:r>
              <w:rPr>
                <w:rFonts w:ascii="Arial" w:cs="Arial" w:eastAsia="Arial" w:hAnsi="Arial"/>
                <w:sz w:val="14"/>
                <w:szCs w:val="14"/>
                <w:color w:val="auto"/>
              </w:rPr>
              <w:t>5,141</w:t>
            </w:r>
            <w:r>
              <w:rPr>
                <w:rFonts w:ascii="Arial" w:cs="Arial" w:eastAsia="Arial" w:hAnsi="Arial"/>
                <w:sz w:val="21"/>
                <w:szCs w:val="21"/>
                <w:color w:val="auto"/>
                <w:vertAlign w:val="superscript"/>
              </w:rPr>
              <w:t>(12)</w:t>
            </w:r>
          </w:p>
        </w:tc>
        <w:tc>
          <w:tcPr>
            <w:tcW w:w="900" w:type="dxa"/>
            <w:vAlign w:val="bottom"/>
            <w:shd w:val="clear" w:color="auto" w:fill="EFE9FC"/>
          </w:tcPr>
          <w:p>
            <w:pPr>
              <w:jc w:val="right"/>
              <w:spacing w:after="0"/>
              <w:rPr>
                <w:sz w:val="20"/>
                <w:szCs w:val="20"/>
                <w:color w:val="auto"/>
              </w:rPr>
            </w:pPr>
            <w:r>
              <w:rPr>
                <w:rFonts w:ascii="Arial" w:cs="Arial" w:eastAsia="Arial" w:hAnsi="Arial"/>
                <w:sz w:val="14"/>
                <w:szCs w:val="14"/>
                <w:color w:val="auto"/>
              </w:rPr>
              <w:t>387,786</w:t>
            </w:r>
          </w:p>
        </w:tc>
        <w:tc>
          <w:tcPr>
            <w:tcW w:w="0" w:type="dxa"/>
            <w:vAlign w:val="bottom"/>
          </w:tcPr>
          <w:p>
            <w:pPr>
              <w:spacing w:after="0"/>
              <w:rPr>
                <w:sz w:val="1"/>
                <w:szCs w:val="1"/>
                <w:color w:val="auto"/>
              </w:rPr>
            </w:pPr>
          </w:p>
        </w:tc>
      </w:tr>
      <w:tr>
        <w:trPr>
          <w:trHeight w:val="243"/>
        </w:trPr>
        <w:tc>
          <w:tcPr>
            <w:tcW w:w="1420" w:type="dxa"/>
            <w:vAlign w:val="bottom"/>
            <w:tcBorders>
              <w:bottom w:val="single" w:sz="8" w:color="4800E6"/>
            </w:tcBorders>
          </w:tcPr>
          <w:p>
            <w:pPr>
              <w:spacing w:after="0"/>
              <w:rPr>
                <w:sz w:val="21"/>
                <w:szCs w:val="21"/>
                <w:color w:val="auto"/>
              </w:rPr>
            </w:pPr>
          </w:p>
        </w:tc>
        <w:tc>
          <w:tcPr>
            <w:tcW w:w="1020" w:type="dxa"/>
            <w:vAlign w:val="bottom"/>
            <w:tcBorders>
              <w:bottom w:val="single" w:sz="8" w:color="4800E6"/>
            </w:tcBorders>
          </w:tcPr>
          <w:p>
            <w:pPr>
              <w:spacing w:after="0"/>
              <w:rPr>
                <w:sz w:val="21"/>
                <w:szCs w:val="21"/>
                <w:color w:val="auto"/>
              </w:rPr>
            </w:pPr>
          </w:p>
        </w:tc>
        <w:tc>
          <w:tcPr>
            <w:tcW w:w="1180" w:type="dxa"/>
            <w:vAlign w:val="bottom"/>
            <w:tcBorders>
              <w:bottom w:val="single" w:sz="8" w:color="4800E6"/>
            </w:tcBorders>
          </w:tcPr>
          <w:p>
            <w:pPr>
              <w:spacing w:after="0"/>
              <w:rPr>
                <w:sz w:val="21"/>
                <w:szCs w:val="21"/>
                <w:color w:val="auto"/>
              </w:rPr>
            </w:pPr>
          </w:p>
        </w:tc>
        <w:tc>
          <w:tcPr>
            <w:tcW w:w="720" w:type="dxa"/>
            <w:vAlign w:val="bottom"/>
            <w:tcBorders>
              <w:bottom w:val="single" w:sz="8" w:color="4800E6"/>
            </w:tcBorders>
          </w:tcPr>
          <w:p>
            <w:pPr>
              <w:spacing w:after="0"/>
              <w:rPr>
                <w:sz w:val="21"/>
                <w:szCs w:val="21"/>
                <w:color w:val="auto"/>
              </w:rPr>
            </w:pPr>
          </w:p>
        </w:tc>
        <w:tc>
          <w:tcPr>
            <w:tcW w:w="860" w:type="dxa"/>
            <w:vAlign w:val="bottom"/>
            <w:tcBorders>
              <w:bottom w:val="single" w:sz="8" w:color="4800E6"/>
            </w:tcBorders>
          </w:tcPr>
          <w:p>
            <w:pPr>
              <w:spacing w:after="0"/>
              <w:rPr>
                <w:sz w:val="21"/>
                <w:szCs w:val="21"/>
                <w:color w:val="auto"/>
              </w:rPr>
            </w:pPr>
          </w:p>
        </w:tc>
        <w:tc>
          <w:tcPr>
            <w:tcW w:w="1080" w:type="dxa"/>
            <w:vAlign w:val="bottom"/>
            <w:tcBorders>
              <w:bottom w:val="single" w:sz="8" w:color="4800E6"/>
            </w:tcBorders>
          </w:tcPr>
          <w:p>
            <w:pPr>
              <w:spacing w:after="0"/>
              <w:rPr>
                <w:sz w:val="21"/>
                <w:szCs w:val="21"/>
                <w:color w:val="auto"/>
              </w:rPr>
            </w:pPr>
          </w:p>
        </w:tc>
        <w:tc>
          <w:tcPr>
            <w:tcW w:w="860" w:type="dxa"/>
            <w:vAlign w:val="bottom"/>
            <w:tcBorders>
              <w:bottom w:val="single" w:sz="8" w:color="4800E6"/>
            </w:tcBorders>
          </w:tcPr>
          <w:p>
            <w:pPr>
              <w:spacing w:after="0"/>
              <w:rPr>
                <w:sz w:val="21"/>
                <w:szCs w:val="21"/>
                <w:color w:val="auto"/>
              </w:rPr>
            </w:pPr>
          </w:p>
        </w:tc>
        <w:tc>
          <w:tcPr>
            <w:tcW w:w="1140" w:type="dxa"/>
            <w:vAlign w:val="bottom"/>
            <w:tcBorders>
              <w:bottom w:val="single" w:sz="8" w:color="4800E6"/>
            </w:tcBorders>
            <w:gridSpan w:val="2"/>
          </w:tcPr>
          <w:p>
            <w:pPr>
              <w:jc w:val="right"/>
              <w:spacing w:after="0"/>
              <w:rPr>
                <w:sz w:val="20"/>
                <w:szCs w:val="20"/>
                <w:color w:val="auto"/>
              </w:rPr>
            </w:pPr>
            <w:r>
              <w:rPr>
                <w:rFonts w:ascii="Arial" w:cs="Arial" w:eastAsia="Arial" w:hAnsi="Arial"/>
                <w:sz w:val="14"/>
                <w:szCs w:val="14"/>
                <w:color w:val="auto"/>
              </w:rPr>
              <w:t>5,141</w:t>
            </w:r>
            <w:r>
              <w:rPr>
                <w:rFonts w:ascii="Arial" w:cs="Arial" w:eastAsia="Arial" w:hAnsi="Arial"/>
                <w:sz w:val="21"/>
                <w:szCs w:val="21"/>
                <w:color w:val="auto"/>
                <w:vertAlign w:val="superscript"/>
              </w:rPr>
              <w:t>(13)</w:t>
            </w:r>
          </w:p>
        </w:tc>
        <w:tc>
          <w:tcPr>
            <w:tcW w:w="900" w:type="dxa"/>
            <w:vAlign w:val="bottom"/>
            <w:tcBorders>
              <w:bottom w:val="single" w:sz="8" w:color="4800E6"/>
            </w:tcBorders>
          </w:tcPr>
          <w:p>
            <w:pPr>
              <w:jc w:val="right"/>
              <w:spacing w:after="0"/>
              <w:rPr>
                <w:sz w:val="20"/>
                <w:szCs w:val="20"/>
                <w:color w:val="auto"/>
              </w:rPr>
            </w:pPr>
            <w:r>
              <w:rPr>
                <w:rFonts w:ascii="Arial" w:cs="Arial" w:eastAsia="Arial" w:hAnsi="Arial"/>
                <w:sz w:val="14"/>
                <w:szCs w:val="14"/>
                <w:color w:val="auto"/>
              </w:rPr>
              <w:t>387,786</w:t>
            </w:r>
          </w:p>
        </w:tc>
        <w:tc>
          <w:tcPr>
            <w:tcW w:w="0" w:type="dxa"/>
            <w:vAlign w:val="bottom"/>
          </w:tcPr>
          <w:p>
            <w:pPr>
              <w:spacing w:after="0"/>
              <w:rPr>
                <w:sz w:val="1"/>
                <w:szCs w:val="1"/>
                <w:color w:val="auto"/>
              </w:rPr>
            </w:pPr>
          </w:p>
        </w:tc>
      </w:tr>
      <w:tr>
        <w:trPr>
          <w:trHeight w:val="211"/>
        </w:trPr>
        <w:tc>
          <w:tcPr>
            <w:tcW w:w="1420" w:type="dxa"/>
            <w:vAlign w:val="bottom"/>
          </w:tcPr>
          <w:p>
            <w:pPr>
              <w:ind w:left="40"/>
              <w:spacing w:after="0"/>
              <w:rPr>
                <w:sz w:val="20"/>
                <w:szCs w:val="20"/>
                <w:color w:val="auto"/>
              </w:rPr>
            </w:pPr>
            <w:r>
              <w:rPr>
                <w:rFonts w:ascii="Arial" w:cs="Arial" w:eastAsia="Arial" w:hAnsi="Arial"/>
                <w:sz w:val="14"/>
                <w:szCs w:val="14"/>
                <w:b w:val="1"/>
                <w:bCs w:val="1"/>
                <w:color w:val="auto"/>
              </w:rPr>
              <w:t>Keyna Skeffington</w:t>
            </w:r>
          </w:p>
        </w:tc>
        <w:tc>
          <w:tcPr>
            <w:tcW w:w="1020" w:type="dxa"/>
            <w:vAlign w:val="bottom"/>
          </w:tcPr>
          <w:p>
            <w:pPr>
              <w:jc w:val="right"/>
              <w:ind w:right="11"/>
              <w:spacing w:after="0"/>
              <w:rPr>
                <w:sz w:val="20"/>
                <w:szCs w:val="20"/>
                <w:color w:val="auto"/>
              </w:rPr>
            </w:pPr>
            <w:r>
              <w:rPr>
                <w:rFonts w:ascii="Arial" w:cs="Arial" w:eastAsia="Arial" w:hAnsi="Arial"/>
                <w:sz w:val="14"/>
                <w:szCs w:val="14"/>
                <w:color w:val="auto"/>
              </w:rPr>
              <w:t>7,602</w:t>
            </w:r>
          </w:p>
        </w:tc>
        <w:tc>
          <w:tcPr>
            <w:tcW w:w="1180" w:type="dxa"/>
            <w:vAlign w:val="bottom"/>
          </w:tcPr>
          <w:p>
            <w:pPr>
              <w:jc w:val="right"/>
              <w:ind w:right="11"/>
              <w:spacing w:after="0"/>
              <w:rPr>
                <w:sz w:val="20"/>
                <w:szCs w:val="20"/>
                <w:color w:val="auto"/>
              </w:rPr>
            </w:pPr>
            <w:r>
              <w:rPr>
                <w:rFonts w:ascii="Arial" w:cs="Arial" w:eastAsia="Arial" w:hAnsi="Arial"/>
                <w:sz w:val="14"/>
                <w:szCs w:val="14"/>
                <w:color w:val="auto"/>
              </w:rPr>
              <w:t>7,601</w:t>
            </w:r>
          </w:p>
        </w:tc>
        <w:tc>
          <w:tcPr>
            <w:tcW w:w="720" w:type="dxa"/>
            <w:vAlign w:val="bottom"/>
          </w:tcPr>
          <w:p>
            <w:pPr>
              <w:jc w:val="right"/>
              <w:spacing w:after="0"/>
              <w:rPr>
                <w:sz w:val="20"/>
                <w:szCs w:val="20"/>
                <w:color w:val="auto"/>
              </w:rPr>
            </w:pPr>
            <w:r>
              <w:rPr>
                <w:rFonts w:ascii="Arial" w:cs="Arial" w:eastAsia="Arial" w:hAnsi="Arial"/>
                <w:sz w:val="14"/>
                <w:szCs w:val="14"/>
                <w:color w:val="auto"/>
              </w:rPr>
              <w:t>59.97</w:t>
            </w:r>
          </w:p>
        </w:tc>
        <w:tc>
          <w:tcPr>
            <w:tcW w:w="860" w:type="dxa"/>
            <w:vAlign w:val="bottom"/>
          </w:tcPr>
          <w:p>
            <w:pPr>
              <w:jc w:val="right"/>
              <w:ind w:right="31"/>
              <w:spacing w:after="0"/>
              <w:rPr>
                <w:sz w:val="20"/>
                <w:szCs w:val="20"/>
                <w:color w:val="auto"/>
              </w:rPr>
            </w:pPr>
            <w:r>
              <w:rPr>
                <w:rFonts w:ascii="Arial" w:cs="Arial" w:eastAsia="Arial" w:hAnsi="Arial"/>
                <w:sz w:val="14"/>
                <w:szCs w:val="14"/>
                <w:color w:val="auto"/>
              </w:rPr>
              <w:t>6/12/2027</w:t>
            </w:r>
          </w:p>
        </w:tc>
        <w:tc>
          <w:tcPr>
            <w:tcW w:w="10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9"/>
        </w:trPr>
        <w:tc>
          <w:tcPr>
            <w:tcW w:w="1420" w:type="dxa"/>
            <w:vAlign w:val="bottom"/>
          </w:tcPr>
          <w:p>
            <w:pPr>
              <w:spacing w:after="0"/>
              <w:rPr>
                <w:sz w:val="3"/>
                <w:szCs w:val="3"/>
                <w:color w:val="auto"/>
              </w:rPr>
            </w:pPr>
          </w:p>
        </w:tc>
        <w:tc>
          <w:tcPr>
            <w:tcW w:w="1020" w:type="dxa"/>
            <w:vAlign w:val="bottom"/>
          </w:tcPr>
          <w:p>
            <w:pPr>
              <w:spacing w:after="0"/>
              <w:rPr>
                <w:sz w:val="3"/>
                <w:szCs w:val="3"/>
                <w:color w:val="auto"/>
              </w:rPr>
            </w:pPr>
          </w:p>
        </w:tc>
        <w:tc>
          <w:tcPr>
            <w:tcW w:w="1180" w:type="dxa"/>
            <w:vAlign w:val="bottom"/>
          </w:tcPr>
          <w:p>
            <w:pPr>
              <w:spacing w:after="0"/>
              <w:rPr>
                <w:sz w:val="3"/>
                <w:szCs w:val="3"/>
                <w:color w:val="auto"/>
              </w:rPr>
            </w:pPr>
          </w:p>
        </w:tc>
        <w:tc>
          <w:tcPr>
            <w:tcW w:w="720" w:type="dxa"/>
            <w:vAlign w:val="bottom"/>
          </w:tcPr>
          <w:p>
            <w:pPr>
              <w:spacing w:after="0"/>
              <w:rPr>
                <w:sz w:val="3"/>
                <w:szCs w:val="3"/>
                <w:color w:val="auto"/>
              </w:rPr>
            </w:pPr>
          </w:p>
        </w:tc>
        <w:tc>
          <w:tcPr>
            <w:tcW w:w="860" w:type="dxa"/>
            <w:vAlign w:val="bottom"/>
          </w:tcPr>
          <w:p>
            <w:pPr>
              <w:spacing w:after="0"/>
              <w:rPr>
                <w:sz w:val="3"/>
                <w:szCs w:val="3"/>
                <w:color w:val="auto"/>
              </w:rPr>
            </w:pPr>
          </w:p>
        </w:tc>
        <w:tc>
          <w:tcPr>
            <w:tcW w:w="1080" w:type="dxa"/>
            <w:vAlign w:val="bottom"/>
          </w:tcPr>
          <w:p>
            <w:pPr>
              <w:spacing w:after="0"/>
              <w:rPr>
                <w:sz w:val="3"/>
                <w:szCs w:val="3"/>
                <w:color w:val="auto"/>
              </w:rPr>
            </w:pPr>
          </w:p>
        </w:tc>
        <w:tc>
          <w:tcPr>
            <w:tcW w:w="860" w:type="dxa"/>
            <w:vAlign w:val="bottom"/>
          </w:tcPr>
          <w:p>
            <w:pPr>
              <w:spacing w:after="0"/>
              <w:rPr>
                <w:sz w:val="3"/>
                <w:szCs w:val="3"/>
                <w:color w:val="auto"/>
              </w:rPr>
            </w:pPr>
          </w:p>
        </w:tc>
        <w:tc>
          <w:tcPr>
            <w:tcW w:w="1020" w:type="dxa"/>
            <w:vAlign w:val="bottom"/>
          </w:tcPr>
          <w:p>
            <w:pPr>
              <w:spacing w:after="0"/>
              <w:rPr>
                <w:sz w:val="3"/>
                <w:szCs w:val="3"/>
                <w:color w:val="auto"/>
              </w:rPr>
            </w:pPr>
          </w:p>
        </w:tc>
        <w:tc>
          <w:tcPr>
            <w:tcW w:w="120" w:type="dxa"/>
            <w:vAlign w:val="bottom"/>
          </w:tcPr>
          <w:p>
            <w:pPr>
              <w:spacing w:after="0"/>
              <w:rPr>
                <w:sz w:val="3"/>
                <w:szCs w:val="3"/>
                <w:color w:val="auto"/>
              </w:rPr>
            </w:pPr>
          </w:p>
        </w:tc>
        <w:tc>
          <w:tcPr>
            <w:tcW w:w="9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04"/>
        </w:trPr>
        <w:tc>
          <w:tcPr>
            <w:tcW w:w="1420" w:type="dxa"/>
            <w:vAlign w:val="bottom"/>
          </w:tcPr>
          <w:p>
            <w:pPr>
              <w:spacing w:after="0"/>
              <w:rPr>
                <w:sz w:val="17"/>
                <w:szCs w:val="17"/>
                <w:color w:val="auto"/>
              </w:rPr>
            </w:pPr>
          </w:p>
        </w:tc>
        <w:tc>
          <w:tcPr>
            <w:tcW w:w="1020" w:type="dxa"/>
            <w:vAlign w:val="bottom"/>
            <w:shd w:val="clear" w:color="auto" w:fill="EFE9FC"/>
          </w:tcPr>
          <w:p>
            <w:pPr>
              <w:jc w:val="right"/>
              <w:ind w:right="11"/>
              <w:spacing w:after="0"/>
              <w:rPr>
                <w:sz w:val="20"/>
                <w:szCs w:val="20"/>
                <w:color w:val="auto"/>
              </w:rPr>
            </w:pPr>
            <w:r>
              <w:rPr>
                <w:rFonts w:ascii="Arial" w:cs="Arial" w:eastAsia="Arial" w:hAnsi="Arial"/>
                <w:sz w:val="14"/>
                <w:szCs w:val="14"/>
                <w:color w:val="auto"/>
              </w:rPr>
              <w:t>1,499</w:t>
            </w:r>
          </w:p>
        </w:tc>
        <w:tc>
          <w:tcPr>
            <w:tcW w:w="1180" w:type="dxa"/>
            <w:vAlign w:val="bottom"/>
            <w:shd w:val="clear" w:color="auto" w:fill="EFE9FC"/>
          </w:tcPr>
          <w:p>
            <w:pPr>
              <w:jc w:val="right"/>
              <w:ind w:right="11"/>
              <w:spacing w:after="0"/>
              <w:rPr>
                <w:sz w:val="20"/>
                <w:szCs w:val="20"/>
                <w:color w:val="auto"/>
              </w:rPr>
            </w:pPr>
            <w:r>
              <w:rPr>
                <w:rFonts w:ascii="Arial" w:cs="Arial" w:eastAsia="Arial" w:hAnsi="Arial"/>
                <w:sz w:val="14"/>
                <w:szCs w:val="14"/>
                <w:color w:val="auto"/>
              </w:rPr>
              <w:t>4,497</w:t>
            </w:r>
          </w:p>
        </w:tc>
        <w:tc>
          <w:tcPr>
            <w:tcW w:w="720" w:type="dxa"/>
            <w:vAlign w:val="bottom"/>
            <w:shd w:val="clear" w:color="auto" w:fill="EFE9FC"/>
          </w:tcPr>
          <w:p>
            <w:pPr>
              <w:jc w:val="right"/>
              <w:spacing w:after="0"/>
              <w:rPr>
                <w:sz w:val="20"/>
                <w:szCs w:val="20"/>
                <w:color w:val="auto"/>
              </w:rPr>
            </w:pPr>
            <w:r>
              <w:rPr>
                <w:rFonts w:ascii="Arial" w:cs="Arial" w:eastAsia="Arial" w:hAnsi="Arial"/>
                <w:sz w:val="14"/>
                <w:szCs w:val="14"/>
                <w:color w:val="auto"/>
              </w:rPr>
              <w:t>88.38</w:t>
            </w:r>
          </w:p>
        </w:tc>
        <w:tc>
          <w:tcPr>
            <w:tcW w:w="860" w:type="dxa"/>
            <w:vAlign w:val="bottom"/>
            <w:shd w:val="clear" w:color="auto" w:fill="EFE9FC"/>
          </w:tcPr>
          <w:p>
            <w:pPr>
              <w:jc w:val="right"/>
              <w:ind w:right="31"/>
              <w:spacing w:after="0"/>
              <w:rPr>
                <w:sz w:val="20"/>
                <w:szCs w:val="20"/>
                <w:color w:val="auto"/>
              </w:rPr>
            </w:pPr>
            <w:r>
              <w:rPr>
                <w:rFonts w:ascii="Arial" w:cs="Arial" w:eastAsia="Arial" w:hAnsi="Arial"/>
                <w:sz w:val="14"/>
                <w:szCs w:val="14"/>
                <w:color w:val="auto"/>
              </w:rPr>
              <w:t>3/15/2028</w:t>
            </w:r>
          </w:p>
        </w:tc>
        <w:tc>
          <w:tcPr>
            <w:tcW w:w="1080" w:type="dxa"/>
            <w:vAlign w:val="bottom"/>
            <w:shd w:val="clear" w:color="auto" w:fill="EFE9FC"/>
          </w:tcPr>
          <w:p>
            <w:pPr>
              <w:spacing w:after="0"/>
              <w:rPr>
                <w:sz w:val="17"/>
                <w:szCs w:val="17"/>
                <w:color w:val="auto"/>
              </w:rPr>
            </w:pPr>
          </w:p>
        </w:tc>
        <w:tc>
          <w:tcPr>
            <w:tcW w:w="860" w:type="dxa"/>
            <w:vAlign w:val="bottom"/>
            <w:shd w:val="clear" w:color="auto" w:fill="EFE9FC"/>
          </w:tcPr>
          <w:p>
            <w:pPr>
              <w:spacing w:after="0"/>
              <w:rPr>
                <w:sz w:val="17"/>
                <w:szCs w:val="17"/>
                <w:color w:val="auto"/>
              </w:rPr>
            </w:pPr>
          </w:p>
        </w:tc>
        <w:tc>
          <w:tcPr>
            <w:tcW w:w="1020" w:type="dxa"/>
            <w:vAlign w:val="bottom"/>
            <w:shd w:val="clear" w:color="auto" w:fill="EFE9FC"/>
          </w:tcPr>
          <w:p>
            <w:pPr>
              <w:spacing w:after="0"/>
              <w:rPr>
                <w:sz w:val="17"/>
                <w:szCs w:val="17"/>
                <w:color w:val="auto"/>
              </w:rPr>
            </w:pPr>
          </w:p>
        </w:tc>
        <w:tc>
          <w:tcPr>
            <w:tcW w:w="120" w:type="dxa"/>
            <w:vAlign w:val="bottom"/>
            <w:shd w:val="clear" w:color="auto" w:fill="EFE9FC"/>
          </w:tcPr>
          <w:p>
            <w:pPr>
              <w:spacing w:after="0"/>
              <w:rPr>
                <w:sz w:val="17"/>
                <w:szCs w:val="17"/>
                <w:color w:val="auto"/>
              </w:rPr>
            </w:pPr>
          </w:p>
        </w:tc>
        <w:tc>
          <w:tcPr>
            <w:tcW w:w="900" w:type="dxa"/>
            <w:vAlign w:val="bottom"/>
            <w:shd w:val="clear" w:color="auto" w:fill="EFE9FC"/>
          </w:tcPr>
          <w:p>
            <w:pPr>
              <w:spacing w:after="0"/>
              <w:rPr>
                <w:sz w:val="17"/>
                <w:szCs w:val="17"/>
                <w:color w:val="auto"/>
              </w:rPr>
            </w:pPr>
          </w:p>
        </w:tc>
        <w:tc>
          <w:tcPr>
            <w:tcW w:w="0" w:type="dxa"/>
            <w:vAlign w:val="bottom"/>
          </w:tcPr>
          <w:p>
            <w:pPr>
              <w:spacing w:after="0"/>
              <w:rPr>
                <w:sz w:val="1"/>
                <w:szCs w:val="1"/>
                <w:color w:val="auto"/>
              </w:rPr>
            </w:pPr>
          </w:p>
        </w:tc>
      </w:tr>
      <w:tr>
        <w:trPr>
          <w:trHeight w:val="66"/>
        </w:trPr>
        <w:tc>
          <w:tcPr>
            <w:tcW w:w="1420" w:type="dxa"/>
            <w:vAlign w:val="bottom"/>
          </w:tcPr>
          <w:p>
            <w:pPr>
              <w:spacing w:after="0"/>
              <w:rPr>
                <w:sz w:val="5"/>
                <w:szCs w:val="5"/>
                <w:color w:val="auto"/>
              </w:rPr>
            </w:pPr>
          </w:p>
        </w:tc>
        <w:tc>
          <w:tcPr>
            <w:tcW w:w="1020" w:type="dxa"/>
            <w:vAlign w:val="bottom"/>
            <w:shd w:val="clear" w:color="auto" w:fill="EFE9FC"/>
          </w:tcPr>
          <w:p>
            <w:pPr>
              <w:spacing w:after="0"/>
              <w:rPr>
                <w:sz w:val="5"/>
                <w:szCs w:val="5"/>
                <w:color w:val="auto"/>
              </w:rPr>
            </w:pPr>
          </w:p>
        </w:tc>
        <w:tc>
          <w:tcPr>
            <w:tcW w:w="1180" w:type="dxa"/>
            <w:vAlign w:val="bottom"/>
            <w:shd w:val="clear" w:color="auto" w:fill="EFE9FC"/>
          </w:tcPr>
          <w:p>
            <w:pPr>
              <w:spacing w:after="0"/>
              <w:rPr>
                <w:sz w:val="5"/>
                <w:szCs w:val="5"/>
                <w:color w:val="auto"/>
              </w:rPr>
            </w:pPr>
          </w:p>
        </w:tc>
        <w:tc>
          <w:tcPr>
            <w:tcW w:w="720" w:type="dxa"/>
            <w:vAlign w:val="bottom"/>
            <w:shd w:val="clear" w:color="auto" w:fill="EFE9FC"/>
          </w:tcPr>
          <w:p>
            <w:pPr>
              <w:spacing w:after="0"/>
              <w:rPr>
                <w:sz w:val="5"/>
                <w:szCs w:val="5"/>
                <w:color w:val="auto"/>
              </w:rPr>
            </w:pPr>
          </w:p>
        </w:tc>
        <w:tc>
          <w:tcPr>
            <w:tcW w:w="860" w:type="dxa"/>
            <w:vAlign w:val="bottom"/>
            <w:shd w:val="clear" w:color="auto" w:fill="EFE9FC"/>
          </w:tcPr>
          <w:p>
            <w:pPr>
              <w:spacing w:after="0"/>
              <w:rPr>
                <w:sz w:val="5"/>
                <w:szCs w:val="5"/>
                <w:color w:val="auto"/>
              </w:rPr>
            </w:pPr>
          </w:p>
        </w:tc>
        <w:tc>
          <w:tcPr>
            <w:tcW w:w="1080" w:type="dxa"/>
            <w:vAlign w:val="bottom"/>
            <w:shd w:val="clear" w:color="auto" w:fill="EFE9FC"/>
          </w:tcPr>
          <w:p>
            <w:pPr>
              <w:spacing w:after="0"/>
              <w:rPr>
                <w:sz w:val="5"/>
                <w:szCs w:val="5"/>
                <w:color w:val="auto"/>
              </w:rPr>
            </w:pPr>
          </w:p>
        </w:tc>
        <w:tc>
          <w:tcPr>
            <w:tcW w:w="860" w:type="dxa"/>
            <w:vAlign w:val="bottom"/>
            <w:shd w:val="clear" w:color="auto" w:fill="EFE9FC"/>
          </w:tcPr>
          <w:p>
            <w:pPr>
              <w:spacing w:after="0"/>
              <w:rPr>
                <w:sz w:val="5"/>
                <w:szCs w:val="5"/>
                <w:color w:val="auto"/>
              </w:rPr>
            </w:pPr>
          </w:p>
        </w:tc>
        <w:tc>
          <w:tcPr>
            <w:tcW w:w="1020" w:type="dxa"/>
            <w:vAlign w:val="bottom"/>
            <w:shd w:val="clear" w:color="auto" w:fill="EFE9FC"/>
          </w:tcPr>
          <w:p>
            <w:pPr>
              <w:spacing w:after="0"/>
              <w:rPr>
                <w:sz w:val="5"/>
                <w:szCs w:val="5"/>
                <w:color w:val="auto"/>
              </w:rPr>
            </w:pPr>
          </w:p>
        </w:tc>
        <w:tc>
          <w:tcPr>
            <w:tcW w:w="120" w:type="dxa"/>
            <w:vAlign w:val="bottom"/>
            <w:shd w:val="clear" w:color="auto" w:fill="EFE9FC"/>
          </w:tcPr>
          <w:p>
            <w:pPr>
              <w:spacing w:after="0"/>
              <w:rPr>
                <w:sz w:val="5"/>
                <w:szCs w:val="5"/>
                <w:color w:val="auto"/>
              </w:rPr>
            </w:pPr>
          </w:p>
        </w:tc>
        <w:tc>
          <w:tcPr>
            <w:tcW w:w="900" w:type="dxa"/>
            <w:vAlign w:val="bottom"/>
            <w:shd w:val="clear" w:color="auto" w:fill="EFE9FC"/>
          </w:tcPr>
          <w:p>
            <w:pPr>
              <w:spacing w:after="0"/>
              <w:rPr>
                <w:sz w:val="5"/>
                <w:szCs w:val="5"/>
                <w:color w:val="auto"/>
              </w:rPr>
            </w:pPr>
          </w:p>
        </w:tc>
        <w:tc>
          <w:tcPr>
            <w:tcW w:w="0" w:type="dxa"/>
            <w:vAlign w:val="bottom"/>
          </w:tcPr>
          <w:p>
            <w:pPr>
              <w:spacing w:after="0"/>
              <w:rPr>
                <w:sz w:val="1"/>
                <w:szCs w:val="1"/>
                <w:color w:val="auto"/>
              </w:rPr>
            </w:pPr>
          </w:p>
        </w:tc>
      </w:tr>
      <w:tr>
        <w:trPr>
          <w:trHeight w:val="204"/>
        </w:trPr>
        <w:tc>
          <w:tcPr>
            <w:tcW w:w="1420" w:type="dxa"/>
            <w:vAlign w:val="bottom"/>
          </w:tcPr>
          <w:p>
            <w:pPr>
              <w:spacing w:after="0"/>
              <w:rPr>
                <w:sz w:val="17"/>
                <w:szCs w:val="17"/>
                <w:color w:val="auto"/>
              </w:rPr>
            </w:pPr>
          </w:p>
        </w:tc>
        <w:tc>
          <w:tcPr>
            <w:tcW w:w="1020" w:type="dxa"/>
            <w:vAlign w:val="bottom"/>
          </w:tcPr>
          <w:p>
            <w:pPr>
              <w:jc w:val="right"/>
              <w:ind w:right="11"/>
              <w:spacing w:after="0"/>
              <w:rPr>
                <w:sz w:val="20"/>
                <w:szCs w:val="20"/>
                <w:color w:val="auto"/>
              </w:rPr>
            </w:pPr>
            <w:r>
              <w:rPr>
                <w:rFonts w:ascii="Arial" w:cs="Arial" w:eastAsia="Arial" w:hAnsi="Arial"/>
                <w:sz w:val="14"/>
                <w:szCs w:val="14"/>
                <w:color w:val="auto"/>
              </w:rPr>
              <w:t>–</w:t>
            </w:r>
          </w:p>
        </w:tc>
        <w:tc>
          <w:tcPr>
            <w:tcW w:w="1180" w:type="dxa"/>
            <w:vAlign w:val="bottom"/>
          </w:tcPr>
          <w:p>
            <w:pPr>
              <w:jc w:val="right"/>
              <w:ind w:right="11"/>
              <w:spacing w:after="0"/>
              <w:rPr>
                <w:sz w:val="20"/>
                <w:szCs w:val="20"/>
                <w:color w:val="auto"/>
              </w:rPr>
            </w:pPr>
            <w:r>
              <w:rPr>
                <w:rFonts w:ascii="Arial" w:cs="Arial" w:eastAsia="Arial" w:hAnsi="Arial"/>
                <w:sz w:val="14"/>
                <w:szCs w:val="14"/>
                <w:color w:val="auto"/>
              </w:rPr>
              <w:t>7,084</w:t>
            </w:r>
          </w:p>
        </w:tc>
        <w:tc>
          <w:tcPr>
            <w:tcW w:w="720" w:type="dxa"/>
            <w:vAlign w:val="bottom"/>
          </w:tcPr>
          <w:p>
            <w:pPr>
              <w:jc w:val="right"/>
              <w:spacing w:after="0"/>
              <w:rPr>
                <w:sz w:val="20"/>
                <w:szCs w:val="20"/>
                <w:color w:val="auto"/>
              </w:rPr>
            </w:pPr>
            <w:r>
              <w:rPr>
                <w:rFonts w:ascii="Arial" w:cs="Arial" w:eastAsia="Arial" w:hAnsi="Arial"/>
                <w:sz w:val="14"/>
                <w:szCs w:val="14"/>
                <w:color w:val="auto"/>
              </w:rPr>
              <w:t>97.25</w:t>
            </w:r>
          </w:p>
        </w:tc>
        <w:tc>
          <w:tcPr>
            <w:tcW w:w="860" w:type="dxa"/>
            <w:vAlign w:val="bottom"/>
          </w:tcPr>
          <w:p>
            <w:pPr>
              <w:jc w:val="right"/>
              <w:ind w:right="31"/>
              <w:spacing w:after="0"/>
              <w:rPr>
                <w:sz w:val="20"/>
                <w:szCs w:val="20"/>
                <w:color w:val="auto"/>
              </w:rPr>
            </w:pPr>
            <w:r>
              <w:rPr>
                <w:rFonts w:ascii="Arial" w:cs="Arial" w:eastAsia="Arial" w:hAnsi="Arial"/>
                <w:sz w:val="14"/>
                <w:szCs w:val="14"/>
                <w:color w:val="auto"/>
              </w:rPr>
              <w:t>3/30/2029</w:t>
            </w:r>
          </w:p>
        </w:tc>
        <w:tc>
          <w:tcPr>
            <w:tcW w:w="108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9"/>
        </w:trPr>
        <w:tc>
          <w:tcPr>
            <w:tcW w:w="1420" w:type="dxa"/>
            <w:vAlign w:val="bottom"/>
          </w:tcPr>
          <w:p>
            <w:pPr>
              <w:spacing w:after="0"/>
              <w:rPr>
                <w:sz w:val="3"/>
                <w:szCs w:val="3"/>
                <w:color w:val="auto"/>
              </w:rPr>
            </w:pPr>
          </w:p>
        </w:tc>
        <w:tc>
          <w:tcPr>
            <w:tcW w:w="1020" w:type="dxa"/>
            <w:vAlign w:val="bottom"/>
          </w:tcPr>
          <w:p>
            <w:pPr>
              <w:spacing w:after="0"/>
              <w:rPr>
                <w:sz w:val="3"/>
                <w:szCs w:val="3"/>
                <w:color w:val="auto"/>
              </w:rPr>
            </w:pPr>
          </w:p>
        </w:tc>
        <w:tc>
          <w:tcPr>
            <w:tcW w:w="1180" w:type="dxa"/>
            <w:vAlign w:val="bottom"/>
          </w:tcPr>
          <w:p>
            <w:pPr>
              <w:spacing w:after="0"/>
              <w:rPr>
                <w:sz w:val="3"/>
                <w:szCs w:val="3"/>
                <w:color w:val="auto"/>
              </w:rPr>
            </w:pPr>
          </w:p>
        </w:tc>
        <w:tc>
          <w:tcPr>
            <w:tcW w:w="720" w:type="dxa"/>
            <w:vAlign w:val="bottom"/>
          </w:tcPr>
          <w:p>
            <w:pPr>
              <w:spacing w:after="0"/>
              <w:rPr>
                <w:sz w:val="3"/>
                <w:szCs w:val="3"/>
                <w:color w:val="auto"/>
              </w:rPr>
            </w:pPr>
          </w:p>
        </w:tc>
        <w:tc>
          <w:tcPr>
            <w:tcW w:w="860" w:type="dxa"/>
            <w:vAlign w:val="bottom"/>
          </w:tcPr>
          <w:p>
            <w:pPr>
              <w:spacing w:after="0"/>
              <w:rPr>
                <w:sz w:val="3"/>
                <w:szCs w:val="3"/>
                <w:color w:val="auto"/>
              </w:rPr>
            </w:pPr>
          </w:p>
        </w:tc>
        <w:tc>
          <w:tcPr>
            <w:tcW w:w="1080" w:type="dxa"/>
            <w:vAlign w:val="bottom"/>
          </w:tcPr>
          <w:p>
            <w:pPr>
              <w:spacing w:after="0"/>
              <w:rPr>
                <w:sz w:val="3"/>
                <w:szCs w:val="3"/>
                <w:color w:val="auto"/>
              </w:rPr>
            </w:pPr>
          </w:p>
        </w:tc>
        <w:tc>
          <w:tcPr>
            <w:tcW w:w="860" w:type="dxa"/>
            <w:vAlign w:val="bottom"/>
          </w:tcPr>
          <w:p>
            <w:pPr>
              <w:spacing w:after="0"/>
              <w:rPr>
                <w:sz w:val="3"/>
                <w:szCs w:val="3"/>
                <w:color w:val="auto"/>
              </w:rPr>
            </w:pPr>
          </w:p>
        </w:tc>
        <w:tc>
          <w:tcPr>
            <w:tcW w:w="1020" w:type="dxa"/>
            <w:vAlign w:val="bottom"/>
          </w:tcPr>
          <w:p>
            <w:pPr>
              <w:spacing w:after="0"/>
              <w:rPr>
                <w:sz w:val="3"/>
                <w:szCs w:val="3"/>
                <w:color w:val="auto"/>
              </w:rPr>
            </w:pPr>
          </w:p>
        </w:tc>
        <w:tc>
          <w:tcPr>
            <w:tcW w:w="120" w:type="dxa"/>
            <w:vAlign w:val="bottom"/>
          </w:tcPr>
          <w:p>
            <w:pPr>
              <w:spacing w:after="0"/>
              <w:rPr>
                <w:sz w:val="3"/>
                <w:szCs w:val="3"/>
                <w:color w:val="auto"/>
              </w:rPr>
            </w:pPr>
          </w:p>
        </w:tc>
        <w:tc>
          <w:tcPr>
            <w:tcW w:w="9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70"/>
        </w:trPr>
        <w:tc>
          <w:tcPr>
            <w:tcW w:w="1420" w:type="dxa"/>
            <w:vAlign w:val="bottom"/>
          </w:tcPr>
          <w:p>
            <w:pPr>
              <w:spacing w:after="0"/>
              <w:rPr>
                <w:sz w:val="23"/>
                <w:szCs w:val="23"/>
                <w:color w:val="auto"/>
              </w:rPr>
            </w:pPr>
          </w:p>
        </w:tc>
        <w:tc>
          <w:tcPr>
            <w:tcW w:w="1020" w:type="dxa"/>
            <w:vAlign w:val="bottom"/>
            <w:shd w:val="clear" w:color="auto" w:fill="EFE9FC"/>
          </w:tcPr>
          <w:p>
            <w:pPr>
              <w:spacing w:after="0"/>
              <w:rPr>
                <w:sz w:val="23"/>
                <w:szCs w:val="23"/>
                <w:color w:val="auto"/>
              </w:rPr>
            </w:pPr>
          </w:p>
        </w:tc>
        <w:tc>
          <w:tcPr>
            <w:tcW w:w="1180" w:type="dxa"/>
            <w:vAlign w:val="bottom"/>
            <w:shd w:val="clear" w:color="auto" w:fill="EFE9FC"/>
          </w:tcPr>
          <w:p>
            <w:pPr>
              <w:spacing w:after="0"/>
              <w:rPr>
                <w:sz w:val="23"/>
                <w:szCs w:val="23"/>
                <w:color w:val="auto"/>
              </w:rPr>
            </w:pPr>
          </w:p>
        </w:tc>
        <w:tc>
          <w:tcPr>
            <w:tcW w:w="720" w:type="dxa"/>
            <w:vAlign w:val="bottom"/>
            <w:shd w:val="clear" w:color="auto" w:fill="EFE9FC"/>
          </w:tcPr>
          <w:p>
            <w:pPr>
              <w:spacing w:after="0"/>
              <w:rPr>
                <w:sz w:val="23"/>
                <w:szCs w:val="23"/>
                <w:color w:val="auto"/>
              </w:rPr>
            </w:pPr>
          </w:p>
        </w:tc>
        <w:tc>
          <w:tcPr>
            <w:tcW w:w="860" w:type="dxa"/>
            <w:vAlign w:val="bottom"/>
            <w:shd w:val="clear" w:color="auto" w:fill="EFE9FC"/>
          </w:tcPr>
          <w:p>
            <w:pPr>
              <w:spacing w:after="0"/>
              <w:rPr>
                <w:sz w:val="23"/>
                <w:szCs w:val="23"/>
                <w:color w:val="auto"/>
              </w:rPr>
            </w:pPr>
          </w:p>
        </w:tc>
        <w:tc>
          <w:tcPr>
            <w:tcW w:w="1080" w:type="dxa"/>
            <w:vAlign w:val="bottom"/>
            <w:shd w:val="clear" w:color="auto" w:fill="EFE9FC"/>
          </w:tcPr>
          <w:p>
            <w:pPr>
              <w:jc w:val="right"/>
              <w:spacing w:after="0"/>
              <w:rPr>
                <w:sz w:val="20"/>
                <w:szCs w:val="20"/>
                <w:color w:val="auto"/>
              </w:rPr>
            </w:pPr>
            <w:r>
              <w:rPr>
                <w:rFonts w:ascii="Arial" w:cs="Arial" w:eastAsia="Arial" w:hAnsi="Arial"/>
                <w:sz w:val="14"/>
                <w:szCs w:val="14"/>
                <w:color w:val="auto"/>
              </w:rPr>
              <w:t>2,292</w:t>
            </w:r>
            <w:r>
              <w:rPr>
                <w:rFonts w:ascii="Arial" w:cs="Arial" w:eastAsia="Arial" w:hAnsi="Arial"/>
                <w:sz w:val="21"/>
                <w:szCs w:val="21"/>
                <w:color w:val="auto"/>
                <w:vertAlign w:val="superscript"/>
              </w:rPr>
              <w:t>(17)</w:t>
            </w:r>
          </w:p>
        </w:tc>
        <w:tc>
          <w:tcPr>
            <w:tcW w:w="860" w:type="dxa"/>
            <w:vAlign w:val="bottom"/>
            <w:shd w:val="clear" w:color="auto" w:fill="EFE9FC"/>
          </w:tcPr>
          <w:p>
            <w:pPr>
              <w:jc w:val="right"/>
              <w:ind w:right="11"/>
              <w:spacing w:after="0"/>
              <w:rPr>
                <w:sz w:val="20"/>
                <w:szCs w:val="20"/>
                <w:color w:val="auto"/>
              </w:rPr>
            </w:pPr>
            <w:r>
              <w:rPr>
                <w:rFonts w:ascii="Arial" w:cs="Arial" w:eastAsia="Arial" w:hAnsi="Arial"/>
                <w:sz w:val="14"/>
                <w:szCs w:val="14"/>
                <w:color w:val="auto"/>
              </w:rPr>
              <w:t>172,886</w:t>
            </w:r>
          </w:p>
        </w:tc>
        <w:tc>
          <w:tcPr>
            <w:tcW w:w="1020" w:type="dxa"/>
            <w:vAlign w:val="bottom"/>
            <w:shd w:val="clear" w:color="auto" w:fill="EFE9FC"/>
          </w:tcPr>
          <w:p>
            <w:pPr>
              <w:spacing w:after="0"/>
              <w:rPr>
                <w:sz w:val="23"/>
                <w:szCs w:val="23"/>
                <w:color w:val="auto"/>
              </w:rPr>
            </w:pPr>
          </w:p>
        </w:tc>
        <w:tc>
          <w:tcPr>
            <w:tcW w:w="120" w:type="dxa"/>
            <w:vAlign w:val="bottom"/>
            <w:shd w:val="clear" w:color="auto" w:fill="EFE9FC"/>
          </w:tcPr>
          <w:p>
            <w:pPr>
              <w:spacing w:after="0"/>
              <w:rPr>
                <w:sz w:val="23"/>
                <w:szCs w:val="23"/>
                <w:color w:val="auto"/>
              </w:rPr>
            </w:pPr>
          </w:p>
        </w:tc>
        <w:tc>
          <w:tcPr>
            <w:tcW w:w="900" w:type="dxa"/>
            <w:vAlign w:val="bottom"/>
            <w:shd w:val="clear" w:color="auto" w:fill="EFE9FC"/>
          </w:tcPr>
          <w:p>
            <w:pPr>
              <w:spacing w:after="0"/>
              <w:rPr>
                <w:sz w:val="23"/>
                <w:szCs w:val="23"/>
                <w:color w:val="auto"/>
              </w:rPr>
            </w:pPr>
          </w:p>
        </w:tc>
        <w:tc>
          <w:tcPr>
            <w:tcW w:w="0" w:type="dxa"/>
            <w:vAlign w:val="bottom"/>
          </w:tcPr>
          <w:p>
            <w:pPr>
              <w:spacing w:after="0"/>
              <w:rPr>
                <w:sz w:val="1"/>
                <w:szCs w:val="1"/>
                <w:color w:val="auto"/>
              </w:rPr>
            </w:pPr>
          </w:p>
        </w:tc>
      </w:tr>
      <w:tr>
        <w:trPr>
          <w:trHeight w:val="243"/>
        </w:trPr>
        <w:tc>
          <w:tcPr>
            <w:tcW w:w="142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1080" w:type="dxa"/>
            <w:vAlign w:val="bottom"/>
          </w:tcPr>
          <w:p>
            <w:pPr>
              <w:jc w:val="right"/>
              <w:ind w:right="31"/>
              <w:spacing w:after="0"/>
              <w:rPr>
                <w:sz w:val="20"/>
                <w:szCs w:val="20"/>
                <w:color w:val="auto"/>
              </w:rPr>
            </w:pPr>
            <w:r>
              <w:rPr>
                <w:rFonts w:ascii="Arial" w:cs="Arial" w:eastAsia="Arial" w:hAnsi="Arial"/>
                <w:sz w:val="14"/>
                <w:szCs w:val="14"/>
                <w:color w:val="auto"/>
              </w:rPr>
              <w:t>1,378</w:t>
            </w:r>
            <w:r>
              <w:rPr>
                <w:rFonts w:ascii="Arial" w:cs="Arial" w:eastAsia="Arial" w:hAnsi="Arial"/>
                <w:sz w:val="21"/>
                <w:szCs w:val="21"/>
                <w:color w:val="auto"/>
                <w:vertAlign w:val="superscript"/>
              </w:rPr>
              <w:t>(8)</w:t>
            </w:r>
          </w:p>
        </w:tc>
        <w:tc>
          <w:tcPr>
            <w:tcW w:w="860" w:type="dxa"/>
            <w:vAlign w:val="bottom"/>
          </w:tcPr>
          <w:p>
            <w:pPr>
              <w:jc w:val="right"/>
              <w:ind w:right="11"/>
              <w:spacing w:after="0"/>
              <w:rPr>
                <w:sz w:val="20"/>
                <w:szCs w:val="20"/>
                <w:color w:val="auto"/>
              </w:rPr>
            </w:pPr>
            <w:r>
              <w:rPr>
                <w:rFonts w:ascii="Arial" w:cs="Arial" w:eastAsia="Arial" w:hAnsi="Arial"/>
                <w:sz w:val="14"/>
                <w:szCs w:val="14"/>
                <w:color w:val="auto"/>
              </w:rPr>
              <w:t>103,943</w:t>
            </w:r>
          </w:p>
        </w:tc>
        <w:tc>
          <w:tcPr>
            <w:tcW w:w="10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0"/>
        </w:trPr>
        <w:tc>
          <w:tcPr>
            <w:tcW w:w="1420" w:type="dxa"/>
            <w:vAlign w:val="bottom"/>
          </w:tcPr>
          <w:p>
            <w:pPr>
              <w:spacing w:after="0"/>
              <w:rPr>
                <w:sz w:val="23"/>
                <w:szCs w:val="23"/>
                <w:color w:val="auto"/>
              </w:rPr>
            </w:pPr>
          </w:p>
        </w:tc>
        <w:tc>
          <w:tcPr>
            <w:tcW w:w="1020" w:type="dxa"/>
            <w:vAlign w:val="bottom"/>
            <w:shd w:val="clear" w:color="auto" w:fill="EFE9FC"/>
          </w:tcPr>
          <w:p>
            <w:pPr>
              <w:spacing w:after="0"/>
              <w:rPr>
                <w:sz w:val="23"/>
                <w:szCs w:val="23"/>
                <w:color w:val="auto"/>
              </w:rPr>
            </w:pPr>
          </w:p>
        </w:tc>
        <w:tc>
          <w:tcPr>
            <w:tcW w:w="1180" w:type="dxa"/>
            <w:vAlign w:val="bottom"/>
            <w:shd w:val="clear" w:color="auto" w:fill="EFE9FC"/>
          </w:tcPr>
          <w:p>
            <w:pPr>
              <w:spacing w:after="0"/>
              <w:rPr>
                <w:sz w:val="23"/>
                <w:szCs w:val="23"/>
                <w:color w:val="auto"/>
              </w:rPr>
            </w:pPr>
          </w:p>
        </w:tc>
        <w:tc>
          <w:tcPr>
            <w:tcW w:w="720" w:type="dxa"/>
            <w:vAlign w:val="bottom"/>
            <w:shd w:val="clear" w:color="auto" w:fill="EFE9FC"/>
          </w:tcPr>
          <w:p>
            <w:pPr>
              <w:spacing w:after="0"/>
              <w:rPr>
                <w:sz w:val="23"/>
                <w:szCs w:val="23"/>
                <w:color w:val="auto"/>
              </w:rPr>
            </w:pPr>
          </w:p>
        </w:tc>
        <w:tc>
          <w:tcPr>
            <w:tcW w:w="860" w:type="dxa"/>
            <w:vAlign w:val="bottom"/>
            <w:shd w:val="clear" w:color="auto" w:fill="EFE9FC"/>
          </w:tcPr>
          <w:p>
            <w:pPr>
              <w:spacing w:after="0"/>
              <w:rPr>
                <w:sz w:val="23"/>
                <w:szCs w:val="23"/>
                <w:color w:val="auto"/>
              </w:rPr>
            </w:pPr>
          </w:p>
        </w:tc>
        <w:tc>
          <w:tcPr>
            <w:tcW w:w="1080" w:type="dxa"/>
            <w:vAlign w:val="bottom"/>
            <w:shd w:val="clear" w:color="auto" w:fill="EFE9FC"/>
          </w:tcPr>
          <w:p>
            <w:pPr>
              <w:jc w:val="right"/>
              <w:spacing w:after="0" w:line="257" w:lineRule="exact"/>
              <w:rPr>
                <w:sz w:val="20"/>
                <w:szCs w:val="20"/>
                <w:color w:val="auto"/>
              </w:rPr>
            </w:pPr>
            <w:r>
              <w:rPr>
                <w:rFonts w:ascii="Arial" w:cs="Arial" w:eastAsia="Arial" w:hAnsi="Arial"/>
                <w:sz w:val="28"/>
                <w:szCs w:val="28"/>
                <w:color w:val="auto"/>
                <w:vertAlign w:val="subscript"/>
              </w:rPr>
              <w:t>901</w:t>
            </w:r>
            <w:r>
              <w:rPr>
                <w:rFonts w:ascii="Arial" w:cs="Arial" w:eastAsia="Arial" w:hAnsi="Arial"/>
                <w:sz w:val="11"/>
                <w:szCs w:val="11"/>
                <w:color w:val="auto"/>
              </w:rPr>
              <w:t>(18)</w:t>
            </w:r>
          </w:p>
        </w:tc>
        <w:tc>
          <w:tcPr>
            <w:tcW w:w="860" w:type="dxa"/>
            <w:vAlign w:val="bottom"/>
            <w:shd w:val="clear" w:color="auto" w:fill="EFE9FC"/>
          </w:tcPr>
          <w:p>
            <w:pPr>
              <w:jc w:val="right"/>
              <w:ind w:right="11"/>
              <w:spacing w:after="0"/>
              <w:rPr>
                <w:sz w:val="20"/>
                <w:szCs w:val="20"/>
                <w:color w:val="auto"/>
              </w:rPr>
            </w:pPr>
            <w:r>
              <w:rPr>
                <w:rFonts w:ascii="Arial" w:cs="Arial" w:eastAsia="Arial" w:hAnsi="Arial"/>
                <w:sz w:val="14"/>
                <w:szCs w:val="14"/>
                <w:color w:val="auto"/>
              </w:rPr>
              <w:t>67,962</w:t>
            </w:r>
          </w:p>
        </w:tc>
        <w:tc>
          <w:tcPr>
            <w:tcW w:w="1020" w:type="dxa"/>
            <w:vAlign w:val="bottom"/>
            <w:shd w:val="clear" w:color="auto" w:fill="EFE9FC"/>
          </w:tcPr>
          <w:p>
            <w:pPr>
              <w:spacing w:after="0"/>
              <w:rPr>
                <w:sz w:val="23"/>
                <w:szCs w:val="23"/>
                <w:color w:val="auto"/>
              </w:rPr>
            </w:pPr>
          </w:p>
        </w:tc>
        <w:tc>
          <w:tcPr>
            <w:tcW w:w="120" w:type="dxa"/>
            <w:vAlign w:val="bottom"/>
            <w:shd w:val="clear" w:color="auto" w:fill="EFE9FC"/>
          </w:tcPr>
          <w:p>
            <w:pPr>
              <w:spacing w:after="0"/>
              <w:rPr>
                <w:sz w:val="23"/>
                <w:szCs w:val="23"/>
                <w:color w:val="auto"/>
              </w:rPr>
            </w:pPr>
          </w:p>
        </w:tc>
        <w:tc>
          <w:tcPr>
            <w:tcW w:w="900" w:type="dxa"/>
            <w:vAlign w:val="bottom"/>
            <w:shd w:val="clear" w:color="auto" w:fill="EFE9FC"/>
          </w:tcPr>
          <w:p>
            <w:pPr>
              <w:spacing w:after="0"/>
              <w:rPr>
                <w:sz w:val="23"/>
                <w:szCs w:val="23"/>
                <w:color w:val="auto"/>
              </w:rPr>
            </w:pPr>
          </w:p>
        </w:tc>
        <w:tc>
          <w:tcPr>
            <w:tcW w:w="0" w:type="dxa"/>
            <w:vAlign w:val="bottom"/>
          </w:tcPr>
          <w:p>
            <w:pPr>
              <w:spacing w:after="0"/>
              <w:rPr>
                <w:sz w:val="1"/>
                <w:szCs w:val="1"/>
                <w:color w:val="auto"/>
              </w:rPr>
            </w:pPr>
          </w:p>
        </w:tc>
      </w:tr>
      <w:tr>
        <w:trPr>
          <w:trHeight w:val="243"/>
        </w:trPr>
        <w:tc>
          <w:tcPr>
            <w:tcW w:w="142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1080" w:type="dxa"/>
            <w:vAlign w:val="bottom"/>
          </w:tcPr>
          <w:p>
            <w:pPr>
              <w:jc w:val="right"/>
              <w:ind w:right="31"/>
              <w:spacing w:after="0"/>
              <w:rPr>
                <w:sz w:val="20"/>
                <w:szCs w:val="20"/>
                <w:color w:val="auto"/>
              </w:rPr>
            </w:pPr>
            <w:r>
              <w:rPr>
                <w:rFonts w:ascii="Arial" w:cs="Arial" w:eastAsia="Arial" w:hAnsi="Arial"/>
                <w:sz w:val="14"/>
                <w:szCs w:val="14"/>
                <w:color w:val="auto"/>
              </w:rPr>
              <w:t>2,313</w:t>
            </w:r>
            <w:r>
              <w:rPr>
                <w:rFonts w:ascii="Arial" w:cs="Arial" w:eastAsia="Arial" w:hAnsi="Arial"/>
                <w:sz w:val="21"/>
                <w:szCs w:val="21"/>
                <w:color w:val="auto"/>
                <w:vertAlign w:val="superscript"/>
              </w:rPr>
              <w:t>(9)</w:t>
            </w:r>
          </w:p>
        </w:tc>
        <w:tc>
          <w:tcPr>
            <w:tcW w:w="860" w:type="dxa"/>
            <w:vAlign w:val="bottom"/>
          </w:tcPr>
          <w:p>
            <w:pPr>
              <w:jc w:val="right"/>
              <w:ind w:right="11"/>
              <w:spacing w:after="0"/>
              <w:rPr>
                <w:sz w:val="20"/>
                <w:szCs w:val="20"/>
                <w:color w:val="auto"/>
              </w:rPr>
            </w:pPr>
            <w:r>
              <w:rPr>
                <w:rFonts w:ascii="Arial" w:cs="Arial" w:eastAsia="Arial" w:hAnsi="Arial"/>
                <w:sz w:val="14"/>
                <w:szCs w:val="14"/>
                <w:color w:val="auto"/>
              </w:rPr>
              <w:t>174,470</w:t>
            </w:r>
          </w:p>
        </w:tc>
        <w:tc>
          <w:tcPr>
            <w:tcW w:w="10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0"/>
        </w:trPr>
        <w:tc>
          <w:tcPr>
            <w:tcW w:w="1420" w:type="dxa"/>
            <w:vAlign w:val="bottom"/>
          </w:tcPr>
          <w:p>
            <w:pPr>
              <w:spacing w:after="0"/>
              <w:rPr>
                <w:sz w:val="23"/>
                <w:szCs w:val="23"/>
                <w:color w:val="auto"/>
              </w:rPr>
            </w:pPr>
          </w:p>
        </w:tc>
        <w:tc>
          <w:tcPr>
            <w:tcW w:w="1020" w:type="dxa"/>
            <w:vAlign w:val="bottom"/>
            <w:shd w:val="clear" w:color="auto" w:fill="EFE9FC"/>
          </w:tcPr>
          <w:p>
            <w:pPr>
              <w:spacing w:after="0"/>
              <w:rPr>
                <w:sz w:val="23"/>
                <w:szCs w:val="23"/>
                <w:color w:val="auto"/>
              </w:rPr>
            </w:pPr>
          </w:p>
        </w:tc>
        <w:tc>
          <w:tcPr>
            <w:tcW w:w="1180" w:type="dxa"/>
            <w:vAlign w:val="bottom"/>
            <w:shd w:val="clear" w:color="auto" w:fill="EFE9FC"/>
          </w:tcPr>
          <w:p>
            <w:pPr>
              <w:spacing w:after="0"/>
              <w:rPr>
                <w:sz w:val="23"/>
                <w:szCs w:val="23"/>
                <w:color w:val="auto"/>
              </w:rPr>
            </w:pPr>
          </w:p>
        </w:tc>
        <w:tc>
          <w:tcPr>
            <w:tcW w:w="720" w:type="dxa"/>
            <w:vAlign w:val="bottom"/>
            <w:shd w:val="clear" w:color="auto" w:fill="EFE9FC"/>
          </w:tcPr>
          <w:p>
            <w:pPr>
              <w:spacing w:after="0"/>
              <w:rPr>
                <w:sz w:val="23"/>
                <w:szCs w:val="23"/>
                <w:color w:val="auto"/>
              </w:rPr>
            </w:pPr>
          </w:p>
        </w:tc>
        <w:tc>
          <w:tcPr>
            <w:tcW w:w="860" w:type="dxa"/>
            <w:vAlign w:val="bottom"/>
            <w:shd w:val="clear" w:color="auto" w:fill="EFE9FC"/>
          </w:tcPr>
          <w:p>
            <w:pPr>
              <w:spacing w:after="0"/>
              <w:rPr>
                <w:sz w:val="23"/>
                <w:szCs w:val="23"/>
                <w:color w:val="auto"/>
              </w:rPr>
            </w:pPr>
          </w:p>
        </w:tc>
        <w:tc>
          <w:tcPr>
            <w:tcW w:w="1080" w:type="dxa"/>
            <w:vAlign w:val="bottom"/>
            <w:shd w:val="clear" w:color="auto" w:fill="EFE9FC"/>
          </w:tcPr>
          <w:p>
            <w:pPr>
              <w:spacing w:after="0"/>
              <w:rPr>
                <w:sz w:val="23"/>
                <w:szCs w:val="23"/>
                <w:color w:val="auto"/>
              </w:rPr>
            </w:pPr>
          </w:p>
        </w:tc>
        <w:tc>
          <w:tcPr>
            <w:tcW w:w="860" w:type="dxa"/>
            <w:vAlign w:val="bottom"/>
            <w:shd w:val="clear" w:color="auto" w:fill="EFE9FC"/>
          </w:tcPr>
          <w:p>
            <w:pPr>
              <w:spacing w:after="0"/>
              <w:rPr>
                <w:sz w:val="23"/>
                <w:szCs w:val="23"/>
                <w:color w:val="auto"/>
              </w:rPr>
            </w:pPr>
          </w:p>
        </w:tc>
        <w:tc>
          <w:tcPr>
            <w:tcW w:w="1140" w:type="dxa"/>
            <w:vAlign w:val="bottom"/>
            <w:gridSpan w:val="2"/>
            <w:shd w:val="clear" w:color="auto" w:fill="EFE9FC"/>
          </w:tcPr>
          <w:p>
            <w:pPr>
              <w:jc w:val="right"/>
              <w:spacing w:after="0"/>
              <w:rPr>
                <w:sz w:val="20"/>
                <w:szCs w:val="20"/>
                <w:color w:val="auto"/>
              </w:rPr>
            </w:pPr>
            <w:r>
              <w:rPr>
                <w:rFonts w:ascii="Arial" w:cs="Arial" w:eastAsia="Arial" w:hAnsi="Arial"/>
                <w:sz w:val="14"/>
                <w:szCs w:val="14"/>
                <w:color w:val="auto"/>
              </w:rPr>
              <w:t>1,838</w:t>
            </w:r>
            <w:r>
              <w:rPr>
                <w:rFonts w:ascii="Arial" w:cs="Arial" w:eastAsia="Arial" w:hAnsi="Arial"/>
                <w:sz w:val="21"/>
                <w:szCs w:val="21"/>
                <w:color w:val="auto"/>
                <w:vertAlign w:val="superscript"/>
              </w:rPr>
              <w:t>(10)</w:t>
            </w:r>
          </w:p>
        </w:tc>
        <w:tc>
          <w:tcPr>
            <w:tcW w:w="900" w:type="dxa"/>
            <w:vAlign w:val="bottom"/>
            <w:shd w:val="clear" w:color="auto" w:fill="EFE9FC"/>
          </w:tcPr>
          <w:p>
            <w:pPr>
              <w:jc w:val="right"/>
              <w:spacing w:after="0"/>
              <w:rPr>
                <w:sz w:val="20"/>
                <w:szCs w:val="20"/>
                <w:color w:val="auto"/>
              </w:rPr>
            </w:pPr>
            <w:r>
              <w:rPr>
                <w:rFonts w:ascii="Arial" w:cs="Arial" w:eastAsia="Arial" w:hAnsi="Arial"/>
                <w:sz w:val="14"/>
                <w:szCs w:val="14"/>
                <w:color w:val="auto"/>
              </w:rPr>
              <w:t>138,640</w:t>
            </w:r>
          </w:p>
        </w:tc>
        <w:tc>
          <w:tcPr>
            <w:tcW w:w="0" w:type="dxa"/>
            <w:vAlign w:val="bottom"/>
          </w:tcPr>
          <w:p>
            <w:pPr>
              <w:spacing w:after="0"/>
              <w:rPr>
                <w:sz w:val="1"/>
                <w:szCs w:val="1"/>
                <w:color w:val="auto"/>
              </w:rPr>
            </w:pPr>
          </w:p>
        </w:tc>
      </w:tr>
      <w:tr>
        <w:trPr>
          <w:trHeight w:val="243"/>
        </w:trPr>
        <w:tc>
          <w:tcPr>
            <w:tcW w:w="142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1140" w:type="dxa"/>
            <w:vAlign w:val="bottom"/>
            <w:gridSpan w:val="2"/>
          </w:tcPr>
          <w:p>
            <w:pPr>
              <w:jc w:val="right"/>
              <w:spacing w:after="0"/>
              <w:rPr>
                <w:sz w:val="20"/>
                <w:szCs w:val="20"/>
                <w:color w:val="auto"/>
              </w:rPr>
            </w:pPr>
            <w:r>
              <w:rPr>
                <w:rFonts w:ascii="Arial" w:cs="Arial" w:eastAsia="Arial" w:hAnsi="Arial"/>
                <w:sz w:val="14"/>
                <w:szCs w:val="14"/>
                <w:color w:val="auto"/>
              </w:rPr>
              <w:t>1,838</w:t>
            </w:r>
            <w:r>
              <w:rPr>
                <w:rFonts w:ascii="Arial" w:cs="Arial" w:eastAsia="Arial" w:hAnsi="Arial"/>
                <w:sz w:val="21"/>
                <w:szCs w:val="21"/>
                <w:color w:val="auto"/>
                <w:vertAlign w:val="superscript"/>
              </w:rPr>
              <w:t>(11)</w:t>
            </w:r>
          </w:p>
        </w:tc>
        <w:tc>
          <w:tcPr>
            <w:tcW w:w="900" w:type="dxa"/>
            <w:vAlign w:val="bottom"/>
          </w:tcPr>
          <w:p>
            <w:pPr>
              <w:jc w:val="right"/>
              <w:spacing w:after="0"/>
              <w:rPr>
                <w:sz w:val="20"/>
                <w:szCs w:val="20"/>
                <w:color w:val="auto"/>
              </w:rPr>
            </w:pPr>
            <w:r>
              <w:rPr>
                <w:rFonts w:ascii="Arial" w:cs="Arial" w:eastAsia="Arial" w:hAnsi="Arial"/>
                <w:sz w:val="14"/>
                <w:szCs w:val="14"/>
                <w:color w:val="auto"/>
              </w:rPr>
              <w:t>138,640</w:t>
            </w:r>
          </w:p>
        </w:tc>
        <w:tc>
          <w:tcPr>
            <w:tcW w:w="0" w:type="dxa"/>
            <w:vAlign w:val="bottom"/>
          </w:tcPr>
          <w:p>
            <w:pPr>
              <w:spacing w:after="0"/>
              <w:rPr>
                <w:sz w:val="1"/>
                <w:szCs w:val="1"/>
                <w:color w:val="auto"/>
              </w:rPr>
            </w:pPr>
          </w:p>
        </w:tc>
      </w:tr>
      <w:tr>
        <w:trPr>
          <w:trHeight w:val="270"/>
        </w:trPr>
        <w:tc>
          <w:tcPr>
            <w:tcW w:w="1420" w:type="dxa"/>
            <w:vAlign w:val="bottom"/>
          </w:tcPr>
          <w:p>
            <w:pPr>
              <w:spacing w:after="0"/>
              <w:rPr>
                <w:sz w:val="23"/>
                <w:szCs w:val="23"/>
                <w:color w:val="auto"/>
              </w:rPr>
            </w:pPr>
          </w:p>
        </w:tc>
        <w:tc>
          <w:tcPr>
            <w:tcW w:w="1020" w:type="dxa"/>
            <w:vAlign w:val="bottom"/>
            <w:shd w:val="clear" w:color="auto" w:fill="EFE9FC"/>
          </w:tcPr>
          <w:p>
            <w:pPr>
              <w:spacing w:after="0"/>
              <w:rPr>
                <w:sz w:val="23"/>
                <w:szCs w:val="23"/>
                <w:color w:val="auto"/>
              </w:rPr>
            </w:pPr>
          </w:p>
        </w:tc>
        <w:tc>
          <w:tcPr>
            <w:tcW w:w="1180" w:type="dxa"/>
            <w:vAlign w:val="bottom"/>
            <w:shd w:val="clear" w:color="auto" w:fill="EFE9FC"/>
          </w:tcPr>
          <w:p>
            <w:pPr>
              <w:spacing w:after="0"/>
              <w:rPr>
                <w:sz w:val="23"/>
                <w:szCs w:val="23"/>
                <w:color w:val="auto"/>
              </w:rPr>
            </w:pPr>
          </w:p>
        </w:tc>
        <w:tc>
          <w:tcPr>
            <w:tcW w:w="720" w:type="dxa"/>
            <w:vAlign w:val="bottom"/>
            <w:shd w:val="clear" w:color="auto" w:fill="EFE9FC"/>
          </w:tcPr>
          <w:p>
            <w:pPr>
              <w:spacing w:after="0"/>
              <w:rPr>
                <w:sz w:val="23"/>
                <w:szCs w:val="23"/>
                <w:color w:val="auto"/>
              </w:rPr>
            </w:pPr>
          </w:p>
        </w:tc>
        <w:tc>
          <w:tcPr>
            <w:tcW w:w="860" w:type="dxa"/>
            <w:vAlign w:val="bottom"/>
            <w:shd w:val="clear" w:color="auto" w:fill="EFE9FC"/>
          </w:tcPr>
          <w:p>
            <w:pPr>
              <w:spacing w:after="0"/>
              <w:rPr>
                <w:sz w:val="23"/>
                <w:szCs w:val="23"/>
                <w:color w:val="auto"/>
              </w:rPr>
            </w:pPr>
          </w:p>
        </w:tc>
        <w:tc>
          <w:tcPr>
            <w:tcW w:w="1080" w:type="dxa"/>
            <w:vAlign w:val="bottom"/>
            <w:shd w:val="clear" w:color="auto" w:fill="EFE9FC"/>
          </w:tcPr>
          <w:p>
            <w:pPr>
              <w:spacing w:after="0"/>
              <w:rPr>
                <w:sz w:val="23"/>
                <w:szCs w:val="23"/>
                <w:color w:val="auto"/>
              </w:rPr>
            </w:pPr>
          </w:p>
        </w:tc>
        <w:tc>
          <w:tcPr>
            <w:tcW w:w="860" w:type="dxa"/>
            <w:vAlign w:val="bottom"/>
            <w:shd w:val="clear" w:color="auto" w:fill="EFE9FC"/>
          </w:tcPr>
          <w:p>
            <w:pPr>
              <w:spacing w:after="0"/>
              <w:rPr>
                <w:sz w:val="23"/>
                <w:szCs w:val="23"/>
                <w:color w:val="auto"/>
              </w:rPr>
            </w:pPr>
          </w:p>
        </w:tc>
        <w:tc>
          <w:tcPr>
            <w:tcW w:w="1140" w:type="dxa"/>
            <w:vAlign w:val="bottom"/>
            <w:gridSpan w:val="2"/>
            <w:shd w:val="clear" w:color="auto" w:fill="EFE9FC"/>
          </w:tcPr>
          <w:p>
            <w:pPr>
              <w:jc w:val="right"/>
              <w:spacing w:after="0"/>
              <w:rPr>
                <w:sz w:val="20"/>
                <w:szCs w:val="20"/>
                <w:color w:val="auto"/>
              </w:rPr>
            </w:pPr>
            <w:r>
              <w:rPr>
                <w:rFonts w:ascii="Arial" w:cs="Arial" w:eastAsia="Arial" w:hAnsi="Arial"/>
                <w:sz w:val="14"/>
                <w:szCs w:val="14"/>
                <w:color w:val="auto"/>
              </w:rPr>
              <w:t>2,313</w:t>
            </w:r>
            <w:r>
              <w:rPr>
                <w:rFonts w:ascii="Arial" w:cs="Arial" w:eastAsia="Arial" w:hAnsi="Arial"/>
                <w:sz w:val="21"/>
                <w:szCs w:val="21"/>
                <w:color w:val="auto"/>
                <w:vertAlign w:val="superscript"/>
              </w:rPr>
              <w:t>(12)</w:t>
            </w:r>
          </w:p>
        </w:tc>
        <w:tc>
          <w:tcPr>
            <w:tcW w:w="900" w:type="dxa"/>
            <w:vAlign w:val="bottom"/>
            <w:shd w:val="clear" w:color="auto" w:fill="EFE9FC"/>
          </w:tcPr>
          <w:p>
            <w:pPr>
              <w:jc w:val="right"/>
              <w:spacing w:after="0"/>
              <w:rPr>
                <w:sz w:val="20"/>
                <w:szCs w:val="20"/>
                <w:color w:val="auto"/>
              </w:rPr>
            </w:pPr>
            <w:r>
              <w:rPr>
                <w:rFonts w:ascii="Arial" w:cs="Arial" w:eastAsia="Arial" w:hAnsi="Arial"/>
                <w:sz w:val="14"/>
                <w:szCs w:val="14"/>
                <w:color w:val="auto"/>
              </w:rPr>
              <w:t>174,470</w:t>
            </w:r>
          </w:p>
        </w:tc>
        <w:tc>
          <w:tcPr>
            <w:tcW w:w="0" w:type="dxa"/>
            <w:vAlign w:val="bottom"/>
          </w:tcPr>
          <w:p>
            <w:pPr>
              <w:spacing w:after="0"/>
              <w:rPr>
                <w:sz w:val="1"/>
                <w:szCs w:val="1"/>
                <w:color w:val="auto"/>
              </w:rPr>
            </w:pPr>
          </w:p>
        </w:tc>
      </w:tr>
      <w:tr>
        <w:trPr>
          <w:trHeight w:val="287"/>
        </w:trPr>
        <w:tc>
          <w:tcPr>
            <w:tcW w:w="14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140" w:type="dxa"/>
            <w:vAlign w:val="bottom"/>
            <w:gridSpan w:val="2"/>
          </w:tcPr>
          <w:p>
            <w:pPr>
              <w:jc w:val="right"/>
              <w:spacing w:after="0"/>
              <w:rPr>
                <w:sz w:val="20"/>
                <w:szCs w:val="20"/>
                <w:color w:val="auto"/>
              </w:rPr>
            </w:pPr>
            <w:r>
              <w:rPr>
                <w:rFonts w:ascii="Arial" w:cs="Arial" w:eastAsia="Arial" w:hAnsi="Arial"/>
                <w:sz w:val="14"/>
                <w:szCs w:val="14"/>
                <w:color w:val="auto"/>
              </w:rPr>
              <w:t>2,313</w:t>
            </w:r>
            <w:r>
              <w:rPr>
                <w:rFonts w:ascii="Arial" w:cs="Arial" w:eastAsia="Arial" w:hAnsi="Arial"/>
                <w:sz w:val="21"/>
                <w:szCs w:val="21"/>
                <w:color w:val="auto"/>
                <w:vertAlign w:val="superscript"/>
              </w:rPr>
              <w:t>(13)</w:t>
            </w:r>
          </w:p>
        </w:tc>
        <w:tc>
          <w:tcPr>
            <w:tcW w:w="900" w:type="dxa"/>
            <w:vAlign w:val="bottom"/>
          </w:tcPr>
          <w:p>
            <w:pPr>
              <w:jc w:val="right"/>
              <w:spacing w:after="0"/>
              <w:rPr>
                <w:sz w:val="20"/>
                <w:szCs w:val="20"/>
                <w:color w:val="auto"/>
              </w:rPr>
            </w:pPr>
            <w:r>
              <w:rPr>
                <w:rFonts w:ascii="Arial" w:cs="Arial" w:eastAsia="Arial" w:hAnsi="Arial"/>
                <w:sz w:val="14"/>
                <w:szCs w:val="14"/>
                <w:color w:val="auto"/>
              </w:rPr>
              <w:t>174,470</w:t>
            </w:r>
          </w:p>
        </w:tc>
        <w:tc>
          <w:tcPr>
            <w:tcW w:w="0" w:type="dxa"/>
            <w:vAlign w:val="bottom"/>
          </w:tcPr>
          <w:p>
            <w:pPr>
              <w:spacing w:after="0"/>
              <w:rPr>
                <w:sz w:val="1"/>
                <w:szCs w:val="1"/>
                <w:color w:val="auto"/>
              </w:rPr>
            </w:pPr>
          </w:p>
        </w:tc>
      </w:tr>
      <w:tr>
        <w:trPr>
          <w:trHeight w:val="37"/>
        </w:trPr>
        <w:tc>
          <w:tcPr>
            <w:tcW w:w="1420" w:type="dxa"/>
            <w:vAlign w:val="bottom"/>
            <w:tcBorders>
              <w:bottom w:val="single" w:sz="8" w:color="4800E6"/>
            </w:tcBorders>
          </w:tcPr>
          <w:p>
            <w:pPr>
              <w:spacing w:after="0"/>
              <w:rPr>
                <w:sz w:val="3"/>
                <w:szCs w:val="3"/>
                <w:color w:val="auto"/>
              </w:rPr>
            </w:pPr>
          </w:p>
        </w:tc>
        <w:tc>
          <w:tcPr>
            <w:tcW w:w="1020" w:type="dxa"/>
            <w:vAlign w:val="bottom"/>
            <w:tcBorders>
              <w:bottom w:val="single" w:sz="8" w:color="4800E6"/>
            </w:tcBorders>
          </w:tcPr>
          <w:p>
            <w:pPr>
              <w:spacing w:after="0"/>
              <w:rPr>
                <w:sz w:val="3"/>
                <w:szCs w:val="3"/>
                <w:color w:val="auto"/>
              </w:rPr>
            </w:pPr>
          </w:p>
        </w:tc>
        <w:tc>
          <w:tcPr>
            <w:tcW w:w="1180" w:type="dxa"/>
            <w:vAlign w:val="bottom"/>
            <w:tcBorders>
              <w:bottom w:val="single" w:sz="8" w:color="4800E6"/>
            </w:tcBorders>
          </w:tcPr>
          <w:p>
            <w:pPr>
              <w:spacing w:after="0"/>
              <w:rPr>
                <w:sz w:val="3"/>
                <w:szCs w:val="3"/>
                <w:color w:val="auto"/>
              </w:rPr>
            </w:pPr>
          </w:p>
        </w:tc>
        <w:tc>
          <w:tcPr>
            <w:tcW w:w="720" w:type="dxa"/>
            <w:vAlign w:val="bottom"/>
            <w:tcBorders>
              <w:bottom w:val="single" w:sz="8" w:color="4800E6"/>
            </w:tcBorders>
          </w:tcPr>
          <w:p>
            <w:pPr>
              <w:spacing w:after="0"/>
              <w:rPr>
                <w:sz w:val="3"/>
                <w:szCs w:val="3"/>
                <w:color w:val="auto"/>
              </w:rPr>
            </w:pPr>
          </w:p>
        </w:tc>
        <w:tc>
          <w:tcPr>
            <w:tcW w:w="860" w:type="dxa"/>
            <w:vAlign w:val="bottom"/>
            <w:tcBorders>
              <w:bottom w:val="single" w:sz="8" w:color="4800E6"/>
            </w:tcBorders>
          </w:tcPr>
          <w:p>
            <w:pPr>
              <w:spacing w:after="0"/>
              <w:rPr>
                <w:sz w:val="3"/>
                <w:szCs w:val="3"/>
                <w:color w:val="auto"/>
              </w:rPr>
            </w:pPr>
          </w:p>
        </w:tc>
        <w:tc>
          <w:tcPr>
            <w:tcW w:w="1080" w:type="dxa"/>
            <w:vAlign w:val="bottom"/>
            <w:tcBorders>
              <w:bottom w:val="single" w:sz="8" w:color="4800E6"/>
            </w:tcBorders>
          </w:tcPr>
          <w:p>
            <w:pPr>
              <w:spacing w:after="0"/>
              <w:rPr>
                <w:sz w:val="3"/>
                <w:szCs w:val="3"/>
                <w:color w:val="auto"/>
              </w:rPr>
            </w:pPr>
          </w:p>
        </w:tc>
        <w:tc>
          <w:tcPr>
            <w:tcW w:w="860" w:type="dxa"/>
            <w:vAlign w:val="bottom"/>
            <w:tcBorders>
              <w:bottom w:val="single" w:sz="8" w:color="4800E6"/>
            </w:tcBorders>
          </w:tcPr>
          <w:p>
            <w:pPr>
              <w:spacing w:after="0"/>
              <w:rPr>
                <w:sz w:val="3"/>
                <w:szCs w:val="3"/>
                <w:color w:val="auto"/>
              </w:rPr>
            </w:pPr>
          </w:p>
        </w:tc>
        <w:tc>
          <w:tcPr>
            <w:tcW w:w="1020" w:type="dxa"/>
            <w:vAlign w:val="bottom"/>
            <w:tcBorders>
              <w:bottom w:val="single" w:sz="8" w:color="4800E6"/>
            </w:tcBorders>
          </w:tcPr>
          <w:p>
            <w:pPr>
              <w:spacing w:after="0"/>
              <w:rPr>
                <w:sz w:val="3"/>
                <w:szCs w:val="3"/>
                <w:color w:val="auto"/>
              </w:rPr>
            </w:pPr>
          </w:p>
        </w:tc>
        <w:tc>
          <w:tcPr>
            <w:tcW w:w="120" w:type="dxa"/>
            <w:vAlign w:val="bottom"/>
            <w:tcBorders>
              <w:bottom w:val="single" w:sz="8" w:color="4800E6"/>
            </w:tcBorders>
          </w:tcPr>
          <w:p>
            <w:pPr>
              <w:spacing w:after="0"/>
              <w:rPr>
                <w:sz w:val="3"/>
                <w:szCs w:val="3"/>
                <w:color w:val="auto"/>
              </w:rPr>
            </w:pPr>
          </w:p>
        </w:tc>
        <w:tc>
          <w:tcPr>
            <w:tcW w:w="900" w:type="dxa"/>
            <w:vAlign w:val="bottom"/>
            <w:tcBorders>
              <w:bottom w:val="single" w:sz="8" w:color="4800E6"/>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115" w:lineRule="exact"/>
        <w:rPr>
          <w:sz w:val="20"/>
          <w:szCs w:val="20"/>
          <w:color w:val="auto"/>
        </w:rPr>
      </w:pPr>
    </w:p>
    <w:p>
      <w:pPr>
        <w:sectPr>
          <w:pgSz w:w="11900" w:h="16838" w:orient="portrait"/>
          <w:cols w:equalWidth="0" w:num="1">
            <w:col w:w="10180"/>
          </w:cols>
          <w:pgMar w:left="320" w:top="132" w:right="1399" w:bottom="1440" w:gutter="0" w:footer="0" w:header="0"/>
        </w:sectPr>
      </w:pPr>
    </w:p>
    <w:p>
      <w:pPr>
        <w:ind w:left="4340"/>
        <w:spacing w:after="0"/>
        <w:tabs>
          <w:tab w:leader="none" w:pos="10000" w:val="left"/>
        </w:tabs>
        <w:rPr>
          <w:sz w:val="20"/>
          <w:szCs w:val="20"/>
          <w:color w:val="auto"/>
        </w:rPr>
      </w:pPr>
      <w:r>
        <w:rPr>
          <w:rFonts w:ascii="Arial" w:cs="Arial" w:eastAsia="Arial" w:hAnsi="Arial"/>
          <w:sz w:val="13"/>
          <w:szCs w:val="13"/>
          <w:b w:val="1"/>
          <w:bCs w:val="1"/>
          <w:color w:val="4800E6"/>
        </w:rPr>
        <w:t xml:space="preserve">LIVANOVA </w:t>
      </w:r>
      <w:r>
        <w:rPr>
          <w:rFonts w:ascii="Arial" w:cs="Arial" w:eastAsia="Arial" w:hAnsi="Arial"/>
          <w:sz w:val="13"/>
          <w:szCs w:val="13"/>
          <w:color w:val="000000"/>
        </w:rPr>
        <w:t>|</w:t>
      </w:r>
      <w:r>
        <w:rPr>
          <w:rFonts w:ascii="Arial" w:cs="Arial" w:eastAsia="Arial" w:hAnsi="Arial"/>
          <w:sz w:val="13"/>
          <w:szCs w:val="13"/>
          <w:b w:val="1"/>
          <w:bCs w:val="1"/>
          <w:color w:val="4800E6"/>
        </w:rPr>
        <w:t xml:space="preserve"> </w:t>
      </w:r>
      <w:r>
        <w:rPr>
          <w:rFonts w:ascii="Arial" w:cs="Arial" w:eastAsia="Arial" w:hAnsi="Arial"/>
          <w:sz w:val="13"/>
          <w:szCs w:val="13"/>
          <w:color w:val="4800E6"/>
        </w:rPr>
        <w:t>2020</w:t>
      </w:r>
      <w:r>
        <w:rPr>
          <w:rFonts w:ascii="Arial" w:cs="Arial" w:eastAsia="Arial" w:hAnsi="Arial"/>
          <w:sz w:val="13"/>
          <w:szCs w:val="13"/>
          <w:b w:val="1"/>
          <w:bCs w:val="1"/>
          <w:color w:val="4800E6"/>
        </w:rPr>
        <w:t xml:space="preserve"> </w:t>
      </w:r>
      <w:r>
        <w:rPr>
          <w:rFonts w:ascii="Arial" w:cs="Arial" w:eastAsia="Arial" w:hAnsi="Arial"/>
          <w:sz w:val="13"/>
          <w:szCs w:val="13"/>
          <w:color w:val="000000"/>
        </w:rPr>
        <w:t>Proxy Statement</w:t>
      </w:r>
      <w:r>
        <w:rPr>
          <w:sz w:val="20"/>
          <w:szCs w:val="20"/>
          <w:color w:val="auto"/>
        </w:rPr>
        <w:tab/>
      </w:r>
      <w:r>
        <w:rPr>
          <w:rFonts w:ascii="Arial" w:cs="Arial" w:eastAsia="Arial" w:hAnsi="Arial"/>
          <w:sz w:val="21"/>
          <w:szCs w:val="21"/>
          <w:b w:val="1"/>
          <w:bCs w:val="1"/>
          <w:color w:val="auto"/>
          <w:vertAlign w:val="subscript"/>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519430</wp:posOffset>
            </wp:positionH>
            <wp:positionV relativeFrom="paragraph">
              <wp:posOffset>47625</wp:posOffset>
            </wp:positionV>
            <wp:extent cx="1954530" cy="8890"/>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0">
                      <a:extLst>
                        <a:ext uri="{28A0092B-C50C-407E-A947-70E740481C1C}"/>
                      </a:extLst>
                    </a:blip>
                    <a:srcRect/>
                    <a:stretch>
                      <a:fillRect/>
                    </a:stretch>
                  </pic:blipFill>
                  <pic:spPr bwMode="auto">
                    <a:xfrm>
                      <a:off x="0" y="0"/>
                      <a:ext cx="1954530" cy="8890"/>
                    </a:xfrm>
                    <a:prstGeom prst="rect">
                      <a:avLst/>
                    </a:prstGeom>
                    <a:noFill/>
                  </pic:spPr>
                </pic:pic>
              </a:graphicData>
            </a:graphic>
          </wp:anchor>
        </w:drawing>
        <w:drawing>
          <wp:anchor simplePos="0" relativeHeight="251657728" behindDoc="1" locked="0" layoutInCell="0" allowOverlap="1">
            <wp:simplePos x="0" y="0"/>
            <wp:positionH relativeFrom="column">
              <wp:posOffset>4257040</wp:posOffset>
            </wp:positionH>
            <wp:positionV relativeFrom="paragraph">
              <wp:posOffset>47625</wp:posOffset>
            </wp:positionV>
            <wp:extent cx="1954530" cy="8890"/>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1">
                      <a:extLst>
                        <a:ext uri="{28A0092B-C50C-407E-A947-70E740481C1C}"/>
                      </a:extLst>
                    </a:blip>
                    <a:srcRect/>
                    <a:stretch>
                      <a:fillRect/>
                    </a:stretch>
                  </pic:blipFill>
                  <pic:spPr bwMode="auto">
                    <a:xfrm>
                      <a:off x="0" y="0"/>
                      <a:ext cx="195453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184785</wp:posOffset>
            </wp:positionV>
            <wp:extent cx="6806565" cy="17145"/>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2">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10180"/>
          </w:cols>
          <w:pgMar w:left="320" w:top="132" w:right="1399" w:bottom="1440" w:gutter="0" w:footer="0" w:header="0"/>
          <w:type w:val="continuous"/>
        </w:sectPr>
      </w:pPr>
    </w:p>
    <w:bookmarkStart w:id="46" w:name="page47"/>
    <w:bookmarkEnd w:id="46"/>
    <w:p>
      <w:pPr>
        <w:spacing w:after="0"/>
        <w:rPr>
          <w:rFonts w:ascii="Arial" w:cs="Arial" w:eastAsia="Arial" w:hAnsi="Arial"/>
          <w:sz w:val="14"/>
          <w:szCs w:val="14"/>
          <w:color w:val="003366"/>
        </w:rPr>
      </w:pPr>
      <w:hyperlink w:anchor="page5">
        <w:r>
          <w:rPr>
            <w:rFonts w:ascii="Arial" w:cs="Arial" w:eastAsia="Arial" w:hAnsi="Arial"/>
            <w:sz w:val="14"/>
            <w:szCs w:val="14"/>
            <w:color w:val="003366"/>
          </w:rPr>
          <w:t>TABLE OF CONTENTS</w:t>
        </w:r>
      </w:hyperlink>
    </w:p>
    <w:p>
      <w:pPr>
        <w:spacing w:after="0" w:line="338" w:lineRule="exact"/>
        <w:rPr>
          <w:sz w:val="20"/>
          <w:szCs w:val="20"/>
          <w:color w:val="auto"/>
        </w:rPr>
      </w:pPr>
    </w:p>
    <w:p>
      <w:pPr>
        <w:ind w:left="760"/>
        <w:spacing w:after="0"/>
        <w:rPr>
          <w:sz w:val="20"/>
          <w:szCs w:val="20"/>
          <w:color w:val="auto"/>
        </w:rPr>
      </w:pPr>
      <w:r>
        <w:rPr>
          <w:rFonts w:ascii="Arial" w:cs="Arial" w:eastAsia="Arial" w:hAnsi="Arial"/>
          <w:sz w:val="13"/>
          <w:szCs w:val="13"/>
          <w:b w:val="1"/>
          <w:bCs w:val="1"/>
          <w:color w:val="auto"/>
        </w:rPr>
        <w:t xml:space="preserve">Executive </w:t>
      </w:r>
      <w:r>
        <w:rPr>
          <w:rFonts w:ascii="Arial" w:cs="Arial" w:eastAsia="Arial" w:hAnsi="Arial"/>
          <w:sz w:val="13"/>
          <w:szCs w:val="13"/>
          <w:b w:val="1"/>
          <w:bCs w:val="1"/>
          <w:color w:val="666666"/>
        </w:rPr>
        <w:t>Compensation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485140</wp:posOffset>
            </wp:positionH>
            <wp:positionV relativeFrom="paragraph">
              <wp:posOffset>30480</wp:posOffset>
            </wp:positionV>
            <wp:extent cx="5829300" cy="8255"/>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33">
                      <a:extLst>
                        <a:ext uri="{28A0092B-C50C-407E-A947-70E740481C1C}"/>
                      </a:extLst>
                    </a:blip>
                    <a:srcRect/>
                    <a:stretch>
                      <a:fillRect/>
                    </a:stretch>
                  </pic:blipFill>
                  <pic:spPr bwMode="auto">
                    <a:xfrm>
                      <a:off x="0" y="0"/>
                      <a:ext cx="5829300" cy="8255"/>
                    </a:xfrm>
                    <a:prstGeom prst="rect">
                      <a:avLst/>
                    </a:prstGeom>
                    <a:noFill/>
                  </pic:spPr>
                </pic:pic>
              </a:graphicData>
            </a:graphic>
          </wp:anchor>
        </w:drawing>
      </w:r>
    </w:p>
    <w:p>
      <w:pPr>
        <w:spacing w:after="0" w:line="60" w:lineRule="exact"/>
        <w:rPr>
          <w:sz w:val="20"/>
          <w:szCs w:val="20"/>
          <w:color w:val="auto"/>
        </w:rPr>
      </w:pPr>
    </w:p>
    <w:p>
      <w:pPr>
        <w:ind w:left="760"/>
        <w:spacing w:after="0"/>
        <w:rPr>
          <w:sz w:val="20"/>
          <w:szCs w:val="20"/>
          <w:color w:val="auto"/>
        </w:rPr>
      </w:pPr>
      <w:r>
        <w:rPr>
          <w:rFonts w:ascii="Arial" w:cs="Arial" w:eastAsia="Arial" w:hAnsi="Arial"/>
          <w:sz w:val="13"/>
          <w:szCs w:val="13"/>
          <w:b w:val="1"/>
          <w:bCs w:val="1"/>
          <w:color w:val="4800E6"/>
        </w:rPr>
        <w:t>Compensation of Executive Officers and Directors</w:t>
      </w:r>
    </w:p>
    <w:p>
      <w:pPr>
        <w:spacing w:after="0" w:line="200" w:lineRule="exact"/>
        <w:rPr>
          <w:sz w:val="20"/>
          <w:szCs w:val="20"/>
          <w:color w:val="auto"/>
        </w:rPr>
      </w:pPr>
    </w:p>
    <w:p>
      <w:pPr>
        <w:spacing w:after="0" w:line="398" w:lineRule="exact"/>
        <w:rPr>
          <w:sz w:val="20"/>
          <w:szCs w:val="20"/>
          <w:color w:val="auto"/>
        </w:rPr>
      </w:pPr>
    </w:p>
    <w:tbl>
      <w:tblPr>
        <w:tblLayout w:type="fixed"/>
        <w:tblInd w:w="760" w:type="dxa"/>
        <w:tblCellMar>
          <w:top w:w="0" w:type="dxa"/>
          <w:left w:w="0" w:type="dxa"/>
          <w:bottom w:w="0" w:type="dxa"/>
          <w:right w:w="0" w:type="dxa"/>
        </w:tblCellMar>
      </w:tblPr>
      <w:tr>
        <w:trPr>
          <w:trHeight w:val="178"/>
        </w:trPr>
        <w:tc>
          <w:tcPr>
            <w:tcW w:w="140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1640" w:type="dxa"/>
            <w:vAlign w:val="bottom"/>
            <w:gridSpan w:val="2"/>
          </w:tcPr>
          <w:p>
            <w:pPr>
              <w:jc w:val="right"/>
              <w:ind w:right="31"/>
              <w:spacing w:after="0"/>
              <w:rPr>
                <w:sz w:val="20"/>
                <w:szCs w:val="20"/>
                <w:color w:val="auto"/>
              </w:rPr>
            </w:pPr>
            <w:r>
              <w:rPr>
                <w:rFonts w:ascii="Arial" w:cs="Arial" w:eastAsia="Arial" w:hAnsi="Arial"/>
                <w:sz w:val="13"/>
                <w:szCs w:val="13"/>
                <w:b w:val="1"/>
                <w:bCs w:val="1"/>
                <w:color w:val="4800E6"/>
              </w:rPr>
              <w:t>Option Awards</w:t>
            </w:r>
          </w:p>
        </w:tc>
        <w:tc>
          <w:tcPr>
            <w:tcW w:w="108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020" w:type="dxa"/>
            <w:vAlign w:val="bottom"/>
            <w:gridSpan w:val="2"/>
          </w:tcPr>
          <w:p>
            <w:pPr>
              <w:jc w:val="right"/>
              <w:spacing w:after="0"/>
              <w:rPr>
                <w:sz w:val="20"/>
                <w:szCs w:val="20"/>
                <w:color w:val="auto"/>
              </w:rPr>
            </w:pPr>
            <w:r>
              <w:rPr>
                <w:rFonts w:ascii="Arial" w:cs="Arial" w:eastAsia="Arial" w:hAnsi="Arial"/>
                <w:sz w:val="13"/>
                <w:szCs w:val="13"/>
                <w:b w:val="1"/>
                <w:bCs w:val="1"/>
                <w:color w:val="4800E6"/>
              </w:rPr>
              <w:t>Stock Awards</w:t>
            </w:r>
          </w:p>
        </w:tc>
        <w:tc>
          <w:tcPr>
            <w:tcW w:w="0" w:type="dxa"/>
            <w:vAlign w:val="bottom"/>
          </w:tcPr>
          <w:p>
            <w:pPr>
              <w:spacing w:after="0"/>
              <w:rPr>
                <w:sz w:val="1"/>
                <w:szCs w:val="1"/>
                <w:color w:val="auto"/>
              </w:rPr>
            </w:pPr>
          </w:p>
        </w:tc>
      </w:tr>
      <w:tr>
        <w:trPr>
          <w:trHeight w:val="28"/>
        </w:trPr>
        <w:tc>
          <w:tcPr>
            <w:tcW w:w="1400" w:type="dxa"/>
            <w:vAlign w:val="bottom"/>
          </w:tcPr>
          <w:p>
            <w:pPr>
              <w:spacing w:after="0"/>
              <w:rPr>
                <w:sz w:val="2"/>
                <w:szCs w:val="2"/>
                <w:color w:val="auto"/>
              </w:rPr>
            </w:pPr>
          </w:p>
        </w:tc>
        <w:tc>
          <w:tcPr>
            <w:tcW w:w="1000" w:type="dxa"/>
            <w:vAlign w:val="bottom"/>
            <w:tcBorders>
              <w:bottom w:val="single" w:sz="8" w:color="4800E6"/>
            </w:tcBorders>
          </w:tcPr>
          <w:p>
            <w:pPr>
              <w:spacing w:after="0"/>
              <w:rPr>
                <w:sz w:val="2"/>
                <w:szCs w:val="2"/>
                <w:color w:val="auto"/>
              </w:rPr>
            </w:pPr>
          </w:p>
        </w:tc>
        <w:tc>
          <w:tcPr>
            <w:tcW w:w="1160" w:type="dxa"/>
            <w:vAlign w:val="bottom"/>
            <w:tcBorders>
              <w:bottom w:val="single" w:sz="8" w:color="4800E6"/>
            </w:tcBorders>
          </w:tcPr>
          <w:p>
            <w:pPr>
              <w:spacing w:after="0"/>
              <w:rPr>
                <w:sz w:val="2"/>
                <w:szCs w:val="2"/>
                <w:color w:val="auto"/>
              </w:rPr>
            </w:pPr>
          </w:p>
        </w:tc>
        <w:tc>
          <w:tcPr>
            <w:tcW w:w="760" w:type="dxa"/>
            <w:vAlign w:val="bottom"/>
            <w:tcBorders>
              <w:bottom w:val="single" w:sz="8" w:color="4800E6"/>
            </w:tcBorders>
          </w:tcPr>
          <w:p>
            <w:pPr>
              <w:spacing w:after="0"/>
              <w:rPr>
                <w:sz w:val="2"/>
                <w:szCs w:val="2"/>
                <w:color w:val="auto"/>
              </w:rPr>
            </w:pPr>
          </w:p>
        </w:tc>
        <w:tc>
          <w:tcPr>
            <w:tcW w:w="880" w:type="dxa"/>
            <w:vAlign w:val="bottom"/>
            <w:tcBorders>
              <w:bottom w:val="single" w:sz="8" w:color="4800E6"/>
            </w:tcBorders>
          </w:tcPr>
          <w:p>
            <w:pPr>
              <w:spacing w:after="0"/>
              <w:rPr>
                <w:sz w:val="2"/>
                <w:szCs w:val="2"/>
                <w:color w:val="auto"/>
              </w:rPr>
            </w:pPr>
          </w:p>
        </w:tc>
        <w:tc>
          <w:tcPr>
            <w:tcW w:w="1080" w:type="dxa"/>
            <w:vAlign w:val="bottom"/>
            <w:tcBorders>
              <w:bottom w:val="single" w:sz="8" w:color="4800E6"/>
            </w:tcBorders>
          </w:tcPr>
          <w:p>
            <w:pPr>
              <w:spacing w:after="0"/>
              <w:rPr>
                <w:sz w:val="2"/>
                <w:szCs w:val="2"/>
                <w:color w:val="auto"/>
              </w:rPr>
            </w:pPr>
          </w:p>
        </w:tc>
        <w:tc>
          <w:tcPr>
            <w:tcW w:w="860" w:type="dxa"/>
            <w:vAlign w:val="bottom"/>
            <w:tcBorders>
              <w:bottom w:val="single" w:sz="8" w:color="4800E6"/>
            </w:tcBorders>
          </w:tcPr>
          <w:p>
            <w:pPr>
              <w:spacing w:after="0"/>
              <w:rPr>
                <w:sz w:val="2"/>
                <w:szCs w:val="2"/>
                <w:color w:val="auto"/>
              </w:rPr>
            </w:pPr>
          </w:p>
        </w:tc>
        <w:tc>
          <w:tcPr>
            <w:tcW w:w="1020" w:type="dxa"/>
            <w:vAlign w:val="bottom"/>
            <w:tcBorders>
              <w:bottom w:val="single" w:sz="8" w:color="4800E6"/>
            </w:tcBorders>
          </w:tcPr>
          <w:p>
            <w:pPr>
              <w:spacing w:after="0"/>
              <w:rPr>
                <w:sz w:val="2"/>
                <w:szCs w:val="2"/>
                <w:color w:val="auto"/>
              </w:rPr>
            </w:pPr>
          </w:p>
        </w:tc>
        <w:tc>
          <w:tcPr>
            <w:tcW w:w="120" w:type="dxa"/>
            <w:vAlign w:val="bottom"/>
            <w:tcBorders>
              <w:bottom w:val="single" w:sz="8" w:color="4800E6"/>
            </w:tcBorders>
          </w:tcPr>
          <w:p>
            <w:pPr>
              <w:spacing w:after="0"/>
              <w:rPr>
                <w:sz w:val="2"/>
                <w:szCs w:val="2"/>
                <w:color w:val="auto"/>
              </w:rPr>
            </w:pPr>
          </w:p>
        </w:tc>
        <w:tc>
          <w:tcPr>
            <w:tcW w:w="900" w:type="dxa"/>
            <w:vAlign w:val="bottom"/>
            <w:tcBorders>
              <w:bottom w:val="single" w:sz="8" w:color="4800E6"/>
            </w:tcBorders>
          </w:tcPr>
          <w:p>
            <w:pPr>
              <w:spacing w:after="0"/>
              <w:rPr>
                <w:sz w:val="2"/>
                <w:szCs w:val="2"/>
                <w:color w:val="auto"/>
              </w:rPr>
            </w:pPr>
          </w:p>
        </w:tc>
        <w:tc>
          <w:tcPr>
            <w:tcW w:w="0" w:type="dxa"/>
            <w:vAlign w:val="bottom"/>
          </w:tcPr>
          <w:p>
            <w:pPr>
              <w:spacing w:after="0"/>
              <w:rPr>
                <w:sz w:val="1"/>
                <w:szCs w:val="1"/>
                <w:color w:val="auto"/>
              </w:rPr>
            </w:pPr>
          </w:p>
        </w:tc>
      </w:tr>
      <w:tr>
        <w:trPr>
          <w:trHeight w:val="166"/>
        </w:trPr>
        <w:tc>
          <w:tcPr>
            <w:tcW w:w="14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020" w:type="dxa"/>
            <w:vAlign w:val="bottom"/>
          </w:tcPr>
          <w:p>
            <w:pPr>
              <w:jc w:val="right"/>
              <w:ind w:right="52"/>
              <w:spacing w:after="0"/>
              <w:rPr>
                <w:sz w:val="20"/>
                <w:szCs w:val="20"/>
                <w:color w:val="auto"/>
              </w:rPr>
            </w:pPr>
            <w:r>
              <w:rPr>
                <w:rFonts w:ascii="Arial" w:cs="Arial" w:eastAsia="Arial" w:hAnsi="Arial"/>
                <w:sz w:val="13"/>
                <w:szCs w:val="13"/>
                <w:b w:val="1"/>
                <w:bCs w:val="1"/>
                <w:color w:val="4800E6"/>
              </w:rPr>
              <w:t>Equity</w:t>
            </w:r>
          </w:p>
        </w:tc>
        <w:tc>
          <w:tcPr>
            <w:tcW w:w="120" w:type="dxa"/>
            <w:vAlign w:val="bottom"/>
          </w:tcPr>
          <w:p>
            <w:pPr>
              <w:spacing w:after="0"/>
              <w:rPr>
                <w:sz w:val="14"/>
                <w:szCs w:val="14"/>
                <w:color w:val="auto"/>
              </w:rPr>
            </w:pPr>
          </w:p>
        </w:tc>
        <w:tc>
          <w:tcPr>
            <w:tcW w:w="900" w:type="dxa"/>
            <w:vAlign w:val="bottom"/>
          </w:tcPr>
          <w:p>
            <w:pPr>
              <w:jc w:val="right"/>
              <w:ind w:right="32"/>
              <w:spacing w:after="0"/>
              <w:rPr>
                <w:sz w:val="20"/>
                <w:szCs w:val="20"/>
                <w:color w:val="auto"/>
              </w:rPr>
            </w:pPr>
            <w:r>
              <w:rPr>
                <w:rFonts w:ascii="Arial" w:cs="Arial" w:eastAsia="Arial" w:hAnsi="Arial"/>
                <w:sz w:val="13"/>
                <w:szCs w:val="13"/>
                <w:b w:val="1"/>
                <w:bCs w:val="1"/>
                <w:color w:val="4800E6"/>
              </w:rPr>
              <w:t>Equity</w:t>
            </w:r>
          </w:p>
        </w:tc>
        <w:tc>
          <w:tcPr>
            <w:tcW w:w="0" w:type="dxa"/>
            <w:vAlign w:val="bottom"/>
          </w:tcPr>
          <w:p>
            <w:pPr>
              <w:spacing w:after="0"/>
              <w:rPr>
                <w:sz w:val="1"/>
                <w:szCs w:val="1"/>
                <w:color w:val="auto"/>
              </w:rPr>
            </w:pPr>
          </w:p>
        </w:tc>
      </w:tr>
      <w:tr>
        <w:trPr>
          <w:trHeight w:val="148"/>
        </w:trPr>
        <w:tc>
          <w:tcPr>
            <w:tcW w:w="140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020" w:type="dxa"/>
            <w:vAlign w:val="bottom"/>
          </w:tcPr>
          <w:p>
            <w:pPr>
              <w:jc w:val="right"/>
              <w:ind w:right="52"/>
              <w:spacing w:after="0"/>
              <w:rPr>
                <w:sz w:val="20"/>
                <w:szCs w:val="20"/>
                <w:color w:val="auto"/>
              </w:rPr>
            </w:pPr>
            <w:r>
              <w:rPr>
                <w:rFonts w:ascii="Arial" w:cs="Arial" w:eastAsia="Arial" w:hAnsi="Arial"/>
                <w:sz w:val="13"/>
                <w:szCs w:val="13"/>
                <w:b w:val="1"/>
                <w:bCs w:val="1"/>
                <w:color w:val="4800E6"/>
              </w:rPr>
              <w:t>Incentive</w:t>
            </w:r>
          </w:p>
        </w:tc>
        <w:tc>
          <w:tcPr>
            <w:tcW w:w="120" w:type="dxa"/>
            <w:vAlign w:val="bottom"/>
          </w:tcPr>
          <w:p>
            <w:pPr>
              <w:spacing w:after="0"/>
              <w:rPr>
                <w:sz w:val="12"/>
                <w:szCs w:val="12"/>
                <w:color w:val="auto"/>
              </w:rPr>
            </w:pPr>
          </w:p>
        </w:tc>
        <w:tc>
          <w:tcPr>
            <w:tcW w:w="900" w:type="dxa"/>
            <w:vAlign w:val="bottom"/>
          </w:tcPr>
          <w:p>
            <w:pPr>
              <w:jc w:val="right"/>
              <w:ind w:right="32"/>
              <w:spacing w:after="0"/>
              <w:rPr>
                <w:sz w:val="20"/>
                <w:szCs w:val="20"/>
                <w:color w:val="auto"/>
              </w:rPr>
            </w:pPr>
            <w:r>
              <w:rPr>
                <w:rFonts w:ascii="Arial" w:cs="Arial" w:eastAsia="Arial" w:hAnsi="Arial"/>
                <w:sz w:val="13"/>
                <w:szCs w:val="13"/>
                <w:b w:val="1"/>
                <w:bCs w:val="1"/>
                <w:color w:val="4800E6"/>
              </w:rPr>
              <w:t>Incentive</w:t>
            </w:r>
          </w:p>
        </w:tc>
        <w:tc>
          <w:tcPr>
            <w:tcW w:w="0" w:type="dxa"/>
            <w:vAlign w:val="bottom"/>
          </w:tcPr>
          <w:p>
            <w:pPr>
              <w:spacing w:after="0"/>
              <w:rPr>
                <w:sz w:val="1"/>
                <w:szCs w:val="1"/>
                <w:color w:val="auto"/>
              </w:rPr>
            </w:pPr>
          </w:p>
        </w:tc>
      </w:tr>
      <w:tr>
        <w:trPr>
          <w:trHeight w:val="149"/>
        </w:trPr>
        <w:tc>
          <w:tcPr>
            <w:tcW w:w="140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020" w:type="dxa"/>
            <w:vAlign w:val="bottom"/>
          </w:tcPr>
          <w:p>
            <w:pPr>
              <w:jc w:val="right"/>
              <w:ind w:right="52"/>
              <w:spacing w:after="0"/>
              <w:rPr>
                <w:sz w:val="20"/>
                <w:szCs w:val="20"/>
                <w:color w:val="auto"/>
              </w:rPr>
            </w:pPr>
            <w:r>
              <w:rPr>
                <w:rFonts w:ascii="Arial" w:cs="Arial" w:eastAsia="Arial" w:hAnsi="Arial"/>
                <w:sz w:val="13"/>
                <w:szCs w:val="13"/>
                <w:b w:val="1"/>
                <w:bCs w:val="1"/>
                <w:color w:val="4800E6"/>
              </w:rPr>
              <w:t>Plan</w:t>
            </w:r>
          </w:p>
        </w:tc>
        <w:tc>
          <w:tcPr>
            <w:tcW w:w="1020" w:type="dxa"/>
            <w:vAlign w:val="bottom"/>
            <w:gridSpan w:val="2"/>
          </w:tcPr>
          <w:p>
            <w:pPr>
              <w:jc w:val="right"/>
              <w:ind w:right="32"/>
              <w:spacing w:after="0"/>
              <w:rPr>
                <w:sz w:val="20"/>
                <w:szCs w:val="20"/>
                <w:color w:val="auto"/>
              </w:rPr>
            </w:pPr>
            <w:r>
              <w:rPr>
                <w:rFonts w:ascii="Arial" w:cs="Arial" w:eastAsia="Arial" w:hAnsi="Arial"/>
                <w:sz w:val="13"/>
                <w:szCs w:val="13"/>
                <w:b w:val="1"/>
                <w:bCs w:val="1"/>
                <w:color w:val="4800E6"/>
              </w:rPr>
              <w:t>Plan Awards:</w:t>
            </w:r>
          </w:p>
        </w:tc>
        <w:tc>
          <w:tcPr>
            <w:tcW w:w="0" w:type="dxa"/>
            <w:vAlign w:val="bottom"/>
          </w:tcPr>
          <w:p>
            <w:pPr>
              <w:spacing w:after="0"/>
              <w:rPr>
                <w:sz w:val="1"/>
                <w:szCs w:val="1"/>
                <w:color w:val="auto"/>
              </w:rPr>
            </w:pPr>
          </w:p>
        </w:tc>
      </w:tr>
      <w:tr>
        <w:trPr>
          <w:trHeight w:val="148"/>
        </w:trPr>
        <w:tc>
          <w:tcPr>
            <w:tcW w:w="140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020" w:type="dxa"/>
            <w:vAlign w:val="bottom"/>
          </w:tcPr>
          <w:p>
            <w:pPr>
              <w:jc w:val="right"/>
              <w:ind w:right="52"/>
              <w:spacing w:after="0"/>
              <w:rPr>
                <w:sz w:val="20"/>
                <w:szCs w:val="20"/>
                <w:color w:val="auto"/>
              </w:rPr>
            </w:pPr>
            <w:r>
              <w:rPr>
                <w:rFonts w:ascii="Arial" w:cs="Arial" w:eastAsia="Arial" w:hAnsi="Arial"/>
                <w:sz w:val="13"/>
                <w:szCs w:val="13"/>
                <w:b w:val="1"/>
                <w:bCs w:val="1"/>
                <w:color w:val="4800E6"/>
              </w:rPr>
              <w:t>Awards:</w:t>
            </w:r>
          </w:p>
        </w:tc>
        <w:tc>
          <w:tcPr>
            <w:tcW w:w="120" w:type="dxa"/>
            <w:vAlign w:val="bottom"/>
          </w:tcPr>
          <w:p>
            <w:pPr>
              <w:spacing w:after="0"/>
              <w:rPr>
                <w:sz w:val="12"/>
                <w:szCs w:val="12"/>
                <w:color w:val="auto"/>
              </w:rPr>
            </w:pPr>
          </w:p>
        </w:tc>
        <w:tc>
          <w:tcPr>
            <w:tcW w:w="900" w:type="dxa"/>
            <w:vAlign w:val="bottom"/>
          </w:tcPr>
          <w:p>
            <w:pPr>
              <w:jc w:val="right"/>
              <w:ind w:right="32"/>
              <w:spacing w:after="0"/>
              <w:rPr>
                <w:sz w:val="20"/>
                <w:szCs w:val="20"/>
                <w:color w:val="auto"/>
              </w:rPr>
            </w:pPr>
            <w:r>
              <w:rPr>
                <w:rFonts w:ascii="Arial" w:cs="Arial" w:eastAsia="Arial" w:hAnsi="Arial"/>
                <w:sz w:val="13"/>
                <w:szCs w:val="13"/>
                <w:b w:val="1"/>
                <w:bCs w:val="1"/>
                <w:color w:val="4800E6"/>
              </w:rPr>
              <w:t>Market or</w:t>
            </w:r>
          </w:p>
        </w:tc>
        <w:tc>
          <w:tcPr>
            <w:tcW w:w="0" w:type="dxa"/>
            <w:vAlign w:val="bottom"/>
          </w:tcPr>
          <w:p>
            <w:pPr>
              <w:spacing w:after="0"/>
              <w:rPr>
                <w:sz w:val="1"/>
                <w:szCs w:val="1"/>
                <w:color w:val="auto"/>
              </w:rPr>
            </w:pPr>
          </w:p>
        </w:tc>
      </w:tr>
      <w:tr>
        <w:trPr>
          <w:trHeight w:val="148"/>
        </w:trPr>
        <w:tc>
          <w:tcPr>
            <w:tcW w:w="1400" w:type="dxa"/>
            <w:vAlign w:val="bottom"/>
          </w:tcPr>
          <w:p>
            <w:pPr>
              <w:spacing w:after="0"/>
              <w:rPr>
                <w:sz w:val="12"/>
                <w:szCs w:val="12"/>
                <w:color w:val="auto"/>
              </w:rPr>
            </w:pPr>
          </w:p>
        </w:tc>
        <w:tc>
          <w:tcPr>
            <w:tcW w:w="1000" w:type="dxa"/>
            <w:vAlign w:val="bottom"/>
            <w:vMerge w:val="restart"/>
          </w:tcPr>
          <w:p>
            <w:pPr>
              <w:jc w:val="right"/>
              <w:ind w:right="31"/>
              <w:spacing w:after="0"/>
              <w:rPr>
                <w:sz w:val="20"/>
                <w:szCs w:val="20"/>
                <w:color w:val="auto"/>
              </w:rPr>
            </w:pPr>
            <w:r>
              <w:rPr>
                <w:rFonts w:ascii="Arial" w:cs="Arial" w:eastAsia="Arial" w:hAnsi="Arial"/>
                <w:sz w:val="13"/>
                <w:szCs w:val="13"/>
                <w:b w:val="1"/>
                <w:bCs w:val="1"/>
                <w:color w:val="4800E6"/>
              </w:rPr>
              <w:t>Number of</w:t>
            </w:r>
          </w:p>
        </w:tc>
        <w:tc>
          <w:tcPr>
            <w:tcW w:w="1160" w:type="dxa"/>
            <w:vAlign w:val="bottom"/>
            <w:vMerge w:val="restart"/>
          </w:tcPr>
          <w:p>
            <w:pPr>
              <w:jc w:val="right"/>
              <w:ind w:right="31"/>
              <w:spacing w:after="0"/>
              <w:rPr>
                <w:sz w:val="20"/>
                <w:szCs w:val="20"/>
                <w:color w:val="auto"/>
              </w:rPr>
            </w:pPr>
            <w:r>
              <w:rPr>
                <w:rFonts w:ascii="Arial" w:cs="Arial" w:eastAsia="Arial" w:hAnsi="Arial"/>
                <w:sz w:val="13"/>
                <w:szCs w:val="13"/>
                <w:b w:val="1"/>
                <w:bCs w:val="1"/>
                <w:color w:val="4800E6"/>
              </w:rPr>
              <w:t>Number of</w:t>
            </w:r>
          </w:p>
        </w:tc>
        <w:tc>
          <w:tcPr>
            <w:tcW w:w="76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940" w:type="dxa"/>
            <w:vAlign w:val="bottom"/>
            <w:gridSpan w:val="2"/>
            <w:vMerge w:val="restart"/>
          </w:tcPr>
          <w:p>
            <w:pPr>
              <w:jc w:val="right"/>
              <w:ind w:right="51"/>
              <w:spacing w:after="0"/>
              <w:rPr>
                <w:sz w:val="20"/>
                <w:szCs w:val="20"/>
                <w:color w:val="auto"/>
              </w:rPr>
            </w:pPr>
            <w:r>
              <w:rPr>
                <w:rFonts w:ascii="Arial" w:cs="Arial" w:eastAsia="Arial" w:hAnsi="Arial"/>
                <w:sz w:val="13"/>
                <w:szCs w:val="13"/>
                <w:b w:val="1"/>
                <w:bCs w:val="1"/>
                <w:color w:val="4800E6"/>
              </w:rPr>
              <w:t>Number of   Market Value</w:t>
            </w:r>
          </w:p>
        </w:tc>
        <w:tc>
          <w:tcPr>
            <w:tcW w:w="1020" w:type="dxa"/>
            <w:vAlign w:val="bottom"/>
          </w:tcPr>
          <w:p>
            <w:pPr>
              <w:jc w:val="right"/>
              <w:ind w:right="52"/>
              <w:spacing w:after="0"/>
              <w:rPr>
                <w:sz w:val="20"/>
                <w:szCs w:val="20"/>
                <w:color w:val="auto"/>
              </w:rPr>
            </w:pPr>
            <w:r>
              <w:rPr>
                <w:rFonts w:ascii="Arial" w:cs="Arial" w:eastAsia="Arial" w:hAnsi="Arial"/>
                <w:sz w:val="13"/>
                <w:szCs w:val="13"/>
                <w:b w:val="1"/>
                <w:bCs w:val="1"/>
                <w:color w:val="4800E6"/>
              </w:rPr>
              <w:t>Number of</w:t>
            </w:r>
          </w:p>
        </w:tc>
        <w:tc>
          <w:tcPr>
            <w:tcW w:w="1020" w:type="dxa"/>
            <w:vAlign w:val="bottom"/>
            <w:gridSpan w:val="2"/>
          </w:tcPr>
          <w:p>
            <w:pPr>
              <w:jc w:val="right"/>
              <w:ind w:right="32"/>
              <w:spacing w:after="0"/>
              <w:rPr>
                <w:sz w:val="20"/>
                <w:szCs w:val="20"/>
                <w:color w:val="auto"/>
              </w:rPr>
            </w:pPr>
            <w:r>
              <w:rPr>
                <w:rFonts w:ascii="Arial" w:cs="Arial" w:eastAsia="Arial" w:hAnsi="Arial"/>
                <w:sz w:val="13"/>
                <w:szCs w:val="13"/>
                <w:b w:val="1"/>
                <w:bCs w:val="1"/>
                <w:color w:val="4800E6"/>
              </w:rPr>
              <w:t>Payout Value</w:t>
            </w:r>
          </w:p>
        </w:tc>
        <w:tc>
          <w:tcPr>
            <w:tcW w:w="0" w:type="dxa"/>
            <w:vAlign w:val="bottom"/>
          </w:tcPr>
          <w:p>
            <w:pPr>
              <w:spacing w:after="0"/>
              <w:rPr>
                <w:sz w:val="1"/>
                <w:szCs w:val="1"/>
                <w:color w:val="auto"/>
              </w:rPr>
            </w:pPr>
          </w:p>
        </w:tc>
      </w:tr>
      <w:tr>
        <w:trPr>
          <w:trHeight w:val="138"/>
        </w:trPr>
        <w:tc>
          <w:tcPr>
            <w:tcW w:w="1400" w:type="dxa"/>
            <w:vAlign w:val="bottom"/>
          </w:tcPr>
          <w:p>
            <w:pPr>
              <w:spacing w:after="0"/>
              <w:rPr>
                <w:sz w:val="12"/>
                <w:szCs w:val="12"/>
                <w:color w:val="auto"/>
              </w:rPr>
            </w:pPr>
          </w:p>
        </w:tc>
        <w:tc>
          <w:tcPr>
            <w:tcW w:w="1000" w:type="dxa"/>
            <w:vAlign w:val="bottom"/>
            <w:vMerge w:val="continue"/>
          </w:tcPr>
          <w:p>
            <w:pPr>
              <w:spacing w:after="0"/>
              <w:rPr>
                <w:sz w:val="12"/>
                <w:szCs w:val="12"/>
                <w:color w:val="auto"/>
              </w:rPr>
            </w:pPr>
          </w:p>
        </w:tc>
        <w:tc>
          <w:tcPr>
            <w:tcW w:w="1160" w:type="dxa"/>
            <w:vAlign w:val="bottom"/>
            <w:vMerge w:val="continue"/>
          </w:tcPr>
          <w:p>
            <w:pPr>
              <w:spacing w:after="0"/>
              <w:rPr>
                <w:sz w:val="12"/>
                <w:szCs w:val="12"/>
                <w:color w:val="auto"/>
              </w:rPr>
            </w:pPr>
          </w:p>
        </w:tc>
        <w:tc>
          <w:tcPr>
            <w:tcW w:w="76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940" w:type="dxa"/>
            <w:vAlign w:val="bottom"/>
            <w:gridSpan w:val="2"/>
            <w:vMerge w:val="continue"/>
          </w:tcPr>
          <w:p>
            <w:pPr>
              <w:spacing w:after="0"/>
              <w:rPr>
                <w:sz w:val="12"/>
                <w:szCs w:val="12"/>
                <w:color w:val="auto"/>
              </w:rPr>
            </w:pPr>
          </w:p>
        </w:tc>
        <w:tc>
          <w:tcPr>
            <w:tcW w:w="1020" w:type="dxa"/>
            <w:vAlign w:val="bottom"/>
          </w:tcPr>
          <w:p>
            <w:pPr>
              <w:jc w:val="right"/>
              <w:ind w:right="52"/>
              <w:spacing w:after="0" w:line="138" w:lineRule="exact"/>
              <w:rPr>
                <w:sz w:val="20"/>
                <w:szCs w:val="20"/>
                <w:color w:val="auto"/>
              </w:rPr>
            </w:pPr>
            <w:r>
              <w:rPr>
                <w:rFonts w:ascii="Arial" w:cs="Arial" w:eastAsia="Arial" w:hAnsi="Arial"/>
                <w:sz w:val="13"/>
                <w:szCs w:val="13"/>
                <w:b w:val="1"/>
                <w:bCs w:val="1"/>
                <w:color w:val="4800E6"/>
              </w:rPr>
              <w:t>Unearned</w:t>
            </w:r>
          </w:p>
        </w:tc>
        <w:tc>
          <w:tcPr>
            <w:tcW w:w="120" w:type="dxa"/>
            <w:vAlign w:val="bottom"/>
          </w:tcPr>
          <w:p>
            <w:pPr>
              <w:spacing w:after="0"/>
              <w:rPr>
                <w:sz w:val="12"/>
                <w:szCs w:val="12"/>
                <w:color w:val="auto"/>
              </w:rPr>
            </w:pPr>
          </w:p>
        </w:tc>
        <w:tc>
          <w:tcPr>
            <w:tcW w:w="900" w:type="dxa"/>
            <w:vAlign w:val="bottom"/>
          </w:tcPr>
          <w:p>
            <w:pPr>
              <w:jc w:val="right"/>
              <w:ind w:right="32"/>
              <w:spacing w:after="0" w:line="138" w:lineRule="exact"/>
              <w:rPr>
                <w:sz w:val="20"/>
                <w:szCs w:val="20"/>
                <w:color w:val="auto"/>
              </w:rPr>
            </w:pPr>
            <w:r>
              <w:rPr>
                <w:rFonts w:ascii="Arial" w:cs="Arial" w:eastAsia="Arial" w:hAnsi="Arial"/>
                <w:sz w:val="13"/>
                <w:szCs w:val="13"/>
                <w:b w:val="1"/>
                <w:bCs w:val="1"/>
                <w:color w:val="4800E6"/>
              </w:rPr>
              <w:t>of Unearned</w:t>
            </w:r>
          </w:p>
        </w:tc>
        <w:tc>
          <w:tcPr>
            <w:tcW w:w="0" w:type="dxa"/>
            <w:vAlign w:val="bottom"/>
          </w:tcPr>
          <w:p>
            <w:pPr>
              <w:spacing w:after="0"/>
              <w:rPr>
                <w:sz w:val="1"/>
                <w:szCs w:val="1"/>
                <w:color w:val="auto"/>
              </w:rPr>
            </w:pPr>
          </w:p>
        </w:tc>
      </w:tr>
      <w:tr>
        <w:trPr>
          <w:trHeight w:val="148"/>
        </w:trPr>
        <w:tc>
          <w:tcPr>
            <w:tcW w:w="1400" w:type="dxa"/>
            <w:vAlign w:val="bottom"/>
          </w:tcPr>
          <w:p>
            <w:pPr>
              <w:spacing w:after="0"/>
              <w:rPr>
                <w:sz w:val="12"/>
                <w:szCs w:val="12"/>
                <w:color w:val="auto"/>
              </w:rPr>
            </w:pPr>
          </w:p>
        </w:tc>
        <w:tc>
          <w:tcPr>
            <w:tcW w:w="1000" w:type="dxa"/>
            <w:vAlign w:val="bottom"/>
          </w:tcPr>
          <w:p>
            <w:pPr>
              <w:jc w:val="right"/>
              <w:ind w:right="31"/>
              <w:spacing w:after="0"/>
              <w:rPr>
                <w:sz w:val="20"/>
                <w:szCs w:val="20"/>
                <w:color w:val="auto"/>
              </w:rPr>
            </w:pPr>
            <w:r>
              <w:rPr>
                <w:rFonts w:ascii="Arial" w:cs="Arial" w:eastAsia="Arial" w:hAnsi="Arial"/>
                <w:sz w:val="13"/>
                <w:szCs w:val="13"/>
                <w:b w:val="1"/>
                <w:bCs w:val="1"/>
                <w:color w:val="4800E6"/>
              </w:rPr>
              <w:t>Securities</w:t>
            </w:r>
          </w:p>
        </w:tc>
        <w:tc>
          <w:tcPr>
            <w:tcW w:w="1160" w:type="dxa"/>
            <w:vAlign w:val="bottom"/>
          </w:tcPr>
          <w:p>
            <w:pPr>
              <w:jc w:val="right"/>
              <w:ind w:right="31"/>
              <w:spacing w:after="0"/>
              <w:rPr>
                <w:sz w:val="20"/>
                <w:szCs w:val="20"/>
                <w:color w:val="auto"/>
              </w:rPr>
            </w:pPr>
            <w:r>
              <w:rPr>
                <w:rFonts w:ascii="Arial" w:cs="Arial" w:eastAsia="Arial" w:hAnsi="Arial"/>
                <w:sz w:val="13"/>
                <w:szCs w:val="13"/>
                <w:b w:val="1"/>
                <w:bCs w:val="1"/>
                <w:color w:val="4800E6"/>
              </w:rPr>
              <w:t>Securities</w:t>
            </w:r>
          </w:p>
        </w:tc>
        <w:tc>
          <w:tcPr>
            <w:tcW w:w="76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080" w:type="dxa"/>
            <w:vAlign w:val="bottom"/>
          </w:tcPr>
          <w:p>
            <w:pPr>
              <w:jc w:val="right"/>
              <w:ind w:right="211"/>
              <w:spacing w:after="0"/>
              <w:rPr>
                <w:sz w:val="20"/>
                <w:szCs w:val="20"/>
                <w:color w:val="auto"/>
              </w:rPr>
            </w:pPr>
            <w:r>
              <w:rPr>
                <w:rFonts w:ascii="Arial" w:cs="Arial" w:eastAsia="Arial" w:hAnsi="Arial"/>
                <w:sz w:val="13"/>
                <w:szCs w:val="13"/>
                <w:b w:val="1"/>
                <w:bCs w:val="1"/>
                <w:color w:val="4800E6"/>
              </w:rPr>
              <w:t>Shares or</w:t>
            </w:r>
          </w:p>
        </w:tc>
        <w:tc>
          <w:tcPr>
            <w:tcW w:w="860" w:type="dxa"/>
            <w:vAlign w:val="bottom"/>
          </w:tcPr>
          <w:p>
            <w:pPr>
              <w:jc w:val="right"/>
              <w:ind w:right="51"/>
              <w:spacing w:after="0"/>
              <w:rPr>
                <w:sz w:val="20"/>
                <w:szCs w:val="20"/>
                <w:color w:val="auto"/>
              </w:rPr>
            </w:pPr>
            <w:r>
              <w:rPr>
                <w:rFonts w:ascii="Arial" w:cs="Arial" w:eastAsia="Arial" w:hAnsi="Arial"/>
                <w:sz w:val="13"/>
                <w:szCs w:val="13"/>
                <w:b w:val="1"/>
                <w:bCs w:val="1"/>
                <w:color w:val="4800E6"/>
              </w:rPr>
              <w:t>of Shares</w:t>
            </w:r>
          </w:p>
        </w:tc>
        <w:tc>
          <w:tcPr>
            <w:tcW w:w="1020" w:type="dxa"/>
            <w:vAlign w:val="bottom"/>
          </w:tcPr>
          <w:p>
            <w:pPr>
              <w:jc w:val="right"/>
              <w:ind w:right="52"/>
              <w:spacing w:after="0"/>
              <w:rPr>
                <w:sz w:val="20"/>
                <w:szCs w:val="20"/>
                <w:color w:val="auto"/>
              </w:rPr>
            </w:pPr>
            <w:r>
              <w:rPr>
                <w:rFonts w:ascii="Arial" w:cs="Arial" w:eastAsia="Arial" w:hAnsi="Arial"/>
                <w:sz w:val="13"/>
                <w:szCs w:val="13"/>
                <w:b w:val="1"/>
                <w:bCs w:val="1"/>
                <w:color w:val="4800E6"/>
              </w:rPr>
              <w:t>Shares,</w:t>
            </w:r>
          </w:p>
        </w:tc>
        <w:tc>
          <w:tcPr>
            <w:tcW w:w="120" w:type="dxa"/>
            <w:vAlign w:val="bottom"/>
          </w:tcPr>
          <w:p>
            <w:pPr>
              <w:spacing w:after="0"/>
              <w:rPr>
                <w:sz w:val="12"/>
                <w:szCs w:val="12"/>
                <w:color w:val="auto"/>
              </w:rPr>
            </w:pPr>
          </w:p>
        </w:tc>
        <w:tc>
          <w:tcPr>
            <w:tcW w:w="900" w:type="dxa"/>
            <w:vAlign w:val="bottom"/>
          </w:tcPr>
          <w:p>
            <w:pPr>
              <w:jc w:val="right"/>
              <w:ind w:right="32"/>
              <w:spacing w:after="0"/>
              <w:rPr>
                <w:sz w:val="20"/>
                <w:szCs w:val="20"/>
                <w:color w:val="auto"/>
              </w:rPr>
            </w:pPr>
            <w:r>
              <w:rPr>
                <w:rFonts w:ascii="Arial" w:cs="Arial" w:eastAsia="Arial" w:hAnsi="Arial"/>
                <w:sz w:val="13"/>
                <w:szCs w:val="13"/>
                <w:b w:val="1"/>
                <w:bCs w:val="1"/>
                <w:color w:val="4800E6"/>
              </w:rPr>
              <w:t>Shares,</w:t>
            </w:r>
          </w:p>
        </w:tc>
        <w:tc>
          <w:tcPr>
            <w:tcW w:w="0" w:type="dxa"/>
            <w:vAlign w:val="bottom"/>
          </w:tcPr>
          <w:p>
            <w:pPr>
              <w:spacing w:after="0"/>
              <w:rPr>
                <w:sz w:val="1"/>
                <w:szCs w:val="1"/>
                <w:color w:val="auto"/>
              </w:rPr>
            </w:pPr>
          </w:p>
        </w:tc>
      </w:tr>
      <w:tr>
        <w:trPr>
          <w:trHeight w:val="148"/>
        </w:trPr>
        <w:tc>
          <w:tcPr>
            <w:tcW w:w="1400" w:type="dxa"/>
            <w:vAlign w:val="bottom"/>
          </w:tcPr>
          <w:p>
            <w:pPr>
              <w:spacing w:after="0"/>
              <w:rPr>
                <w:sz w:val="12"/>
                <w:szCs w:val="12"/>
                <w:color w:val="auto"/>
              </w:rPr>
            </w:pPr>
          </w:p>
        </w:tc>
        <w:tc>
          <w:tcPr>
            <w:tcW w:w="1000" w:type="dxa"/>
            <w:vAlign w:val="bottom"/>
          </w:tcPr>
          <w:p>
            <w:pPr>
              <w:jc w:val="right"/>
              <w:ind w:right="31"/>
              <w:spacing w:after="0"/>
              <w:rPr>
                <w:sz w:val="20"/>
                <w:szCs w:val="20"/>
                <w:color w:val="auto"/>
              </w:rPr>
            </w:pPr>
            <w:r>
              <w:rPr>
                <w:rFonts w:ascii="Arial" w:cs="Arial" w:eastAsia="Arial" w:hAnsi="Arial"/>
                <w:sz w:val="13"/>
                <w:szCs w:val="13"/>
                <w:b w:val="1"/>
                <w:bCs w:val="1"/>
                <w:color w:val="4800E6"/>
              </w:rPr>
              <w:t>Underlying</w:t>
            </w:r>
          </w:p>
        </w:tc>
        <w:tc>
          <w:tcPr>
            <w:tcW w:w="1160" w:type="dxa"/>
            <w:vAlign w:val="bottom"/>
          </w:tcPr>
          <w:p>
            <w:pPr>
              <w:jc w:val="right"/>
              <w:ind w:right="31"/>
              <w:spacing w:after="0"/>
              <w:rPr>
                <w:sz w:val="20"/>
                <w:szCs w:val="20"/>
                <w:color w:val="auto"/>
              </w:rPr>
            </w:pPr>
            <w:r>
              <w:rPr>
                <w:rFonts w:ascii="Arial" w:cs="Arial" w:eastAsia="Arial" w:hAnsi="Arial"/>
                <w:sz w:val="13"/>
                <w:szCs w:val="13"/>
                <w:b w:val="1"/>
                <w:bCs w:val="1"/>
                <w:color w:val="4800E6"/>
              </w:rPr>
              <w:t>Underlying</w:t>
            </w:r>
          </w:p>
        </w:tc>
        <w:tc>
          <w:tcPr>
            <w:tcW w:w="76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080" w:type="dxa"/>
            <w:vAlign w:val="bottom"/>
          </w:tcPr>
          <w:p>
            <w:pPr>
              <w:jc w:val="right"/>
              <w:ind w:right="211"/>
              <w:spacing w:after="0"/>
              <w:rPr>
                <w:sz w:val="20"/>
                <w:szCs w:val="20"/>
                <w:color w:val="auto"/>
              </w:rPr>
            </w:pPr>
            <w:r>
              <w:rPr>
                <w:rFonts w:ascii="Arial" w:cs="Arial" w:eastAsia="Arial" w:hAnsi="Arial"/>
                <w:sz w:val="13"/>
                <w:szCs w:val="13"/>
                <w:b w:val="1"/>
                <w:bCs w:val="1"/>
                <w:color w:val="4800E6"/>
              </w:rPr>
              <w:t>Units of</w:t>
            </w:r>
          </w:p>
        </w:tc>
        <w:tc>
          <w:tcPr>
            <w:tcW w:w="860" w:type="dxa"/>
            <w:vAlign w:val="bottom"/>
          </w:tcPr>
          <w:p>
            <w:pPr>
              <w:jc w:val="right"/>
              <w:ind w:right="51"/>
              <w:spacing w:after="0"/>
              <w:rPr>
                <w:sz w:val="20"/>
                <w:szCs w:val="20"/>
                <w:color w:val="auto"/>
              </w:rPr>
            </w:pPr>
            <w:r>
              <w:rPr>
                <w:rFonts w:ascii="Arial" w:cs="Arial" w:eastAsia="Arial" w:hAnsi="Arial"/>
                <w:sz w:val="13"/>
                <w:szCs w:val="13"/>
                <w:b w:val="1"/>
                <w:bCs w:val="1"/>
                <w:color w:val="4800E6"/>
              </w:rPr>
              <w:t>or Units of</w:t>
            </w:r>
          </w:p>
        </w:tc>
        <w:tc>
          <w:tcPr>
            <w:tcW w:w="1020" w:type="dxa"/>
            <w:vAlign w:val="bottom"/>
          </w:tcPr>
          <w:p>
            <w:pPr>
              <w:jc w:val="right"/>
              <w:ind w:right="52"/>
              <w:spacing w:after="0"/>
              <w:rPr>
                <w:sz w:val="20"/>
                <w:szCs w:val="20"/>
                <w:color w:val="auto"/>
              </w:rPr>
            </w:pPr>
            <w:r>
              <w:rPr>
                <w:rFonts w:ascii="Arial" w:cs="Arial" w:eastAsia="Arial" w:hAnsi="Arial"/>
                <w:sz w:val="13"/>
                <w:szCs w:val="13"/>
                <w:b w:val="1"/>
                <w:bCs w:val="1"/>
                <w:color w:val="4800E6"/>
              </w:rPr>
              <w:t>Units or</w:t>
            </w:r>
          </w:p>
        </w:tc>
        <w:tc>
          <w:tcPr>
            <w:tcW w:w="120" w:type="dxa"/>
            <w:vAlign w:val="bottom"/>
          </w:tcPr>
          <w:p>
            <w:pPr>
              <w:spacing w:after="0"/>
              <w:rPr>
                <w:sz w:val="12"/>
                <w:szCs w:val="12"/>
                <w:color w:val="auto"/>
              </w:rPr>
            </w:pPr>
          </w:p>
        </w:tc>
        <w:tc>
          <w:tcPr>
            <w:tcW w:w="900" w:type="dxa"/>
            <w:vAlign w:val="bottom"/>
          </w:tcPr>
          <w:p>
            <w:pPr>
              <w:jc w:val="right"/>
              <w:ind w:right="32"/>
              <w:spacing w:after="0"/>
              <w:rPr>
                <w:sz w:val="20"/>
                <w:szCs w:val="20"/>
                <w:color w:val="auto"/>
              </w:rPr>
            </w:pPr>
            <w:r>
              <w:rPr>
                <w:rFonts w:ascii="Arial" w:cs="Arial" w:eastAsia="Arial" w:hAnsi="Arial"/>
                <w:sz w:val="13"/>
                <w:szCs w:val="13"/>
                <w:b w:val="1"/>
                <w:bCs w:val="1"/>
                <w:color w:val="4800E6"/>
              </w:rPr>
              <w:t>Units or</w:t>
            </w:r>
          </w:p>
        </w:tc>
        <w:tc>
          <w:tcPr>
            <w:tcW w:w="0" w:type="dxa"/>
            <w:vAlign w:val="bottom"/>
          </w:tcPr>
          <w:p>
            <w:pPr>
              <w:spacing w:after="0"/>
              <w:rPr>
                <w:sz w:val="1"/>
                <w:szCs w:val="1"/>
                <w:color w:val="auto"/>
              </w:rPr>
            </w:pPr>
          </w:p>
        </w:tc>
      </w:tr>
      <w:tr>
        <w:trPr>
          <w:trHeight w:val="148"/>
        </w:trPr>
        <w:tc>
          <w:tcPr>
            <w:tcW w:w="1400" w:type="dxa"/>
            <w:vAlign w:val="bottom"/>
          </w:tcPr>
          <w:p>
            <w:pPr>
              <w:spacing w:after="0"/>
              <w:rPr>
                <w:sz w:val="12"/>
                <w:szCs w:val="12"/>
                <w:color w:val="auto"/>
              </w:rPr>
            </w:pPr>
          </w:p>
        </w:tc>
        <w:tc>
          <w:tcPr>
            <w:tcW w:w="1000" w:type="dxa"/>
            <w:vAlign w:val="bottom"/>
          </w:tcPr>
          <w:p>
            <w:pPr>
              <w:jc w:val="right"/>
              <w:ind w:right="31"/>
              <w:spacing w:after="0"/>
              <w:rPr>
                <w:sz w:val="20"/>
                <w:szCs w:val="20"/>
                <w:color w:val="auto"/>
              </w:rPr>
            </w:pPr>
            <w:r>
              <w:rPr>
                <w:rFonts w:ascii="Arial" w:cs="Arial" w:eastAsia="Arial" w:hAnsi="Arial"/>
                <w:sz w:val="13"/>
                <w:szCs w:val="13"/>
                <w:b w:val="1"/>
                <w:bCs w:val="1"/>
                <w:color w:val="4800E6"/>
              </w:rPr>
              <w:t>Unexercised</w:t>
            </w:r>
          </w:p>
        </w:tc>
        <w:tc>
          <w:tcPr>
            <w:tcW w:w="1160" w:type="dxa"/>
            <w:vAlign w:val="bottom"/>
          </w:tcPr>
          <w:p>
            <w:pPr>
              <w:jc w:val="right"/>
              <w:ind w:right="31"/>
              <w:spacing w:after="0"/>
              <w:rPr>
                <w:sz w:val="20"/>
                <w:szCs w:val="20"/>
                <w:color w:val="auto"/>
              </w:rPr>
            </w:pPr>
            <w:r>
              <w:rPr>
                <w:rFonts w:ascii="Arial" w:cs="Arial" w:eastAsia="Arial" w:hAnsi="Arial"/>
                <w:sz w:val="13"/>
                <w:szCs w:val="13"/>
                <w:b w:val="1"/>
                <w:bCs w:val="1"/>
                <w:color w:val="4800E6"/>
              </w:rPr>
              <w:t>Unexercised</w:t>
            </w:r>
          </w:p>
        </w:tc>
        <w:tc>
          <w:tcPr>
            <w:tcW w:w="760" w:type="dxa"/>
            <w:vAlign w:val="bottom"/>
          </w:tcPr>
          <w:p>
            <w:pPr>
              <w:jc w:val="right"/>
              <w:ind w:right="71"/>
              <w:spacing w:after="0"/>
              <w:rPr>
                <w:sz w:val="20"/>
                <w:szCs w:val="20"/>
                <w:color w:val="auto"/>
              </w:rPr>
            </w:pPr>
            <w:r>
              <w:rPr>
                <w:rFonts w:ascii="Arial" w:cs="Arial" w:eastAsia="Arial" w:hAnsi="Arial"/>
                <w:sz w:val="13"/>
                <w:szCs w:val="13"/>
                <w:b w:val="1"/>
                <w:bCs w:val="1"/>
                <w:color w:val="4800E6"/>
              </w:rPr>
              <w:t>Option</w:t>
            </w:r>
          </w:p>
        </w:tc>
        <w:tc>
          <w:tcPr>
            <w:tcW w:w="880" w:type="dxa"/>
            <w:vAlign w:val="bottom"/>
          </w:tcPr>
          <w:p>
            <w:pPr>
              <w:jc w:val="right"/>
              <w:ind w:right="71"/>
              <w:spacing w:after="0"/>
              <w:rPr>
                <w:sz w:val="20"/>
                <w:szCs w:val="20"/>
                <w:color w:val="auto"/>
              </w:rPr>
            </w:pPr>
            <w:r>
              <w:rPr>
                <w:rFonts w:ascii="Arial" w:cs="Arial" w:eastAsia="Arial" w:hAnsi="Arial"/>
                <w:sz w:val="13"/>
                <w:szCs w:val="13"/>
                <w:b w:val="1"/>
                <w:bCs w:val="1"/>
                <w:color w:val="4800E6"/>
              </w:rPr>
              <w:t>Option</w:t>
            </w:r>
          </w:p>
        </w:tc>
        <w:tc>
          <w:tcPr>
            <w:tcW w:w="1080" w:type="dxa"/>
            <w:vAlign w:val="bottom"/>
          </w:tcPr>
          <w:p>
            <w:pPr>
              <w:jc w:val="right"/>
              <w:ind w:right="211"/>
              <w:spacing w:after="0"/>
              <w:rPr>
                <w:sz w:val="20"/>
                <w:szCs w:val="20"/>
                <w:color w:val="auto"/>
              </w:rPr>
            </w:pPr>
            <w:r>
              <w:rPr>
                <w:rFonts w:ascii="Arial" w:cs="Arial" w:eastAsia="Arial" w:hAnsi="Arial"/>
                <w:sz w:val="13"/>
                <w:szCs w:val="13"/>
                <w:b w:val="1"/>
                <w:bCs w:val="1"/>
                <w:color w:val="4800E6"/>
              </w:rPr>
              <w:t>Stock That</w:t>
            </w:r>
          </w:p>
        </w:tc>
        <w:tc>
          <w:tcPr>
            <w:tcW w:w="860" w:type="dxa"/>
            <w:vAlign w:val="bottom"/>
          </w:tcPr>
          <w:p>
            <w:pPr>
              <w:jc w:val="right"/>
              <w:ind w:right="51"/>
              <w:spacing w:after="0"/>
              <w:rPr>
                <w:sz w:val="20"/>
                <w:szCs w:val="20"/>
                <w:color w:val="auto"/>
              </w:rPr>
            </w:pPr>
            <w:r>
              <w:rPr>
                <w:rFonts w:ascii="Arial" w:cs="Arial" w:eastAsia="Arial" w:hAnsi="Arial"/>
                <w:sz w:val="13"/>
                <w:szCs w:val="13"/>
                <w:b w:val="1"/>
                <w:bCs w:val="1"/>
                <w:color w:val="4800E6"/>
              </w:rPr>
              <w:t>Stock That</w:t>
            </w:r>
          </w:p>
        </w:tc>
        <w:tc>
          <w:tcPr>
            <w:tcW w:w="1020" w:type="dxa"/>
            <w:vAlign w:val="bottom"/>
          </w:tcPr>
          <w:p>
            <w:pPr>
              <w:jc w:val="right"/>
              <w:ind w:right="52"/>
              <w:spacing w:after="0"/>
              <w:rPr>
                <w:sz w:val="20"/>
                <w:szCs w:val="20"/>
                <w:color w:val="auto"/>
              </w:rPr>
            </w:pPr>
            <w:r>
              <w:rPr>
                <w:rFonts w:ascii="Arial" w:cs="Arial" w:eastAsia="Arial" w:hAnsi="Arial"/>
                <w:sz w:val="13"/>
                <w:szCs w:val="13"/>
                <w:b w:val="1"/>
                <w:bCs w:val="1"/>
                <w:color w:val="4800E6"/>
              </w:rPr>
              <w:t>Other Rights</w:t>
            </w:r>
          </w:p>
        </w:tc>
        <w:tc>
          <w:tcPr>
            <w:tcW w:w="120" w:type="dxa"/>
            <w:vAlign w:val="bottom"/>
          </w:tcPr>
          <w:p>
            <w:pPr>
              <w:spacing w:after="0"/>
              <w:rPr>
                <w:sz w:val="12"/>
                <w:szCs w:val="12"/>
                <w:color w:val="auto"/>
              </w:rPr>
            </w:pPr>
          </w:p>
        </w:tc>
        <w:tc>
          <w:tcPr>
            <w:tcW w:w="900" w:type="dxa"/>
            <w:vAlign w:val="bottom"/>
          </w:tcPr>
          <w:p>
            <w:pPr>
              <w:jc w:val="right"/>
              <w:ind w:right="32"/>
              <w:spacing w:after="0"/>
              <w:rPr>
                <w:sz w:val="20"/>
                <w:szCs w:val="20"/>
                <w:color w:val="auto"/>
              </w:rPr>
            </w:pPr>
            <w:r>
              <w:rPr>
                <w:rFonts w:ascii="Arial" w:cs="Arial" w:eastAsia="Arial" w:hAnsi="Arial"/>
                <w:sz w:val="13"/>
                <w:szCs w:val="13"/>
                <w:b w:val="1"/>
                <w:bCs w:val="1"/>
                <w:color w:val="4800E6"/>
                <w:w w:val="99"/>
              </w:rPr>
              <w:t>Other Rights</w:t>
            </w:r>
          </w:p>
        </w:tc>
        <w:tc>
          <w:tcPr>
            <w:tcW w:w="0" w:type="dxa"/>
            <w:vAlign w:val="bottom"/>
          </w:tcPr>
          <w:p>
            <w:pPr>
              <w:spacing w:after="0"/>
              <w:rPr>
                <w:sz w:val="1"/>
                <w:szCs w:val="1"/>
                <w:color w:val="auto"/>
              </w:rPr>
            </w:pPr>
          </w:p>
        </w:tc>
      </w:tr>
      <w:tr>
        <w:trPr>
          <w:trHeight w:val="148"/>
        </w:trPr>
        <w:tc>
          <w:tcPr>
            <w:tcW w:w="1400" w:type="dxa"/>
            <w:vAlign w:val="bottom"/>
          </w:tcPr>
          <w:p>
            <w:pPr>
              <w:spacing w:after="0"/>
              <w:rPr>
                <w:sz w:val="12"/>
                <w:szCs w:val="12"/>
                <w:color w:val="auto"/>
              </w:rPr>
            </w:pPr>
          </w:p>
        </w:tc>
        <w:tc>
          <w:tcPr>
            <w:tcW w:w="1000" w:type="dxa"/>
            <w:vAlign w:val="bottom"/>
          </w:tcPr>
          <w:p>
            <w:pPr>
              <w:jc w:val="right"/>
              <w:ind w:right="31"/>
              <w:spacing w:after="0"/>
              <w:rPr>
                <w:sz w:val="20"/>
                <w:szCs w:val="20"/>
                <w:color w:val="auto"/>
              </w:rPr>
            </w:pPr>
            <w:r>
              <w:rPr>
                <w:rFonts w:ascii="Arial" w:cs="Arial" w:eastAsia="Arial" w:hAnsi="Arial"/>
                <w:sz w:val="13"/>
                <w:szCs w:val="13"/>
                <w:b w:val="1"/>
                <w:bCs w:val="1"/>
                <w:color w:val="4800E6"/>
              </w:rPr>
              <w:t>Options (#)</w:t>
            </w:r>
          </w:p>
        </w:tc>
        <w:tc>
          <w:tcPr>
            <w:tcW w:w="1160" w:type="dxa"/>
            <w:vAlign w:val="bottom"/>
          </w:tcPr>
          <w:p>
            <w:pPr>
              <w:jc w:val="right"/>
              <w:ind w:right="31"/>
              <w:spacing w:after="0"/>
              <w:rPr>
                <w:sz w:val="20"/>
                <w:szCs w:val="20"/>
                <w:color w:val="auto"/>
              </w:rPr>
            </w:pPr>
            <w:r>
              <w:rPr>
                <w:rFonts w:ascii="Arial" w:cs="Arial" w:eastAsia="Arial" w:hAnsi="Arial"/>
                <w:sz w:val="13"/>
                <w:szCs w:val="13"/>
                <w:b w:val="1"/>
                <w:bCs w:val="1"/>
                <w:color w:val="4800E6"/>
              </w:rPr>
              <w:t>Options (#)</w:t>
            </w:r>
          </w:p>
        </w:tc>
        <w:tc>
          <w:tcPr>
            <w:tcW w:w="760" w:type="dxa"/>
            <w:vAlign w:val="bottom"/>
          </w:tcPr>
          <w:p>
            <w:pPr>
              <w:jc w:val="right"/>
              <w:ind w:right="71"/>
              <w:spacing w:after="0"/>
              <w:rPr>
                <w:sz w:val="20"/>
                <w:szCs w:val="20"/>
                <w:color w:val="auto"/>
              </w:rPr>
            </w:pPr>
            <w:r>
              <w:rPr>
                <w:rFonts w:ascii="Arial" w:cs="Arial" w:eastAsia="Arial" w:hAnsi="Arial"/>
                <w:sz w:val="13"/>
                <w:szCs w:val="13"/>
                <w:b w:val="1"/>
                <w:bCs w:val="1"/>
                <w:color w:val="4800E6"/>
              </w:rPr>
              <w:t>Exercise</w:t>
            </w:r>
          </w:p>
        </w:tc>
        <w:tc>
          <w:tcPr>
            <w:tcW w:w="880" w:type="dxa"/>
            <w:vAlign w:val="bottom"/>
          </w:tcPr>
          <w:p>
            <w:pPr>
              <w:jc w:val="right"/>
              <w:ind w:right="71"/>
              <w:spacing w:after="0"/>
              <w:rPr>
                <w:sz w:val="20"/>
                <w:szCs w:val="20"/>
                <w:color w:val="auto"/>
              </w:rPr>
            </w:pPr>
            <w:r>
              <w:rPr>
                <w:rFonts w:ascii="Arial" w:cs="Arial" w:eastAsia="Arial" w:hAnsi="Arial"/>
                <w:sz w:val="13"/>
                <w:szCs w:val="13"/>
                <w:b w:val="1"/>
                <w:bCs w:val="1"/>
                <w:color w:val="4800E6"/>
              </w:rPr>
              <w:t>Expiration</w:t>
            </w:r>
          </w:p>
        </w:tc>
        <w:tc>
          <w:tcPr>
            <w:tcW w:w="1080" w:type="dxa"/>
            <w:vAlign w:val="bottom"/>
          </w:tcPr>
          <w:p>
            <w:pPr>
              <w:jc w:val="right"/>
              <w:ind w:right="211"/>
              <w:spacing w:after="0"/>
              <w:rPr>
                <w:sz w:val="20"/>
                <w:szCs w:val="20"/>
                <w:color w:val="auto"/>
              </w:rPr>
            </w:pPr>
            <w:r>
              <w:rPr>
                <w:rFonts w:ascii="Arial" w:cs="Arial" w:eastAsia="Arial" w:hAnsi="Arial"/>
                <w:sz w:val="13"/>
                <w:szCs w:val="13"/>
                <w:b w:val="1"/>
                <w:bCs w:val="1"/>
                <w:color w:val="4800E6"/>
              </w:rPr>
              <w:t>Have Not</w:t>
            </w:r>
          </w:p>
        </w:tc>
        <w:tc>
          <w:tcPr>
            <w:tcW w:w="860" w:type="dxa"/>
            <w:vAlign w:val="bottom"/>
          </w:tcPr>
          <w:p>
            <w:pPr>
              <w:jc w:val="right"/>
              <w:ind w:right="51"/>
              <w:spacing w:after="0"/>
              <w:rPr>
                <w:sz w:val="20"/>
                <w:szCs w:val="20"/>
                <w:color w:val="auto"/>
              </w:rPr>
            </w:pPr>
            <w:r>
              <w:rPr>
                <w:rFonts w:ascii="Arial" w:cs="Arial" w:eastAsia="Arial" w:hAnsi="Arial"/>
                <w:sz w:val="13"/>
                <w:szCs w:val="13"/>
                <w:b w:val="1"/>
                <w:bCs w:val="1"/>
                <w:color w:val="4800E6"/>
              </w:rPr>
              <w:t>Have Not</w:t>
            </w:r>
          </w:p>
        </w:tc>
        <w:tc>
          <w:tcPr>
            <w:tcW w:w="1020" w:type="dxa"/>
            <w:vAlign w:val="bottom"/>
          </w:tcPr>
          <w:p>
            <w:pPr>
              <w:jc w:val="right"/>
              <w:ind w:right="52"/>
              <w:spacing w:after="0"/>
              <w:rPr>
                <w:sz w:val="20"/>
                <w:szCs w:val="20"/>
                <w:color w:val="auto"/>
              </w:rPr>
            </w:pPr>
            <w:r>
              <w:rPr>
                <w:rFonts w:ascii="Arial" w:cs="Arial" w:eastAsia="Arial" w:hAnsi="Arial"/>
                <w:sz w:val="13"/>
                <w:szCs w:val="13"/>
                <w:b w:val="1"/>
                <w:bCs w:val="1"/>
                <w:color w:val="4800E6"/>
              </w:rPr>
              <w:t>That Have</w:t>
            </w:r>
          </w:p>
        </w:tc>
        <w:tc>
          <w:tcPr>
            <w:tcW w:w="120" w:type="dxa"/>
            <w:vAlign w:val="bottom"/>
          </w:tcPr>
          <w:p>
            <w:pPr>
              <w:spacing w:after="0"/>
              <w:rPr>
                <w:sz w:val="12"/>
                <w:szCs w:val="12"/>
                <w:color w:val="auto"/>
              </w:rPr>
            </w:pPr>
          </w:p>
        </w:tc>
        <w:tc>
          <w:tcPr>
            <w:tcW w:w="900" w:type="dxa"/>
            <w:vAlign w:val="bottom"/>
          </w:tcPr>
          <w:p>
            <w:pPr>
              <w:jc w:val="right"/>
              <w:ind w:right="32"/>
              <w:spacing w:after="0"/>
              <w:rPr>
                <w:sz w:val="20"/>
                <w:szCs w:val="20"/>
                <w:color w:val="auto"/>
              </w:rPr>
            </w:pPr>
            <w:r>
              <w:rPr>
                <w:rFonts w:ascii="Arial" w:cs="Arial" w:eastAsia="Arial" w:hAnsi="Arial"/>
                <w:sz w:val="13"/>
                <w:szCs w:val="13"/>
                <w:b w:val="1"/>
                <w:bCs w:val="1"/>
                <w:color w:val="4800E6"/>
              </w:rPr>
              <w:t>That Have</w:t>
            </w:r>
          </w:p>
        </w:tc>
        <w:tc>
          <w:tcPr>
            <w:tcW w:w="0" w:type="dxa"/>
            <w:vAlign w:val="bottom"/>
          </w:tcPr>
          <w:p>
            <w:pPr>
              <w:spacing w:after="0"/>
              <w:rPr>
                <w:sz w:val="1"/>
                <w:szCs w:val="1"/>
                <w:color w:val="auto"/>
              </w:rPr>
            </w:pPr>
          </w:p>
        </w:tc>
      </w:tr>
      <w:tr>
        <w:trPr>
          <w:trHeight w:val="216"/>
        </w:trPr>
        <w:tc>
          <w:tcPr>
            <w:tcW w:w="1400" w:type="dxa"/>
            <w:vAlign w:val="bottom"/>
            <w:tcBorders>
              <w:bottom w:val="single" w:sz="8" w:color="4800E6"/>
            </w:tcBorders>
          </w:tcPr>
          <w:p>
            <w:pPr>
              <w:ind w:left="40"/>
              <w:spacing w:after="0"/>
              <w:rPr>
                <w:sz w:val="20"/>
                <w:szCs w:val="20"/>
                <w:color w:val="auto"/>
              </w:rPr>
            </w:pPr>
            <w:r>
              <w:rPr>
                <w:rFonts w:ascii="Arial" w:cs="Arial" w:eastAsia="Arial" w:hAnsi="Arial"/>
                <w:sz w:val="13"/>
                <w:szCs w:val="13"/>
                <w:b w:val="1"/>
                <w:bCs w:val="1"/>
                <w:color w:val="4800E6"/>
              </w:rPr>
              <w:t>Name</w:t>
            </w:r>
          </w:p>
        </w:tc>
        <w:tc>
          <w:tcPr>
            <w:tcW w:w="1000" w:type="dxa"/>
            <w:vAlign w:val="bottom"/>
            <w:tcBorders>
              <w:bottom w:val="single" w:sz="8" w:color="4800E6"/>
            </w:tcBorders>
          </w:tcPr>
          <w:p>
            <w:pPr>
              <w:jc w:val="right"/>
              <w:spacing w:after="0" w:line="216" w:lineRule="exact"/>
              <w:rPr>
                <w:sz w:val="20"/>
                <w:szCs w:val="20"/>
                <w:color w:val="auto"/>
              </w:rPr>
            </w:pPr>
            <w:r>
              <w:rPr>
                <w:rFonts w:ascii="Arial" w:cs="Arial" w:eastAsia="Arial" w:hAnsi="Arial"/>
                <w:sz w:val="13"/>
                <w:szCs w:val="13"/>
                <w:b w:val="1"/>
                <w:bCs w:val="1"/>
                <w:color w:val="4800E6"/>
              </w:rPr>
              <w:t>Exercisable</w:t>
            </w:r>
            <w:r>
              <w:rPr>
                <w:rFonts w:ascii="Arial" w:cs="Arial" w:eastAsia="Arial" w:hAnsi="Arial"/>
                <w:sz w:val="19"/>
                <w:szCs w:val="19"/>
                <w:b w:val="1"/>
                <w:bCs w:val="1"/>
                <w:color w:val="4800E6"/>
                <w:vertAlign w:val="superscript"/>
              </w:rPr>
              <w:t>(1)</w:t>
            </w:r>
          </w:p>
        </w:tc>
        <w:tc>
          <w:tcPr>
            <w:tcW w:w="1160" w:type="dxa"/>
            <w:vAlign w:val="bottom"/>
            <w:tcBorders>
              <w:bottom w:val="single" w:sz="8" w:color="4800E6"/>
            </w:tcBorders>
          </w:tcPr>
          <w:p>
            <w:pPr>
              <w:jc w:val="right"/>
              <w:spacing w:after="0" w:line="216" w:lineRule="exact"/>
              <w:rPr>
                <w:sz w:val="20"/>
                <w:szCs w:val="20"/>
                <w:color w:val="auto"/>
              </w:rPr>
            </w:pPr>
            <w:r>
              <w:rPr>
                <w:rFonts w:ascii="Arial" w:cs="Arial" w:eastAsia="Arial" w:hAnsi="Arial"/>
                <w:sz w:val="13"/>
                <w:szCs w:val="13"/>
                <w:b w:val="1"/>
                <w:bCs w:val="1"/>
                <w:color w:val="4800E6"/>
              </w:rPr>
              <w:t>Unexercisable</w:t>
            </w:r>
            <w:r>
              <w:rPr>
                <w:rFonts w:ascii="Arial" w:cs="Arial" w:eastAsia="Arial" w:hAnsi="Arial"/>
                <w:sz w:val="19"/>
                <w:szCs w:val="19"/>
                <w:b w:val="1"/>
                <w:bCs w:val="1"/>
                <w:color w:val="4800E6"/>
                <w:vertAlign w:val="superscript"/>
              </w:rPr>
              <w:t>(2)</w:t>
            </w:r>
          </w:p>
        </w:tc>
        <w:tc>
          <w:tcPr>
            <w:tcW w:w="760" w:type="dxa"/>
            <w:vAlign w:val="bottom"/>
            <w:tcBorders>
              <w:bottom w:val="single" w:sz="8" w:color="4800E6"/>
            </w:tcBorders>
          </w:tcPr>
          <w:p>
            <w:pPr>
              <w:jc w:val="right"/>
              <w:ind w:right="31"/>
              <w:spacing w:after="0"/>
              <w:rPr>
                <w:sz w:val="20"/>
                <w:szCs w:val="20"/>
                <w:color w:val="auto"/>
              </w:rPr>
            </w:pPr>
            <w:r>
              <w:rPr>
                <w:rFonts w:ascii="Arial" w:cs="Arial" w:eastAsia="Arial" w:hAnsi="Arial"/>
                <w:sz w:val="13"/>
                <w:szCs w:val="13"/>
                <w:b w:val="1"/>
                <w:bCs w:val="1"/>
                <w:color w:val="4800E6"/>
              </w:rPr>
              <w:t>Price ($)</w:t>
            </w:r>
          </w:p>
        </w:tc>
        <w:tc>
          <w:tcPr>
            <w:tcW w:w="880" w:type="dxa"/>
            <w:vAlign w:val="bottom"/>
            <w:tcBorders>
              <w:bottom w:val="single" w:sz="8" w:color="4800E6"/>
            </w:tcBorders>
          </w:tcPr>
          <w:p>
            <w:pPr>
              <w:jc w:val="right"/>
              <w:ind w:right="31"/>
              <w:spacing w:after="0"/>
              <w:rPr>
                <w:sz w:val="20"/>
                <w:szCs w:val="20"/>
                <w:color w:val="auto"/>
              </w:rPr>
            </w:pPr>
            <w:r>
              <w:rPr>
                <w:rFonts w:ascii="Arial" w:cs="Arial" w:eastAsia="Arial" w:hAnsi="Arial"/>
                <w:sz w:val="13"/>
                <w:szCs w:val="13"/>
                <w:b w:val="1"/>
                <w:bCs w:val="1"/>
                <w:color w:val="4800E6"/>
              </w:rPr>
              <w:t>Date</w:t>
            </w:r>
          </w:p>
        </w:tc>
        <w:tc>
          <w:tcPr>
            <w:tcW w:w="1080" w:type="dxa"/>
            <w:vAlign w:val="bottom"/>
            <w:tcBorders>
              <w:bottom w:val="single" w:sz="8" w:color="4800E6"/>
            </w:tcBorders>
          </w:tcPr>
          <w:p>
            <w:pPr>
              <w:jc w:val="right"/>
              <w:ind w:right="171"/>
              <w:spacing w:after="0" w:line="216" w:lineRule="exact"/>
              <w:rPr>
                <w:sz w:val="20"/>
                <w:szCs w:val="20"/>
                <w:color w:val="auto"/>
              </w:rPr>
            </w:pPr>
            <w:r>
              <w:rPr>
                <w:rFonts w:ascii="Arial" w:cs="Arial" w:eastAsia="Arial" w:hAnsi="Arial"/>
                <w:sz w:val="13"/>
                <w:szCs w:val="13"/>
                <w:b w:val="1"/>
                <w:bCs w:val="1"/>
                <w:color w:val="4800E6"/>
              </w:rPr>
              <w:t>Vested (#)</w:t>
            </w:r>
            <w:r>
              <w:rPr>
                <w:rFonts w:ascii="Arial" w:cs="Arial" w:eastAsia="Arial" w:hAnsi="Arial"/>
                <w:sz w:val="19"/>
                <w:szCs w:val="19"/>
                <w:b w:val="1"/>
                <w:bCs w:val="1"/>
                <w:color w:val="4800E6"/>
                <w:vertAlign w:val="superscript"/>
              </w:rPr>
              <w:t>(3)</w:t>
            </w:r>
          </w:p>
        </w:tc>
        <w:tc>
          <w:tcPr>
            <w:tcW w:w="860" w:type="dxa"/>
            <w:vAlign w:val="bottom"/>
            <w:tcBorders>
              <w:bottom w:val="single" w:sz="8" w:color="4800E6"/>
            </w:tcBorders>
          </w:tcPr>
          <w:p>
            <w:pPr>
              <w:jc w:val="right"/>
              <w:ind w:right="11"/>
              <w:spacing w:after="0" w:line="216" w:lineRule="exact"/>
              <w:rPr>
                <w:sz w:val="20"/>
                <w:szCs w:val="20"/>
                <w:color w:val="auto"/>
              </w:rPr>
            </w:pPr>
            <w:r>
              <w:rPr>
                <w:rFonts w:ascii="Arial" w:cs="Arial" w:eastAsia="Arial" w:hAnsi="Arial"/>
                <w:sz w:val="13"/>
                <w:szCs w:val="13"/>
                <w:b w:val="1"/>
                <w:bCs w:val="1"/>
                <w:color w:val="4800E6"/>
                <w:w w:val="97"/>
              </w:rPr>
              <w:t>Vested ($)</w:t>
            </w:r>
            <w:r>
              <w:rPr>
                <w:rFonts w:ascii="Arial" w:cs="Arial" w:eastAsia="Arial" w:hAnsi="Arial"/>
                <w:sz w:val="19"/>
                <w:szCs w:val="19"/>
                <w:b w:val="1"/>
                <w:bCs w:val="1"/>
                <w:color w:val="4800E6"/>
                <w:w w:val="97"/>
                <w:vertAlign w:val="superscript"/>
              </w:rPr>
              <w:t>(4)</w:t>
            </w:r>
          </w:p>
        </w:tc>
        <w:tc>
          <w:tcPr>
            <w:tcW w:w="1020" w:type="dxa"/>
            <w:vAlign w:val="bottom"/>
            <w:tcBorders>
              <w:bottom w:val="single" w:sz="8" w:color="4800E6"/>
            </w:tcBorders>
          </w:tcPr>
          <w:p>
            <w:pPr>
              <w:jc w:val="right"/>
              <w:ind w:right="32"/>
              <w:spacing w:after="0"/>
              <w:rPr>
                <w:sz w:val="20"/>
                <w:szCs w:val="20"/>
                <w:color w:val="auto"/>
              </w:rPr>
            </w:pPr>
            <w:r>
              <w:rPr>
                <w:rFonts w:ascii="Arial" w:cs="Arial" w:eastAsia="Arial" w:hAnsi="Arial"/>
                <w:sz w:val="13"/>
                <w:szCs w:val="13"/>
                <w:b w:val="1"/>
                <w:bCs w:val="1"/>
                <w:color w:val="4800E6"/>
              </w:rPr>
              <w:t>Not Vested</w:t>
            </w:r>
          </w:p>
        </w:tc>
        <w:tc>
          <w:tcPr>
            <w:tcW w:w="120" w:type="dxa"/>
            <w:vAlign w:val="bottom"/>
            <w:tcBorders>
              <w:bottom w:val="single" w:sz="8" w:color="4800E6"/>
            </w:tcBorders>
          </w:tcPr>
          <w:p>
            <w:pPr>
              <w:spacing w:after="0"/>
              <w:rPr>
                <w:sz w:val="18"/>
                <w:szCs w:val="18"/>
                <w:color w:val="auto"/>
              </w:rPr>
            </w:pPr>
          </w:p>
        </w:tc>
        <w:tc>
          <w:tcPr>
            <w:tcW w:w="900" w:type="dxa"/>
            <w:vAlign w:val="bottom"/>
            <w:tcBorders>
              <w:bottom w:val="single" w:sz="8" w:color="4800E6"/>
            </w:tcBorders>
          </w:tcPr>
          <w:p>
            <w:pPr>
              <w:jc w:val="right"/>
              <w:spacing w:after="0"/>
              <w:rPr>
                <w:sz w:val="20"/>
                <w:szCs w:val="20"/>
                <w:color w:val="auto"/>
              </w:rPr>
            </w:pPr>
            <w:r>
              <w:rPr>
                <w:rFonts w:ascii="Arial" w:cs="Arial" w:eastAsia="Arial" w:hAnsi="Arial"/>
                <w:sz w:val="13"/>
                <w:szCs w:val="13"/>
                <w:b w:val="1"/>
                <w:bCs w:val="1"/>
                <w:color w:val="4800E6"/>
              </w:rPr>
              <w:t>Not Vested</w:t>
            </w:r>
          </w:p>
        </w:tc>
        <w:tc>
          <w:tcPr>
            <w:tcW w:w="0" w:type="dxa"/>
            <w:vAlign w:val="bottom"/>
          </w:tcPr>
          <w:p>
            <w:pPr>
              <w:spacing w:after="0"/>
              <w:rPr>
                <w:sz w:val="1"/>
                <w:szCs w:val="1"/>
                <w:color w:val="auto"/>
              </w:rPr>
            </w:pPr>
          </w:p>
        </w:tc>
      </w:tr>
      <w:tr>
        <w:trPr>
          <w:trHeight w:val="211"/>
        </w:trPr>
        <w:tc>
          <w:tcPr>
            <w:tcW w:w="1400" w:type="dxa"/>
            <w:vAlign w:val="bottom"/>
          </w:tcPr>
          <w:p>
            <w:pPr>
              <w:ind w:left="40"/>
              <w:spacing w:after="0"/>
              <w:rPr>
                <w:sz w:val="20"/>
                <w:szCs w:val="20"/>
                <w:color w:val="auto"/>
              </w:rPr>
            </w:pPr>
            <w:r>
              <w:rPr>
                <w:rFonts w:ascii="Arial" w:cs="Arial" w:eastAsia="Arial" w:hAnsi="Arial"/>
                <w:sz w:val="14"/>
                <w:szCs w:val="14"/>
                <w:color w:val="auto"/>
              </w:rPr>
              <w:t>Edward Andrle</w:t>
            </w:r>
          </w:p>
        </w:tc>
        <w:tc>
          <w:tcPr>
            <w:tcW w:w="1000" w:type="dxa"/>
            <w:vAlign w:val="bottom"/>
          </w:tcPr>
          <w:p>
            <w:pPr>
              <w:jc w:val="right"/>
              <w:spacing w:after="0"/>
              <w:rPr>
                <w:sz w:val="20"/>
                <w:szCs w:val="20"/>
                <w:color w:val="auto"/>
              </w:rPr>
            </w:pPr>
            <w:r>
              <w:rPr>
                <w:rFonts w:ascii="Arial" w:cs="Arial" w:eastAsia="Arial" w:hAnsi="Arial"/>
                <w:sz w:val="14"/>
                <w:szCs w:val="14"/>
                <w:color w:val="auto"/>
              </w:rPr>
              <w:t>29,717</w:t>
            </w:r>
          </w:p>
        </w:tc>
        <w:tc>
          <w:tcPr>
            <w:tcW w:w="1160" w:type="dxa"/>
            <w:vAlign w:val="bottom"/>
          </w:tcPr>
          <w:p>
            <w:pPr>
              <w:jc w:val="right"/>
              <w:spacing w:after="0"/>
              <w:rPr>
                <w:sz w:val="20"/>
                <w:szCs w:val="20"/>
                <w:color w:val="auto"/>
              </w:rPr>
            </w:pPr>
            <w:r>
              <w:rPr>
                <w:rFonts w:ascii="Arial" w:cs="Arial" w:eastAsia="Arial" w:hAnsi="Arial"/>
                <w:sz w:val="14"/>
                <w:szCs w:val="14"/>
                <w:color w:val="auto"/>
              </w:rPr>
              <w:t>0</w:t>
            </w:r>
          </w:p>
        </w:tc>
        <w:tc>
          <w:tcPr>
            <w:tcW w:w="760" w:type="dxa"/>
            <w:vAlign w:val="bottom"/>
          </w:tcPr>
          <w:p>
            <w:pPr>
              <w:jc w:val="right"/>
              <w:ind w:right="31"/>
              <w:spacing w:after="0"/>
              <w:rPr>
                <w:sz w:val="20"/>
                <w:szCs w:val="20"/>
                <w:color w:val="auto"/>
              </w:rPr>
            </w:pPr>
            <w:r>
              <w:rPr>
                <w:rFonts w:ascii="Arial" w:cs="Arial" w:eastAsia="Arial" w:hAnsi="Arial"/>
                <w:sz w:val="14"/>
                <w:szCs w:val="14"/>
                <w:color w:val="auto"/>
              </w:rPr>
              <w:t>69.39</w:t>
            </w:r>
          </w:p>
        </w:tc>
        <w:tc>
          <w:tcPr>
            <w:tcW w:w="880" w:type="dxa"/>
            <w:vAlign w:val="bottom"/>
          </w:tcPr>
          <w:p>
            <w:pPr>
              <w:jc w:val="right"/>
              <w:ind w:right="31"/>
              <w:spacing w:after="0"/>
              <w:rPr>
                <w:sz w:val="20"/>
                <w:szCs w:val="20"/>
                <w:color w:val="auto"/>
              </w:rPr>
            </w:pPr>
            <w:r>
              <w:rPr>
                <w:rFonts w:ascii="Arial" w:cs="Arial" w:eastAsia="Arial" w:hAnsi="Arial"/>
                <w:sz w:val="14"/>
                <w:szCs w:val="14"/>
                <w:color w:val="auto"/>
              </w:rPr>
              <w:t>10/19/2020</w:t>
            </w:r>
          </w:p>
        </w:tc>
        <w:tc>
          <w:tcPr>
            <w:tcW w:w="10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9"/>
        </w:trPr>
        <w:tc>
          <w:tcPr>
            <w:tcW w:w="1400" w:type="dxa"/>
            <w:vAlign w:val="bottom"/>
          </w:tcPr>
          <w:p>
            <w:pPr>
              <w:spacing w:after="0"/>
              <w:rPr>
                <w:sz w:val="3"/>
                <w:szCs w:val="3"/>
                <w:color w:val="auto"/>
              </w:rPr>
            </w:pPr>
          </w:p>
        </w:tc>
        <w:tc>
          <w:tcPr>
            <w:tcW w:w="1000" w:type="dxa"/>
            <w:vAlign w:val="bottom"/>
          </w:tcPr>
          <w:p>
            <w:pPr>
              <w:spacing w:after="0"/>
              <w:rPr>
                <w:sz w:val="3"/>
                <w:szCs w:val="3"/>
                <w:color w:val="auto"/>
              </w:rPr>
            </w:pPr>
          </w:p>
        </w:tc>
        <w:tc>
          <w:tcPr>
            <w:tcW w:w="1160" w:type="dxa"/>
            <w:vAlign w:val="bottom"/>
          </w:tcPr>
          <w:p>
            <w:pPr>
              <w:spacing w:after="0"/>
              <w:rPr>
                <w:sz w:val="3"/>
                <w:szCs w:val="3"/>
                <w:color w:val="auto"/>
              </w:rPr>
            </w:pPr>
          </w:p>
        </w:tc>
        <w:tc>
          <w:tcPr>
            <w:tcW w:w="760" w:type="dxa"/>
            <w:vAlign w:val="bottom"/>
          </w:tcPr>
          <w:p>
            <w:pPr>
              <w:spacing w:after="0"/>
              <w:rPr>
                <w:sz w:val="3"/>
                <w:szCs w:val="3"/>
                <w:color w:val="auto"/>
              </w:rPr>
            </w:pPr>
          </w:p>
        </w:tc>
        <w:tc>
          <w:tcPr>
            <w:tcW w:w="880" w:type="dxa"/>
            <w:vAlign w:val="bottom"/>
          </w:tcPr>
          <w:p>
            <w:pPr>
              <w:spacing w:after="0"/>
              <w:rPr>
                <w:sz w:val="3"/>
                <w:szCs w:val="3"/>
                <w:color w:val="auto"/>
              </w:rPr>
            </w:pPr>
          </w:p>
        </w:tc>
        <w:tc>
          <w:tcPr>
            <w:tcW w:w="1080" w:type="dxa"/>
            <w:vAlign w:val="bottom"/>
          </w:tcPr>
          <w:p>
            <w:pPr>
              <w:spacing w:after="0"/>
              <w:rPr>
                <w:sz w:val="3"/>
                <w:szCs w:val="3"/>
                <w:color w:val="auto"/>
              </w:rPr>
            </w:pPr>
          </w:p>
        </w:tc>
        <w:tc>
          <w:tcPr>
            <w:tcW w:w="860" w:type="dxa"/>
            <w:vAlign w:val="bottom"/>
          </w:tcPr>
          <w:p>
            <w:pPr>
              <w:spacing w:after="0"/>
              <w:rPr>
                <w:sz w:val="3"/>
                <w:szCs w:val="3"/>
                <w:color w:val="auto"/>
              </w:rPr>
            </w:pPr>
          </w:p>
        </w:tc>
        <w:tc>
          <w:tcPr>
            <w:tcW w:w="1020" w:type="dxa"/>
            <w:vAlign w:val="bottom"/>
          </w:tcPr>
          <w:p>
            <w:pPr>
              <w:spacing w:after="0"/>
              <w:rPr>
                <w:sz w:val="3"/>
                <w:szCs w:val="3"/>
                <w:color w:val="auto"/>
              </w:rPr>
            </w:pPr>
          </w:p>
        </w:tc>
        <w:tc>
          <w:tcPr>
            <w:tcW w:w="120" w:type="dxa"/>
            <w:vAlign w:val="bottom"/>
          </w:tcPr>
          <w:p>
            <w:pPr>
              <w:spacing w:after="0"/>
              <w:rPr>
                <w:sz w:val="3"/>
                <w:szCs w:val="3"/>
                <w:color w:val="auto"/>
              </w:rPr>
            </w:pPr>
          </w:p>
        </w:tc>
        <w:tc>
          <w:tcPr>
            <w:tcW w:w="9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04"/>
        </w:trPr>
        <w:tc>
          <w:tcPr>
            <w:tcW w:w="1400" w:type="dxa"/>
            <w:vAlign w:val="bottom"/>
          </w:tcPr>
          <w:p>
            <w:pPr>
              <w:spacing w:after="0"/>
              <w:rPr>
                <w:sz w:val="17"/>
                <w:szCs w:val="17"/>
                <w:color w:val="auto"/>
              </w:rPr>
            </w:pPr>
          </w:p>
        </w:tc>
        <w:tc>
          <w:tcPr>
            <w:tcW w:w="1000" w:type="dxa"/>
            <w:vAlign w:val="bottom"/>
            <w:shd w:val="clear" w:color="auto" w:fill="EFE9FC"/>
          </w:tcPr>
          <w:p>
            <w:pPr>
              <w:jc w:val="right"/>
              <w:spacing w:after="0"/>
              <w:rPr>
                <w:sz w:val="20"/>
                <w:szCs w:val="20"/>
                <w:color w:val="auto"/>
              </w:rPr>
            </w:pPr>
            <w:r>
              <w:rPr>
                <w:rFonts w:ascii="Arial" w:cs="Arial" w:eastAsia="Arial" w:hAnsi="Arial"/>
                <w:sz w:val="14"/>
                <w:szCs w:val="14"/>
                <w:color w:val="auto"/>
              </w:rPr>
              <w:t>1,724</w:t>
            </w:r>
          </w:p>
        </w:tc>
        <w:tc>
          <w:tcPr>
            <w:tcW w:w="1160" w:type="dxa"/>
            <w:vAlign w:val="bottom"/>
            <w:shd w:val="clear" w:color="auto" w:fill="EFE9FC"/>
          </w:tcPr>
          <w:p>
            <w:pPr>
              <w:jc w:val="right"/>
              <w:spacing w:after="0"/>
              <w:rPr>
                <w:sz w:val="20"/>
                <w:szCs w:val="20"/>
                <w:color w:val="auto"/>
              </w:rPr>
            </w:pPr>
            <w:r>
              <w:rPr>
                <w:rFonts w:ascii="Arial" w:cs="Arial" w:eastAsia="Arial" w:hAnsi="Arial"/>
                <w:sz w:val="14"/>
                <w:szCs w:val="14"/>
                <w:color w:val="auto"/>
              </w:rPr>
              <w:t>5,169</w:t>
            </w:r>
          </w:p>
        </w:tc>
        <w:tc>
          <w:tcPr>
            <w:tcW w:w="760" w:type="dxa"/>
            <w:vAlign w:val="bottom"/>
            <w:shd w:val="clear" w:color="auto" w:fill="EFE9FC"/>
          </w:tcPr>
          <w:p>
            <w:pPr>
              <w:jc w:val="right"/>
              <w:ind w:right="31"/>
              <w:spacing w:after="0"/>
              <w:rPr>
                <w:sz w:val="20"/>
                <w:szCs w:val="20"/>
                <w:color w:val="auto"/>
              </w:rPr>
            </w:pPr>
            <w:r>
              <w:rPr>
                <w:rFonts w:ascii="Arial" w:cs="Arial" w:eastAsia="Arial" w:hAnsi="Arial"/>
                <w:sz w:val="14"/>
                <w:szCs w:val="14"/>
                <w:color w:val="auto"/>
              </w:rPr>
              <w:t>88.38</w:t>
            </w:r>
          </w:p>
        </w:tc>
        <w:tc>
          <w:tcPr>
            <w:tcW w:w="880" w:type="dxa"/>
            <w:vAlign w:val="bottom"/>
            <w:shd w:val="clear" w:color="auto" w:fill="EFE9FC"/>
          </w:tcPr>
          <w:p>
            <w:pPr>
              <w:jc w:val="right"/>
              <w:ind w:right="31"/>
              <w:spacing w:after="0"/>
              <w:rPr>
                <w:sz w:val="20"/>
                <w:szCs w:val="20"/>
                <w:color w:val="auto"/>
              </w:rPr>
            </w:pPr>
            <w:r>
              <w:rPr>
                <w:rFonts w:ascii="Arial" w:cs="Arial" w:eastAsia="Arial" w:hAnsi="Arial"/>
                <w:sz w:val="14"/>
                <w:szCs w:val="14"/>
                <w:color w:val="auto"/>
              </w:rPr>
              <w:t>3/15/2028</w:t>
            </w:r>
          </w:p>
        </w:tc>
        <w:tc>
          <w:tcPr>
            <w:tcW w:w="1080" w:type="dxa"/>
            <w:vAlign w:val="bottom"/>
            <w:shd w:val="clear" w:color="auto" w:fill="EFE9FC"/>
          </w:tcPr>
          <w:p>
            <w:pPr>
              <w:spacing w:after="0"/>
              <w:rPr>
                <w:sz w:val="17"/>
                <w:szCs w:val="17"/>
                <w:color w:val="auto"/>
              </w:rPr>
            </w:pPr>
          </w:p>
        </w:tc>
        <w:tc>
          <w:tcPr>
            <w:tcW w:w="860" w:type="dxa"/>
            <w:vAlign w:val="bottom"/>
            <w:shd w:val="clear" w:color="auto" w:fill="EFE9FC"/>
          </w:tcPr>
          <w:p>
            <w:pPr>
              <w:spacing w:after="0"/>
              <w:rPr>
                <w:sz w:val="17"/>
                <w:szCs w:val="17"/>
                <w:color w:val="auto"/>
              </w:rPr>
            </w:pPr>
          </w:p>
        </w:tc>
        <w:tc>
          <w:tcPr>
            <w:tcW w:w="1020" w:type="dxa"/>
            <w:vAlign w:val="bottom"/>
            <w:shd w:val="clear" w:color="auto" w:fill="EFE9FC"/>
          </w:tcPr>
          <w:p>
            <w:pPr>
              <w:spacing w:after="0"/>
              <w:rPr>
                <w:sz w:val="17"/>
                <w:szCs w:val="17"/>
                <w:color w:val="auto"/>
              </w:rPr>
            </w:pPr>
          </w:p>
        </w:tc>
        <w:tc>
          <w:tcPr>
            <w:tcW w:w="120" w:type="dxa"/>
            <w:vAlign w:val="bottom"/>
            <w:shd w:val="clear" w:color="auto" w:fill="EFE9FC"/>
          </w:tcPr>
          <w:p>
            <w:pPr>
              <w:spacing w:after="0"/>
              <w:rPr>
                <w:sz w:val="17"/>
                <w:szCs w:val="17"/>
                <w:color w:val="auto"/>
              </w:rPr>
            </w:pPr>
          </w:p>
        </w:tc>
        <w:tc>
          <w:tcPr>
            <w:tcW w:w="900" w:type="dxa"/>
            <w:vAlign w:val="bottom"/>
            <w:shd w:val="clear" w:color="auto" w:fill="EFE9FC"/>
          </w:tcPr>
          <w:p>
            <w:pPr>
              <w:spacing w:after="0"/>
              <w:rPr>
                <w:sz w:val="17"/>
                <w:szCs w:val="17"/>
                <w:color w:val="auto"/>
              </w:rPr>
            </w:pPr>
          </w:p>
        </w:tc>
        <w:tc>
          <w:tcPr>
            <w:tcW w:w="0" w:type="dxa"/>
            <w:vAlign w:val="bottom"/>
          </w:tcPr>
          <w:p>
            <w:pPr>
              <w:spacing w:after="0"/>
              <w:rPr>
                <w:sz w:val="1"/>
                <w:szCs w:val="1"/>
                <w:color w:val="auto"/>
              </w:rPr>
            </w:pPr>
          </w:p>
        </w:tc>
      </w:tr>
      <w:tr>
        <w:trPr>
          <w:trHeight w:val="66"/>
        </w:trPr>
        <w:tc>
          <w:tcPr>
            <w:tcW w:w="1400" w:type="dxa"/>
            <w:vAlign w:val="bottom"/>
          </w:tcPr>
          <w:p>
            <w:pPr>
              <w:spacing w:after="0"/>
              <w:rPr>
                <w:sz w:val="5"/>
                <w:szCs w:val="5"/>
                <w:color w:val="auto"/>
              </w:rPr>
            </w:pPr>
          </w:p>
        </w:tc>
        <w:tc>
          <w:tcPr>
            <w:tcW w:w="1000" w:type="dxa"/>
            <w:vAlign w:val="bottom"/>
            <w:shd w:val="clear" w:color="auto" w:fill="EFE9FC"/>
          </w:tcPr>
          <w:p>
            <w:pPr>
              <w:spacing w:after="0"/>
              <w:rPr>
                <w:sz w:val="5"/>
                <w:szCs w:val="5"/>
                <w:color w:val="auto"/>
              </w:rPr>
            </w:pPr>
          </w:p>
        </w:tc>
        <w:tc>
          <w:tcPr>
            <w:tcW w:w="1160" w:type="dxa"/>
            <w:vAlign w:val="bottom"/>
            <w:shd w:val="clear" w:color="auto" w:fill="EFE9FC"/>
          </w:tcPr>
          <w:p>
            <w:pPr>
              <w:spacing w:after="0"/>
              <w:rPr>
                <w:sz w:val="5"/>
                <w:szCs w:val="5"/>
                <w:color w:val="auto"/>
              </w:rPr>
            </w:pPr>
          </w:p>
        </w:tc>
        <w:tc>
          <w:tcPr>
            <w:tcW w:w="760" w:type="dxa"/>
            <w:vAlign w:val="bottom"/>
            <w:shd w:val="clear" w:color="auto" w:fill="EFE9FC"/>
          </w:tcPr>
          <w:p>
            <w:pPr>
              <w:spacing w:after="0"/>
              <w:rPr>
                <w:sz w:val="5"/>
                <w:szCs w:val="5"/>
                <w:color w:val="auto"/>
              </w:rPr>
            </w:pPr>
          </w:p>
        </w:tc>
        <w:tc>
          <w:tcPr>
            <w:tcW w:w="880" w:type="dxa"/>
            <w:vAlign w:val="bottom"/>
            <w:shd w:val="clear" w:color="auto" w:fill="EFE9FC"/>
          </w:tcPr>
          <w:p>
            <w:pPr>
              <w:spacing w:after="0"/>
              <w:rPr>
                <w:sz w:val="5"/>
                <w:szCs w:val="5"/>
                <w:color w:val="auto"/>
              </w:rPr>
            </w:pPr>
          </w:p>
        </w:tc>
        <w:tc>
          <w:tcPr>
            <w:tcW w:w="1080" w:type="dxa"/>
            <w:vAlign w:val="bottom"/>
            <w:shd w:val="clear" w:color="auto" w:fill="EFE9FC"/>
          </w:tcPr>
          <w:p>
            <w:pPr>
              <w:spacing w:after="0"/>
              <w:rPr>
                <w:sz w:val="5"/>
                <w:szCs w:val="5"/>
                <w:color w:val="auto"/>
              </w:rPr>
            </w:pPr>
          </w:p>
        </w:tc>
        <w:tc>
          <w:tcPr>
            <w:tcW w:w="860" w:type="dxa"/>
            <w:vAlign w:val="bottom"/>
            <w:shd w:val="clear" w:color="auto" w:fill="EFE9FC"/>
          </w:tcPr>
          <w:p>
            <w:pPr>
              <w:spacing w:after="0"/>
              <w:rPr>
                <w:sz w:val="5"/>
                <w:szCs w:val="5"/>
                <w:color w:val="auto"/>
              </w:rPr>
            </w:pPr>
          </w:p>
        </w:tc>
        <w:tc>
          <w:tcPr>
            <w:tcW w:w="1020" w:type="dxa"/>
            <w:vAlign w:val="bottom"/>
            <w:shd w:val="clear" w:color="auto" w:fill="EFE9FC"/>
          </w:tcPr>
          <w:p>
            <w:pPr>
              <w:spacing w:after="0"/>
              <w:rPr>
                <w:sz w:val="5"/>
                <w:szCs w:val="5"/>
                <w:color w:val="auto"/>
              </w:rPr>
            </w:pPr>
          </w:p>
        </w:tc>
        <w:tc>
          <w:tcPr>
            <w:tcW w:w="120" w:type="dxa"/>
            <w:vAlign w:val="bottom"/>
            <w:shd w:val="clear" w:color="auto" w:fill="EFE9FC"/>
          </w:tcPr>
          <w:p>
            <w:pPr>
              <w:spacing w:after="0"/>
              <w:rPr>
                <w:sz w:val="5"/>
                <w:szCs w:val="5"/>
                <w:color w:val="auto"/>
              </w:rPr>
            </w:pPr>
          </w:p>
        </w:tc>
        <w:tc>
          <w:tcPr>
            <w:tcW w:w="900" w:type="dxa"/>
            <w:vAlign w:val="bottom"/>
            <w:shd w:val="clear" w:color="auto" w:fill="EFE9FC"/>
          </w:tcPr>
          <w:p>
            <w:pPr>
              <w:spacing w:after="0"/>
              <w:rPr>
                <w:sz w:val="5"/>
                <w:szCs w:val="5"/>
                <w:color w:val="auto"/>
              </w:rPr>
            </w:pPr>
          </w:p>
        </w:tc>
        <w:tc>
          <w:tcPr>
            <w:tcW w:w="0" w:type="dxa"/>
            <w:vAlign w:val="bottom"/>
          </w:tcPr>
          <w:p>
            <w:pPr>
              <w:spacing w:after="0"/>
              <w:rPr>
                <w:sz w:val="1"/>
                <w:szCs w:val="1"/>
                <w:color w:val="auto"/>
              </w:rPr>
            </w:pPr>
          </w:p>
        </w:tc>
      </w:tr>
      <w:tr>
        <w:trPr>
          <w:trHeight w:val="204"/>
        </w:trPr>
        <w:tc>
          <w:tcPr>
            <w:tcW w:w="140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w:t>
            </w:r>
          </w:p>
        </w:tc>
        <w:tc>
          <w:tcPr>
            <w:tcW w:w="1160" w:type="dxa"/>
            <w:vAlign w:val="bottom"/>
          </w:tcPr>
          <w:p>
            <w:pPr>
              <w:jc w:val="right"/>
              <w:spacing w:after="0"/>
              <w:rPr>
                <w:sz w:val="20"/>
                <w:szCs w:val="20"/>
                <w:color w:val="auto"/>
              </w:rPr>
            </w:pPr>
            <w:r>
              <w:rPr>
                <w:rFonts w:ascii="Arial" w:cs="Arial" w:eastAsia="Arial" w:hAnsi="Arial"/>
                <w:sz w:val="14"/>
                <w:szCs w:val="14"/>
                <w:color w:val="auto"/>
              </w:rPr>
              <w:t>5,903</w:t>
            </w:r>
          </w:p>
        </w:tc>
        <w:tc>
          <w:tcPr>
            <w:tcW w:w="760" w:type="dxa"/>
            <w:vAlign w:val="bottom"/>
          </w:tcPr>
          <w:p>
            <w:pPr>
              <w:jc w:val="right"/>
              <w:ind w:right="31"/>
              <w:spacing w:after="0"/>
              <w:rPr>
                <w:sz w:val="20"/>
                <w:szCs w:val="20"/>
                <w:color w:val="auto"/>
              </w:rPr>
            </w:pPr>
            <w:r>
              <w:rPr>
                <w:rFonts w:ascii="Arial" w:cs="Arial" w:eastAsia="Arial" w:hAnsi="Arial"/>
                <w:sz w:val="14"/>
                <w:szCs w:val="14"/>
                <w:color w:val="auto"/>
              </w:rPr>
              <w:t>97.25</w:t>
            </w:r>
          </w:p>
        </w:tc>
        <w:tc>
          <w:tcPr>
            <w:tcW w:w="880" w:type="dxa"/>
            <w:vAlign w:val="bottom"/>
          </w:tcPr>
          <w:p>
            <w:pPr>
              <w:jc w:val="right"/>
              <w:ind w:right="31"/>
              <w:spacing w:after="0"/>
              <w:rPr>
                <w:sz w:val="20"/>
                <w:szCs w:val="20"/>
                <w:color w:val="auto"/>
              </w:rPr>
            </w:pPr>
            <w:r>
              <w:rPr>
                <w:rFonts w:ascii="Arial" w:cs="Arial" w:eastAsia="Arial" w:hAnsi="Arial"/>
                <w:sz w:val="14"/>
                <w:szCs w:val="14"/>
                <w:color w:val="auto"/>
              </w:rPr>
              <w:t>3/30/2029</w:t>
            </w:r>
          </w:p>
        </w:tc>
        <w:tc>
          <w:tcPr>
            <w:tcW w:w="108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9"/>
        </w:trPr>
        <w:tc>
          <w:tcPr>
            <w:tcW w:w="1400" w:type="dxa"/>
            <w:vAlign w:val="bottom"/>
          </w:tcPr>
          <w:p>
            <w:pPr>
              <w:spacing w:after="0"/>
              <w:rPr>
                <w:sz w:val="3"/>
                <w:szCs w:val="3"/>
                <w:color w:val="auto"/>
              </w:rPr>
            </w:pPr>
          </w:p>
        </w:tc>
        <w:tc>
          <w:tcPr>
            <w:tcW w:w="1000" w:type="dxa"/>
            <w:vAlign w:val="bottom"/>
          </w:tcPr>
          <w:p>
            <w:pPr>
              <w:spacing w:after="0"/>
              <w:rPr>
                <w:sz w:val="3"/>
                <w:szCs w:val="3"/>
                <w:color w:val="auto"/>
              </w:rPr>
            </w:pPr>
          </w:p>
        </w:tc>
        <w:tc>
          <w:tcPr>
            <w:tcW w:w="1160" w:type="dxa"/>
            <w:vAlign w:val="bottom"/>
          </w:tcPr>
          <w:p>
            <w:pPr>
              <w:spacing w:after="0"/>
              <w:rPr>
                <w:sz w:val="3"/>
                <w:szCs w:val="3"/>
                <w:color w:val="auto"/>
              </w:rPr>
            </w:pPr>
          </w:p>
        </w:tc>
        <w:tc>
          <w:tcPr>
            <w:tcW w:w="760" w:type="dxa"/>
            <w:vAlign w:val="bottom"/>
          </w:tcPr>
          <w:p>
            <w:pPr>
              <w:spacing w:after="0"/>
              <w:rPr>
                <w:sz w:val="3"/>
                <w:szCs w:val="3"/>
                <w:color w:val="auto"/>
              </w:rPr>
            </w:pPr>
          </w:p>
        </w:tc>
        <w:tc>
          <w:tcPr>
            <w:tcW w:w="880" w:type="dxa"/>
            <w:vAlign w:val="bottom"/>
          </w:tcPr>
          <w:p>
            <w:pPr>
              <w:spacing w:after="0"/>
              <w:rPr>
                <w:sz w:val="3"/>
                <w:szCs w:val="3"/>
                <w:color w:val="auto"/>
              </w:rPr>
            </w:pPr>
          </w:p>
        </w:tc>
        <w:tc>
          <w:tcPr>
            <w:tcW w:w="1080" w:type="dxa"/>
            <w:vAlign w:val="bottom"/>
          </w:tcPr>
          <w:p>
            <w:pPr>
              <w:spacing w:after="0"/>
              <w:rPr>
                <w:sz w:val="3"/>
                <w:szCs w:val="3"/>
                <w:color w:val="auto"/>
              </w:rPr>
            </w:pPr>
          </w:p>
        </w:tc>
        <w:tc>
          <w:tcPr>
            <w:tcW w:w="860" w:type="dxa"/>
            <w:vAlign w:val="bottom"/>
          </w:tcPr>
          <w:p>
            <w:pPr>
              <w:spacing w:after="0"/>
              <w:rPr>
                <w:sz w:val="3"/>
                <w:szCs w:val="3"/>
                <w:color w:val="auto"/>
              </w:rPr>
            </w:pPr>
          </w:p>
        </w:tc>
        <w:tc>
          <w:tcPr>
            <w:tcW w:w="1020" w:type="dxa"/>
            <w:vAlign w:val="bottom"/>
          </w:tcPr>
          <w:p>
            <w:pPr>
              <w:spacing w:after="0"/>
              <w:rPr>
                <w:sz w:val="3"/>
                <w:szCs w:val="3"/>
                <w:color w:val="auto"/>
              </w:rPr>
            </w:pPr>
          </w:p>
        </w:tc>
        <w:tc>
          <w:tcPr>
            <w:tcW w:w="120" w:type="dxa"/>
            <w:vAlign w:val="bottom"/>
          </w:tcPr>
          <w:p>
            <w:pPr>
              <w:spacing w:after="0"/>
              <w:rPr>
                <w:sz w:val="3"/>
                <w:szCs w:val="3"/>
                <w:color w:val="auto"/>
              </w:rPr>
            </w:pPr>
          </w:p>
        </w:tc>
        <w:tc>
          <w:tcPr>
            <w:tcW w:w="9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70"/>
        </w:trPr>
        <w:tc>
          <w:tcPr>
            <w:tcW w:w="1400" w:type="dxa"/>
            <w:vAlign w:val="bottom"/>
          </w:tcPr>
          <w:p>
            <w:pPr>
              <w:spacing w:after="0"/>
              <w:rPr>
                <w:sz w:val="23"/>
                <w:szCs w:val="23"/>
                <w:color w:val="auto"/>
              </w:rPr>
            </w:pPr>
          </w:p>
        </w:tc>
        <w:tc>
          <w:tcPr>
            <w:tcW w:w="1000" w:type="dxa"/>
            <w:vAlign w:val="bottom"/>
            <w:shd w:val="clear" w:color="auto" w:fill="EFE9FC"/>
          </w:tcPr>
          <w:p>
            <w:pPr>
              <w:spacing w:after="0"/>
              <w:rPr>
                <w:sz w:val="23"/>
                <w:szCs w:val="23"/>
                <w:color w:val="auto"/>
              </w:rPr>
            </w:pPr>
          </w:p>
        </w:tc>
        <w:tc>
          <w:tcPr>
            <w:tcW w:w="1160" w:type="dxa"/>
            <w:vAlign w:val="bottom"/>
            <w:shd w:val="clear" w:color="auto" w:fill="EFE9FC"/>
          </w:tcPr>
          <w:p>
            <w:pPr>
              <w:spacing w:after="0"/>
              <w:rPr>
                <w:sz w:val="23"/>
                <w:szCs w:val="23"/>
                <w:color w:val="auto"/>
              </w:rPr>
            </w:pPr>
          </w:p>
        </w:tc>
        <w:tc>
          <w:tcPr>
            <w:tcW w:w="760" w:type="dxa"/>
            <w:vAlign w:val="bottom"/>
            <w:shd w:val="clear" w:color="auto" w:fill="EFE9FC"/>
          </w:tcPr>
          <w:p>
            <w:pPr>
              <w:spacing w:after="0"/>
              <w:rPr>
                <w:sz w:val="23"/>
                <w:szCs w:val="23"/>
                <w:color w:val="auto"/>
              </w:rPr>
            </w:pPr>
          </w:p>
        </w:tc>
        <w:tc>
          <w:tcPr>
            <w:tcW w:w="880" w:type="dxa"/>
            <w:vAlign w:val="bottom"/>
            <w:shd w:val="clear" w:color="auto" w:fill="EFE9FC"/>
          </w:tcPr>
          <w:p>
            <w:pPr>
              <w:spacing w:after="0"/>
              <w:rPr>
                <w:sz w:val="23"/>
                <w:szCs w:val="23"/>
                <w:color w:val="auto"/>
              </w:rPr>
            </w:pPr>
          </w:p>
        </w:tc>
        <w:tc>
          <w:tcPr>
            <w:tcW w:w="1080" w:type="dxa"/>
            <w:vAlign w:val="bottom"/>
            <w:shd w:val="clear" w:color="auto" w:fill="EFE9FC"/>
          </w:tcPr>
          <w:p>
            <w:pPr>
              <w:jc w:val="right"/>
              <w:spacing w:after="0"/>
              <w:rPr>
                <w:sz w:val="20"/>
                <w:szCs w:val="20"/>
                <w:color w:val="auto"/>
              </w:rPr>
            </w:pPr>
            <w:r>
              <w:rPr>
                <w:rFonts w:ascii="Arial" w:cs="Arial" w:eastAsia="Arial" w:hAnsi="Arial"/>
                <w:sz w:val="14"/>
                <w:szCs w:val="14"/>
                <w:color w:val="auto"/>
              </w:rPr>
              <w:t>10,416</w:t>
            </w:r>
            <w:r>
              <w:rPr>
                <w:rFonts w:ascii="Arial" w:cs="Arial" w:eastAsia="Arial" w:hAnsi="Arial"/>
                <w:sz w:val="21"/>
                <w:szCs w:val="21"/>
                <w:color w:val="auto"/>
                <w:vertAlign w:val="superscript"/>
              </w:rPr>
              <w:t>(19)</w:t>
            </w:r>
          </w:p>
        </w:tc>
        <w:tc>
          <w:tcPr>
            <w:tcW w:w="860" w:type="dxa"/>
            <w:vAlign w:val="bottom"/>
            <w:shd w:val="clear" w:color="auto" w:fill="EFE9FC"/>
          </w:tcPr>
          <w:p>
            <w:pPr>
              <w:jc w:val="right"/>
              <w:ind w:right="11"/>
              <w:spacing w:after="0"/>
              <w:rPr>
                <w:sz w:val="20"/>
                <w:szCs w:val="20"/>
                <w:color w:val="auto"/>
              </w:rPr>
            </w:pPr>
            <w:r>
              <w:rPr>
                <w:rFonts w:ascii="Arial" w:cs="Arial" w:eastAsia="Arial" w:hAnsi="Arial"/>
                <w:sz w:val="14"/>
                <w:szCs w:val="14"/>
                <w:color w:val="auto"/>
              </w:rPr>
              <w:t>785,679</w:t>
            </w:r>
          </w:p>
        </w:tc>
        <w:tc>
          <w:tcPr>
            <w:tcW w:w="1020" w:type="dxa"/>
            <w:vAlign w:val="bottom"/>
            <w:shd w:val="clear" w:color="auto" w:fill="EFE9FC"/>
          </w:tcPr>
          <w:p>
            <w:pPr>
              <w:spacing w:after="0"/>
              <w:rPr>
                <w:sz w:val="23"/>
                <w:szCs w:val="23"/>
                <w:color w:val="auto"/>
              </w:rPr>
            </w:pPr>
          </w:p>
        </w:tc>
        <w:tc>
          <w:tcPr>
            <w:tcW w:w="120" w:type="dxa"/>
            <w:vAlign w:val="bottom"/>
            <w:shd w:val="clear" w:color="auto" w:fill="EFE9FC"/>
          </w:tcPr>
          <w:p>
            <w:pPr>
              <w:spacing w:after="0"/>
              <w:rPr>
                <w:sz w:val="23"/>
                <w:szCs w:val="23"/>
                <w:color w:val="auto"/>
              </w:rPr>
            </w:pPr>
          </w:p>
        </w:tc>
        <w:tc>
          <w:tcPr>
            <w:tcW w:w="900" w:type="dxa"/>
            <w:vAlign w:val="bottom"/>
            <w:shd w:val="clear" w:color="auto" w:fill="EFE9FC"/>
          </w:tcPr>
          <w:p>
            <w:pPr>
              <w:spacing w:after="0"/>
              <w:rPr>
                <w:sz w:val="23"/>
                <w:szCs w:val="23"/>
                <w:color w:val="auto"/>
              </w:rPr>
            </w:pPr>
          </w:p>
        </w:tc>
        <w:tc>
          <w:tcPr>
            <w:tcW w:w="0" w:type="dxa"/>
            <w:vAlign w:val="bottom"/>
          </w:tcPr>
          <w:p>
            <w:pPr>
              <w:spacing w:after="0"/>
              <w:rPr>
                <w:sz w:val="1"/>
                <w:szCs w:val="1"/>
                <w:color w:val="auto"/>
              </w:rPr>
            </w:pPr>
          </w:p>
        </w:tc>
      </w:tr>
      <w:tr>
        <w:trPr>
          <w:trHeight w:val="243"/>
        </w:trPr>
        <w:tc>
          <w:tcPr>
            <w:tcW w:w="140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1080" w:type="dxa"/>
            <w:vAlign w:val="bottom"/>
          </w:tcPr>
          <w:p>
            <w:pPr>
              <w:jc w:val="right"/>
              <w:ind w:right="31"/>
              <w:spacing w:after="0"/>
              <w:rPr>
                <w:sz w:val="20"/>
                <w:szCs w:val="20"/>
                <w:color w:val="auto"/>
              </w:rPr>
            </w:pPr>
            <w:r>
              <w:rPr>
                <w:rFonts w:ascii="Arial" w:cs="Arial" w:eastAsia="Arial" w:hAnsi="Arial"/>
                <w:sz w:val="14"/>
                <w:szCs w:val="14"/>
                <w:color w:val="auto"/>
              </w:rPr>
              <w:t>1,375</w:t>
            </w:r>
            <w:r>
              <w:rPr>
                <w:rFonts w:ascii="Arial" w:cs="Arial" w:eastAsia="Arial" w:hAnsi="Arial"/>
                <w:sz w:val="21"/>
                <w:szCs w:val="21"/>
                <w:color w:val="auto"/>
                <w:vertAlign w:val="superscript"/>
              </w:rPr>
              <w:t>(7)</w:t>
            </w:r>
          </w:p>
        </w:tc>
        <w:tc>
          <w:tcPr>
            <w:tcW w:w="860" w:type="dxa"/>
            <w:vAlign w:val="bottom"/>
          </w:tcPr>
          <w:p>
            <w:pPr>
              <w:jc w:val="right"/>
              <w:ind w:right="11"/>
              <w:spacing w:after="0"/>
              <w:rPr>
                <w:sz w:val="20"/>
                <w:szCs w:val="20"/>
                <w:color w:val="auto"/>
              </w:rPr>
            </w:pPr>
            <w:r>
              <w:rPr>
                <w:rFonts w:ascii="Arial" w:cs="Arial" w:eastAsia="Arial" w:hAnsi="Arial"/>
                <w:sz w:val="14"/>
                <w:szCs w:val="14"/>
                <w:color w:val="auto"/>
              </w:rPr>
              <w:t>103,716</w:t>
            </w:r>
          </w:p>
        </w:tc>
        <w:tc>
          <w:tcPr>
            <w:tcW w:w="10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0"/>
        </w:trPr>
        <w:tc>
          <w:tcPr>
            <w:tcW w:w="1400" w:type="dxa"/>
            <w:vAlign w:val="bottom"/>
          </w:tcPr>
          <w:p>
            <w:pPr>
              <w:spacing w:after="0"/>
              <w:rPr>
                <w:sz w:val="23"/>
                <w:szCs w:val="23"/>
                <w:color w:val="auto"/>
              </w:rPr>
            </w:pPr>
          </w:p>
        </w:tc>
        <w:tc>
          <w:tcPr>
            <w:tcW w:w="1000" w:type="dxa"/>
            <w:vAlign w:val="bottom"/>
            <w:shd w:val="clear" w:color="auto" w:fill="EFE9FC"/>
          </w:tcPr>
          <w:p>
            <w:pPr>
              <w:spacing w:after="0"/>
              <w:rPr>
                <w:sz w:val="23"/>
                <w:szCs w:val="23"/>
                <w:color w:val="auto"/>
              </w:rPr>
            </w:pPr>
          </w:p>
        </w:tc>
        <w:tc>
          <w:tcPr>
            <w:tcW w:w="1160" w:type="dxa"/>
            <w:vAlign w:val="bottom"/>
            <w:shd w:val="clear" w:color="auto" w:fill="EFE9FC"/>
          </w:tcPr>
          <w:p>
            <w:pPr>
              <w:spacing w:after="0"/>
              <w:rPr>
                <w:sz w:val="23"/>
                <w:szCs w:val="23"/>
                <w:color w:val="auto"/>
              </w:rPr>
            </w:pPr>
          </w:p>
        </w:tc>
        <w:tc>
          <w:tcPr>
            <w:tcW w:w="760" w:type="dxa"/>
            <w:vAlign w:val="bottom"/>
            <w:shd w:val="clear" w:color="auto" w:fill="EFE9FC"/>
          </w:tcPr>
          <w:p>
            <w:pPr>
              <w:spacing w:after="0"/>
              <w:rPr>
                <w:sz w:val="23"/>
                <w:szCs w:val="23"/>
                <w:color w:val="auto"/>
              </w:rPr>
            </w:pPr>
          </w:p>
        </w:tc>
        <w:tc>
          <w:tcPr>
            <w:tcW w:w="880" w:type="dxa"/>
            <w:vAlign w:val="bottom"/>
            <w:shd w:val="clear" w:color="auto" w:fill="EFE9FC"/>
          </w:tcPr>
          <w:p>
            <w:pPr>
              <w:spacing w:after="0"/>
              <w:rPr>
                <w:sz w:val="23"/>
                <w:szCs w:val="23"/>
                <w:color w:val="auto"/>
              </w:rPr>
            </w:pPr>
          </w:p>
        </w:tc>
        <w:tc>
          <w:tcPr>
            <w:tcW w:w="1080" w:type="dxa"/>
            <w:vAlign w:val="bottom"/>
            <w:shd w:val="clear" w:color="auto" w:fill="EFE9FC"/>
          </w:tcPr>
          <w:p>
            <w:pPr>
              <w:jc w:val="right"/>
              <w:ind w:right="31"/>
              <w:spacing w:after="0"/>
              <w:rPr>
                <w:sz w:val="20"/>
                <w:szCs w:val="20"/>
                <w:color w:val="auto"/>
              </w:rPr>
            </w:pPr>
            <w:r>
              <w:rPr>
                <w:rFonts w:ascii="Arial" w:cs="Arial" w:eastAsia="Arial" w:hAnsi="Arial"/>
                <w:sz w:val="14"/>
                <w:szCs w:val="14"/>
                <w:color w:val="auto"/>
              </w:rPr>
              <w:t>4,127</w:t>
            </w:r>
            <w:r>
              <w:rPr>
                <w:rFonts w:ascii="Arial" w:cs="Arial" w:eastAsia="Arial" w:hAnsi="Arial"/>
                <w:sz w:val="21"/>
                <w:szCs w:val="21"/>
                <w:color w:val="auto"/>
                <w:vertAlign w:val="superscript"/>
              </w:rPr>
              <w:t>(6)</w:t>
            </w:r>
          </w:p>
        </w:tc>
        <w:tc>
          <w:tcPr>
            <w:tcW w:w="860" w:type="dxa"/>
            <w:vAlign w:val="bottom"/>
            <w:shd w:val="clear" w:color="auto" w:fill="EFE9FC"/>
          </w:tcPr>
          <w:p>
            <w:pPr>
              <w:jc w:val="right"/>
              <w:ind w:right="11"/>
              <w:spacing w:after="0"/>
              <w:rPr>
                <w:sz w:val="20"/>
                <w:szCs w:val="20"/>
                <w:color w:val="auto"/>
              </w:rPr>
            </w:pPr>
            <w:r>
              <w:rPr>
                <w:rFonts w:ascii="Arial" w:cs="Arial" w:eastAsia="Arial" w:hAnsi="Arial"/>
                <w:sz w:val="14"/>
                <w:szCs w:val="14"/>
                <w:color w:val="auto"/>
              </w:rPr>
              <w:t>311,300</w:t>
            </w:r>
          </w:p>
        </w:tc>
        <w:tc>
          <w:tcPr>
            <w:tcW w:w="1020" w:type="dxa"/>
            <w:vAlign w:val="bottom"/>
            <w:shd w:val="clear" w:color="auto" w:fill="EFE9FC"/>
          </w:tcPr>
          <w:p>
            <w:pPr>
              <w:spacing w:after="0"/>
              <w:rPr>
                <w:sz w:val="23"/>
                <w:szCs w:val="23"/>
                <w:color w:val="auto"/>
              </w:rPr>
            </w:pPr>
          </w:p>
        </w:tc>
        <w:tc>
          <w:tcPr>
            <w:tcW w:w="120" w:type="dxa"/>
            <w:vAlign w:val="bottom"/>
            <w:shd w:val="clear" w:color="auto" w:fill="EFE9FC"/>
          </w:tcPr>
          <w:p>
            <w:pPr>
              <w:spacing w:after="0"/>
              <w:rPr>
                <w:sz w:val="23"/>
                <w:szCs w:val="23"/>
                <w:color w:val="auto"/>
              </w:rPr>
            </w:pPr>
          </w:p>
        </w:tc>
        <w:tc>
          <w:tcPr>
            <w:tcW w:w="900" w:type="dxa"/>
            <w:vAlign w:val="bottom"/>
            <w:shd w:val="clear" w:color="auto" w:fill="EFE9FC"/>
          </w:tcPr>
          <w:p>
            <w:pPr>
              <w:spacing w:after="0"/>
              <w:rPr>
                <w:sz w:val="23"/>
                <w:szCs w:val="23"/>
                <w:color w:val="auto"/>
              </w:rPr>
            </w:pPr>
          </w:p>
        </w:tc>
        <w:tc>
          <w:tcPr>
            <w:tcW w:w="0" w:type="dxa"/>
            <w:vAlign w:val="bottom"/>
          </w:tcPr>
          <w:p>
            <w:pPr>
              <w:spacing w:after="0"/>
              <w:rPr>
                <w:sz w:val="1"/>
                <w:szCs w:val="1"/>
                <w:color w:val="auto"/>
              </w:rPr>
            </w:pPr>
          </w:p>
        </w:tc>
      </w:tr>
      <w:tr>
        <w:trPr>
          <w:trHeight w:val="243"/>
        </w:trPr>
        <w:tc>
          <w:tcPr>
            <w:tcW w:w="140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1080" w:type="dxa"/>
            <w:vAlign w:val="bottom"/>
          </w:tcPr>
          <w:p>
            <w:pPr>
              <w:jc w:val="right"/>
              <w:ind w:right="31"/>
              <w:spacing w:after="0"/>
              <w:rPr>
                <w:sz w:val="20"/>
                <w:szCs w:val="20"/>
                <w:color w:val="auto"/>
              </w:rPr>
            </w:pPr>
            <w:r>
              <w:rPr>
                <w:rFonts w:ascii="Arial" w:cs="Arial" w:eastAsia="Arial" w:hAnsi="Arial"/>
                <w:sz w:val="14"/>
                <w:szCs w:val="14"/>
                <w:color w:val="auto"/>
              </w:rPr>
              <w:t>1,590</w:t>
            </w:r>
            <w:r>
              <w:rPr>
                <w:rFonts w:ascii="Arial" w:cs="Arial" w:eastAsia="Arial" w:hAnsi="Arial"/>
                <w:sz w:val="21"/>
                <w:szCs w:val="21"/>
                <w:color w:val="auto"/>
                <w:vertAlign w:val="superscript"/>
              </w:rPr>
              <w:t>(8)</w:t>
            </w:r>
          </w:p>
        </w:tc>
        <w:tc>
          <w:tcPr>
            <w:tcW w:w="860" w:type="dxa"/>
            <w:vAlign w:val="bottom"/>
          </w:tcPr>
          <w:p>
            <w:pPr>
              <w:jc w:val="right"/>
              <w:ind w:right="11"/>
              <w:spacing w:after="0"/>
              <w:rPr>
                <w:sz w:val="20"/>
                <w:szCs w:val="20"/>
                <w:color w:val="auto"/>
              </w:rPr>
            </w:pPr>
            <w:r>
              <w:rPr>
                <w:rFonts w:ascii="Arial" w:cs="Arial" w:eastAsia="Arial" w:hAnsi="Arial"/>
                <w:sz w:val="14"/>
                <w:szCs w:val="14"/>
                <w:color w:val="auto"/>
              </w:rPr>
              <w:t>119,934</w:t>
            </w:r>
          </w:p>
        </w:tc>
        <w:tc>
          <w:tcPr>
            <w:tcW w:w="10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0"/>
        </w:trPr>
        <w:tc>
          <w:tcPr>
            <w:tcW w:w="1400" w:type="dxa"/>
            <w:vAlign w:val="bottom"/>
          </w:tcPr>
          <w:p>
            <w:pPr>
              <w:spacing w:after="0"/>
              <w:rPr>
                <w:sz w:val="23"/>
                <w:szCs w:val="23"/>
                <w:color w:val="auto"/>
              </w:rPr>
            </w:pPr>
          </w:p>
        </w:tc>
        <w:tc>
          <w:tcPr>
            <w:tcW w:w="1000" w:type="dxa"/>
            <w:vAlign w:val="bottom"/>
            <w:shd w:val="clear" w:color="auto" w:fill="EFE9FC"/>
          </w:tcPr>
          <w:p>
            <w:pPr>
              <w:spacing w:after="0"/>
              <w:rPr>
                <w:sz w:val="23"/>
                <w:szCs w:val="23"/>
                <w:color w:val="auto"/>
              </w:rPr>
            </w:pPr>
          </w:p>
        </w:tc>
        <w:tc>
          <w:tcPr>
            <w:tcW w:w="1160" w:type="dxa"/>
            <w:vAlign w:val="bottom"/>
            <w:shd w:val="clear" w:color="auto" w:fill="EFE9FC"/>
          </w:tcPr>
          <w:p>
            <w:pPr>
              <w:spacing w:after="0"/>
              <w:rPr>
                <w:sz w:val="23"/>
                <w:szCs w:val="23"/>
                <w:color w:val="auto"/>
              </w:rPr>
            </w:pPr>
          </w:p>
        </w:tc>
        <w:tc>
          <w:tcPr>
            <w:tcW w:w="760" w:type="dxa"/>
            <w:vAlign w:val="bottom"/>
            <w:shd w:val="clear" w:color="auto" w:fill="EFE9FC"/>
          </w:tcPr>
          <w:p>
            <w:pPr>
              <w:spacing w:after="0"/>
              <w:rPr>
                <w:sz w:val="23"/>
                <w:szCs w:val="23"/>
                <w:color w:val="auto"/>
              </w:rPr>
            </w:pPr>
          </w:p>
        </w:tc>
        <w:tc>
          <w:tcPr>
            <w:tcW w:w="880" w:type="dxa"/>
            <w:vAlign w:val="bottom"/>
            <w:shd w:val="clear" w:color="auto" w:fill="EFE9FC"/>
          </w:tcPr>
          <w:p>
            <w:pPr>
              <w:spacing w:after="0"/>
              <w:rPr>
                <w:sz w:val="23"/>
                <w:szCs w:val="23"/>
                <w:color w:val="auto"/>
              </w:rPr>
            </w:pPr>
          </w:p>
        </w:tc>
        <w:tc>
          <w:tcPr>
            <w:tcW w:w="1080" w:type="dxa"/>
            <w:vAlign w:val="bottom"/>
            <w:shd w:val="clear" w:color="auto" w:fill="EFE9FC"/>
          </w:tcPr>
          <w:p>
            <w:pPr>
              <w:jc w:val="right"/>
              <w:ind w:right="31"/>
              <w:spacing w:after="0"/>
              <w:rPr>
                <w:sz w:val="20"/>
                <w:szCs w:val="20"/>
                <w:color w:val="auto"/>
              </w:rPr>
            </w:pPr>
            <w:r>
              <w:rPr>
                <w:rFonts w:ascii="Arial" w:cs="Arial" w:eastAsia="Arial" w:hAnsi="Arial"/>
                <w:sz w:val="14"/>
                <w:szCs w:val="14"/>
                <w:color w:val="auto"/>
              </w:rPr>
              <w:t>1,928</w:t>
            </w:r>
            <w:r>
              <w:rPr>
                <w:rFonts w:ascii="Arial" w:cs="Arial" w:eastAsia="Arial" w:hAnsi="Arial"/>
                <w:sz w:val="21"/>
                <w:szCs w:val="21"/>
                <w:color w:val="auto"/>
                <w:vertAlign w:val="superscript"/>
              </w:rPr>
              <w:t>(9)</w:t>
            </w:r>
          </w:p>
        </w:tc>
        <w:tc>
          <w:tcPr>
            <w:tcW w:w="860" w:type="dxa"/>
            <w:vAlign w:val="bottom"/>
            <w:shd w:val="clear" w:color="auto" w:fill="EFE9FC"/>
          </w:tcPr>
          <w:p>
            <w:pPr>
              <w:jc w:val="right"/>
              <w:ind w:right="11"/>
              <w:spacing w:after="0"/>
              <w:rPr>
                <w:sz w:val="20"/>
                <w:szCs w:val="20"/>
                <w:color w:val="auto"/>
              </w:rPr>
            </w:pPr>
            <w:r>
              <w:rPr>
                <w:rFonts w:ascii="Arial" w:cs="Arial" w:eastAsia="Arial" w:hAnsi="Arial"/>
                <w:sz w:val="14"/>
                <w:szCs w:val="14"/>
                <w:color w:val="auto"/>
              </w:rPr>
              <w:t>145,429</w:t>
            </w:r>
          </w:p>
        </w:tc>
        <w:tc>
          <w:tcPr>
            <w:tcW w:w="1020" w:type="dxa"/>
            <w:vAlign w:val="bottom"/>
            <w:shd w:val="clear" w:color="auto" w:fill="EFE9FC"/>
          </w:tcPr>
          <w:p>
            <w:pPr>
              <w:jc w:val="right"/>
              <w:ind w:right="12"/>
              <w:spacing w:after="0"/>
              <w:rPr>
                <w:sz w:val="20"/>
                <w:szCs w:val="20"/>
                <w:color w:val="auto"/>
              </w:rPr>
            </w:pPr>
            <w:r>
              <w:rPr>
                <w:rFonts w:ascii="Arial" w:cs="Arial" w:eastAsia="Arial" w:hAnsi="Arial"/>
                <w:sz w:val="14"/>
                <w:szCs w:val="14"/>
                <w:color w:val="auto"/>
              </w:rPr>
              <w:t>–</w:t>
            </w:r>
          </w:p>
        </w:tc>
        <w:tc>
          <w:tcPr>
            <w:tcW w:w="120" w:type="dxa"/>
            <w:vAlign w:val="bottom"/>
            <w:shd w:val="clear" w:color="auto" w:fill="EFE9FC"/>
          </w:tcPr>
          <w:p>
            <w:pPr>
              <w:spacing w:after="0"/>
              <w:rPr>
                <w:sz w:val="23"/>
                <w:szCs w:val="23"/>
                <w:color w:val="auto"/>
              </w:rPr>
            </w:pPr>
          </w:p>
        </w:tc>
        <w:tc>
          <w:tcPr>
            <w:tcW w:w="900" w:type="dxa"/>
            <w:vAlign w:val="bottom"/>
            <w:shd w:val="clear" w:color="auto" w:fill="EFE9FC"/>
          </w:tcPr>
          <w:p>
            <w:pPr>
              <w:spacing w:after="0"/>
              <w:rPr>
                <w:sz w:val="23"/>
                <w:szCs w:val="23"/>
                <w:color w:val="auto"/>
              </w:rPr>
            </w:pPr>
          </w:p>
        </w:tc>
        <w:tc>
          <w:tcPr>
            <w:tcW w:w="0" w:type="dxa"/>
            <w:vAlign w:val="bottom"/>
          </w:tcPr>
          <w:p>
            <w:pPr>
              <w:spacing w:after="0"/>
              <w:rPr>
                <w:sz w:val="1"/>
                <w:szCs w:val="1"/>
                <w:color w:val="auto"/>
              </w:rPr>
            </w:pPr>
          </w:p>
        </w:tc>
      </w:tr>
      <w:tr>
        <w:trPr>
          <w:trHeight w:val="243"/>
        </w:trPr>
        <w:tc>
          <w:tcPr>
            <w:tcW w:w="140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1140" w:type="dxa"/>
            <w:vAlign w:val="bottom"/>
            <w:gridSpan w:val="2"/>
          </w:tcPr>
          <w:p>
            <w:pPr>
              <w:jc w:val="right"/>
              <w:spacing w:after="0"/>
              <w:rPr>
                <w:sz w:val="20"/>
                <w:szCs w:val="20"/>
                <w:color w:val="auto"/>
              </w:rPr>
            </w:pPr>
            <w:r>
              <w:rPr>
                <w:rFonts w:ascii="Arial" w:cs="Arial" w:eastAsia="Arial" w:hAnsi="Arial"/>
                <w:sz w:val="14"/>
                <w:szCs w:val="14"/>
                <w:color w:val="auto"/>
              </w:rPr>
              <w:t>2,121</w:t>
            </w:r>
            <w:r>
              <w:rPr>
                <w:rFonts w:ascii="Arial" w:cs="Arial" w:eastAsia="Arial" w:hAnsi="Arial"/>
                <w:sz w:val="21"/>
                <w:szCs w:val="21"/>
                <w:color w:val="auto"/>
                <w:vertAlign w:val="superscript"/>
              </w:rPr>
              <w:t>(10)</w:t>
            </w:r>
          </w:p>
        </w:tc>
        <w:tc>
          <w:tcPr>
            <w:tcW w:w="900" w:type="dxa"/>
            <w:vAlign w:val="bottom"/>
          </w:tcPr>
          <w:p>
            <w:pPr>
              <w:jc w:val="right"/>
              <w:spacing w:after="0"/>
              <w:rPr>
                <w:sz w:val="20"/>
                <w:szCs w:val="20"/>
                <w:color w:val="auto"/>
              </w:rPr>
            </w:pPr>
            <w:r>
              <w:rPr>
                <w:rFonts w:ascii="Arial" w:cs="Arial" w:eastAsia="Arial" w:hAnsi="Arial"/>
                <w:sz w:val="14"/>
                <w:szCs w:val="14"/>
                <w:color w:val="auto"/>
              </w:rPr>
              <w:t>159,987</w:t>
            </w:r>
          </w:p>
        </w:tc>
        <w:tc>
          <w:tcPr>
            <w:tcW w:w="0" w:type="dxa"/>
            <w:vAlign w:val="bottom"/>
          </w:tcPr>
          <w:p>
            <w:pPr>
              <w:spacing w:after="0"/>
              <w:rPr>
                <w:sz w:val="1"/>
                <w:szCs w:val="1"/>
                <w:color w:val="auto"/>
              </w:rPr>
            </w:pPr>
          </w:p>
        </w:tc>
      </w:tr>
      <w:tr>
        <w:trPr>
          <w:trHeight w:val="270"/>
        </w:trPr>
        <w:tc>
          <w:tcPr>
            <w:tcW w:w="1400" w:type="dxa"/>
            <w:vAlign w:val="bottom"/>
          </w:tcPr>
          <w:p>
            <w:pPr>
              <w:spacing w:after="0"/>
              <w:rPr>
                <w:sz w:val="23"/>
                <w:szCs w:val="23"/>
                <w:color w:val="auto"/>
              </w:rPr>
            </w:pPr>
          </w:p>
        </w:tc>
        <w:tc>
          <w:tcPr>
            <w:tcW w:w="1000" w:type="dxa"/>
            <w:vAlign w:val="bottom"/>
            <w:shd w:val="clear" w:color="auto" w:fill="EFE9FC"/>
          </w:tcPr>
          <w:p>
            <w:pPr>
              <w:spacing w:after="0"/>
              <w:rPr>
                <w:sz w:val="23"/>
                <w:szCs w:val="23"/>
                <w:color w:val="auto"/>
              </w:rPr>
            </w:pPr>
          </w:p>
        </w:tc>
        <w:tc>
          <w:tcPr>
            <w:tcW w:w="1160" w:type="dxa"/>
            <w:vAlign w:val="bottom"/>
            <w:shd w:val="clear" w:color="auto" w:fill="EFE9FC"/>
          </w:tcPr>
          <w:p>
            <w:pPr>
              <w:spacing w:after="0"/>
              <w:rPr>
                <w:sz w:val="23"/>
                <w:szCs w:val="23"/>
                <w:color w:val="auto"/>
              </w:rPr>
            </w:pPr>
          </w:p>
        </w:tc>
        <w:tc>
          <w:tcPr>
            <w:tcW w:w="760" w:type="dxa"/>
            <w:vAlign w:val="bottom"/>
            <w:shd w:val="clear" w:color="auto" w:fill="EFE9FC"/>
          </w:tcPr>
          <w:p>
            <w:pPr>
              <w:spacing w:after="0"/>
              <w:rPr>
                <w:sz w:val="23"/>
                <w:szCs w:val="23"/>
                <w:color w:val="auto"/>
              </w:rPr>
            </w:pPr>
          </w:p>
        </w:tc>
        <w:tc>
          <w:tcPr>
            <w:tcW w:w="880" w:type="dxa"/>
            <w:vAlign w:val="bottom"/>
            <w:shd w:val="clear" w:color="auto" w:fill="EFE9FC"/>
          </w:tcPr>
          <w:p>
            <w:pPr>
              <w:spacing w:after="0"/>
              <w:rPr>
                <w:sz w:val="23"/>
                <w:szCs w:val="23"/>
                <w:color w:val="auto"/>
              </w:rPr>
            </w:pPr>
          </w:p>
        </w:tc>
        <w:tc>
          <w:tcPr>
            <w:tcW w:w="1080" w:type="dxa"/>
            <w:vAlign w:val="bottom"/>
            <w:shd w:val="clear" w:color="auto" w:fill="EFE9FC"/>
          </w:tcPr>
          <w:p>
            <w:pPr>
              <w:spacing w:after="0"/>
              <w:rPr>
                <w:sz w:val="23"/>
                <w:szCs w:val="23"/>
                <w:color w:val="auto"/>
              </w:rPr>
            </w:pPr>
          </w:p>
        </w:tc>
        <w:tc>
          <w:tcPr>
            <w:tcW w:w="860" w:type="dxa"/>
            <w:vAlign w:val="bottom"/>
            <w:shd w:val="clear" w:color="auto" w:fill="EFE9FC"/>
          </w:tcPr>
          <w:p>
            <w:pPr>
              <w:spacing w:after="0"/>
              <w:rPr>
                <w:sz w:val="23"/>
                <w:szCs w:val="23"/>
                <w:color w:val="auto"/>
              </w:rPr>
            </w:pPr>
          </w:p>
        </w:tc>
        <w:tc>
          <w:tcPr>
            <w:tcW w:w="1140" w:type="dxa"/>
            <w:vAlign w:val="bottom"/>
            <w:gridSpan w:val="2"/>
            <w:shd w:val="clear" w:color="auto" w:fill="EFE9FC"/>
          </w:tcPr>
          <w:p>
            <w:pPr>
              <w:jc w:val="right"/>
              <w:spacing w:after="0"/>
              <w:rPr>
                <w:sz w:val="20"/>
                <w:szCs w:val="20"/>
                <w:color w:val="auto"/>
              </w:rPr>
            </w:pPr>
            <w:r>
              <w:rPr>
                <w:rFonts w:ascii="Arial" w:cs="Arial" w:eastAsia="Arial" w:hAnsi="Arial"/>
                <w:sz w:val="14"/>
                <w:szCs w:val="14"/>
                <w:color w:val="auto"/>
              </w:rPr>
              <w:t>2,121</w:t>
            </w:r>
            <w:r>
              <w:rPr>
                <w:rFonts w:ascii="Arial" w:cs="Arial" w:eastAsia="Arial" w:hAnsi="Arial"/>
                <w:sz w:val="21"/>
                <w:szCs w:val="21"/>
                <w:color w:val="auto"/>
                <w:vertAlign w:val="superscript"/>
              </w:rPr>
              <w:t>(11)</w:t>
            </w:r>
          </w:p>
        </w:tc>
        <w:tc>
          <w:tcPr>
            <w:tcW w:w="900" w:type="dxa"/>
            <w:vAlign w:val="bottom"/>
            <w:shd w:val="clear" w:color="auto" w:fill="EFE9FC"/>
          </w:tcPr>
          <w:p>
            <w:pPr>
              <w:jc w:val="right"/>
              <w:spacing w:after="0"/>
              <w:rPr>
                <w:sz w:val="20"/>
                <w:szCs w:val="20"/>
                <w:color w:val="auto"/>
              </w:rPr>
            </w:pPr>
            <w:r>
              <w:rPr>
                <w:rFonts w:ascii="Arial" w:cs="Arial" w:eastAsia="Arial" w:hAnsi="Arial"/>
                <w:sz w:val="14"/>
                <w:szCs w:val="14"/>
                <w:color w:val="auto"/>
              </w:rPr>
              <w:t>159,987</w:t>
            </w:r>
          </w:p>
        </w:tc>
        <w:tc>
          <w:tcPr>
            <w:tcW w:w="0" w:type="dxa"/>
            <w:vAlign w:val="bottom"/>
          </w:tcPr>
          <w:p>
            <w:pPr>
              <w:spacing w:after="0"/>
              <w:rPr>
                <w:sz w:val="1"/>
                <w:szCs w:val="1"/>
                <w:color w:val="auto"/>
              </w:rPr>
            </w:pPr>
          </w:p>
        </w:tc>
      </w:tr>
      <w:tr>
        <w:trPr>
          <w:trHeight w:val="243"/>
        </w:trPr>
        <w:tc>
          <w:tcPr>
            <w:tcW w:w="140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1140" w:type="dxa"/>
            <w:vAlign w:val="bottom"/>
            <w:gridSpan w:val="2"/>
          </w:tcPr>
          <w:p>
            <w:pPr>
              <w:jc w:val="right"/>
              <w:spacing w:after="0"/>
              <w:rPr>
                <w:sz w:val="20"/>
                <w:szCs w:val="20"/>
                <w:color w:val="auto"/>
              </w:rPr>
            </w:pPr>
            <w:r>
              <w:rPr>
                <w:rFonts w:ascii="Arial" w:cs="Arial" w:eastAsia="Arial" w:hAnsi="Arial"/>
                <w:sz w:val="14"/>
                <w:szCs w:val="14"/>
                <w:color w:val="auto"/>
              </w:rPr>
              <w:t>1,928</w:t>
            </w:r>
            <w:r>
              <w:rPr>
                <w:rFonts w:ascii="Arial" w:cs="Arial" w:eastAsia="Arial" w:hAnsi="Arial"/>
                <w:sz w:val="21"/>
                <w:szCs w:val="21"/>
                <w:color w:val="auto"/>
                <w:vertAlign w:val="superscript"/>
              </w:rPr>
              <w:t>(12)</w:t>
            </w:r>
          </w:p>
        </w:tc>
        <w:tc>
          <w:tcPr>
            <w:tcW w:w="900" w:type="dxa"/>
            <w:vAlign w:val="bottom"/>
          </w:tcPr>
          <w:p>
            <w:pPr>
              <w:jc w:val="right"/>
              <w:spacing w:after="0"/>
              <w:rPr>
                <w:sz w:val="20"/>
                <w:szCs w:val="20"/>
                <w:color w:val="auto"/>
              </w:rPr>
            </w:pPr>
            <w:r>
              <w:rPr>
                <w:rFonts w:ascii="Arial" w:cs="Arial" w:eastAsia="Arial" w:hAnsi="Arial"/>
                <w:sz w:val="14"/>
                <w:szCs w:val="14"/>
                <w:color w:val="auto"/>
              </w:rPr>
              <w:t>145,429</w:t>
            </w:r>
          </w:p>
        </w:tc>
        <w:tc>
          <w:tcPr>
            <w:tcW w:w="0" w:type="dxa"/>
            <w:vAlign w:val="bottom"/>
          </w:tcPr>
          <w:p>
            <w:pPr>
              <w:spacing w:after="0"/>
              <w:rPr>
                <w:sz w:val="1"/>
                <w:szCs w:val="1"/>
                <w:color w:val="auto"/>
              </w:rPr>
            </w:pPr>
          </w:p>
        </w:tc>
      </w:tr>
      <w:tr>
        <w:trPr>
          <w:trHeight w:val="257"/>
        </w:trPr>
        <w:tc>
          <w:tcPr>
            <w:tcW w:w="1400" w:type="dxa"/>
            <w:vAlign w:val="bottom"/>
            <w:tcBorders>
              <w:bottom w:val="single" w:sz="8" w:color="4800E6"/>
            </w:tcBorders>
          </w:tcPr>
          <w:p>
            <w:pPr>
              <w:spacing w:after="0"/>
              <w:rPr>
                <w:sz w:val="22"/>
                <w:szCs w:val="22"/>
                <w:color w:val="auto"/>
              </w:rPr>
            </w:pPr>
          </w:p>
        </w:tc>
        <w:tc>
          <w:tcPr>
            <w:tcW w:w="1000" w:type="dxa"/>
            <w:vAlign w:val="bottom"/>
            <w:tcBorders>
              <w:bottom w:val="single" w:sz="8" w:color="4800E6"/>
            </w:tcBorders>
            <w:shd w:val="clear" w:color="auto" w:fill="EFE9FC"/>
          </w:tcPr>
          <w:p>
            <w:pPr>
              <w:spacing w:after="0"/>
              <w:rPr>
                <w:sz w:val="22"/>
                <w:szCs w:val="22"/>
                <w:color w:val="auto"/>
              </w:rPr>
            </w:pPr>
          </w:p>
        </w:tc>
        <w:tc>
          <w:tcPr>
            <w:tcW w:w="1160" w:type="dxa"/>
            <w:vAlign w:val="bottom"/>
            <w:tcBorders>
              <w:bottom w:val="single" w:sz="8" w:color="4800E6"/>
            </w:tcBorders>
            <w:shd w:val="clear" w:color="auto" w:fill="EFE9FC"/>
          </w:tcPr>
          <w:p>
            <w:pPr>
              <w:spacing w:after="0"/>
              <w:rPr>
                <w:sz w:val="22"/>
                <w:szCs w:val="22"/>
                <w:color w:val="auto"/>
              </w:rPr>
            </w:pPr>
          </w:p>
        </w:tc>
        <w:tc>
          <w:tcPr>
            <w:tcW w:w="760" w:type="dxa"/>
            <w:vAlign w:val="bottom"/>
            <w:tcBorders>
              <w:bottom w:val="single" w:sz="8" w:color="4800E6"/>
            </w:tcBorders>
            <w:shd w:val="clear" w:color="auto" w:fill="EFE9FC"/>
          </w:tcPr>
          <w:p>
            <w:pPr>
              <w:spacing w:after="0"/>
              <w:rPr>
                <w:sz w:val="22"/>
                <w:szCs w:val="22"/>
                <w:color w:val="auto"/>
              </w:rPr>
            </w:pPr>
          </w:p>
        </w:tc>
        <w:tc>
          <w:tcPr>
            <w:tcW w:w="880" w:type="dxa"/>
            <w:vAlign w:val="bottom"/>
            <w:tcBorders>
              <w:bottom w:val="single" w:sz="8" w:color="4800E6"/>
            </w:tcBorders>
            <w:shd w:val="clear" w:color="auto" w:fill="EFE9FC"/>
          </w:tcPr>
          <w:p>
            <w:pPr>
              <w:spacing w:after="0"/>
              <w:rPr>
                <w:sz w:val="22"/>
                <w:szCs w:val="22"/>
                <w:color w:val="auto"/>
              </w:rPr>
            </w:pPr>
          </w:p>
        </w:tc>
        <w:tc>
          <w:tcPr>
            <w:tcW w:w="1080" w:type="dxa"/>
            <w:vAlign w:val="bottom"/>
            <w:tcBorders>
              <w:bottom w:val="single" w:sz="8" w:color="4800E6"/>
            </w:tcBorders>
            <w:shd w:val="clear" w:color="auto" w:fill="EFE9FC"/>
          </w:tcPr>
          <w:p>
            <w:pPr>
              <w:spacing w:after="0"/>
              <w:rPr>
                <w:sz w:val="22"/>
                <w:szCs w:val="22"/>
                <w:color w:val="auto"/>
              </w:rPr>
            </w:pPr>
          </w:p>
        </w:tc>
        <w:tc>
          <w:tcPr>
            <w:tcW w:w="860" w:type="dxa"/>
            <w:vAlign w:val="bottom"/>
            <w:tcBorders>
              <w:bottom w:val="single" w:sz="8" w:color="4800E6"/>
            </w:tcBorders>
            <w:shd w:val="clear" w:color="auto" w:fill="EFE9FC"/>
          </w:tcPr>
          <w:p>
            <w:pPr>
              <w:spacing w:after="0"/>
              <w:rPr>
                <w:sz w:val="22"/>
                <w:szCs w:val="22"/>
                <w:color w:val="auto"/>
              </w:rPr>
            </w:pPr>
          </w:p>
        </w:tc>
        <w:tc>
          <w:tcPr>
            <w:tcW w:w="1140" w:type="dxa"/>
            <w:vAlign w:val="bottom"/>
            <w:tcBorders>
              <w:bottom w:val="single" w:sz="8" w:color="4800E6"/>
            </w:tcBorders>
            <w:gridSpan w:val="2"/>
            <w:shd w:val="clear" w:color="auto" w:fill="EFE9FC"/>
          </w:tcPr>
          <w:p>
            <w:pPr>
              <w:jc w:val="right"/>
              <w:spacing w:after="0"/>
              <w:rPr>
                <w:sz w:val="20"/>
                <w:szCs w:val="20"/>
                <w:color w:val="auto"/>
              </w:rPr>
            </w:pPr>
            <w:r>
              <w:rPr>
                <w:rFonts w:ascii="Arial" w:cs="Arial" w:eastAsia="Arial" w:hAnsi="Arial"/>
                <w:sz w:val="14"/>
                <w:szCs w:val="14"/>
                <w:color w:val="auto"/>
              </w:rPr>
              <w:t>1,928</w:t>
            </w:r>
            <w:r>
              <w:rPr>
                <w:rFonts w:ascii="Arial" w:cs="Arial" w:eastAsia="Arial" w:hAnsi="Arial"/>
                <w:sz w:val="21"/>
                <w:szCs w:val="21"/>
                <w:color w:val="auto"/>
                <w:vertAlign w:val="superscript"/>
              </w:rPr>
              <w:t>(13)</w:t>
            </w:r>
          </w:p>
        </w:tc>
        <w:tc>
          <w:tcPr>
            <w:tcW w:w="900" w:type="dxa"/>
            <w:vAlign w:val="bottom"/>
            <w:tcBorders>
              <w:bottom w:val="single" w:sz="8" w:color="4800E6"/>
            </w:tcBorders>
            <w:shd w:val="clear" w:color="auto" w:fill="EFE9FC"/>
          </w:tcPr>
          <w:p>
            <w:pPr>
              <w:jc w:val="right"/>
              <w:spacing w:after="0"/>
              <w:rPr>
                <w:sz w:val="20"/>
                <w:szCs w:val="20"/>
                <w:color w:val="auto"/>
              </w:rPr>
            </w:pPr>
            <w:r>
              <w:rPr>
                <w:rFonts w:ascii="Arial" w:cs="Arial" w:eastAsia="Arial" w:hAnsi="Arial"/>
                <w:sz w:val="14"/>
                <w:szCs w:val="14"/>
                <w:color w:val="auto"/>
              </w:rPr>
              <w:t>145,429</w:t>
            </w:r>
          </w:p>
        </w:tc>
        <w:tc>
          <w:tcPr>
            <w:tcW w:w="0" w:type="dxa"/>
            <w:vAlign w:val="bottom"/>
          </w:tcPr>
          <w:p>
            <w:pPr>
              <w:spacing w:after="0"/>
              <w:rPr>
                <w:sz w:val="1"/>
                <w:szCs w:val="1"/>
                <w:color w:val="auto"/>
              </w:rPr>
            </w:pPr>
          </w:p>
        </w:tc>
      </w:tr>
      <w:tr>
        <w:trPr>
          <w:trHeight w:val="211"/>
        </w:trPr>
        <w:tc>
          <w:tcPr>
            <w:tcW w:w="1400" w:type="dxa"/>
            <w:vAlign w:val="bottom"/>
          </w:tcPr>
          <w:p>
            <w:pPr>
              <w:ind w:left="40"/>
              <w:spacing w:after="0"/>
              <w:rPr>
                <w:sz w:val="20"/>
                <w:szCs w:val="20"/>
                <w:color w:val="auto"/>
              </w:rPr>
            </w:pPr>
            <w:r>
              <w:rPr>
                <w:rFonts w:ascii="Arial" w:cs="Arial" w:eastAsia="Arial" w:hAnsi="Arial"/>
                <w:sz w:val="14"/>
                <w:szCs w:val="14"/>
                <w:color w:val="auto"/>
              </w:rPr>
              <w:t>Alistair Simpson</w:t>
            </w:r>
          </w:p>
        </w:tc>
        <w:tc>
          <w:tcPr>
            <w:tcW w:w="1000" w:type="dxa"/>
            <w:vAlign w:val="bottom"/>
          </w:tcPr>
          <w:p>
            <w:pPr>
              <w:jc w:val="right"/>
              <w:spacing w:after="0"/>
              <w:rPr>
                <w:sz w:val="20"/>
                <w:szCs w:val="20"/>
                <w:color w:val="auto"/>
              </w:rPr>
            </w:pPr>
            <w:r>
              <w:rPr>
                <w:rFonts w:ascii="Arial" w:cs="Arial" w:eastAsia="Arial" w:hAnsi="Arial"/>
                <w:sz w:val="14"/>
                <w:szCs w:val="14"/>
                <w:color w:val="auto"/>
              </w:rPr>
              <w:t>1,724</w:t>
            </w:r>
          </w:p>
        </w:tc>
        <w:tc>
          <w:tcPr>
            <w:tcW w:w="1160" w:type="dxa"/>
            <w:vAlign w:val="bottom"/>
          </w:tcPr>
          <w:p>
            <w:pPr>
              <w:jc w:val="right"/>
              <w:spacing w:after="0"/>
              <w:rPr>
                <w:sz w:val="20"/>
                <w:szCs w:val="20"/>
                <w:color w:val="auto"/>
              </w:rPr>
            </w:pPr>
            <w:r>
              <w:rPr>
                <w:rFonts w:ascii="Arial" w:cs="Arial" w:eastAsia="Arial" w:hAnsi="Arial"/>
                <w:sz w:val="14"/>
                <w:szCs w:val="14"/>
                <w:color w:val="auto"/>
              </w:rPr>
              <w:t>5,169</w:t>
            </w:r>
          </w:p>
        </w:tc>
        <w:tc>
          <w:tcPr>
            <w:tcW w:w="760" w:type="dxa"/>
            <w:vAlign w:val="bottom"/>
          </w:tcPr>
          <w:p>
            <w:pPr>
              <w:jc w:val="right"/>
              <w:ind w:right="31"/>
              <w:spacing w:after="0"/>
              <w:rPr>
                <w:sz w:val="20"/>
                <w:szCs w:val="20"/>
                <w:color w:val="auto"/>
              </w:rPr>
            </w:pPr>
            <w:r>
              <w:rPr>
                <w:rFonts w:ascii="Arial" w:cs="Arial" w:eastAsia="Arial" w:hAnsi="Arial"/>
                <w:sz w:val="14"/>
                <w:szCs w:val="14"/>
                <w:color w:val="auto"/>
              </w:rPr>
              <w:t>88.38</w:t>
            </w:r>
          </w:p>
        </w:tc>
        <w:tc>
          <w:tcPr>
            <w:tcW w:w="880" w:type="dxa"/>
            <w:vAlign w:val="bottom"/>
          </w:tcPr>
          <w:p>
            <w:pPr>
              <w:jc w:val="right"/>
              <w:ind w:right="31"/>
              <w:spacing w:after="0"/>
              <w:rPr>
                <w:sz w:val="20"/>
                <w:szCs w:val="20"/>
                <w:color w:val="auto"/>
              </w:rPr>
            </w:pPr>
            <w:r>
              <w:rPr>
                <w:rFonts w:ascii="Arial" w:cs="Arial" w:eastAsia="Arial" w:hAnsi="Arial"/>
                <w:sz w:val="14"/>
                <w:szCs w:val="14"/>
                <w:color w:val="auto"/>
              </w:rPr>
              <w:t>3/15/2028</w:t>
            </w:r>
          </w:p>
        </w:tc>
        <w:tc>
          <w:tcPr>
            <w:tcW w:w="10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9"/>
        </w:trPr>
        <w:tc>
          <w:tcPr>
            <w:tcW w:w="1400" w:type="dxa"/>
            <w:vAlign w:val="bottom"/>
          </w:tcPr>
          <w:p>
            <w:pPr>
              <w:spacing w:after="0"/>
              <w:rPr>
                <w:sz w:val="3"/>
                <w:szCs w:val="3"/>
                <w:color w:val="auto"/>
              </w:rPr>
            </w:pPr>
          </w:p>
        </w:tc>
        <w:tc>
          <w:tcPr>
            <w:tcW w:w="1000" w:type="dxa"/>
            <w:vAlign w:val="bottom"/>
          </w:tcPr>
          <w:p>
            <w:pPr>
              <w:spacing w:after="0"/>
              <w:rPr>
                <w:sz w:val="3"/>
                <w:szCs w:val="3"/>
                <w:color w:val="auto"/>
              </w:rPr>
            </w:pPr>
          </w:p>
        </w:tc>
        <w:tc>
          <w:tcPr>
            <w:tcW w:w="1160" w:type="dxa"/>
            <w:vAlign w:val="bottom"/>
          </w:tcPr>
          <w:p>
            <w:pPr>
              <w:spacing w:after="0"/>
              <w:rPr>
                <w:sz w:val="3"/>
                <w:szCs w:val="3"/>
                <w:color w:val="auto"/>
              </w:rPr>
            </w:pPr>
          </w:p>
        </w:tc>
        <w:tc>
          <w:tcPr>
            <w:tcW w:w="760" w:type="dxa"/>
            <w:vAlign w:val="bottom"/>
          </w:tcPr>
          <w:p>
            <w:pPr>
              <w:spacing w:after="0"/>
              <w:rPr>
                <w:sz w:val="3"/>
                <w:szCs w:val="3"/>
                <w:color w:val="auto"/>
              </w:rPr>
            </w:pPr>
          </w:p>
        </w:tc>
        <w:tc>
          <w:tcPr>
            <w:tcW w:w="880" w:type="dxa"/>
            <w:vAlign w:val="bottom"/>
          </w:tcPr>
          <w:p>
            <w:pPr>
              <w:spacing w:after="0"/>
              <w:rPr>
                <w:sz w:val="3"/>
                <w:szCs w:val="3"/>
                <w:color w:val="auto"/>
              </w:rPr>
            </w:pPr>
          </w:p>
        </w:tc>
        <w:tc>
          <w:tcPr>
            <w:tcW w:w="1080" w:type="dxa"/>
            <w:vAlign w:val="bottom"/>
          </w:tcPr>
          <w:p>
            <w:pPr>
              <w:spacing w:after="0"/>
              <w:rPr>
                <w:sz w:val="3"/>
                <w:szCs w:val="3"/>
                <w:color w:val="auto"/>
              </w:rPr>
            </w:pPr>
          </w:p>
        </w:tc>
        <w:tc>
          <w:tcPr>
            <w:tcW w:w="860" w:type="dxa"/>
            <w:vAlign w:val="bottom"/>
          </w:tcPr>
          <w:p>
            <w:pPr>
              <w:spacing w:after="0"/>
              <w:rPr>
                <w:sz w:val="3"/>
                <w:szCs w:val="3"/>
                <w:color w:val="auto"/>
              </w:rPr>
            </w:pPr>
          </w:p>
        </w:tc>
        <w:tc>
          <w:tcPr>
            <w:tcW w:w="1020" w:type="dxa"/>
            <w:vAlign w:val="bottom"/>
          </w:tcPr>
          <w:p>
            <w:pPr>
              <w:spacing w:after="0"/>
              <w:rPr>
                <w:sz w:val="3"/>
                <w:szCs w:val="3"/>
                <w:color w:val="auto"/>
              </w:rPr>
            </w:pPr>
          </w:p>
        </w:tc>
        <w:tc>
          <w:tcPr>
            <w:tcW w:w="120" w:type="dxa"/>
            <w:vAlign w:val="bottom"/>
          </w:tcPr>
          <w:p>
            <w:pPr>
              <w:spacing w:after="0"/>
              <w:rPr>
                <w:sz w:val="3"/>
                <w:szCs w:val="3"/>
                <w:color w:val="auto"/>
              </w:rPr>
            </w:pPr>
          </w:p>
        </w:tc>
        <w:tc>
          <w:tcPr>
            <w:tcW w:w="9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04"/>
        </w:trPr>
        <w:tc>
          <w:tcPr>
            <w:tcW w:w="1400" w:type="dxa"/>
            <w:vAlign w:val="bottom"/>
          </w:tcPr>
          <w:p>
            <w:pPr>
              <w:spacing w:after="0"/>
              <w:rPr>
                <w:sz w:val="17"/>
                <w:szCs w:val="17"/>
                <w:color w:val="auto"/>
              </w:rPr>
            </w:pPr>
          </w:p>
        </w:tc>
        <w:tc>
          <w:tcPr>
            <w:tcW w:w="1000" w:type="dxa"/>
            <w:vAlign w:val="bottom"/>
            <w:shd w:val="clear" w:color="auto" w:fill="EFE9FC"/>
          </w:tcPr>
          <w:p>
            <w:pPr>
              <w:jc w:val="right"/>
              <w:spacing w:after="0"/>
              <w:rPr>
                <w:sz w:val="20"/>
                <w:szCs w:val="20"/>
                <w:color w:val="auto"/>
              </w:rPr>
            </w:pPr>
            <w:r>
              <w:rPr>
                <w:rFonts w:ascii="Arial" w:cs="Arial" w:eastAsia="Arial" w:hAnsi="Arial"/>
                <w:sz w:val="14"/>
                <w:szCs w:val="14"/>
                <w:color w:val="auto"/>
              </w:rPr>
              <w:t>–</w:t>
            </w:r>
          </w:p>
        </w:tc>
        <w:tc>
          <w:tcPr>
            <w:tcW w:w="1160" w:type="dxa"/>
            <w:vAlign w:val="bottom"/>
            <w:shd w:val="clear" w:color="auto" w:fill="EFE9FC"/>
          </w:tcPr>
          <w:p>
            <w:pPr>
              <w:jc w:val="right"/>
              <w:spacing w:after="0"/>
              <w:rPr>
                <w:sz w:val="20"/>
                <w:szCs w:val="20"/>
                <w:color w:val="auto"/>
              </w:rPr>
            </w:pPr>
            <w:r>
              <w:rPr>
                <w:rFonts w:ascii="Arial" w:cs="Arial" w:eastAsia="Arial" w:hAnsi="Arial"/>
                <w:sz w:val="14"/>
                <w:szCs w:val="14"/>
                <w:color w:val="auto"/>
              </w:rPr>
              <w:t>5,903</w:t>
            </w:r>
          </w:p>
        </w:tc>
        <w:tc>
          <w:tcPr>
            <w:tcW w:w="760" w:type="dxa"/>
            <w:vAlign w:val="bottom"/>
            <w:shd w:val="clear" w:color="auto" w:fill="EFE9FC"/>
          </w:tcPr>
          <w:p>
            <w:pPr>
              <w:jc w:val="right"/>
              <w:ind w:right="31"/>
              <w:spacing w:after="0"/>
              <w:rPr>
                <w:sz w:val="20"/>
                <w:szCs w:val="20"/>
                <w:color w:val="auto"/>
              </w:rPr>
            </w:pPr>
            <w:r>
              <w:rPr>
                <w:rFonts w:ascii="Arial" w:cs="Arial" w:eastAsia="Arial" w:hAnsi="Arial"/>
                <w:sz w:val="14"/>
                <w:szCs w:val="14"/>
                <w:color w:val="auto"/>
              </w:rPr>
              <w:t>97.25</w:t>
            </w:r>
          </w:p>
        </w:tc>
        <w:tc>
          <w:tcPr>
            <w:tcW w:w="880" w:type="dxa"/>
            <w:vAlign w:val="bottom"/>
            <w:shd w:val="clear" w:color="auto" w:fill="EFE9FC"/>
          </w:tcPr>
          <w:p>
            <w:pPr>
              <w:jc w:val="right"/>
              <w:ind w:right="31"/>
              <w:spacing w:after="0"/>
              <w:rPr>
                <w:sz w:val="20"/>
                <w:szCs w:val="20"/>
                <w:color w:val="auto"/>
              </w:rPr>
            </w:pPr>
            <w:r>
              <w:rPr>
                <w:rFonts w:ascii="Arial" w:cs="Arial" w:eastAsia="Arial" w:hAnsi="Arial"/>
                <w:sz w:val="14"/>
                <w:szCs w:val="14"/>
                <w:color w:val="auto"/>
              </w:rPr>
              <w:t>3/30/2029</w:t>
            </w:r>
          </w:p>
        </w:tc>
        <w:tc>
          <w:tcPr>
            <w:tcW w:w="1080" w:type="dxa"/>
            <w:vAlign w:val="bottom"/>
            <w:shd w:val="clear" w:color="auto" w:fill="EFE9FC"/>
          </w:tcPr>
          <w:p>
            <w:pPr>
              <w:spacing w:after="0"/>
              <w:rPr>
                <w:sz w:val="17"/>
                <w:szCs w:val="17"/>
                <w:color w:val="auto"/>
              </w:rPr>
            </w:pPr>
          </w:p>
        </w:tc>
        <w:tc>
          <w:tcPr>
            <w:tcW w:w="860" w:type="dxa"/>
            <w:vAlign w:val="bottom"/>
            <w:shd w:val="clear" w:color="auto" w:fill="EFE9FC"/>
          </w:tcPr>
          <w:p>
            <w:pPr>
              <w:spacing w:after="0"/>
              <w:rPr>
                <w:sz w:val="17"/>
                <w:szCs w:val="17"/>
                <w:color w:val="auto"/>
              </w:rPr>
            </w:pPr>
          </w:p>
        </w:tc>
        <w:tc>
          <w:tcPr>
            <w:tcW w:w="1020" w:type="dxa"/>
            <w:vAlign w:val="bottom"/>
            <w:shd w:val="clear" w:color="auto" w:fill="EFE9FC"/>
          </w:tcPr>
          <w:p>
            <w:pPr>
              <w:spacing w:after="0"/>
              <w:rPr>
                <w:sz w:val="17"/>
                <w:szCs w:val="17"/>
                <w:color w:val="auto"/>
              </w:rPr>
            </w:pPr>
          </w:p>
        </w:tc>
        <w:tc>
          <w:tcPr>
            <w:tcW w:w="120" w:type="dxa"/>
            <w:vAlign w:val="bottom"/>
            <w:shd w:val="clear" w:color="auto" w:fill="EFE9FC"/>
          </w:tcPr>
          <w:p>
            <w:pPr>
              <w:spacing w:after="0"/>
              <w:rPr>
                <w:sz w:val="17"/>
                <w:szCs w:val="17"/>
                <w:color w:val="auto"/>
              </w:rPr>
            </w:pPr>
          </w:p>
        </w:tc>
        <w:tc>
          <w:tcPr>
            <w:tcW w:w="900" w:type="dxa"/>
            <w:vAlign w:val="bottom"/>
            <w:shd w:val="clear" w:color="auto" w:fill="EFE9FC"/>
          </w:tcPr>
          <w:p>
            <w:pPr>
              <w:spacing w:after="0"/>
              <w:rPr>
                <w:sz w:val="17"/>
                <w:szCs w:val="17"/>
                <w:color w:val="auto"/>
              </w:rPr>
            </w:pPr>
          </w:p>
        </w:tc>
        <w:tc>
          <w:tcPr>
            <w:tcW w:w="0" w:type="dxa"/>
            <w:vAlign w:val="bottom"/>
          </w:tcPr>
          <w:p>
            <w:pPr>
              <w:spacing w:after="0"/>
              <w:rPr>
                <w:sz w:val="1"/>
                <w:szCs w:val="1"/>
                <w:color w:val="auto"/>
              </w:rPr>
            </w:pPr>
          </w:p>
        </w:tc>
      </w:tr>
      <w:tr>
        <w:trPr>
          <w:trHeight w:val="66"/>
        </w:trPr>
        <w:tc>
          <w:tcPr>
            <w:tcW w:w="1400" w:type="dxa"/>
            <w:vAlign w:val="bottom"/>
          </w:tcPr>
          <w:p>
            <w:pPr>
              <w:spacing w:after="0"/>
              <w:rPr>
                <w:sz w:val="5"/>
                <w:szCs w:val="5"/>
                <w:color w:val="auto"/>
              </w:rPr>
            </w:pPr>
          </w:p>
        </w:tc>
        <w:tc>
          <w:tcPr>
            <w:tcW w:w="1000" w:type="dxa"/>
            <w:vAlign w:val="bottom"/>
            <w:shd w:val="clear" w:color="auto" w:fill="EFE9FC"/>
          </w:tcPr>
          <w:p>
            <w:pPr>
              <w:spacing w:after="0"/>
              <w:rPr>
                <w:sz w:val="5"/>
                <w:szCs w:val="5"/>
                <w:color w:val="auto"/>
              </w:rPr>
            </w:pPr>
          </w:p>
        </w:tc>
        <w:tc>
          <w:tcPr>
            <w:tcW w:w="1160" w:type="dxa"/>
            <w:vAlign w:val="bottom"/>
            <w:shd w:val="clear" w:color="auto" w:fill="EFE9FC"/>
          </w:tcPr>
          <w:p>
            <w:pPr>
              <w:spacing w:after="0"/>
              <w:rPr>
                <w:sz w:val="5"/>
                <w:szCs w:val="5"/>
                <w:color w:val="auto"/>
              </w:rPr>
            </w:pPr>
          </w:p>
        </w:tc>
        <w:tc>
          <w:tcPr>
            <w:tcW w:w="760" w:type="dxa"/>
            <w:vAlign w:val="bottom"/>
            <w:shd w:val="clear" w:color="auto" w:fill="EFE9FC"/>
          </w:tcPr>
          <w:p>
            <w:pPr>
              <w:spacing w:after="0"/>
              <w:rPr>
                <w:sz w:val="5"/>
                <w:szCs w:val="5"/>
                <w:color w:val="auto"/>
              </w:rPr>
            </w:pPr>
          </w:p>
        </w:tc>
        <w:tc>
          <w:tcPr>
            <w:tcW w:w="880" w:type="dxa"/>
            <w:vAlign w:val="bottom"/>
            <w:shd w:val="clear" w:color="auto" w:fill="EFE9FC"/>
          </w:tcPr>
          <w:p>
            <w:pPr>
              <w:spacing w:after="0"/>
              <w:rPr>
                <w:sz w:val="5"/>
                <w:szCs w:val="5"/>
                <w:color w:val="auto"/>
              </w:rPr>
            </w:pPr>
          </w:p>
        </w:tc>
        <w:tc>
          <w:tcPr>
            <w:tcW w:w="1080" w:type="dxa"/>
            <w:vAlign w:val="bottom"/>
            <w:shd w:val="clear" w:color="auto" w:fill="EFE9FC"/>
          </w:tcPr>
          <w:p>
            <w:pPr>
              <w:spacing w:after="0"/>
              <w:rPr>
                <w:sz w:val="5"/>
                <w:szCs w:val="5"/>
                <w:color w:val="auto"/>
              </w:rPr>
            </w:pPr>
          </w:p>
        </w:tc>
        <w:tc>
          <w:tcPr>
            <w:tcW w:w="860" w:type="dxa"/>
            <w:vAlign w:val="bottom"/>
            <w:shd w:val="clear" w:color="auto" w:fill="EFE9FC"/>
          </w:tcPr>
          <w:p>
            <w:pPr>
              <w:spacing w:after="0"/>
              <w:rPr>
                <w:sz w:val="5"/>
                <w:szCs w:val="5"/>
                <w:color w:val="auto"/>
              </w:rPr>
            </w:pPr>
          </w:p>
        </w:tc>
        <w:tc>
          <w:tcPr>
            <w:tcW w:w="1020" w:type="dxa"/>
            <w:vAlign w:val="bottom"/>
            <w:shd w:val="clear" w:color="auto" w:fill="EFE9FC"/>
          </w:tcPr>
          <w:p>
            <w:pPr>
              <w:spacing w:after="0"/>
              <w:rPr>
                <w:sz w:val="5"/>
                <w:szCs w:val="5"/>
                <w:color w:val="auto"/>
              </w:rPr>
            </w:pPr>
          </w:p>
        </w:tc>
        <w:tc>
          <w:tcPr>
            <w:tcW w:w="120" w:type="dxa"/>
            <w:vAlign w:val="bottom"/>
            <w:shd w:val="clear" w:color="auto" w:fill="EFE9FC"/>
          </w:tcPr>
          <w:p>
            <w:pPr>
              <w:spacing w:after="0"/>
              <w:rPr>
                <w:sz w:val="5"/>
                <w:szCs w:val="5"/>
                <w:color w:val="auto"/>
              </w:rPr>
            </w:pPr>
          </w:p>
        </w:tc>
        <w:tc>
          <w:tcPr>
            <w:tcW w:w="900" w:type="dxa"/>
            <w:vAlign w:val="bottom"/>
            <w:shd w:val="clear" w:color="auto" w:fill="EFE9FC"/>
          </w:tcPr>
          <w:p>
            <w:pPr>
              <w:spacing w:after="0"/>
              <w:rPr>
                <w:sz w:val="5"/>
                <w:szCs w:val="5"/>
                <w:color w:val="auto"/>
              </w:rPr>
            </w:pPr>
          </w:p>
        </w:tc>
        <w:tc>
          <w:tcPr>
            <w:tcW w:w="0" w:type="dxa"/>
            <w:vAlign w:val="bottom"/>
          </w:tcPr>
          <w:p>
            <w:pPr>
              <w:spacing w:after="0"/>
              <w:rPr>
                <w:sz w:val="1"/>
                <w:szCs w:val="1"/>
                <w:color w:val="auto"/>
              </w:rPr>
            </w:pPr>
          </w:p>
        </w:tc>
      </w:tr>
      <w:tr>
        <w:trPr>
          <w:trHeight w:val="243"/>
        </w:trPr>
        <w:tc>
          <w:tcPr>
            <w:tcW w:w="140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1080" w:type="dxa"/>
            <w:vAlign w:val="bottom"/>
          </w:tcPr>
          <w:p>
            <w:pPr>
              <w:jc w:val="right"/>
              <w:ind w:right="31"/>
              <w:spacing w:after="0"/>
              <w:rPr>
                <w:sz w:val="20"/>
                <w:szCs w:val="20"/>
                <w:color w:val="auto"/>
              </w:rPr>
            </w:pPr>
            <w:r>
              <w:rPr>
                <w:rFonts w:ascii="Arial" w:cs="Arial" w:eastAsia="Arial" w:hAnsi="Arial"/>
                <w:sz w:val="14"/>
                <w:szCs w:val="14"/>
                <w:color w:val="auto"/>
              </w:rPr>
              <w:t>1,208</w:t>
            </w:r>
            <w:r>
              <w:rPr>
                <w:rFonts w:ascii="Arial" w:cs="Arial" w:eastAsia="Arial" w:hAnsi="Arial"/>
                <w:sz w:val="21"/>
                <w:szCs w:val="21"/>
                <w:color w:val="auto"/>
                <w:vertAlign w:val="superscript"/>
              </w:rPr>
              <w:t>(7)</w:t>
            </w:r>
          </w:p>
        </w:tc>
        <w:tc>
          <w:tcPr>
            <w:tcW w:w="860" w:type="dxa"/>
            <w:vAlign w:val="bottom"/>
          </w:tcPr>
          <w:p>
            <w:pPr>
              <w:jc w:val="right"/>
              <w:ind w:right="11"/>
              <w:spacing w:after="0"/>
              <w:rPr>
                <w:sz w:val="20"/>
                <w:szCs w:val="20"/>
                <w:color w:val="auto"/>
              </w:rPr>
            </w:pPr>
            <w:r>
              <w:rPr>
                <w:rFonts w:ascii="Arial" w:cs="Arial" w:eastAsia="Arial" w:hAnsi="Arial"/>
                <w:sz w:val="14"/>
                <w:szCs w:val="14"/>
                <w:color w:val="auto"/>
              </w:rPr>
              <w:t>91,119</w:t>
            </w:r>
          </w:p>
        </w:tc>
        <w:tc>
          <w:tcPr>
            <w:tcW w:w="10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0"/>
        </w:trPr>
        <w:tc>
          <w:tcPr>
            <w:tcW w:w="1400" w:type="dxa"/>
            <w:vAlign w:val="bottom"/>
          </w:tcPr>
          <w:p>
            <w:pPr>
              <w:spacing w:after="0"/>
              <w:rPr>
                <w:sz w:val="23"/>
                <w:szCs w:val="23"/>
                <w:color w:val="auto"/>
              </w:rPr>
            </w:pPr>
          </w:p>
        </w:tc>
        <w:tc>
          <w:tcPr>
            <w:tcW w:w="1000" w:type="dxa"/>
            <w:vAlign w:val="bottom"/>
            <w:shd w:val="clear" w:color="auto" w:fill="EFE9FC"/>
          </w:tcPr>
          <w:p>
            <w:pPr>
              <w:spacing w:after="0"/>
              <w:rPr>
                <w:sz w:val="23"/>
                <w:szCs w:val="23"/>
                <w:color w:val="auto"/>
              </w:rPr>
            </w:pPr>
          </w:p>
        </w:tc>
        <w:tc>
          <w:tcPr>
            <w:tcW w:w="1160" w:type="dxa"/>
            <w:vAlign w:val="bottom"/>
            <w:shd w:val="clear" w:color="auto" w:fill="EFE9FC"/>
          </w:tcPr>
          <w:p>
            <w:pPr>
              <w:spacing w:after="0"/>
              <w:rPr>
                <w:sz w:val="23"/>
                <w:szCs w:val="23"/>
                <w:color w:val="auto"/>
              </w:rPr>
            </w:pPr>
          </w:p>
        </w:tc>
        <w:tc>
          <w:tcPr>
            <w:tcW w:w="760" w:type="dxa"/>
            <w:vAlign w:val="bottom"/>
            <w:shd w:val="clear" w:color="auto" w:fill="EFE9FC"/>
          </w:tcPr>
          <w:p>
            <w:pPr>
              <w:spacing w:after="0"/>
              <w:rPr>
                <w:sz w:val="23"/>
                <w:szCs w:val="23"/>
                <w:color w:val="auto"/>
              </w:rPr>
            </w:pPr>
          </w:p>
        </w:tc>
        <w:tc>
          <w:tcPr>
            <w:tcW w:w="880" w:type="dxa"/>
            <w:vAlign w:val="bottom"/>
            <w:shd w:val="clear" w:color="auto" w:fill="EFE9FC"/>
          </w:tcPr>
          <w:p>
            <w:pPr>
              <w:spacing w:after="0"/>
              <w:rPr>
                <w:sz w:val="23"/>
                <w:szCs w:val="23"/>
                <w:color w:val="auto"/>
              </w:rPr>
            </w:pPr>
          </w:p>
        </w:tc>
        <w:tc>
          <w:tcPr>
            <w:tcW w:w="1080" w:type="dxa"/>
            <w:vAlign w:val="bottom"/>
            <w:shd w:val="clear" w:color="auto" w:fill="EFE9FC"/>
          </w:tcPr>
          <w:p>
            <w:pPr>
              <w:jc w:val="right"/>
              <w:ind w:right="31"/>
              <w:spacing w:after="0"/>
              <w:rPr>
                <w:sz w:val="20"/>
                <w:szCs w:val="20"/>
                <w:color w:val="auto"/>
              </w:rPr>
            </w:pPr>
            <w:r>
              <w:rPr>
                <w:rFonts w:ascii="Arial" w:cs="Arial" w:eastAsia="Arial" w:hAnsi="Arial"/>
                <w:sz w:val="14"/>
                <w:szCs w:val="14"/>
                <w:color w:val="auto"/>
              </w:rPr>
              <w:t>3,624</w:t>
            </w:r>
            <w:r>
              <w:rPr>
                <w:rFonts w:ascii="Arial" w:cs="Arial" w:eastAsia="Arial" w:hAnsi="Arial"/>
                <w:sz w:val="21"/>
                <w:szCs w:val="21"/>
                <w:color w:val="auto"/>
                <w:vertAlign w:val="superscript"/>
              </w:rPr>
              <w:t>(6)</w:t>
            </w:r>
          </w:p>
        </w:tc>
        <w:tc>
          <w:tcPr>
            <w:tcW w:w="860" w:type="dxa"/>
            <w:vAlign w:val="bottom"/>
            <w:shd w:val="clear" w:color="auto" w:fill="EFE9FC"/>
          </w:tcPr>
          <w:p>
            <w:pPr>
              <w:jc w:val="right"/>
              <w:ind w:right="11"/>
              <w:spacing w:after="0"/>
              <w:rPr>
                <w:sz w:val="20"/>
                <w:szCs w:val="20"/>
                <w:color w:val="auto"/>
              </w:rPr>
            </w:pPr>
            <w:r>
              <w:rPr>
                <w:rFonts w:ascii="Arial" w:cs="Arial" w:eastAsia="Arial" w:hAnsi="Arial"/>
                <w:sz w:val="14"/>
                <w:szCs w:val="14"/>
                <w:color w:val="auto"/>
              </w:rPr>
              <w:t>273,358</w:t>
            </w:r>
          </w:p>
        </w:tc>
        <w:tc>
          <w:tcPr>
            <w:tcW w:w="1020" w:type="dxa"/>
            <w:vAlign w:val="bottom"/>
            <w:shd w:val="clear" w:color="auto" w:fill="EFE9FC"/>
          </w:tcPr>
          <w:p>
            <w:pPr>
              <w:spacing w:after="0"/>
              <w:rPr>
                <w:sz w:val="23"/>
                <w:szCs w:val="23"/>
                <w:color w:val="auto"/>
              </w:rPr>
            </w:pPr>
          </w:p>
        </w:tc>
        <w:tc>
          <w:tcPr>
            <w:tcW w:w="120" w:type="dxa"/>
            <w:vAlign w:val="bottom"/>
            <w:shd w:val="clear" w:color="auto" w:fill="EFE9FC"/>
          </w:tcPr>
          <w:p>
            <w:pPr>
              <w:spacing w:after="0"/>
              <w:rPr>
                <w:sz w:val="23"/>
                <w:szCs w:val="23"/>
                <w:color w:val="auto"/>
              </w:rPr>
            </w:pPr>
          </w:p>
        </w:tc>
        <w:tc>
          <w:tcPr>
            <w:tcW w:w="900" w:type="dxa"/>
            <w:vAlign w:val="bottom"/>
            <w:shd w:val="clear" w:color="auto" w:fill="EFE9FC"/>
          </w:tcPr>
          <w:p>
            <w:pPr>
              <w:spacing w:after="0"/>
              <w:rPr>
                <w:sz w:val="23"/>
                <w:szCs w:val="23"/>
                <w:color w:val="auto"/>
              </w:rPr>
            </w:pPr>
          </w:p>
        </w:tc>
        <w:tc>
          <w:tcPr>
            <w:tcW w:w="0" w:type="dxa"/>
            <w:vAlign w:val="bottom"/>
          </w:tcPr>
          <w:p>
            <w:pPr>
              <w:spacing w:after="0"/>
              <w:rPr>
                <w:sz w:val="1"/>
                <w:szCs w:val="1"/>
                <w:color w:val="auto"/>
              </w:rPr>
            </w:pPr>
          </w:p>
        </w:tc>
      </w:tr>
      <w:tr>
        <w:trPr>
          <w:trHeight w:val="243"/>
        </w:trPr>
        <w:tc>
          <w:tcPr>
            <w:tcW w:w="140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1080" w:type="dxa"/>
            <w:vAlign w:val="bottom"/>
          </w:tcPr>
          <w:p>
            <w:pPr>
              <w:jc w:val="right"/>
              <w:ind w:right="31"/>
              <w:spacing w:after="0"/>
              <w:rPr>
                <w:sz w:val="20"/>
                <w:szCs w:val="20"/>
                <w:color w:val="auto"/>
              </w:rPr>
            </w:pPr>
            <w:r>
              <w:rPr>
                <w:rFonts w:ascii="Arial" w:cs="Arial" w:eastAsia="Arial" w:hAnsi="Arial"/>
                <w:sz w:val="14"/>
                <w:szCs w:val="14"/>
                <w:color w:val="auto"/>
              </w:rPr>
              <w:t>1,590</w:t>
            </w:r>
            <w:r>
              <w:rPr>
                <w:rFonts w:ascii="Arial" w:cs="Arial" w:eastAsia="Arial" w:hAnsi="Arial"/>
                <w:sz w:val="21"/>
                <w:szCs w:val="21"/>
                <w:color w:val="auto"/>
                <w:vertAlign w:val="superscript"/>
              </w:rPr>
              <w:t>(8)</w:t>
            </w:r>
          </w:p>
        </w:tc>
        <w:tc>
          <w:tcPr>
            <w:tcW w:w="860" w:type="dxa"/>
            <w:vAlign w:val="bottom"/>
          </w:tcPr>
          <w:p>
            <w:pPr>
              <w:jc w:val="right"/>
              <w:ind w:right="11"/>
              <w:spacing w:after="0"/>
              <w:rPr>
                <w:sz w:val="20"/>
                <w:szCs w:val="20"/>
                <w:color w:val="auto"/>
              </w:rPr>
            </w:pPr>
            <w:r>
              <w:rPr>
                <w:rFonts w:ascii="Arial" w:cs="Arial" w:eastAsia="Arial" w:hAnsi="Arial"/>
                <w:sz w:val="14"/>
                <w:szCs w:val="14"/>
                <w:color w:val="auto"/>
              </w:rPr>
              <w:t>119,934</w:t>
            </w:r>
          </w:p>
        </w:tc>
        <w:tc>
          <w:tcPr>
            <w:tcW w:w="10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0"/>
        </w:trPr>
        <w:tc>
          <w:tcPr>
            <w:tcW w:w="1400" w:type="dxa"/>
            <w:vAlign w:val="bottom"/>
          </w:tcPr>
          <w:p>
            <w:pPr>
              <w:spacing w:after="0"/>
              <w:rPr>
                <w:sz w:val="23"/>
                <w:szCs w:val="23"/>
                <w:color w:val="auto"/>
              </w:rPr>
            </w:pPr>
          </w:p>
        </w:tc>
        <w:tc>
          <w:tcPr>
            <w:tcW w:w="1000" w:type="dxa"/>
            <w:vAlign w:val="bottom"/>
            <w:shd w:val="clear" w:color="auto" w:fill="EFE9FC"/>
          </w:tcPr>
          <w:p>
            <w:pPr>
              <w:spacing w:after="0"/>
              <w:rPr>
                <w:sz w:val="23"/>
                <w:szCs w:val="23"/>
                <w:color w:val="auto"/>
              </w:rPr>
            </w:pPr>
          </w:p>
        </w:tc>
        <w:tc>
          <w:tcPr>
            <w:tcW w:w="1160" w:type="dxa"/>
            <w:vAlign w:val="bottom"/>
            <w:shd w:val="clear" w:color="auto" w:fill="EFE9FC"/>
          </w:tcPr>
          <w:p>
            <w:pPr>
              <w:spacing w:after="0"/>
              <w:rPr>
                <w:sz w:val="23"/>
                <w:szCs w:val="23"/>
                <w:color w:val="auto"/>
              </w:rPr>
            </w:pPr>
          </w:p>
        </w:tc>
        <w:tc>
          <w:tcPr>
            <w:tcW w:w="760" w:type="dxa"/>
            <w:vAlign w:val="bottom"/>
            <w:shd w:val="clear" w:color="auto" w:fill="EFE9FC"/>
          </w:tcPr>
          <w:p>
            <w:pPr>
              <w:spacing w:after="0"/>
              <w:rPr>
                <w:sz w:val="23"/>
                <w:szCs w:val="23"/>
                <w:color w:val="auto"/>
              </w:rPr>
            </w:pPr>
          </w:p>
        </w:tc>
        <w:tc>
          <w:tcPr>
            <w:tcW w:w="880" w:type="dxa"/>
            <w:vAlign w:val="bottom"/>
            <w:shd w:val="clear" w:color="auto" w:fill="EFE9FC"/>
          </w:tcPr>
          <w:p>
            <w:pPr>
              <w:spacing w:after="0"/>
              <w:rPr>
                <w:sz w:val="23"/>
                <w:szCs w:val="23"/>
                <w:color w:val="auto"/>
              </w:rPr>
            </w:pPr>
          </w:p>
        </w:tc>
        <w:tc>
          <w:tcPr>
            <w:tcW w:w="1080" w:type="dxa"/>
            <w:vAlign w:val="bottom"/>
            <w:shd w:val="clear" w:color="auto" w:fill="EFE9FC"/>
          </w:tcPr>
          <w:p>
            <w:pPr>
              <w:jc w:val="right"/>
              <w:ind w:right="31"/>
              <w:spacing w:after="0"/>
              <w:rPr>
                <w:sz w:val="20"/>
                <w:szCs w:val="20"/>
                <w:color w:val="auto"/>
              </w:rPr>
            </w:pPr>
            <w:r>
              <w:rPr>
                <w:rFonts w:ascii="Arial" w:cs="Arial" w:eastAsia="Arial" w:hAnsi="Arial"/>
                <w:sz w:val="14"/>
                <w:szCs w:val="14"/>
                <w:color w:val="auto"/>
              </w:rPr>
              <w:t>1,928</w:t>
            </w:r>
            <w:r>
              <w:rPr>
                <w:rFonts w:ascii="Arial" w:cs="Arial" w:eastAsia="Arial" w:hAnsi="Arial"/>
                <w:sz w:val="21"/>
                <w:szCs w:val="21"/>
                <w:color w:val="auto"/>
                <w:vertAlign w:val="superscript"/>
              </w:rPr>
              <w:t>(9)</w:t>
            </w:r>
          </w:p>
        </w:tc>
        <w:tc>
          <w:tcPr>
            <w:tcW w:w="860" w:type="dxa"/>
            <w:vAlign w:val="bottom"/>
            <w:shd w:val="clear" w:color="auto" w:fill="EFE9FC"/>
          </w:tcPr>
          <w:p>
            <w:pPr>
              <w:jc w:val="right"/>
              <w:ind w:right="11"/>
              <w:spacing w:after="0"/>
              <w:rPr>
                <w:sz w:val="20"/>
                <w:szCs w:val="20"/>
                <w:color w:val="auto"/>
              </w:rPr>
            </w:pPr>
            <w:r>
              <w:rPr>
                <w:rFonts w:ascii="Arial" w:cs="Arial" w:eastAsia="Arial" w:hAnsi="Arial"/>
                <w:sz w:val="14"/>
                <w:szCs w:val="14"/>
                <w:color w:val="auto"/>
              </w:rPr>
              <w:t>145,429</w:t>
            </w:r>
          </w:p>
        </w:tc>
        <w:tc>
          <w:tcPr>
            <w:tcW w:w="1020" w:type="dxa"/>
            <w:vAlign w:val="bottom"/>
            <w:shd w:val="clear" w:color="auto" w:fill="EFE9FC"/>
          </w:tcPr>
          <w:p>
            <w:pPr>
              <w:spacing w:after="0"/>
              <w:rPr>
                <w:sz w:val="23"/>
                <w:szCs w:val="23"/>
                <w:color w:val="auto"/>
              </w:rPr>
            </w:pPr>
          </w:p>
        </w:tc>
        <w:tc>
          <w:tcPr>
            <w:tcW w:w="120" w:type="dxa"/>
            <w:vAlign w:val="bottom"/>
            <w:shd w:val="clear" w:color="auto" w:fill="EFE9FC"/>
          </w:tcPr>
          <w:p>
            <w:pPr>
              <w:spacing w:after="0"/>
              <w:rPr>
                <w:sz w:val="23"/>
                <w:szCs w:val="23"/>
                <w:color w:val="auto"/>
              </w:rPr>
            </w:pPr>
          </w:p>
        </w:tc>
        <w:tc>
          <w:tcPr>
            <w:tcW w:w="900" w:type="dxa"/>
            <w:vAlign w:val="bottom"/>
            <w:shd w:val="clear" w:color="auto" w:fill="EFE9FC"/>
          </w:tcPr>
          <w:p>
            <w:pPr>
              <w:spacing w:after="0"/>
              <w:rPr>
                <w:sz w:val="23"/>
                <w:szCs w:val="23"/>
                <w:color w:val="auto"/>
              </w:rPr>
            </w:pPr>
          </w:p>
        </w:tc>
        <w:tc>
          <w:tcPr>
            <w:tcW w:w="0" w:type="dxa"/>
            <w:vAlign w:val="bottom"/>
          </w:tcPr>
          <w:p>
            <w:pPr>
              <w:spacing w:after="0"/>
              <w:rPr>
                <w:sz w:val="1"/>
                <w:szCs w:val="1"/>
                <w:color w:val="auto"/>
              </w:rPr>
            </w:pPr>
          </w:p>
        </w:tc>
      </w:tr>
    </w:tbl>
    <w:p>
      <w:pPr>
        <w:spacing w:after="0" w:line="10" w:lineRule="exact"/>
        <w:rPr>
          <w:sz w:val="20"/>
          <w:szCs w:val="20"/>
          <w:color w:val="auto"/>
        </w:rPr>
      </w:pPr>
    </w:p>
    <w:p>
      <w:pPr>
        <w:ind w:left="8480"/>
        <w:spacing w:after="0"/>
        <w:tabs>
          <w:tab w:leader="none" w:pos="9360" w:val="left"/>
        </w:tabs>
        <w:rPr>
          <w:sz w:val="20"/>
          <w:szCs w:val="20"/>
          <w:color w:val="auto"/>
        </w:rPr>
      </w:pPr>
      <w:r>
        <w:rPr>
          <w:rFonts w:ascii="Arial" w:cs="Arial" w:eastAsia="Arial" w:hAnsi="Arial"/>
          <w:sz w:val="14"/>
          <w:szCs w:val="14"/>
          <w:color w:val="auto"/>
        </w:rPr>
        <w:t>2,121</w:t>
      </w:r>
      <w:r>
        <w:rPr>
          <w:rFonts w:ascii="Arial" w:cs="Arial" w:eastAsia="Arial" w:hAnsi="Arial"/>
          <w:sz w:val="21"/>
          <w:szCs w:val="21"/>
          <w:color w:val="auto"/>
          <w:vertAlign w:val="superscript"/>
        </w:rPr>
        <w:t>(10)</w:t>
      </w:r>
      <w:r>
        <w:rPr>
          <w:sz w:val="20"/>
          <w:szCs w:val="20"/>
          <w:color w:val="auto"/>
        </w:rPr>
        <w:tab/>
      </w:r>
      <w:r>
        <w:rPr>
          <w:rFonts w:ascii="Arial" w:cs="Arial" w:eastAsia="Arial" w:hAnsi="Arial"/>
          <w:sz w:val="14"/>
          <w:szCs w:val="14"/>
          <w:color w:val="auto"/>
        </w:rPr>
        <w:t>159,987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1367790</wp:posOffset>
            </wp:positionH>
            <wp:positionV relativeFrom="paragraph">
              <wp:posOffset>-5080</wp:posOffset>
            </wp:positionV>
            <wp:extent cx="4946015" cy="162560"/>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34">
                      <a:extLst>
                        <a:ext uri="{28A0092B-C50C-407E-A947-70E740481C1C}"/>
                      </a:extLst>
                    </a:blip>
                    <a:srcRect/>
                    <a:stretch>
                      <a:fillRect/>
                    </a:stretch>
                  </pic:blipFill>
                  <pic:spPr bwMode="auto">
                    <a:xfrm>
                      <a:off x="0" y="0"/>
                      <a:ext cx="4946015" cy="162560"/>
                    </a:xfrm>
                    <a:prstGeom prst="rect">
                      <a:avLst/>
                    </a:prstGeom>
                    <a:noFill/>
                  </pic:spPr>
                </pic:pic>
              </a:graphicData>
            </a:graphic>
          </wp:anchor>
        </w:drawing>
      </w:r>
    </w:p>
    <w:p>
      <w:pPr>
        <w:ind w:left="8480"/>
        <w:spacing w:after="0"/>
        <w:tabs>
          <w:tab w:leader="none" w:pos="9360" w:val="left"/>
        </w:tabs>
        <w:rPr>
          <w:sz w:val="20"/>
          <w:szCs w:val="20"/>
          <w:color w:val="auto"/>
        </w:rPr>
      </w:pPr>
      <w:r>
        <w:rPr>
          <w:rFonts w:ascii="Arial" w:cs="Arial" w:eastAsia="Arial" w:hAnsi="Arial"/>
          <w:sz w:val="14"/>
          <w:szCs w:val="14"/>
          <w:color w:val="auto"/>
        </w:rPr>
        <w:t>2,121</w:t>
      </w:r>
      <w:r>
        <w:rPr>
          <w:rFonts w:ascii="Arial" w:cs="Arial" w:eastAsia="Arial" w:hAnsi="Arial"/>
          <w:sz w:val="21"/>
          <w:szCs w:val="21"/>
          <w:color w:val="auto"/>
          <w:vertAlign w:val="superscript"/>
        </w:rPr>
        <w:t>(11)</w:t>
      </w:r>
      <w:r>
        <w:rPr>
          <w:sz w:val="20"/>
          <w:szCs w:val="20"/>
          <w:color w:val="auto"/>
        </w:rPr>
        <w:tab/>
      </w:r>
      <w:r>
        <w:rPr>
          <w:rFonts w:ascii="Arial" w:cs="Arial" w:eastAsia="Arial" w:hAnsi="Arial"/>
          <w:sz w:val="14"/>
          <w:szCs w:val="14"/>
          <w:color w:val="auto"/>
        </w:rPr>
        <w:t>159,987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1367790</wp:posOffset>
            </wp:positionH>
            <wp:positionV relativeFrom="paragraph">
              <wp:posOffset>-5080</wp:posOffset>
            </wp:positionV>
            <wp:extent cx="4946015" cy="8890"/>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35">
                      <a:extLst>
                        <a:ext uri="{28A0092B-C50C-407E-A947-70E740481C1C}"/>
                      </a:extLst>
                    </a:blip>
                    <a:srcRect/>
                    <a:stretch>
                      <a:fillRect/>
                    </a:stretch>
                  </pic:blipFill>
                  <pic:spPr bwMode="auto">
                    <a:xfrm>
                      <a:off x="0" y="0"/>
                      <a:ext cx="4946015" cy="8890"/>
                    </a:xfrm>
                    <a:prstGeom prst="rect">
                      <a:avLst/>
                    </a:prstGeom>
                    <a:noFill/>
                  </pic:spPr>
                </pic:pic>
              </a:graphicData>
            </a:graphic>
          </wp:anchor>
        </w:drawing>
      </w:r>
    </w:p>
    <w:p>
      <w:pPr>
        <w:ind w:left="8480"/>
        <w:spacing w:after="0"/>
        <w:tabs>
          <w:tab w:leader="none" w:pos="9360" w:val="left"/>
        </w:tabs>
        <w:rPr>
          <w:sz w:val="20"/>
          <w:szCs w:val="20"/>
          <w:color w:val="auto"/>
        </w:rPr>
      </w:pPr>
      <w:r>
        <w:rPr>
          <w:rFonts w:ascii="Arial" w:cs="Arial" w:eastAsia="Arial" w:hAnsi="Arial"/>
          <w:sz w:val="14"/>
          <w:szCs w:val="14"/>
          <w:color w:val="auto"/>
        </w:rPr>
        <w:t>1,928</w:t>
      </w:r>
      <w:r>
        <w:rPr>
          <w:rFonts w:ascii="Arial" w:cs="Arial" w:eastAsia="Arial" w:hAnsi="Arial"/>
          <w:sz w:val="21"/>
          <w:szCs w:val="21"/>
          <w:color w:val="auto"/>
          <w:vertAlign w:val="superscript"/>
        </w:rPr>
        <w:t>(12)</w:t>
      </w:r>
      <w:r>
        <w:rPr>
          <w:sz w:val="20"/>
          <w:szCs w:val="20"/>
          <w:color w:val="auto"/>
        </w:rPr>
        <w:tab/>
      </w:r>
      <w:r>
        <w:rPr>
          <w:rFonts w:ascii="Arial" w:cs="Arial" w:eastAsia="Arial" w:hAnsi="Arial"/>
          <w:sz w:val="14"/>
          <w:szCs w:val="14"/>
          <w:color w:val="auto"/>
        </w:rPr>
        <w:t>145,429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1367790</wp:posOffset>
            </wp:positionH>
            <wp:positionV relativeFrom="paragraph">
              <wp:posOffset>-5080</wp:posOffset>
            </wp:positionV>
            <wp:extent cx="4946015" cy="257175"/>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36">
                      <a:extLst>
                        <a:ext uri="{28A0092B-C50C-407E-A947-70E740481C1C}"/>
                      </a:extLst>
                    </a:blip>
                    <a:srcRect/>
                    <a:stretch>
                      <a:fillRect/>
                    </a:stretch>
                  </pic:blipFill>
                  <pic:spPr bwMode="auto">
                    <a:xfrm>
                      <a:off x="0" y="0"/>
                      <a:ext cx="4946015" cy="257175"/>
                    </a:xfrm>
                    <a:prstGeom prst="rect">
                      <a:avLst/>
                    </a:prstGeom>
                    <a:noFill/>
                  </pic:spPr>
                </pic:pic>
              </a:graphicData>
            </a:graphic>
          </wp:anchor>
        </w:drawing>
      </w:r>
    </w:p>
    <w:p>
      <w:pPr>
        <w:ind w:left="8480"/>
        <w:spacing w:after="0"/>
        <w:tabs>
          <w:tab w:leader="none" w:pos="9360" w:val="left"/>
        </w:tabs>
        <w:rPr>
          <w:sz w:val="20"/>
          <w:szCs w:val="20"/>
          <w:color w:val="auto"/>
        </w:rPr>
      </w:pPr>
      <w:r>
        <w:rPr>
          <w:rFonts w:ascii="Arial" w:cs="Arial" w:eastAsia="Arial" w:hAnsi="Arial"/>
          <w:sz w:val="14"/>
          <w:szCs w:val="14"/>
          <w:color w:val="auto"/>
        </w:rPr>
        <w:t>1,928</w:t>
      </w:r>
      <w:r>
        <w:rPr>
          <w:rFonts w:ascii="Arial" w:cs="Arial" w:eastAsia="Arial" w:hAnsi="Arial"/>
          <w:sz w:val="21"/>
          <w:szCs w:val="21"/>
          <w:color w:val="auto"/>
          <w:vertAlign w:val="superscript"/>
        </w:rPr>
        <w:t>(13)</w:t>
      </w:r>
      <w:r>
        <w:rPr>
          <w:sz w:val="20"/>
          <w:szCs w:val="20"/>
          <w:color w:val="auto"/>
        </w:rPr>
        <w:tab/>
      </w:r>
      <w:r>
        <w:rPr>
          <w:rFonts w:ascii="Arial" w:cs="Arial" w:eastAsia="Arial" w:hAnsi="Arial"/>
          <w:sz w:val="14"/>
          <w:szCs w:val="14"/>
          <w:color w:val="auto"/>
        </w:rPr>
        <w:t>145,429</w:t>
      </w:r>
    </w:p>
    <w:p>
      <w:pPr>
        <w:spacing w:after="0" w:line="139" w:lineRule="exact"/>
        <w:rPr>
          <w:sz w:val="20"/>
          <w:szCs w:val="20"/>
          <w:color w:val="auto"/>
        </w:rPr>
      </w:pPr>
    </w:p>
    <w:p>
      <w:pPr>
        <w:ind w:left="1040" w:right="319" w:hanging="276"/>
        <w:spacing w:after="0" w:line="260" w:lineRule="auto"/>
        <w:tabs>
          <w:tab w:leader="none" w:pos="1040" w:val="left"/>
        </w:tabs>
        <w:numPr>
          <w:ilvl w:val="0"/>
          <w:numId w:val="66"/>
        </w:numPr>
        <w:rPr>
          <w:rFonts w:ascii="Arial" w:cs="Arial" w:eastAsia="Arial" w:hAnsi="Arial"/>
          <w:sz w:val="13"/>
          <w:szCs w:val="13"/>
          <w:i w:val="1"/>
          <w:iCs w:val="1"/>
          <w:color w:val="auto"/>
        </w:rPr>
      </w:pPr>
      <w:r>
        <w:rPr>
          <w:rFonts w:ascii="Arial" w:cs="Arial" w:eastAsia="Arial" w:hAnsi="Arial"/>
          <w:sz w:val="13"/>
          <w:szCs w:val="13"/>
          <w:i w:val="1"/>
          <w:iCs w:val="1"/>
          <w:color w:val="auto"/>
        </w:rPr>
        <w:t>This column reflects SARs that are exercisable. The terms of the SARs stipulate that they may be exercised up to three months after a termination and in no event (even with continued employment) after the expiration date.</w:t>
      </w:r>
    </w:p>
    <w:p>
      <w:pPr>
        <w:ind w:left="1040" w:right="499" w:hanging="276"/>
        <w:spacing w:after="0" w:line="260" w:lineRule="auto"/>
        <w:tabs>
          <w:tab w:leader="none" w:pos="1040" w:val="left"/>
        </w:tabs>
        <w:numPr>
          <w:ilvl w:val="0"/>
          <w:numId w:val="66"/>
        </w:numPr>
        <w:rPr>
          <w:rFonts w:ascii="Arial" w:cs="Arial" w:eastAsia="Arial" w:hAnsi="Arial"/>
          <w:sz w:val="13"/>
          <w:szCs w:val="13"/>
          <w:i w:val="1"/>
          <w:iCs w:val="1"/>
          <w:color w:val="auto"/>
        </w:rPr>
      </w:pPr>
      <w:r>
        <w:rPr>
          <w:rFonts w:ascii="Arial" w:cs="Arial" w:eastAsia="Arial" w:hAnsi="Arial"/>
          <w:sz w:val="13"/>
          <w:szCs w:val="13"/>
          <w:i w:val="1"/>
          <w:iCs w:val="1"/>
          <w:color w:val="auto"/>
        </w:rPr>
        <w:t>This column reflects SARs that are not yet exercisable as they have not yet vested. The SARs were granted with a vesting schedule over four years (25% per year.)</w:t>
      </w:r>
    </w:p>
    <w:p>
      <w:pPr>
        <w:ind w:left="1040" w:hanging="276"/>
        <w:spacing w:after="0"/>
        <w:tabs>
          <w:tab w:leader="none" w:pos="1040" w:val="left"/>
        </w:tabs>
        <w:numPr>
          <w:ilvl w:val="0"/>
          <w:numId w:val="66"/>
        </w:numPr>
        <w:rPr>
          <w:rFonts w:ascii="Arial" w:cs="Arial" w:eastAsia="Arial" w:hAnsi="Arial"/>
          <w:sz w:val="13"/>
          <w:szCs w:val="13"/>
          <w:i w:val="1"/>
          <w:iCs w:val="1"/>
          <w:color w:val="auto"/>
        </w:rPr>
      </w:pPr>
      <w:r>
        <w:rPr>
          <w:rFonts w:ascii="Arial" w:cs="Arial" w:eastAsia="Arial" w:hAnsi="Arial"/>
          <w:sz w:val="13"/>
          <w:szCs w:val="13"/>
          <w:i w:val="1"/>
          <w:iCs w:val="1"/>
          <w:color w:val="auto"/>
        </w:rPr>
        <w:t>This column reflects RSUs that have not vested. All RSUs vest 25% per year on each of the first four anniversaries of the grant date.</w:t>
      </w:r>
    </w:p>
    <w:p>
      <w:pPr>
        <w:spacing w:after="0" w:line="25" w:lineRule="exact"/>
        <w:rPr>
          <w:rFonts w:ascii="Arial" w:cs="Arial" w:eastAsia="Arial" w:hAnsi="Arial"/>
          <w:sz w:val="13"/>
          <w:szCs w:val="13"/>
          <w:i w:val="1"/>
          <w:iCs w:val="1"/>
          <w:color w:val="auto"/>
        </w:rPr>
      </w:pPr>
    </w:p>
    <w:p>
      <w:pPr>
        <w:ind w:left="1040" w:right="239" w:hanging="276"/>
        <w:spacing w:after="0" w:line="249" w:lineRule="auto"/>
        <w:tabs>
          <w:tab w:leader="none" w:pos="1040" w:val="left"/>
        </w:tabs>
        <w:numPr>
          <w:ilvl w:val="0"/>
          <w:numId w:val="66"/>
        </w:numPr>
        <w:rPr>
          <w:rFonts w:ascii="Arial" w:cs="Arial" w:eastAsia="Arial" w:hAnsi="Arial"/>
          <w:sz w:val="13"/>
          <w:szCs w:val="13"/>
          <w:i w:val="1"/>
          <w:iCs w:val="1"/>
          <w:color w:val="auto"/>
        </w:rPr>
      </w:pPr>
      <w:r>
        <w:rPr>
          <w:rFonts w:ascii="Arial" w:cs="Arial" w:eastAsia="Arial" w:hAnsi="Arial"/>
          <w:sz w:val="13"/>
          <w:szCs w:val="13"/>
          <w:i w:val="1"/>
          <w:iCs w:val="1"/>
          <w:color w:val="auto"/>
        </w:rPr>
        <w:t>Amounts reflect the market value of the outstanding RSUs. Amounts calculated using the closing price of our ordinary shares on December 31, 2019, or $75.43, multiplied by the number of units that have not yet vested.</w:t>
      </w:r>
    </w:p>
    <w:p>
      <w:pPr>
        <w:ind w:left="1040" w:hanging="276"/>
        <w:spacing w:after="0"/>
        <w:tabs>
          <w:tab w:leader="none" w:pos="1040" w:val="left"/>
        </w:tabs>
        <w:numPr>
          <w:ilvl w:val="0"/>
          <w:numId w:val="66"/>
        </w:numPr>
        <w:rPr>
          <w:rFonts w:ascii="Arial" w:cs="Arial" w:eastAsia="Arial" w:hAnsi="Arial"/>
          <w:sz w:val="13"/>
          <w:szCs w:val="13"/>
          <w:i w:val="1"/>
          <w:iCs w:val="1"/>
          <w:color w:val="auto"/>
        </w:rPr>
      </w:pPr>
      <w:r>
        <w:rPr>
          <w:rFonts w:ascii="Arial" w:cs="Arial" w:eastAsia="Arial" w:hAnsi="Arial"/>
          <w:sz w:val="13"/>
          <w:szCs w:val="13"/>
          <w:i w:val="1"/>
          <w:iCs w:val="1"/>
          <w:color w:val="auto"/>
        </w:rPr>
        <w:t>Represents RSUs granted on November 4, 2016.</w:t>
      </w:r>
    </w:p>
    <w:p>
      <w:pPr>
        <w:spacing w:after="0" w:line="26" w:lineRule="exact"/>
        <w:rPr>
          <w:rFonts w:ascii="Arial" w:cs="Arial" w:eastAsia="Arial" w:hAnsi="Arial"/>
          <w:sz w:val="13"/>
          <w:szCs w:val="13"/>
          <w:i w:val="1"/>
          <w:iCs w:val="1"/>
          <w:color w:val="auto"/>
        </w:rPr>
      </w:pPr>
    </w:p>
    <w:p>
      <w:pPr>
        <w:ind w:left="1040" w:right="399" w:hanging="276"/>
        <w:spacing w:after="0" w:line="260" w:lineRule="auto"/>
        <w:tabs>
          <w:tab w:leader="none" w:pos="1040" w:val="left"/>
        </w:tabs>
        <w:numPr>
          <w:ilvl w:val="0"/>
          <w:numId w:val="66"/>
        </w:numPr>
        <w:rPr>
          <w:rFonts w:ascii="Arial" w:cs="Arial" w:eastAsia="Arial" w:hAnsi="Arial"/>
          <w:sz w:val="13"/>
          <w:szCs w:val="13"/>
          <w:i w:val="1"/>
          <w:iCs w:val="1"/>
          <w:color w:val="auto"/>
        </w:rPr>
      </w:pPr>
      <w:r>
        <w:rPr>
          <w:rFonts w:ascii="Arial" w:cs="Arial" w:eastAsia="Arial" w:hAnsi="Arial"/>
          <w:sz w:val="13"/>
          <w:szCs w:val="13"/>
          <w:i w:val="1"/>
          <w:iCs w:val="1"/>
          <w:color w:val="auto"/>
        </w:rPr>
        <w:t>Represents PSUs granted on May 5, 2017. These PSUs had a market factor that was met on March 1, 2018, therefore the remaining shares are now service based. These PSUs vest 25% per year on each anniversary date of March 1, 2018.</w:t>
      </w:r>
    </w:p>
    <w:p>
      <w:pPr>
        <w:ind w:left="1040" w:hanging="276"/>
        <w:spacing w:after="0"/>
        <w:tabs>
          <w:tab w:leader="none" w:pos="1040" w:val="left"/>
        </w:tabs>
        <w:numPr>
          <w:ilvl w:val="0"/>
          <w:numId w:val="66"/>
        </w:numPr>
        <w:rPr>
          <w:rFonts w:ascii="Arial" w:cs="Arial" w:eastAsia="Arial" w:hAnsi="Arial"/>
          <w:sz w:val="13"/>
          <w:szCs w:val="13"/>
          <w:i w:val="1"/>
          <w:iCs w:val="1"/>
          <w:color w:val="auto"/>
        </w:rPr>
      </w:pPr>
      <w:r>
        <w:rPr>
          <w:rFonts w:ascii="Arial" w:cs="Arial" w:eastAsia="Arial" w:hAnsi="Arial"/>
          <w:sz w:val="13"/>
          <w:szCs w:val="13"/>
          <w:i w:val="1"/>
          <w:iCs w:val="1"/>
          <w:color w:val="auto"/>
        </w:rPr>
        <w:t>Represents service based RSUs granted on May 5, 2017.</w:t>
      </w:r>
    </w:p>
    <w:p>
      <w:pPr>
        <w:spacing w:after="0" w:line="25" w:lineRule="exact"/>
        <w:rPr>
          <w:rFonts w:ascii="Arial" w:cs="Arial" w:eastAsia="Arial" w:hAnsi="Arial"/>
          <w:sz w:val="13"/>
          <w:szCs w:val="13"/>
          <w:i w:val="1"/>
          <w:iCs w:val="1"/>
          <w:color w:val="auto"/>
        </w:rPr>
      </w:pPr>
    </w:p>
    <w:p>
      <w:pPr>
        <w:ind w:left="1040" w:hanging="276"/>
        <w:spacing w:after="0"/>
        <w:tabs>
          <w:tab w:leader="none" w:pos="1040" w:val="left"/>
        </w:tabs>
        <w:numPr>
          <w:ilvl w:val="0"/>
          <w:numId w:val="66"/>
        </w:numPr>
        <w:rPr>
          <w:rFonts w:ascii="Arial" w:cs="Arial" w:eastAsia="Arial" w:hAnsi="Arial"/>
          <w:sz w:val="13"/>
          <w:szCs w:val="13"/>
          <w:i w:val="1"/>
          <w:iCs w:val="1"/>
          <w:color w:val="auto"/>
        </w:rPr>
      </w:pPr>
      <w:r>
        <w:rPr>
          <w:rFonts w:ascii="Arial" w:cs="Arial" w:eastAsia="Arial" w:hAnsi="Arial"/>
          <w:sz w:val="13"/>
          <w:szCs w:val="13"/>
          <w:i w:val="1"/>
          <w:iCs w:val="1"/>
          <w:color w:val="auto"/>
        </w:rPr>
        <w:t>Represents service based RSUs granted on March 15, 2018.</w:t>
      </w:r>
    </w:p>
    <w:p>
      <w:pPr>
        <w:spacing w:after="0" w:line="12" w:lineRule="exact"/>
        <w:rPr>
          <w:rFonts w:ascii="Arial" w:cs="Arial" w:eastAsia="Arial" w:hAnsi="Arial"/>
          <w:sz w:val="13"/>
          <w:szCs w:val="13"/>
          <w:i w:val="1"/>
          <w:iCs w:val="1"/>
          <w:color w:val="auto"/>
        </w:rPr>
      </w:pPr>
    </w:p>
    <w:p>
      <w:pPr>
        <w:ind w:left="1040" w:hanging="276"/>
        <w:spacing w:after="0"/>
        <w:tabs>
          <w:tab w:leader="none" w:pos="1040" w:val="left"/>
        </w:tabs>
        <w:numPr>
          <w:ilvl w:val="0"/>
          <w:numId w:val="66"/>
        </w:numPr>
        <w:rPr>
          <w:rFonts w:ascii="Arial" w:cs="Arial" w:eastAsia="Arial" w:hAnsi="Arial"/>
          <w:sz w:val="13"/>
          <w:szCs w:val="13"/>
          <w:i w:val="1"/>
          <w:iCs w:val="1"/>
          <w:color w:val="auto"/>
        </w:rPr>
      </w:pPr>
      <w:r>
        <w:rPr>
          <w:rFonts w:ascii="Arial" w:cs="Arial" w:eastAsia="Arial" w:hAnsi="Arial"/>
          <w:sz w:val="13"/>
          <w:szCs w:val="13"/>
          <w:i w:val="1"/>
          <w:iCs w:val="1"/>
          <w:color w:val="auto"/>
        </w:rPr>
        <w:t>Represents service based RSUs granted on March 30, 2019.</w:t>
      </w:r>
    </w:p>
    <w:p>
      <w:pPr>
        <w:spacing w:after="0" w:line="26" w:lineRule="exact"/>
        <w:rPr>
          <w:rFonts w:ascii="Arial" w:cs="Arial" w:eastAsia="Arial" w:hAnsi="Arial"/>
          <w:sz w:val="13"/>
          <w:szCs w:val="13"/>
          <w:i w:val="1"/>
          <w:iCs w:val="1"/>
          <w:color w:val="auto"/>
        </w:rPr>
      </w:pPr>
    </w:p>
    <w:p>
      <w:pPr>
        <w:ind w:left="1040" w:right="419" w:hanging="276"/>
        <w:spacing w:after="0" w:line="259" w:lineRule="auto"/>
        <w:tabs>
          <w:tab w:leader="none" w:pos="1040" w:val="left"/>
        </w:tabs>
        <w:numPr>
          <w:ilvl w:val="0"/>
          <w:numId w:val="66"/>
        </w:numPr>
        <w:rPr>
          <w:rFonts w:ascii="Arial" w:cs="Arial" w:eastAsia="Arial" w:hAnsi="Arial"/>
          <w:sz w:val="13"/>
          <w:szCs w:val="13"/>
          <w:i w:val="1"/>
          <w:iCs w:val="1"/>
          <w:color w:val="auto"/>
        </w:rPr>
      </w:pPr>
      <w:r>
        <w:rPr>
          <w:rFonts w:ascii="Arial" w:cs="Arial" w:eastAsia="Arial" w:hAnsi="Arial"/>
          <w:sz w:val="13"/>
          <w:szCs w:val="13"/>
          <w:i w:val="1"/>
          <w:iCs w:val="1"/>
          <w:color w:val="auto"/>
        </w:rPr>
        <w:t>Represents PSUs granted on March 15, 2018. These PSUs are subject to achievement of a three-year cumulative adjusted free cash flow target (the “FCF Target”). This award has a three-year cliff vesting schedule.</w:t>
      </w:r>
    </w:p>
    <w:p>
      <w:pPr>
        <w:spacing w:after="0" w:line="1" w:lineRule="exact"/>
        <w:rPr>
          <w:rFonts w:ascii="Arial" w:cs="Arial" w:eastAsia="Arial" w:hAnsi="Arial"/>
          <w:sz w:val="13"/>
          <w:szCs w:val="13"/>
          <w:i w:val="1"/>
          <w:iCs w:val="1"/>
          <w:color w:val="auto"/>
        </w:rPr>
      </w:pPr>
    </w:p>
    <w:p>
      <w:pPr>
        <w:ind w:left="1040" w:right="559" w:hanging="276"/>
        <w:spacing w:after="0" w:line="249" w:lineRule="auto"/>
        <w:tabs>
          <w:tab w:leader="none" w:pos="1040" w:val="left"/>
        </w:tabs>
        <w:numPr>
          <w:ilvl w:val="0"/>
          <w:numId w:val="66"/>
        </w:numPr>
        <w:rPr>
          <w:rFonts w:ascii="Arial" w:cs="Arial" w:eastAsia="Arial" w:hAnsi="Arial"/>
          <w:sz w:val="13"/>
          <w:szCs w:val="13"/>
          <w:i w:val="1"/>
          <w:iCs w:val="1"/>
          <w:color w:val="auto"/>
        </w:rPr>
      </w:pPr>
      <w:r>
        <w:rPr>
          <w:rFonts w:ascii="Arial" w:cs="Arial" w:eastAsia="Arial" w:hAnsi="Arial"/>
          <w:sz w:val="13"/>
          <w:szCs w:val="13"/>
          <w:i w:val="1"/>
          <w:iCs w:val="1"/>
          <w:color w:val="auto"/>
        </w:rPr>
        <w:t>Represents PSUs granted on March 15, 2018. These PSUs are subject to a performance or market condition based on a relative total shareholder return (rTSR). This award has a three-year cliff vesting schedule.</w:t>
      </w:r>
    </w:p>
    <w:p>
      <w:pPr>
        <w:ind w:left="1040" w:right="419" w:hanging="276"/>
        <w:spacing w:after="0" w:line="260" w:lineRule="auto"/>
        <w:tabs>
          <w:tab w:leader="none" w:pos="1040" w:val="left"/>
        </w:tabs>
        <w:numPr>
          <w:ilvl w:val="0"/>
          <w:numId w:val="66"/>
        </w:numPr>
        <w:rPr>
          <w:rFonts w:ascii="Arial" w:cs="Arial" w:eastAsia="Arial" w:hAnsi="Arial"/>
          <w:sz w:val="13"/>
          <w:szCs w:val="13"/>
          <w:i w:val="1"/>
          <w:iCs w:val="1"/>
          <w:color w:val="auto"/>
        </w:rPr>
      </w:pPr>
      <w:r>
        <w:rPr>
          <w:rFonts w:ascii="Arial" w:cs="Arial" w:eastAsia="Arial" w:hAnsi="Arial"/>
          <w:sz w:val="13"/>
          <w:szCs w:val="13"/>
          <w:i w:val="1"/>
          <w:iCs w:val="1"/>
          <w:color w:val="auto"/>
        </w:rPr>
        <w:t>Represents PSUs granted on March 30, 2019. These PSUs are subject to achievement of a three-year cumulative adjusted free cash flow target (the “FCF Target”). This award has a three-year cliff vesting schedule.</w:t>
      </w:r>
    </w:p>
    <w:p>
      <w:pPr>
        <w:ind w:left="1040" w:right="559" w:hanging="276"/>
        <w:spacing w:after="0" w:line="260" w:lineRule="auto"/>
        <w:tabs>
          <w:tab w:leader="none" w:pos="1040" w:val="left"/>
        </w:tabs>
        <w:numPr>
          <w:ilvl w:val="0"/>
          <w:numId w:val="66"/>
        </w:numPr>
        <w:rPr>
          <w:rFonts w:ascii="Arial" w:cs="Arial" w:eastAsia="Arial" w:hAnsi="Arial"/>
          <w:sz w:val="13"/>
          <w:szCs w:val="13"/>
          <w:i w:val="1"/>
          <w:iCs w:val="1"/>
          <w:color w:val="auto"/>
        </w:rPr>
      </w:pPr>
      <w:r>
        <w:rPr>
          <w:rFonts w:ascii="Arial" w:cs="Arial" w:eastAsia="Arial" w:hAnsi="Arial"/>
          <w:sz w:val="13"/>
          <w:szCs w:val="13"/>
          <w:i w:val="1"/>
          <w:iCs w:val="1"/>
          <w:color w:val="auto"/>
        </w:rPr>
        <w:t>Represents PSUs granted on March 30, 2019. These PSUs are subject to a performance or market condition based on a relative total shareholder return (rTSR). This award has a three-year cliff vesting schedule.</w:t>
      </w:r>
    </w:p>
    <w:p>
      <w:pPr>
        <w:ind w:left="1040" w:hanging="276"/>
        <w:spacing w:after="0"/>
        <w:tabs>
          <w:tab w:leader="none" w:pos="1040" w:val="left"/>
        </w:tabs>
        <w:numPr>
          <w:ilvl w:val="0"/>
          <w:numId w:val="66"/>
        </w:numPr>
        <w:rPr>
          <w:rFonts w:ascii="Arial" w:cs="Arial" w:eastAsia="Arial" w:hAnsi="Arial"/>
          <w:sz w:val="13"/>
          <w:szCs w:val="13"/>
          <w:i w:val="1"/>
          <w:iCs w:val="1"/>
          <w:color w:val="auto"/>
        </w:rPr>
      </w:pPr>
      <w:r>
        <w:rPr>
          <w:rFonts w:ascii="Arial" w:cs="Arial" w:eastAsia="Arial" w:hAnsi="Arial"/>
          <w:sz w:val="13"/>
          <w:szCs w:val="13"/>
          <w:i w:val="1"/>
          <w:iCs w:val="1"/>
          <w:color w:val="auto"/>
        </w:rPr>
        <w:t>Represents service based RSUs granted on May 20, 2017.</w:t>
      </w:r>
    </w:p>
    <w:p>
      <w:pPr>
        <w:spacing w:after="0" w:line="25" w:lineRule="exact"/>
        <w:rPr>
          <w:rFonts w:ascii="Arial" w:cs="Arial" w:eastAsia="Arial" w:hAnsi="Arial"/>
          <w:sz w:val="13"/>
          <w:szCs w:val="13"/>
          <w:i w:val="1"/>
          <w:iCs w:val="1"/>
          <w:color w:val="auto"/>
        </w:rPr>
      </w:pPr>
    </w:p>
    <w:p>
      <w:pPr>
        <w:ind w:left="1040" w:right="399" w:hanging="276"/>
        <w:spacing w:after="0" w:line="258" w:lineRule="auto"/>
        <w:tabs>
          <w:tab w:leader="none" w:pos="1040" w:val="left"/>
        </w:tabs>
        <w:numPr>
          <w:ilvl w:val="0"/>
          <w:numId w:val="66"/>
        </w:numPr>
        <w:rPr>
          <w:rFonts w:ascii="Arial" w:cs="Arial" w:eastAsia="Arial" w:hAnsi="Arial"/>
          <w:sz w:val="13"/>
          <w:szCs w:val="13"/>
          <w:i w:val="1"/>
          <w:iCs w:val="1"/>
          <w:color w:val="auto"/>
        </w:rPr>
      </w:pPr>
      <w:r>
        <w:rPr>
          <w:rFonts w:ascii="Arial" w:cs="Arial" w:eastAsia="Arial" w:hAnsi="Arial"/>
          <w:sz w:val="13"/>
          <w:szCs w:val="13"/>
          <w:i w:val="1"/>
          <w:iCs w:val="1"/>
          <w:color w:val="auto"/>
        </w:rPr>
        <w:t>Represents service based RSUs granted on May 20, 2017. These RSUs had a market factor that was met on March 1, 2018, therefore the remaining shares are now service based.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485140</wp:posOffset>
            </wp:positionH>
            <wp:positionV relativeFrom="paragraph">
              <wp:posOffset>-2491740</wp:posOffset>
            </wp:positionV>
            <wp:extent cx="5829300" cy="8255"/>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37">
                      <a:extLst>
                        <a:ext uri="{28A0092B-C50C-407E-A947-70E740481C1C}"/>
                      </a:extLst>
                    </a:blip>
                    <a:srcRect/>
                    <a:stretch>
                      <a:fillRect/>
                    </a:stretch>
                  </pic:blipFill>
                  <pic:spPr bwMode="auto">
                    <a:xfrm>
                      <a:off x="0" y="0"/>
                      <a:ext cx="5829300" cy="8255"/>
                    </a:xfrm>
                    <a:prstGeom prst="rect">
                      <a:avLst/>
                    </a:prstGeom>
                    <a:noFill/>
                  </pic:spPr>
                </pic:pic>
              </a:graphicData>
            </a:graphic>
          </wp:anchor>
        </w:drawing>
      </w:r>
    </w:p>
    <w:p>
      <w:pPr>
        <w:ind w:left="480"/>
        <w:spacing w:after="0"/>
        <w:tabs>
          <w:tab w:leader="none" w:pos="4400" w:val="left"/>
          <w:tab w:leader="none" w:pos="8760" w:val="left"/>
        </w:tabs>
        <w:rPr>
          <w:sz w:val="20"/>
          <w:szCs w:val="20"/>
          <w:color w:val="auto"/>
        </w:rPr>
      </w:pPr>
      <w:r>
        <w:rPr>
          <w:rFonts w:ascii="Arial" w:cs="Arial" w:eastAsia="Arial" w:hAnsi="Arial"/>
          <w:sz w:val="29"/>
          <w:szCs w:val="29"/>
          <w:b w:val="1"/>
          <w:bCs w:val="1"/>
          <w:color w:val="auto"/>
          <w:vertAlign w:val="subscript"/>
        </w:rPr>
        <w:t>43</w:t>
      </w:r>
      <w:r>
        <w:rPr>
          <w:sz w:val="20"/>
          <w:szCs w:val="20"/>
          <w:color w:val="auto"/>
        </w:rPr>
        <w:tab/>
      </w:r>
      <w:r>
        <w:rPr>
          <w:rFonts w:ascii="Arial" w:cs="Arial" w:eastAsia="Arial" w:hAnsi="Arial"/>
          <w:sz w:val="13"/>
          <w:szCs w:val="13"/>
          <w:b w:val="1"/>
          <w:bCs w:val="1"/>
          <w:color w:val="4800E6"/>
        </w:rPr>
        <w:t xml:space="preserve">LIVANOVA </w:t>
      </w:r>
      <w:r>
        <w:rPr>
          <w:rFonts w:ascii="Arial" w:cs="Arial" w:eastAsia="Arial" w:hAnsi="Arial"/>
          <w:sz w:val="13"/>
          <w:szCs w:val="13"/>
          <w:color w:val="000000"/>
        </w:rPr>
        <w:t>|</w:t>
      </w:r>
      <w:r>
        <w:rPr>
          <w:rFonts w:ascii="Arial" w:cs="Arial" w:eastAsia="Arial" w:hAnsi="Arial"/>
          <w:sz w:val="13"/>
          <w:szCs w:val="13"/>
          <w:b w:val="1"/>
          <w:bCs w:val="1"/>
          <w:color w:val="4800E6"/>
        </w:rPr>
        <w:t xml:space="preserve"> </w:t>
      </w:r>
      <w:r>
        <w:rPr>
          <w:rFonts w:ascii="Arial" w:cs="Arial" w:eastAsia="Arial" w:hAnsi="Arial"/>
          <w:sz w:val="13"/>
          <w:szCs w:val="13"/>
          <w:color w:val="4800E6"/>
        </w:rPr>
        <w:t>2020</w:t>
      </w:r>
      <w:r>
        <w:rPr>
          <w:rFonts w:ascii="Arial" w:cs="Arial" w:eastAsia="Arial" w:hAnsi="Arial"/>
          <w:sz w:val="13"/>
          <w:szCs w:val="13"/>
          <w:b w:val="1"/>
          <w:bCs w:val="1"/>
          <w:color w:val="4800E6"/>
        </w:rPr>
        <w:t xml:space="preserve"> </w:t>
      </w:r>
      <w:r>
        <w:rPr>
          <w:rFonts w:ascii="Arial" w:cs="Arial" w:eastAsia="Arial" w:hAnsi="Arial"/>
          <w:sz w:val="13"/>
          <w:szCs w:val="13"/>
          <w:color w:val="000000"/>
        </w:rPr>
        <w:t>Proxy Statement</w:t>
      </w:r>
      <w:r>
        <w:rPr>
          <w:sz w:val="20"/>
          <w:szCs w:val="20"/>
          <w:color w:val="auto"/>
        </w:rPr>
        <w:tab/>
      </w:r>
      <w:r>
        <w:rPr>
          <w:rFonts w:ascii="Arial" w:cs="Arial" w:eastAsia="Arial" w:hAnsi="Arial"/>
          <w:sz w:val="12"/>
          <w:szCs w:val="12"/>
          <w:b w:val="1"/>
          <w:bCs w:val="1"/>
          <w:color w:val="4800E6"/>
        </w:rPr>
        <w:t>www.livanova.com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561975</wp:posOffset>
            </wp:positionH>
            <wp:positionV relativeFrom="paragraph">
              <wp:posOffset>95250</wp:posOffset>
            </wp:positionV>
            <wp:extent cx="1954530" cy="8890"/>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38">
                      <a:extLst>
                        <a:ext uri="{28A0092B-C50C-407E-A947-70E740481C1C}"/>
                      </a:extLst>
                    </a:blip>
                    <a:srcRect/>
                    <a:stretch>
                      <a:fillRect/>
                    </a:stretch>
                  </pic:blipFill>
                  <pic:spPr bwMode="auto">
                    <a:xfrm>
                      <a:off x="0" y="0"/>
                      <a:ext cx="1954530" cy="8890"/>
                    </a:xfrm>
                    <a:prstGeom prst="rect">
                      <a:avLst/>
                    </a:prstGeom>
                    <a:noFill/>
                  </pic:spPr>
                </pic:pic>
              </a:graphicData>
            </a:graphic>
          </wp:anchor>
        </w:drawing>
        <w:drawing>
          <wp:anchor simplePos="0" relativeHeight="251657728" behindDoc="1" locked="0" layoutInCell="0" allowOverlap="1">
            <wp:simplePos x="0" y="0"/>
            <wp:positionH relativeFrom="column">
              <wp:posOffset>4316730</wp:posOffset>
            </wp:positionH>
            <wp:positionV relativeFrom="paragraph">
              <wp:posOffset>95250</wp:posOffset>
            </wp:positionV>
            <wp:extent cx="1028700" cy="8890"/>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39">
                      <a:extLst>
                        <a:ext uri="{28A0092B-C50C-407E-A947-70E740481C1C}"/>
                      </a:extLst>
                    </a:blip>
                    <a:srcRect/>
                    <a:stretch>
                      <a:fillRect/>
                    </a:stretch>
                  </pic:blipFill>
                  <pic:spPr bwMode="auto">
                    <a:xfrm>
                      <a:off x="0" y="0"/>
                      <a:ext cx="102870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232410</wp:posOffset>
            </wp:positionV>
            <wp:extent cx="6806565" cy="17145"/>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40">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10139"/>
          </w:cols>
          <w:pgMar w:left="320" w:top="132" w:right="1440" w:bottom="1440" w:gutter="0" w:footer="0" w:header="0"/>
        </w:sectPr>
      </w:pPr>
    </w:p>
    <w:bookmarkStart w:id="47" w:name="page48"/>
    <w:bookmarkEnd w:id="47"/>
    <w:p>
      <w:pPr>
        <w:spacing w:after="0"/>
        <w:rPr>
          <w:rFonts w:ascii="Arial" w:cs="Arial" w:eastAsia="Arial" w:hAnsi="Arial"/>
          <w:sz w:val="14"/>
          <w:szCs w:val="14"/>
          <w:color w:val="003366"/>
        </w:rPr>
      </w:pPr>
      <w:hyperlink w:anchor="page5">
        <w:r>
          <w:rPr>
            <w:rFonts w:ascii="Arial" w:cs="Arial" w:eastAsia="Arial" w:hAnsi="Arial"/>
            <w:sz w:val="14"/>
            <w:szCs w:val="14"/>
            <w:color w:val="003366"/>
          </w:rPr>
          <w:t>TABLE OF CONTENTS</w:t>
        </w:r>
      </w:hyperlink>
    </w:p>
    <w:p>
      <w:pPr>
        <w:spacing w:after="0" w:line="338" w:lineRule="exact"/>
        <w:rPr>
          <w:sz w:val="20"/>
          <w:szCs w:val="20"/>
          <w:color w:val="auto"/>
        </w:rPr>
      </w:pPr>
    </w:p>
    <w:p>
      <w:pPr>
        <w:jc w:val="right"/>
        <w:ind w:right="240"/>
        <w:spacing w:after="0"/>
        <w:rPr>
          <w:sz w:val="20"/>
          <w:szCs w:val="20"/>
          <w:color w:val="auto"/>
        </w:rPr>
      </w:pPr>
      <w:r>
        <w:rPr>
          <w:rFonts w:ascii="Arial" w:cs="Arial" w:eastAsia="Arial" w:hAnsi="Arial"/>
          <w:sz w:val="13"/>
          <w:szCs w:val="13"/>
          <w:b w:val="1"/>
          <w:bCs w:val="1"/>
          <w:color w:val="auto"/>
        </w:rPr>
        <w:t xml:space="preserve">Executive </w:t>
      </w:r>
      <w:r>
        <w:rPr>
          <w:rFonts w:ascii="Arial" w:cs="Arial" w:eastAsia="Arial" w:hAnsi="Arial"/>
          <w:sz w:val="13"/>
          <w:szCs w:val="13"/>
          <w:b w:val="1"/>
          <w:bCs w:val="1"/>
          <w:color w:val="666666"/>
        </w:rPr>
        <w:t>Compensation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485140</wp:posOffset>
            </wp:positionH>
            <wp:positionV relativeFrom="paragraph">
              <wp:posOffset>30480</wp:posOffset>
            </wp:positionV>
            <wp:extent cx="5829300" cy="8255"/>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41">
                      <a:extLst>
                        <a:ext uri="{28A0092B-C50C-407E-A947-70E740481C1C}"/>
                      </a:extLst>
                    </a:blip>
                    <a:srcRect/>
                    <a:stretch>
                      <a:fillRect/>
                    </a:stretch>
                  </pic:blipFill>
                  <pic:spPr bwMode="auto">
                    <a:xfrm>
                      <a:off x="0" y="0"/>
                      <a:ext cx="5829300" cy="8255"/>
                    </a:xfrm>
                    <a:prstGeom prst="rect">
                      <a:avLst/>
                    </a:prstGeom>
                    <a:noFill/>
                  </pic:spPr>
                </pic:pic>
              </a:graphicData>
            </a:graphic>
          </wp:anchor>
        </w:drawing>
      </w:r>
    </w:p>
    <w:p>
      <w:pPr>
        <w:spacing w:after="0" w:line="60" w:lineRule="exact"/>
        <w:rPr>
          <w:sz w:val="20"/>
          <w:szCs w:val="20"/>
          <w:color w:val="auto"/>
        </w:rPr>
      </w:pPr>
    </w:p>
    <w:p>
      <w:pPr>
        <w:jc w:val="right"/>
        <w:ind w:right="240"/>
        <w:spacing w:after="0"/>
        <w:rPr>
          <w:sz w:val="20"/>
          <w:szCs w:val="20"/>
          <w:color w:val="auto"/>
        </w:rPr>
      </w:pPr>
      <w:r>
        <w:rPr>
          <w:rFonts w:ascii="Arial" w:cs="Arial" w:eastAsia="Arial" w:hAnsi="Arial"/>
          <w:sz w:val="13"/>
          <w:szCs w:val="13"/>
          <w:b w:val="1"/>
          <w:bCs w:val="1"/>
          <w:color w:val="4800E6"/>
        </w:rPr>
        <w:t>Compensation of Executive Officers and Directors</w:t>
      </w: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ind w:left="1040" w:hanging="276"/>
        <w:spacing w:after="0"/>
        <w:tabs>
          <w:tab w:leader="none" w:pos="1040" w:val="left"/>
        </w:tabs>
        <w:numPr>
          <w:ilvl w:val="0"/>
          <w:numId w:val="67"/>
        </w:numPr>
        <w:rPr>
          <w:rFonts w:ascii="Arial" w:cs="Arial" w:eastAsia="Arial" w:hAnsi="Arial"/>
          <w:sz w:val="13"/>
          <w:szCs w:val="13"/>
          <w:i w:val="1"/>
          <w:iCs w:val="1"/>
          <w:color w:val="auto"/>
        </w:rPr>
      </w:pPr>
      <w:r>
        <w:rPr>
          <w:rFonts w:ascii="Arial" w:cs="Arial" w:eastAsia="Arial" w:hAnsi="Arial"/>
          <w:sz w:val="13"/>
          <w:szCs w:val="13"/>
          <w:i w:val="1"/>
          <w:iCs w:val="1"/>
          <w:color w:val="auto"/>
        </w:rPr>
        <w:t>Represents service based RSUs granted on May 23, 2017.</w:t>
      </w:r>
    </w:p>
    <w:p>
      <w:pPr>
        <w:spacing w:after="0" w:line="26" w:lineRule="exact"/>
        <w:rPr>
          <w:rFonts w:ascii="Arial" w:cs="Arial" w:eastAsia="Arial" w:hAnsi="Arial"/>
          <w:sz w:val="13"/>
          <w:szCs w:val="13"/>
          <w:i w:val="1"/>
          <w:iCs w:val="1"/>
          <w:color w:val="auto"/>
        </w:rPr>
      </w:pPr>
    </w:p>
    <w:p>
      <w:pPr>
        <w:ind w:left="1040" w:hanging="276"/>
        <w:spacing w:after="0"/>
        <w:tabs>
          <w:tab w:leader="none" w:pos="1040" w:val="left"/>
        </w:tabs>
        <w:numPr>
          <w:ilvl w:val="0"/>
          <w:numId w:val="67"/>
        </w:numPr>
        <w:rPr>
          <w:rFonts w:ascii="Arial" w:cs="Arial" w:eastAsia="Arial" w:hAnsi="Arial"/>
          <w:sz w:val="13"/>
          <w:szCs w:val="13"/>
          <w:i w:val="1"/>
          <w:iCs w:val="1"/>
          <w:color w:val="auto"/>
        </w:rPr>
      </w:pPr>
      <w:r>
        <w:rPr>
          <w:rFonts w:ascii="Arial" w:cs="Arial" w:eastAsia="Arial" w:hAnsi="Arial"/>
          <w:sz w:val="13"/>
          <w:szCs w:val="13"/>
          <w:i w:val="1"/>
          <w:iCs w:val="1"/>
          <w:color w:val="auto"/>
        </w:rPr>
        <w:t>Represents service based RSUs granted on June 12, 2017.</w:t>
      </w:r>
    </w:p>
    <w:p>
      <w:pPr>
        <w:spacing w:after="0" w:line="25" w:lineRule="exact"/>
        <w:rPr>
          <w:rFonts w:ascii="Arial" w:cs="Arial" w:eastAsia="Arial" w:hAnsi="Arial"/>
          <w:sz w:val="13"/>
          <w:szCs w:val="13"/>
          <w:i w:val="1"/>
          <w:iCs w:val="1"/>
          <w:color w:val="auto"/>
        </w:rPr>
      </w:pPr>
    </w:p>
    <w:p>
      <w:pPr>
        <w:ind w:left="1040" w:hanging="276"/>
        <w:spacing w:after="0"/>
        <w:tabs>
          <w:tab w:leader="none" w:pos="1040" w:val="left"/>
        </w:tabs>
        <w:numPr>
          <w:ilvl w:val="0"/>
          <w:numId w:val="67"/>
        </w:numPr>
        <w:rPr>
          <w:rFonts w:ascii="Arial" w:cs="Arial" w:eastAsia="Arial" w:hAnsi="Arial"/>
          <w:sz w:val="13"/>
          <w:szCs w:val="13"/>
          <w:i w:val="1"/>
          <w:iCs w:val="1"/>
          <w:color w:val="auto"/>
        </w:rPr>
      </w:pPr>
      <w:r>
        <w:rPr>
          <w:rFonts w:ascii="Arial" w:cs="Arial" w:eastAsia="Arial" w:hAnsi="Arial"/>
          <w:sz w:val="13"/>
          <w:szCs w:val="13"/>
          <w:i w:val="1"/>
          <w:iCs w:val="1"/>
          <w:color w:val="auto"/>
        </w:rPr>
        <w:t>Represents service based RSUs granted on September 15, 2018.</w:t>
      </w:r>
    </w:p>
    <w:p>
      <w:pPr>
        <w:spacing w:after="0" w:line="12" w:lineRule="exact"/>
        <w:rPr>
          <w:rFonts w:ascii="Arial" w:cs="Arial" w:eastAsia="Arial" w:hAnsi="Arial"/>
          <w:sz w:val="13"/>
          <w:szCs w:val="13"/>
          <w:i w:val="1"/>
          <w:iCs w:val="1"/>
          <w:color w:val="auto"/>
        </w:rPr>
      </w:pPr>
    </w:p>
    <w:p>
      <w:pPr>
        <w:ind w:left="1040" w:hanging="276"/>
        <w:spacing w:after="0"/>
        <w:tabs>
          <w:tab w:leader="none" w:pos="1040" w:val="left"/>
        </w:tabs>
        <w:numPr>
          <w:ilvl w:val="0"/>
          <w:numId w:val="67"/>
        </w:numPr>
        <w:rPr>
          <w:rFonts w:ascii="Arial" w:cs="Arial" w:eastAsia="Arial" w:hAnsi="Arial"/>
          <w:sz w:val="13"/>
          <w:szCs w:val="13"/>
          <w:i w:val="1"/>
          <w:iCs w:val="1"/>
          <w:color w:val="auto"/>
        </w:rPr>
      </w:pPr>
      <w:r>
        <w:rPr>
          <w:rFonts w:ascii="Arial" w:cs="Arial" w:eastAsia="Arial" w:hAnsi="Arial"/>
          <w:sz w:val="13"/>
          <w:szCs w:val="13"/>
          <w:i w:val="1"/>
          <w:iCs w:val="1"/>
          <w:color w:val="auto"/>
        </w:rPr>
        <w:t>Represents service based RSUs granted on March 11, 2016.</w:t>
      </w:r>
    </w:p>
    <w:p>
      <w:pPr>
        <w:spacing w:after="0" w:line="121" w:lineRule="exact"/>
        <w:rPr>
          <w:sz w:val="20"/>
          <w:szCs w:val="20"/>
          <w:color w:val="auto"/>
        </w:rPr>
      </w:pPr>
    </w:p>
    <w:p>
      <w:pPr>
        <w:ind w:left="760"/>
        <w:spacing w:after="0"/>
        <w:rPr>
          <w:sz w:val="20"/>
          <w:szCs w:val="20"/>
          <w:color w:val="auto"/>
        </w:rPr>
      </w:pPr>
      <w:r>
        <w:rPr>
          <w:rFonts w:ascii="Arial" w:cs="Arial" w:eastAsia="Arial" w:hAnsi="Arial"/>
          <w:sz w:val="20"/>
          <w:szCs w:val="20"/>
          <w:b w:val="1"/>
          <w:bCs w:val="1"/>
          <w:color w:val="FF4C4C"/>
        </w:rPr>
        <w:t>2019 Option Exercises and Stock Vested</w:t>
      </w:r>
    </w:p>
    <w:p>
      <w:pPr>
        <w:spacing w:after="0" w:line="124" w:lineRule="exact"/>
        <w:rPr>
          <w:sz w:val="20"/>
          <w:szCs w:val="20"/>
          <w:color w:val="auto"/>
        </w:rPr>
      </w:pPr>
    </w:p>
    <w:p>
      <w:pPr>
        <w:ind w:left="760"/>
        <w:spacing w:after="0"/>
        <w:rPr>
          <w:sz w:val="20"/>
          <w:szCs w:val="20"/>
          <w:color w:val="auto"/>
        </w:rPr>
      </w:pPr>
      <w:r>
        <w:rPr>
          <w:rFonts w:ascii="Arial" w:cs="Arial" w:eastAsia="Arial" w:hAnsi="Arial"/>
          <w:sz w:val="16"/>
          <w:szCs w:val="16"/>
          <w:color w:val="auto"/>
        </w:rPr>
        <w:t>The following table presents information regarding the vesting of RSUs in 2019 by our NEOs.</w:t>
      </w:r>
    </w:p>
    <w:p>
      <w:pPr>
        <w:spacing w:after="0" w:line="152" w:lineRule="exact"/>
        <w:rPr>
          <w:sz w:val="20"/>
          <w:szCs w:val="20"/>
          <w:color w:val="auto"/>
        </w:rPr>
      </w:pPr>
    </w:p>
    <w:tbl>
      <w:tblPr>
        <w:tblLayout w:type="fixed"/>
        <w:tblInd w:w="760" w:type="dxa"/>
        <w:tblCellMar>
          <w:top w:w="0" w:type="dxa"/>
          <w:left w:w="0" w:type="dxa"/>
          <w:bottom w:w="0" w:type="dxa"/>
          <w:right w:w="0" w:type="dxa"/>
        </w:tblCellMar>
      </w:tblPr>
      <w:tr>
        <w:trPr>
          <w:trHeight w:val="196"/>
        </w:trPr>
        <w:tc>
          <w:tcPr>
            <w:tcW w:w="3300" w:type="dxa"/>
            <w:vAlign w:val="bottom"/>
          </w:tcPr>
          <w:p>
            <w:pPr>
              <w:spacing w:after="0"/>
              <w:rPr>
                <w:sz w:val="17"/>
                <w:szCs w:val="17"/>
                <w:color w:val="auto"/>
              </w:rPr>
            </w:pPr>
          </w:p>
        </w:tc>
        <w:tc>
          <w:tcPr>
            <w:tcW w:w="3140" w:type="dxa"/>
            <w:vAlign w:val="bottom"/>
            <w:gridSpan w:val="3"/>
          </w:tcPr>
          <w:p>
            <w:pPr>
              <w:jc w:val="right"/>
              <w:ind w:right="1200"/>
              <w:spacing w:after="0"/>
              <w:rPr>
                <w:sz w:val="20"/>
                <w:szCs w:val="20"/>
                <w:color w:val="auto"/>
              </w:rPr>
            </w:pPr>
            <w:r>
              <w:rPr>
                <w:rFonts w:ascii="Arial" w:cs="Arial" w:eastAsia="Arial" w:hAnsi="Arial"/>
                <w:sz w:val="14"/>
                <w:szCs w:val="14"/>
                <w:b w:val="1"/>
                <w:bCs w:val="1"/>
                <w:color w:val="4800E6"/>
              </w:rPr>
              <w:t>Stock Options</w:t>
            </w:r>
          </w:p>
        </w:tc>
        <w:tc>
          <w:tcPr>
            <w:tcW w:w="2740" w:type="dxa"/>
            <w:vAlign w:val="bottom"/>
            <w:gridSpan w:val="3"/>
          </w:tcPr>
          <w:p>
            <w:pPr>
              <w:jc w:val="right"/>
              <w:ind w:right="940"/>
              <w:spacing w:after="0"/>
              <w:rPr>
                <w:sz w:val="20"/>
                <w:szCs w:val="20"/>
                <w:color w:val="auto"/>
              </w:rPr>
            </w:pPr>
            <w:r>
              <w:rPr>
                <w:rFonts w:ascii="Arial" w:cs="Arial" w:eastAsia="Arial" w:hAnsi="Arial"/>
                <w:sz w:val="14"/>
                <w:szCs w:val="14"/>
                <w:b w:val="1"/>
                <w:bCs w:val="1"/>
                <w:color w:val="4800E6"/>
              </w:rPr>
              <w:t>Stock Shares</w:t>
            </w:r>
          </w:p>
        </w:tc>
      </w:tr>
      <w:tr>
        <w:trPr>
          <w:trHeight w:val="189"/>
        </w:trPr>
        <w:tc>
          <w:tcPr>
            <w:tcW w:w="3300" w:type="dxa"/>
            <w:vAlign w:val="bottom"/>
          </w:tcPr>
          <w:p>
            <w:pPr>
              <w:spacing w:after="0"/>
              <w:rPr>
                <w:sz w:val="16"/>
                <w:szCs w:val="16"/>
                <w:color w:val="auto"/>
              </w:rPr>
            </w:pPr>
          </w:p>
        </w:tc>
        <w:tc>
          <w:tcPr>
            <w:tcW w:w="1780" w:type="dxa"/>
            <w:vAlign w:val="bottom"/>
            <w:tcBorders>
              <w:top w:val="single" w:sz="8" w:color="4800E6"/>
            </w:tcBorders>
          </w:tcPr>
          <w:p>
            <w:pPr>
              <w:jc w:val="right"/>
              <w:ind w:right="87"/>
              <w:spacing w:after="0"/>
              <w:rPr>
                <w:sz w:val="20"/>
                <w:szCs w:val="20"/>
                <w:color w:val="auto"/>
              </w:rPr>
            </w:pPr>
            <w:r>
              <w:rPr>
                <w:rFonts w:ascii="Arial" w:cs="Arial" w:eastAsia="Arial" w:hAnsi="Arial"/>
                <w:sz w:val="14"/>
                <w:szCs w:val="14"/>
                <w:b w:val="1"/>
                <w:bCs w:val="1"/>
                <w:color w:val="4800E6"/>
              </w:rPr>
              <w:t>Number of LivaNova</w:t>
            </w:r>
          </w:p>
        </w:tc>
        <w:tc>
          <w:tcPr>
            <w:tcW w:w="1140" w:type="dxa"/>
            <w:vAlign w:val="bottom"/>
            <w:tcBorders>
              <w:top w:val="single" w:sz="8" w:color="4800E6"/>
            </w:tcBorders>
          </w:tcPr>
          <w:p>
            <w:pPr>
              <w:spacing w:after="0"/>
              <w:rPr>
                <w:sz w:val="16"/>
                <w:szCs w:val="16"/>
                <w:color w:val="auto"/>
              </w:rPr>
            </w:pPr>
          </w:p>
        </w:tc>
        <w:tc>
          <w:tcPr>
            <w:tcW w:w="220" w:type="dxa"/>
            <w:vAlign w:val="bottom"/>
          </w:tcPr>
          <w:p>
            <w:pPr>
              <w:spacing w:after="0"/>
              <w:rPr>
                <w:sz w:val="16"/>
                <w:szCs w:val="16"/>
                <w:color w:val="auto"/>
              </w:rPr>
            </w:pPr>
          </w:p>
        </w:tc>
        <w:tc>
          <w:tcPr>
            <w:tcW w:w="1540" w:type="dxa"/>
            <w:vAlign w:val="bottom"/>
            <w:tcBorders>
              <w:top w:val="single" w:sz="8" w:color="4800E6"/>
            </w:tcBorders>
          </w:tcPr>
          <w:p>
            <w:pPr>
              <w:jc w:val="right"/>
              <w:ind w:right="86"/>
              <w:spacing w:after="0"/>
              <w:rPr>
                <w:sz w:val="20"/>
                <w:szCs w:val="20"/>
                <w:color w:val="auto"/>
              </w:rPr>
            </w:pPr>
            <w:r>
              <w:rPr>
                <w:rFonts w:ascii="Arial" w:cs="Arial" w:eastAsia="Arial" w:hAnsi="Arial"/>
                <w:sz w:val="14"/>
                <w:szCs w:val="14"/>
                <w:b w:val="1"/>
                <w:bCs w:val="1"/>
                <w:color w:val="4800E6"/>
                <w:w w:val="99"/>
              </w:rPr>
              <w:t>Number of LivaNova</w:t>
            </w:r>
          </w:p>
        </w:tc>
        <w:tc>
          <w:tcPr>
            <w:tcW w:w="1140" w:type="dxa"/>
            <w:vAlign w:val="bottom"/>
            <w:tcBorders>
              <w:top w:val="single" w:sz="8" w:color="4800E6"/>
            </w:tcBorders>
          </w:tcPr>
          <w:p>
            <w:pPr>
              <w:spacing w:after="0"/>
              <w:rPr>
                <w:sz w:val="16"/>
                <w:szCs w:val="16"/>
                <w:color w:val="auto"/>
              </w:rPr>
            </w:pPr>
          </w:p>
        </w:tc>
        <w:tc>
          <w:tcPr>
            <w:tcW w:w="60" w:type="dxa"/>
            <w:vAlign w:val="bottom"/>
          </w:tcPr>
          <w:p>
            <w:pPr>
              <w:spacing w:after="0"/>
              <w:rPr>
                <w:sz w:val="16"/>
                <w:szCs w:val="16"/>
                <w:color w:val="auto"/>
              </w:rPr>
            </w:pPr>
          </w:p>
        </w:tc>
      </w:tr>
      <w:tr>
        <w:trPr>
          <w:trHeight w:val="162"/>
        </w:trPr>
        <w:tc>
          <w:tcPr>
            <w:tcW w:w="3300" w:type="dxa"/>
            <w:vAlign w:val="bottom"/>
          </w:tcPr>
          <w:p>
            <w:pPr>
              <w:spacing w:after="0"/>
              <w:rPr>
                <w:sz w:val="14"/>
                <w:szCs w:val="14"/>
                <w:color w:val="auto"/>
              </w:rPr>
            </w:pPr>
          </w:p>
        </w:tc>
        <w:tc>
          <w:tcPr>
            <w:tcW w:w="1780" w:type="dxa"/>
            <w:vAlign w:val="bottom"/>
          </w:tcPr>
          <w:p>
            <w:pPr>
              <w:jc w:val="right"/>
              <w:ind w:right="87"/>
              <w:spacing w:after="0"/>
              <w:rPr>
                <w:sz w:val="20"/>
                <w:szCs w:val="20"/>
                <w:color w:val="auto"/>
              </w:rPr>
            </w:pPr>
            <w:r>
              <w:rPr>
                <w:rFonts w:ascii="Arial" w:cs="Arial" w:eastAsia="Arial" w:hAnsi="Arial"/>
                <w:sz w:val="14"/>
                <w:szCs w:val="14"/>
                <w:b w:val="1"/>
                <w:bCs w:val="1"/>
                <w:color w:val="4800E6"/>
                <w:w w:val="99"/>
              </w:rPr>
              <w:t>Option Shares Acquired</w:t>
            </w:r>
          </w:p>
        </w:tc>
        <w:tc>
          <w:tcPr>
            <w:tcW w:w="1360" w:type="dxa"/>
            <w:vAlign w:val="bottom"/>
            <w:gridSpan w:val="2"/>
          </w:tcPr>
          <w:p>
            <w:pPr>
              <w:jc w:val="right"/>
              <w:ind w:right="260"/>
              <w:spacing w:after="0"/>
              <w:rPr>
                <w:sz w:val="20"/>
                <w:szCs w:val="20"/>
                <w:color w:val="auto"/>
              </w:rPr>
            </w:pPr>
            <w:r>
              <w:rPr>
                <w:rFonts w:ascii="Arial" w:cs="Arial" w:eastAsia="Arial" w:hAnsi="Arial"/>
                <w:sz w:val="14"/>
                <w:szCs w:val="14"/>
                <w:b w:val="1"/>
                <w:bCs w:val="1"/>
                <w:color w:val="4800E6"/>
              </w:rPr>
              <w:t>Value Realized</w:t>
            </w:r>
          </w:p>
        </w:tc>
        <w:tc>
          <w:tcPr>
            <w:tcW w:w="1540" w:type="dxa"/>
            <w:vAlign w:val="bottom"/>
          </w:tcPr>
          <w:p>
            <w:pPr>
              <w:jc w:val="right"/>
              <w:ind w:right="86"/>
              <w:spacing w:after="0"/>
              <w:rPr>
                <w:sz w:val="20"/>
                <w:szCs w:val="20"/>
                <w:color w:val="auto"/>
              </w:rPr>
            </w:pPr>
            <w:r>
              <w:rPr>
                <w:rFonts w:ascii="Arial" w:cs="Arial" w:eastAsia="Arial" w:hAnsi="Arial"/>
                <w:sz w:val="14"/>
                <w:szCs w:val="14"/>
                <w:b w:val="1"/>
                <w:bCs w:val="1"/>
                <w:color w:val="4800E6"/>
              </w:rPr>
              <w:t>Shares Acquired</w:t>
            </w:r>
          </w:p>
        </w:tc>
        <w:tc>
          <w:tcPr>
            <w:tcW w:w="1200" w:type="dxa"/>
            <w:vAlign w:val="bottom"/>
            <w:gridSpan w:val="2"/>
          </w:tcPr>
          <w:p>
            <w:pPr>
              <w:jc w:val="right"/>
              <w:ind w:right="100"/>
              <w:spacing w:after="0"/>
              <w:rPr>
                <w:sz w:val="20"/>
                <w:szCs w:val="20"/>
                <w:color w:val="auto"/>
              </w:rPr>
            </w:pPr>
            <w:r>
              <w:rPr>
                <w:rFonts w:ascii="Arial" w:cs="Arial" w:eastAsia="Arial" w:hAnsi="Arial"/>
                <w:sz w:val="14"/>
                <w:szCs w:val="14"/>
                <w:b w:val="1"/>
                <w:bCs w:val="1"/>
                <w:color w:val="4800E6"/>
              </w:rPr>
              <w:t>Value Realized</w:t>
            </w:r>
          </w:p>
        </w:tc>
      </w:tr>
      <w:tr>
        <w:trPr>
          <w:trHeight w:val="162"/>
        </w:trPr>
        <w:tc>
          <w:tcPr>
            <w:tcW w:w="3300" w:type="dxa"/>
            <w:vAlign w:val="bottom"/>
          </w:tcPr>
          <w:p>
            <w:pPr>
              <w:spacing w:after="0"/>
              <w:rPr>
                <w:sz w:val="14"/>
                <w:szCs w:val="14"/>
                <w:color w:val="auto"/>
              </w:rPr>
            </w:pPr>
          </w:p>
        </w:tc>
        <w:tc>
          <w:tcPr>
            <w:tcW w:w="1780" w:type="dxa"/>
            <w:vAlign w:val="bottom"/>
          </w:tcPr>
          <w:p>
            <w:pPr>
              <w:jc w:val="right"/>
              <w:ind w:right="87"/>
              <w:spacing w:after="0"/>
              <w:rPr>
                <w:sz w:val="20"/>
                <w:szCs w:val="20"/>
                <w:color w:val="auto"/>
              </w:rPr>
            </w:pPr>
            <w:r>
              <w:rPr>
                <w:rFonts w:ascii="Arial" w:cs="Arial" w:eastAsia="Arial" w:hAnsi="Arial"/>
                <w:sz w:val="14"/>
                <w:szCs w:val="14"/>
                <w:b w:val="1"/>
                <w:bCs w:val="1"/>
                <w:color w:val="4800E6"/>
              </w:rPr>
              <w:t>on Exercise</w:t>
            </w:r>
          </w:p>
        </w:tc>
        <w:tc>
          <w:tcPr>
            <w:tcW w:w="1360" w:type="dxa"/>
            <w:vAlign w:val="bottom"/>
            <w:gridSpan w:val="2"/>
          </w:tcPr>
          <w:p>
            <w:pPr>
              <w:jc w:val="right"/>
              <w:ind w:right="260"/>
              <w:spacing w:after="0"/>
              <w:rPr>
                <w:sz w:val="20"/>
                <w:szCs w:val="20"/>
                <w:color w:val="auto"/>
              </w:rPr>
            </w:pPr>
            <w:r>
              <w:rPr>
                <w:rFonts w:ascii="Arial" w:cs="Arial" w:eastAsia="Arial" w:hAnsi="Arial"/>
                <w:sz w:val="14"/>
                <w:szCs w:val="14"/>
                <w:b w:val="1"/>
                <w:bCs w:val="1"/>
                <w:color w:val="4800E6"/>
              </w:rPr>
              <w:t>on Exercise</w:t>
            </w:r>
          </w:p>
        </w:tc>
        <w:tc>
          <w:tcPr>
            <w:tcW w:w="1540" w:type="dxa"/>
            <w:vAlign w:val="bottom"/>
          </w:tcPr>
          <w:p>
            <w:pPr>
              <w:jc w:val="right"/>
              <w:ind w:right="86"/>
              <w:spacing w:after="0"/>
              <w:rPr>
                <w:sz w:val="20"/>
                <w:szCs w:val="20"/>
                <w:color w:val="auto"/>
              </w:rPr>
            </w:pPr>
            <w:r>
              <w:rPr>
                <w:rFonts w:ascii="Arial" w:cs="Arial" w:eastAsia="Arial" w:hAnsi="Arial"/>
                <w:sz w:val="14"/>
                <w:szCs w:val="14"/>
                <w:b w:val="1"/>
                <w:bCs w:val="1"/>
                <w:color w:val="4800E6"/>
              </w:rPr>
              <w:t>on Vesting</w:t>
            </w:r>
          </w:p>
        </w:tc>
        <w:tc>
          <w:tcPr>
            <w:tcW w:w="1200" w:type="dxa"/>
            <w:vAlign w:val="bottom"/>
            <w:gridSpan w:val="2"/>
          </w:tcPr>
          <w:p>
            <w:pPr>
              <w:jc w:val="right"/>
              <w:ind w:right="100"/>
              <w:spacing w:after="0"/>
              <w:rPr>
                <w:sz w:val="20"/>
                <w:szCs w:val="20"/>
                <w:color w:val="auto"/>
              </w:rPr>
            </w:pPr>
            <w:r>
              <w:rPr>
                <w:rFonts w:ascii="Arial" w:cs="Arial" w:eastAsia="Arial" w:hAnsi="Arial"/>
                <w:sz w:val="14"/>
                <w:szCs w:val="14"/>
                <w:b w:val="1"/>
                <w:bCs w:val="1"/>
                <w:color w:val="4800E6"/>
              </w:rPr>
              <w:t>on Vesting</w:t>
            </w:r>
          </w:p>
        </w:tc>
      </w:tr>
      <w:tr>
        <w:trPr>
          <w:trHeight w:val="196"/>
        </w:trPr>
        <w:tc>
          <w:tcPr>
            <w:tcW w:w="3300" w:type="dxa"/>
            <w:vAlign w:val="bottom"/>
            <w:tcBorders>
              <w:bottom w:val="single" w:sz="8" w:color="4800E6"/>
            </w:tcBorders>
          </w:tcPr>
          <w:p>
            <w:pPr>
              <w:ind w:left="40"/>
              <w:spacing w:after="0"/>
              <w:rPr>
                <w:sz w:val="20"/>
                <w:szCs w:val="20"/>
                <w:color w:val="auto"/>
              </w:rPr>
            </w:pPr>
            <w:r>
              <w:rPr>
                <w:rFonts w:ascii="Arial" w:cs="Arial" w:eastAsia="Arial" w:hAnsi="Arial"/>
                <w:sz w:val="14"/>
                <w:szCs w:val="14"/>
                <w:b w:val="1"/>
                <w:bCs w:val="1"/>
                <w:color w:val="4800E6"/>
              </w:rPr>
              <w:t>Name</w:t>
            </w:r>
          </w:p>
        </w:tc>
        <w:tc>
          <w:tcPr>
            <w:tcW w:w="1780" w:type="dxa"/>
            <w:vAlign w:val="bottom"/>
            <w:tcBorders>
              <w:bottom w:val="single" w:sz="8" w:color="4800E6"/>
            </w:tcBorders>
          </w:tcPr>
          <w:p>
            <w:pPr>
              <w:jc w:val="right"/>
              <w:ind w:right="47"/>
              <w:spacing w:after="0"/>
              <w:rPr>
                <w:sz w:val="20"/>
                <w:szCs w:val="20"/>
                <w:color w:val="auto"/>
              </w:rPr>
            </w:pPr>
            <w:r>
              <w:rPr>
                <w:rFonts w:ascii="Arial" w:cs="Arial" w:eastAsia="Arial" w:hAnsi="Arial"/>
                <w:sz w:val="14"/>
                <w:szCs w:val="14"/>
                <w:b w:val="1"/>
                <w:bCs w:val="1"/>
                <w:color w:val="4800E6"/>
              </w:rPr>
              <w:t>(#)</w:t>
            </w:r>
          </w:p>
        </w:tc>
        <w:tc>
          <w:tcPr>
            <w:tcW w:w="1140" w:type="dxa"/>
            <w:vAlign w:val="bottom"/>
            <w:tcBorders>
              <w:bottom w:val="single" w:sz="8" w:color="4800E6"/>
            </w:tcBorders>
          </w:tcPr>
          <w:p>
            <w:pPr>
              <w:jc w:val="right"/>
              <w:spacing w:after="0"/>
              <w:rPr>
                <w:sz w:val="20"/>
                <w:szCs w:val="20"/>
                <w:color w:val="auto"/>
              </w:rPr>
            </w:pPr>
            <w:r>
              <w:rPr>
                <w:rFonts w:ascii="Arial" w:cs="Arial" w:eastAsia="Arial" w:hAnsi="Arial"/>
                <w:sz w:val="14"/>
                <w:szCs w:val="14"/>
                <w:b w:val="1"/>
                <w:bCs w:val="1"/>
                <w:color w:val="4800E6"/>
              </w:rPr>
              <w:t>($)</w:t>
            </w:r>
          </w:p>
        </w:tc>
        <w:tc>
          <w:tcPr>
            <w:tcW w:w="220" w:type="dxa"/>
            <w:vAlign w:val="bottom"/>
            <w:tcBorders>
              <w:bottom w:val="single" w:sz="8" w:color="4800E6"/>
            </w:tcBorders>
          </w:tcPr>
          <w:p>
            <w:pPr>
              <w:spacing w:after="0"/>
              <w:rPr>
                <w:sz w:val="17"/>
                <w:szCs w:val="17"/>
                <w:color w:val="auto"/>
              </w:rPr>
            </w:pPr>
          </w:p>
        </w:tc>
        <w:tc>
          <w:tcPr>
            <w:tcW w:w="1540" w:type="dxa"/>
            <w:vAlign w:val="bottom"/>
            <w:tcBorders>
              <w:bottom w:val="single" w:sz="8" w:color="4800E6"/>
            </w:tcBorders>
          </w:tcPr>
          <w:p>
            <w:pPr>
              <w:jc w:val="right"/>
              <w:ind w:right="46"/>
              <w:spacing w:after="0"/>
              <w:rPr>
                <w:sz w:val="20"/>
                <w:szCs w:val="20"/>
                <w:color w:val="auto"/>
              </w:rPr>
            </w:pPr>
            <w:r>
              <w:rPr>
                <w:rFonts w:ascii="Arial" w:cs="Arial" w:eastAsia="Arial" w:hAnsi="Arial"/>
                <w:sz w:val="14"/>
                <w:szCs w:val="14"/>
                <w:b w:val="1"/>
                <w:bCs w:val="1"/>
                <w:color w:val="4800E6"/>
              </w:rPr>
              <w:t>(#)</w:t>
            </w:r>
          </w:p>
        </w:tc>
        <w:tc>
          <w:tcPr>
            <w:tcW w:w="1140" w:type="dxa"/>
            <w:vAlign w:val="bottom"/>
            <w:tcBorders>
              <w:bottom w:val="single" w:sz="8" w:color="4800E6"/>
            </w:tcBorders>
          </w:tcPr>
          <w:p>
            <w:pPr>
              <w:jc w:val="right"/>
              <w:spacing w:after="0"/>
              <w:rPr>
                <w:sz w:val="20"/>
                <w:szCs w:val="20"/>
                <w:color w:val="auto"/>
              </w:rPr>
            </w:pPr>
            <w:r>
              <w:rPr>
                <w:rFonts w:ascii="Arial" w:cs="Arial" w:eastAsia="Arial" w:hAnsi="Arial"/>
                <w:sz w:val="14"/>
                <w:szCs w:val="14"/>
                <w:b w:val="1"/>
                <w:bCs w:val="1"/>
                <w:color w:val="4800E6"/>
              </w:rPr>
              <w:t>($)</w:t>
            </w:r>
          </w:p>
        </w:tc>
        <w:tc>
          <w:tcPr>
            <w:tcW w:w="60" w:type="dxa"/>
            <w:vAlign w:val="bottom"/>
            <w:tcBorders>
              <w:bottom w:val="single" w:sz="8" w:color="4800E6"/>
            </w:tcBorders>
          </w:tcPr>
          <w:p>
            <w:pPr>
              <w:spacing w:after="0"/>
              <w:rPr>
                <w:sz w:val="17"/>
                <w:szCs w:val="17"/>
                <w:color w:val="auto"/>
              </w:rPr>
            </w:pPr>
          </w:p>
        </w:tc>
      </w:tr>
      <w:tr>
        <w:trPr>
          <w:trHeight w:val="221"/>
        </w:trPr>
        <w:tc>
          <w:tcPr>
            <w:tcW w:w="3300" w:type="dxa"/>
            <w:vAlign w:val="bottom"/>
          </w:tcPr>
          <w:p>
            <w:pPr>
              <w:ind w:left="40"/>
              <w:spacing w:after="0"/>
              <w:rPr>
                <w:sz w:val="20"/>
                <w:szCs w:val="20"/>
                <w:color w:val="auto"/>
              </w:rPr>
            </w:pPr>
            <w:r>
              <w:rPr>
                <w:rFonts w:ascii="Arial" w:cs="Arial" w:eastAsia="Arial" w:hAnsi="Arial"/>
                <w:sz w:val="15"/>
                <w:szCs w:val="15"/>
                <w:color w:val="auto"/>
              </w:rPr>
              <w:t>Damien McDonald</w:t>
            </w:r>
          </w:p>
        </w:tc>
        <w:tc>
          <w:tcPr>
            <w:tcW w:w="178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540" w:type="dxa"/>
            <w:vAlign w:val="bottom"/>
          </w:tcPr>
          <w:p>
            <w:pPr>
              <w:jc w:val="right"/>
              <w:ind w:right="26"/>
              <w:spacing w:after="0"/>
              <w:rPr>
                <w:sz w:val="20"/>
                <w:szCs w:val="20"/>
                <w:color w:val="auto"/>
              </w:rPr>
            </w:pPr>
            <w:r>
              <w:rPr>
                <w:rFonts w:ascii="Arial" w:cs="Arial" w:eastAsia="Arial" w:hAnsi="Arial"/>
                <w:sz w:val="15"/>
                <w:szCs w:val="15"/>
                <w:color w:val="auto"/>
              </w:rPr>
              <w:t>37,731</w:t>
            </w:r>
          </w:p>
        </w:tc>
        <w:tc>
          <w:tcPr>
            <w:tcW w:w="1200" w:type="dxa"/>
            <w:vAlign w:val="bottom"/>
            <w:gridSpan w:val="2"/>
          </w:tcPr>
          <w:p>
            <w:pPr>
              <w:jc w:val="right"/>
              <w:ind w:right="40"/>
              <w:spacing w:after="0"/>
              <w:rPr>
                <w:sz w:val="20"/>
                <w:szCs w:val="20"/>
                <w:color w:val="auto"/>
              </w:rPr>
            </w:pPr>
            <w:r>
              <w:rPr>
                <w:rFonts w:ascii="Arial" w:cs="Arial" w:eastAsia="Arial" w:hAnsi="Arial"/>
                <w:sz w:val="15"/>
                <w:szCs w:val="15"/>
                <w:color w:val="auto"/>
              </w:rPr>
              <w:t>3,109,651</w:t>
            </w:r>
          </w:p>
        </w:tc>
      </w:tr>
      <w:tr>
        <w:trPr>
          <w:trHeight w:val="22"/>
        </w:trPr>
        <w:tc>
          <w:tcPr>
            <w:tcW w:w="3300" w:type="dxa"/>
            <w:vAlign w:val="bottom"/>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50"/>
        </w:trPr>
        <w:tc>
          <w:tcPr>
            <w:tcW w:w="3300" w:type="dxa"/>
            <w:vAlign w:val="bottom"/>
            <w:tcBorders>
              <w:bottom w:val="single" w:sz="8" w:color="EFE9FC"/>
            </w:tcBorders>
            <w:shd w:val="clear" w:color="auto" w:fill="EFE9FC"/>
          </w:tcPr>
          <w:p>
            <w:pPr>
              <w:ind w:left="40"/>
              <w:spacing w:after="0"/>
              <w:rPr>
                <w:sz w:val="20"/>
                <w:szCs w:val="20"/>
                <w:color w:val="auto"/>
              </w:rPr>
            </w:pPr>
            <w:r>
              <w:rPr>
                <w:rFonts w:ascii="Arial" w:cs="Arial" w:eastAsia="Arial" w:hAnsi="Arial"/>
                <w:sz w:val="15"/>
                <w:szCs w:val="15"/>
                <w:color w:val="auto"/>
              </w:rPr>
              <w:t>Thad Huston</w:t>
            </w:r>
          </w:p>
        </w:tc>
        <w:tc>
          <w:tcPr>
            <w:tcW w:w="1780" w:type="dxa"/>
            <w:vAlign w:val="bottom"/>
            <w:tcBorders>
              <w:bottom w:val="single" w:sz="8" w:color="EFE9FC"/>
            </w:tcBorders>
            <w:shd w:val="clear" w:color="auto" w:fill="EFE9FC"/>
          </w:tcPr>
          <w:p>
            <w:pPr>
              <w:spacing w:after="0"/>
              <w:rPr>
                <w:sz w:val="21"/>
                <w:szCs w:val="21"/>
                <w:color w:val="auto"/>
              </w:rPr>
            </w:pPr>
          </w:p>
        </w:tc>
        <w:tc>
          <w:tcPr>
            <w:tcW w:w="1140" w:type="dxa"/>
            <w:vAlign w:val="bottom"/>
            <w:tcBorders>
              <w:bottom w:val="single" w:sz="8" w:color="EFE9FC"/>
            </w:tcBorders>
            <w:shd w:val="clear" w:color="auto" w:fill="EFE9FC"/>
          </w:tcPr>
          <w:p>
            <w:pPr>
              <w:spacing w:after="0"/>
              <w:rPr>
                <w:sz w:val="21"/>
                <w:szCs w:val="21"/>
                <w:color w:val="auto"/>
              </w:rPr>
            </w:pPr>
          </w:p>
        </w:tc>
        <w:tc>
          <w:tcPr>
            <w:tcW w:w="220" w:type="dxa"/>
            <w:vAlign w:val="bottom"/>
            <w:tcBorders>
              <w:bottom w:val="single" w:sz="8" w:color="EFE9FC"/>
            </w:tcBorders>
            <w:shd w:val="clear" w:color="auto" w:fill="EFE9FC"/>
          </w:tcPr>
          <w:p>
            <w:pPr>
              <w:spacing w:after="0"/>
              <w:rPr>
                <w:sz w:val="21"/>
                <w:szCs w:val="21"/>
                <w:color w:val="auto"/>
              </w:rPr>
            </w:pPr>
          </w:p>
        </w:tc>
        <w:tc>
          <w:tcPr>
            <w:tcW w:w="1540" w:type="dxa"/>
            <w:vAlign w:val="bottom"/>
            <w:tcBorders>
              <w:bottom w:val="single" w:sz="8" w:color="EFE9FC"/>
            </w:tcBorders>
            <w:shd w:val="clear" w:color="auto" w:fill="EFE9FC"/>
          </w:tcPr>
          <w:p>
            <w:pPr>
              <w:jc w:val="right"/>
              <w:ind w:right="26"/>
              <w:spacing w:after="0"/>
              <w:rPr>
                <w:sz w:val="20"/>
                <w:szCs w:val="20"/>
                <w:color w:val="auto"/>
              </w:rPr>
            </w:pPr>
            <w:r>
              <w:rPr>
                <w:rFonts w:ascii="Arial" w:cs="Arial" w:eastAsia="Arial" w:hAnsi="Arial"/>
                <w:sz w:val="15"/>
                <w:szCs w:val="15"/>
                <w:color w:val="auto"/>
              </w:rPr>
              <w:t>17,346</w:t>
            </w:r>
          </w:p>
        </w:tc>
        <w:tc>
          <w:tcPr>
            <w:tcW w:w="1200" w:type="dxa"/>
            <w:vAlign w:val="bottom"/>
            <w:tcBorders>
              <w:bottom w:val="single" w:sz="8" w:color="EFE9FC"/>
            </w:tcBorders>
            <w:gridSpan w:val="2"/>
            <w:shd w:val="clear" w:color="auto" w:fill="EFE9FC"/>
          </w:tcPr>
          <w:p>
            <w:pPr>
              <w:jc w:val="right"/>
              <w:ind w:right="40"/>
              <w:spacing w:after="0"/>
              <w:rPr>
                <w:sz w:val="20"/>
                <w:szCs w:val="20"/>
                <w:color w:val="auto"/>
              </w:rPr>
            </w:pPr>
            <w:r>
              <w:rPr>
                <w:rFonts w:ascii="Arial" w:cs="Arial" w:eastAsia="Arial" w:hAnsi="Arial"/>
                <w:sz w:val="15"/>
                <w:szCs w:val="15"/>
                <w:color w:val="auto"/>
              </w:rPr>
              <w:t>1,382,921</w:t>
            </w:r>
          </w:p>
        </w:tc>
      </w:tr>
      <w:tr>
        <w:trPr>
          <w:trHeight w:val="221"/>
        </w:trPr>
        <w:tc>
          <w:tcPr>
            <w:tcW w:w="3300" w:type="dxa"/>
            <w:vAlign w:val="bottom"/>
          </w:tcPr>
          <w:p>
            <w:pPr>
              <w:ind w:left="40"/>
              <w:spacing w:after="0"/>
              <w:rPr>
                <w:sz w:val="20"/>
                <w:szCs w:val="20"/>
                <w:color w:val="auto"/>
              </w:rPr>
            </w:pPr>
            <w:r>
              <w:rPr>
                <w:rFonts w:ascii="Arial" w:cs="Arial" w:eastAsia="Arial" w:hAnsi="Arial"/>
                <w:sz w:val="15"/>
                <w:szCs w:val="15"/>
                <w:color w:val="auto"/>
              </w:rPr>
              <w:t>Keyna Skeffington</w:t>
            </w:r>
          </w:p>
        </w:tc>
        <w:tc>
          <w:tcPr>
            <w:tcW w:w="178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540" w:type="dxa"/>
            <w:vAlign w:val="bottom"/>
          </w:tcPr>
          <w:p>
            <w:pPr>
              <w:jc w:val="right"/>
              <w:ind w:right="26"/>
              <w:spacing w:after="0"/>
              <w:rPr>
                <w:sz w:val="20"/>
                <w:szCs w:val="20"/>
                <w:color w:val="auto"/>
              </w:rPr>
            </w:pPr>
            <w:r>
              <w:rPr>
                <w:rFonts w:ascii="Arial" w:cs="Arial" w:eastAsia="Arial" w:hAnsi="Arial"/>
                <w:sz w:val="15"/>
                <w:szCs w:val="15"/>
                <w:color w:val="auto"/>
              </w:rPr>
              <w:t>1,907</w:t>
            </w:r>
          </w:p>
        </w:tc>
        <w:tc>
          <w:tcPr>
            <w:tcW w:w="1200" w:type="dxa"/>
            <w:vAlign w:val="bottom"/>
            <w:gridSpan w:val="2"/>
          </w:tcPr>
          <w:p>
            <w:pPr>
              <w:jc w:val="right"/>
              <w:ind w:right="40"/>
              <w:spacing w:after="0"/>
              <w:rPr>
                <w:sz w:val="20"/>
                <w:szCs w:val="20"/>
                <w:color w:val="auto"/>
              </w:rPr>
            </w:pPr>
            <w:r>
              <w:rPr>
                <w:rFonts w:ascii="Arial" w:cs="Arial" w:eastAsia="Arial" w:hAnsi="Arial"/>
                <w:sz w:val="15"/>
                <w:szCs w:val="15"/>
                <w:color w:val="auto"/>
              </w:rPr>
              <w:t>152,963</w:t>
            </w:r>
          </w:p>
        </w:tc>
      </w:tr>
      <w:tr>
        <w:trPr>
          <w:trHeight w:val="22"/>
        </w:trPr>
        <w:tc>
          <w:tcPr>
            <w:tcW w:w="3300" w:type="dxa"/>
            <w:vAlign w:val="bottom"/>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50"/>
        </w:trPr>
        <w:tc>
          <w:tcPr>
            <w:tcW w:w="3300" w:type="dxa"/>
            <w:vAlign w:val="bottom"/>
            <w:tcBorders>
              <w:bottom w:val="single" w:sz="8" w:color="EFE9FC"/>
            </w:tcBorders>
            <w:shd w:val="clear" w:color="auto" w:fill="EFE9FC"/>
          </w:tcPr>
          <w:p>
            <w:pPr>
              <w:ind w:left="40"/>
              <w:spacing w:after="0"/>
              <w:rPr>
                <w:sz w:val="20"/>
                <w:szCs w:val="20"/>
                <w:color w:val="auto"/>
              </w:rPr>
            </w:pPr>
            <w:r>
              <w:rPr>
                <w:rFonts w:ascii="Arial" w:cs="Arial" w:eastAsia="Arial" w:hAnsi="Arial"/>
                <w:sz w:val="15"/>
                <w:szCs w:val="15"/>
                <w:color w:val="auto"/>
              </w:rPr>
              <w:t>Edward Andrle</w:t>
            </w:r>
          </w:p>
        </w:tc>
        <w:tc>
          <w:tcPr>
            <w:tcW w:w="1780" w:type="dxa"/>
            <w:vAlign w:val="bottom"/>
            <w:tcBorders>
              <w:bottom w:val="single" w:sz="8" w:color="EFE9FC"/>
            </w:tcBorders>
            <w:shd w:val="clear" w:color="auto" w:fill="EFE9FC"/>
          </w:tcPr>
          <w:p>
            <w:pPr>
              <w:jc w:val="right"/>
              <w:ind w:right="27"/>
              <w:spacing w:after="0"/>
              <w:rPr>
                <w:sz w:val="20"/>
                <w:szCs w:val="20"/>
                <w:color w:val="auto"/>
              </w:rPr>
            </w:pPr>
            <w:r>
              <w:rPr>
                <w:rFonts w:ascii="Arial" w:cs="Arial" w:eastAsia="Arial" w:hAnsi="Arial"/>
                <w:sz w:val="15"/>
                <w:szCs w:val="15"/>
                <w:color w:val="auto"/>
              </w:rPr>
              <w:t>29,718</w:t>
            </w:r>
          </w:p>
        </w:tc>
        <w:tc>
          <w:tcPr>
            <w:tcW w:w="1360" w:type="dxa"/>
            <w:vAlign w:val="bottom"/>
            <w:tcBorders>
              <w:bottom w:val="single" w:sz="8" w:color="EFE9FC"/>
            </w:tcBorders>
            <w:gridSpan w:val="2"/>
            <w:shd w:val="clear" w:color="auto" w:fill="EFE9FC"/>
          </w:tcPr>
          <w:p>
            <w:pPr>
              <w:jc w:val="right"/>
              <w:ind w:right="220"/>
              <w:spacing w:after="0"/>
              <w:rPr>
                <w:sz w:val="20"/>
                <w:szCs w:val="20"/>
                <w:color w:val="auto"/>
              </w:rPr>
            </w:pPr>
            <w:r>
              <w:rPr>
                <w:rFonts w:ascii="Arial" w:cs="Arial" w:eastAsia="Arial" w:hAnsi="Arial"/>
                <w:sz w:val="15"/>
                <w:szCs w:val="15"/>
                <w:color w:val="auto"/>
              </w:rPr>
              <w:t>156,614</w:t>
            </w:r>
          </w:p>
        </w:tc>
        <w:tc>
          <w:tcPr>
            <w:tcW w:w="1540" w:type="dxa"/>
            <w:vAlign w:val="bottom"/>
            <w:tcBorders>
              <w:bottom w:val="single" w:sz="8" w:color="EFE9FC"/>
            </w:tcBorders>
            <w:shd w:val="clear" w:color="auto" w:fill="EFE9FC"/>
          </w:tcPr>
          <w:p>
            <w:pPr>
              <w:jc w:val="right"/>
              <w:ind w:right="26"/>
              <w:spacing w:after="0"/>
              <w:rPr>
                <w:sz w:val="20"/>
                <w:szCs w:val="20"/>
                <w:color w:val="auto"/>
              </w:rPr>
            </w:pPr>
            <w:r>
              <w:rPr>
                <w:rFonts w:ascii="Arial" w:cs="Arial" w:eastAsia="Arial" w:hAnsi="Arial"/>
                <w:sz w:val="15"/>
                <w:szCs w:val="15"/>
                <w:color w:val="auto"/>
              </w:rPr>
              <w:t>9,621</w:t>
            </w:r>
          </w:p>
        </w:tc>
        <w:tc>
          <w:tcPr>
            <w:tcW w:w="1200" w:type="dxa"/>
            <w:vAlign w:val="bottom"/>
            <w:tcBorders>
              <w:bottom w:val="single" w:sz="8" w:color="EFE9FC"/>
            </w:tcBorders>
            <w:gridSpan w:val="2"/>
            <w:shd w:val="clear" w:color="auto" w:fill="EFE9FC"/>
          </w:tcPr>
          <w:p>
            <w:pPr>
              <w:jc w:val="right"/>
              <w:ind w:right="40"/>
              <w:spacing w:after="0"/>
              <w:rPr>
                <w:sz w:val="20"/>
                <w:szCs w:val="20"/>
                <w:color w:val="auto"/>
              </w:rPr>
            </w:pPr>
            <w:r>
              <w:rPr>
                <w:rFonts w:ascii="Arial" w:cs="Arial" w:eastAsia="Arial" w:hAnsi="Arial"/>
                <w:sz w:val="15"/>
                <w:szCs w:val="15"/>
                <w:color w:val="auto"/>
              </w:rPr>
              <w:t>902,900</w:t>
            </w:r>
          </w:p>
        </w:tc>
      </w:tr>
      <w:tr>
        <w:trPr>
          <w:trHeight w:val="222"/>
        </w:trPr>
        <w:tc>
          <w:tcPr>
            <w:tcW w:w="3300" w:type="dxa"/>
            <w:vAlign w:val="bottom"/>
          </w:tcPr>
          <w:p>
            <w:pPr>
              <w:ind w:left="40"/>
              <w:spacing w:after="0"/>
              <w:rPr>
                <w:sz w:val="20"/>
                <w:szCs w:val="20"/>
                <w:color w:val="auto"/>
              </w:rPr>
            </w:pPr>
            <w:r>
              <w:rPr>
                <w:rFonts w:ascii="Arial" w:cs="Arial" w:eastAsia="Arial" w:hAnsi="Arial"/>
                <w:sz w:val="15"/>
                <w:szCs w:val="15"/>
                <w:color w:val="auto"/>
              </w:rPr>
              <w:t>Alistair Simpson</w:t>
            </w:r>
          </w:p>
        </w:tc>
        <w:tc>
          <w:tcPr>
            <w:tcW w:w="178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540" w:type="dxa"/>
            <w:vAlign w:val="bottom"/>
          </w:tcPr>
          <w:p>
            <w:pPr>
              <w:jc w:val="right"/>
              <w:ind w:right="26"/>
              <w:spacing w:after="0"/>
              <w:rPr>
                <w:sz w:val="20"/>
                <w:szCs w:val="20"/>
                <w:color w:val="auto"/>
              </w:rPr>
            </w:pPr>
            <w:r>
              <w:rPr>
                <w:rFonts w:ascii="Arial" w:cs="Arial" w:eastAsia="Arial" w:hAnsi="Arial"/>
                <w:sz w:val="15"/>
                <w:szCs w:val="15"/>
                <w:color w:val="auto"/>
              </w:rPr>
              <w:t>2,947</w:t>
            </w:r>
          </w:p>
        </w:tc>
        <w:tc>
          <w:tcPr>
            <w:tcW w:w="1200" w:type="dxa"/>
            <w:vAlign w:val="bottom"/>
            <w:gridSpan w:val="2"/>
          </w:tcPr>
          <w:p>
            <w:pPr>
              <w:jc w:val="right"/>
              <w:ind w:right="40"/>
              <w:spacing w:after="0"/>
              <w:rPr>
                <w:sz w:val="20"/>
                <w:szCs w:val="20"/>
                <w:color w:val="auto"/>
              </w:rPr>
            </w:pPr>
            <w:r>
              <w:rPr>
                <w:rFonts w:ascii="Arial" w:cs="Arial" w:eastAsia="Arial" w:hAnsi="Arial"/>
                <w:sz w:val="15"/>
                <w:szCs w:val="15"/>
                <w:color w:val="auto"/>
              </w:rPr>
              <w:t>270,040</w:t>
            </w:r>
          </w:p>
        </w:tc>
      </w:tr>
      <w:tr>
        <w:trPr>
          <w:trHeight w:val="22"/>
        </w:trPr>
        <w:tc>
          <w:tcPr>
            <w:tcW w:w="3300" w:type="dxa"/>
            <w:vAlign w:val="bottom"/>
            <w:tcBorders>
              <w:bottom w:val="single" w:sz="8" w:color="4800E6"/>
            </w:tcBorders>
          </w:tcPr>
          <w:p>
            <w:pPr>
              <w:spacing w:after="0" w:line="20" w:lineRule="exact"/>
              <w:rPr>
                <w:sz w:val="1"/>
                <w:szCs w:val="1"/>
                <w:color w:val="auto"/>
              </w:rPr>
            </w:pPr>
          </w:p>
        </w:tc>
        <w:tc>
          <w:tcPr>
            <w:tcW w:w="1780" w:type="dxa"/>
            <w:vAlign w:val="bottom"/>
            <w:tcBorders>
              <w:bottom w:val="single" w:sz="8" w:color="4800E6"/>
            </w:tcBorders>
          </w:tcPr>
          <w:p>
            <w:pPr>
              <w:spacing w:after="0" w:line="20" w:lineRule="exact"/>
              <w:rPr>
                <w:sz w:val="1"/>
                <w:szCs w:val="1"/>
                <w:color w:val="auto"/>
              </w:rPr>
            </w:pPr>
          </w:p>
        </w:tc>
        <w:tc>
          <w:tcPr>
            <w:tcW w:w="1140" w:type="dxa"/>
            <w:vAlign w:val="bottom"/>
            <w:tcBorders>
              <w:bottom w:val="single" w:sz="8" w:color="4800E6"/>
            </w:tcBorders>
          </w:tcPr>
          <w:p>
            <w:pPr>
              <w:spacing w:after="0" w:line="20" w:lineRule="exact"/>
              <w:rPr>
                <w:sz w:val="1"/>
                <w:szCs w:val="1"/>
                <w:color w:val="auto"/>
              </w:rPr>
            </w:pPr>
          </w:p>
        </w:tc>
        <w:tc>
          <w:tcPr>
            <w:tcW w:w="220" w:type="dxa"/>
            <w:vAlign w:val="bottom"/>
            <w:tcBorders>
              <w:bottom w:val="single" w:sz="8" w:color="4800E6"/>
            </w:tcBorders>
          </w:tcPr>
          <w:p>
            <w:pPr>
              <w:spacing w:after="0" w:line="20" w:lineRule="exact"/>
              <w:rPr>
                <w:sz w:val="1"/>
                <w:szCs w:val="1"/>
                <w:color w:val="auto"/>
              </w:rPr>
            </w:pPr>
          </w:p>
        </w:tc>
        <w:tc>
          <w:tcPr>
            <w:tcW w:w="1540" w:type="dxa"/>
            <w:vAlign w:val="bottom"/>
            <w:tcBorders>
              <w:bottom w:val="single" w:sz="8" w:color="4800E6"/>
            </w:tcBorders>
          </w:tcPr>
          <w:p>
            <w:pPr>
              <w:spacing w:after="0" w:line="20" w:lineRule="exact"/>
              <w:rPr>
                <w:sz w:val="1"/>
                <w:szCs w:val="1"/>
                <w:color w:val="auto"/>
              </w:rPr>
            </w:pPr>
          </w:p>
        </w:tc>
        <w:tc>
          <w:tcPr>
            <w:tcW w:w="1140" w:type="dxa"/>
            <w:vAlign w:val="bottom"/>
            <w:tcBorders>
              <w:bottom w:val="single" w:sz="8" w:color="4800E6"/>
            </w:tcBorders>
          </w:tcPr>
          <w:p>
            <w:pPr>
              <w:spacing w:after="0" w:line="20" w:lineRule="exact"/>
              <w:rPr>
                <w:sz w:val="1"/>
                <w:szCs w:val="1"/>
                <w:color w:val="auto"/>
              </w:rPr>
            </w:pPr>
          </w:p>
        </w:tc>
        <w:tc>
          <w:tcPr>
            <w:tcW w:w="60" w:type="dxa"/>
            <w:vAlign w:val="bottom"/>
            <w:tcBorders>
              <w:bottom w:val="single" w:sz="8" w:color="4800E6"/>
            </w:tcBorders>
          </w:tcPr>
          <w:p>
            <w:pPr>
              <w:spacing w:after="0" w:line="20" w:lineRule="exact"/>
              <w:rPr>
                <w:sz w:val="1"/>
                <w:szCs w:val="1"/>
                <w:color w:val="auto"/>
              </w:rPr>
            </w:pPr>
          </w:p>
        </w:tc>
      </w:tr>
    </w:tbl>
    <w:p>
      <w:pPr>
        <w:spacing w:after="0" w:line="94" w:lineRule="exact"/>
        <w:rPr>
          <w:sz w:val="20"/>
          <w:szCs w:val="20"/>
          <w:color w:val="auto"/>
        </w:rPr>
      </w:pPr>
    </w:p>
    <w:p>
      <w:pPr>
        <w:ind w:left="760"/>
        <w:spacing w:after="0"/>
        <w:rPr>
          <w:sz w:val="20"/>
          <w:szCs w:val="20"/>
          <w:color w:val="auto"/>
        </w:rPr>
      </w:pPr>
      <w:r>
        <w:rPr>
          <w:rFonts w:ascii="Arial" w:cs="Arial" w:eastAsia="Arial" w:hAnsi="Arial"/>
          <w:sz w:val="20"/>
          <w:szCs w:val="20"/>
          <w:b w:val="1"/>
          <w:bCs w:val="1"/>
          <w:color w:val="FF4C4C"/>
        </w:rPr>
        <w:t>2019 Pension Benefits</w:t>
      </w:r>
    </w:p>
    <w:p>
      <w:pPr>
        <w:spacing w:after="0" w:line="110" w:lineRule="exact"/>
        <w:rPr>
          <w:sz w:val="20"/>
          <w:szCs w:val="20"/>
          <w:color w:val="auto"/>
        </w:rPr>
      </w:pPr>
    </w:p>
    <w:p>
      <w:pPr>
        <w:ind w:left="760"/>
        <w:spacing w:after="0"/>
        <w:rPr>
          <w:sz w:val="20"/>
          <w:szCs w:val="20"/>
          <w:color w:val="auto"/>
        </w:rPr>
      </w:pPr>
      <w:r>
        <w:rPr>
          <w:rFonts w:ascii="Arial" w:cs="Arial" w:eastAsia="Arial" w:hAnsi="Arial"/>
          <w:sz w:val="16"/>
          <w:szCs w:val="16"/>
          <w:color w:val="auto"/>
        </w:rPr>
        <w:t>The Company has no defined benefit plan applicable to our NEOs.</w:t>
      </w:r>
    </w:p>
    <w:p>
      <w:pPr>
        <w:spacing w:after="0" w:line="138" w:lineRule="exact"/>
        <w:rPr>
          <w:sz w:val="20"/>
          <w:szCs w:val="20"/>
          <w:color w:val="auto"/>
        </w:rPr>
      </w:pPr>
    </w:p>
    <w:p>
      <w:pPr>
        <w:ind w:left="760"/>
        <w:spacing w:after="0"/>
        <w:rPr>
          <w:sz w:val="20"/>
          <w:szCs w:val="20"/>
          <w:color w:val="auto"/>
        </w:rPr>
      </w:pPr>
      <w:r>
        <w:rPr>
          <w:rFonts w:ascii="Arial" w:cs="Arial" w:eastAsia="Arial" w:hAnsi="Arial"/>
          <w:sz w:val="20"/>
          <w:szCs w:val="20"/>
          <w:b w:val="1"/>
          <w:bCs w:val="1"/>
          <w:color w:val="FF4C4C"/>
        </w:rPr>
        <w:t>2019 Non-Qualified Deferred Compensation</w:t>
      </w:r>
    </w:p>
    <w:p>
      <w:pPr>
        <w:spacing w:after="0" w:line="124" w:lineRule="exact"/>
        <w:rPr>
          <w:sz w:val="20"/>
          <w:szCs w:val="20"/>
          <w:color w:val="auto"/>
        </w:rPr>
      </w:pPr>
    </w:p>
    <w:p>
      <w:pPr>
        <w:ind w:left="760" w:right="280"/>
        <w:spacing w:after="0" w:line="250" w:lineRule="auto"/>
        <w:rPr>
          <w:sz w:val="20"/>
          <w:szCs w:val="20"/>
          <w:color w:val="auto"/>
        </w:rPr>
      </w:pPr>
      <w:r>
        <w:rPr>
          <w:rFonts w:ascii="Arial" w:cs="Arial" w:eastAsia="Arial" w:hAnsi="Arial"/>
          <w:sz w:val="16"/>
          <w:szCs w:val="16"/>
          <w:color w:val="auto"/>
        </w:rPr>
        <w:t>One of our NEOs, Mr. Andrle, participated in a non-qualified deferred compensation plan in 2019 in which employees may defer up to 50% of their annual base salary and commissions and 100% of their bonus or performance-based compensation until the earlier of (i) termination of employment; or (ii) an elected distribution date. Employer contributions are provided to employees who defer into the plan, and for those employees who are legacy participants in the plan. For the plan year 2019, Mr. Andrle did not elect to defer into the plan and received an employer contribution of 6% of salary.</w:t>
      </w:r>
    </w:p>
    <w:p>
      <w:pPr>
        <w:spacing w:after="0" w:line="134" w:lineRule="exact"/>
        <w:rPr>
          <w:sz w:val="20"/>
          <w:szCs w:val="20"/>
          <w:color w:val="auto"/>
        </w:rPr>
      </w:pPr>
    </w:p>
    <w:tbl>
      <w:tblPr>
        <w:tblLayout w:type="fixed"/>
        <w:tblInd w:w="760" w:type="dxa"/>
        <w:tblCellMar>
          <w:top w:w="0" w:type="dxa"/>
          <w:left w:w="0" w:type="dxa"/>
          <w:bottom w:w="0" w:type="dxa"/>
          <w:right w:w="0" w:type="dxa"/>
        </w:tblCellMar>
      </w:tblPr>
      <w:tr>
        <w:trPr>
          <w:trHeight w:val="162"/>
        </w:trPr>
        <w:tc>
          <w:tcPr>
            <w:tcW w:w="2180" w:type="dxa"/>
            <w:vAlign w:val="bottom"/>
          </w:tcPr>
          <w:p>
            <w:pPr>
              <w:spacing w:after="0"/>
              <w:rPr>
                <w:sz w:val="14"/>
                <w:szCs w:val="14"/>
                <w:color w:val="auto"/>
              </w:rPr>
            </w:pPr>
          </w:p>
        </w:tc>
        <w:tc>
          <w:tcPr>
            <w:tcW w:w="240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280" w:type="dxa"/>
            <w:vAlign w:val="bottom"/>
          </w:tcPr>
          <w:p>
            <w:pPr>
              <w:jc w:val="right"/>
              <w:ind w:right="87"/>
              <w:spacing w:after="0"/>
              <w:rPr>
                <w:sz w:val="20"/>
                <w:szCs w:val="20"/>
                <w:color w:val="auto"/>
              </w:rPr>
            </w:pPr>
            <w:r>
              <w:rPr>
                <w:rFonts w:ascii="Arial" w:cs="Arial" w:eastAsia="Arial" w:hAnsi="Arial"/>
                <w:sz w:val="14"/>
                <w:szCs w:val="14"/>
                <w:b w:val="1"/>
                <w:bCs w:val="1"/>
                <w:color w:val="4800E6"/>
              </w:rPr>
              <w:t>Aggregate</w:t>
            </w:r>
          </w:p>
        </w:tc>
        <w:tc>
          <w:tcPr>
            <w:tcW w:w="9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180" w:type="dxa"/>
            <w:vAlign w:val="bottom"/>
          </w:tcPr>
          <w:p>
            <w:pPr>
              <w:spacing w:after="0"/>
              <w:rPr>
                <w:sz w:val="14"/>
                <w:szCs w:val="14"/>
                <w:color w:val="auto"/>
              </w:rPr>
            </w:pPr>
          </w:p>
        </w:tc>
        <w:tc>
          <w:tcPr>
            <w:tcW w:w="2400" w:type="dxa"/>
            <w:vAlign w:val="bottom"/>
          </w:tcPr>
          <w:p>
            <w:pPr>
              <w:spacing w:after="0"/>
              <w:rPr>
                <w:sz w:val="14"/>
                <w:szCs w:val="14"/>
                <w:color w:val="auto"/>
              </w:rPr>
            </w:pPr>
          </w:p>
        </w:tc>
        <w:tc>
          <w:tcPr>
            <w:tcW w:w="1360" w:type="dxa"/>
            <w:vAlign w:val="bottom"/>
            <w:vMerge w:val="restart"/>
          </w:tcPr>
          <w:p>
            <w:pPr>
              <w:jc w:val="right"/>
              <w:ind w:right="87"/>
              <w:spacing w:after="0"/>
              <w:rPr>
                <w:sz w:val="20"/>
                <w:szCs w:val="20"/>
                <w:color w:val="auto"/>
              </w:rPr>
            </w:pPr>
            <w:r>
              <w:rPr>
                <w:rFonts w:ascii="Arial" w:cs="Arial" w:eastAsia="Arial" w:hAnsi="Arial"/>
                <w:sz w:val="14"/>
                <w:szCs w:val="14"/>
                <w:b w:val="1"/>
                <w:bCs w:val="1"/>
                <w:color w:val="4800E6"/>
              </w:rPr>
              <w:t>Registrant</w:t>
            </w:r>
          </w:p>
        </w:tc>
        <w:tc>
          <w:tcPr>
            <w:tcW w:w="1020" w:type="dxa"/>
            <w:vAlign w:val="bottom"/>
          </w:tcPr>
          <w:p>
            <w:pPr>
              <w:jc w:val="right"/>
              <w:ind w:right="107"/>
              <w:spacing w:after="0"/>
              <w:rPr>
                <w:sz w:val="20"/>
                <w:szCs w:val="20"/>
                <w:color w:val="auto"/>
              </w:rPr>
            </w:pPr>
            <w:r>
              <w:rPr>
                <w:rFonts w:ascii="Arial" w:cs="Arial" w:eastAsia="Arial" w:hAnsi="Arial"/>
                <w:sz w:val="14"/>
                <w:szCs w:val="14"/>
                <w:b w:val="1"/>
                <w:bCs w:val="1"/>
                <w:color w:val="4800E6"/>
              </w:rPr>
              <w:t>Aggregate</w:t>
            </w:r>
          </w:p>
        </w:tc>
        <w:tc>
          <w:tcPr>
            <w:tcW w:w="1280" w:type="dxa"/>
            <w:vAlign w:val="bottom"/>
          </w:tcPr>
          <w:p>
            <w:pPr>
              <w:jc w:val="right"/>
              <w:ind w:right="47"/>
              <w:spacing w:after="0"/>
              <w:rPr>
                <w:sz w:val="20"/>
                <w:szCs w:val="20"/>
                <w:color w:val="auto"/>
              </w:rPr>
            </w:pPr>
            <w:r>
              <w:rPr>
                <w:rFonts w:ascii="Arial" w:cs="Arial" w:eastAsia="Arial" w:hAnsi="Arial"/>
                <w:sz w:val="14"/>
                <w:szCs w:val="14"/>
                <w:b w:val="1"/>
                <w:bCs w:val="1"/>
                <w:color w:val="4800E6"/>
              </w:rPr>
              <w:t>Withdrawals/</w:t>
            </w:r>
          </w:p>
        </w:tc>
        <w:tc>
          <w:tcPr>
            <w:tcW w:w="940" w:type="dxa"/>
            <w:vAlign w:val="bottom"/>
          </w:tcPr>
          <w:p>
            <w:pPr>
              <w:jc w:val="right"/>
              <w:ind w:right="27"/>
              <w:spacing w:after="0"/>
              <w:rPr>
                <w:sz w:val="20"/>
                <w:szCs w:val="20"/>
                <w:color w:val="auto"/>
              </w:rPr>
            </w:pPr>
            <w:r>
              <w:rPr>
                <w:rFonts w:ascii="Arial" w:cs="Arial" w:eastAsia="Arial" w:hAnsi="Arial"/>
                <w:sz w:val="14"/>
                <w:szCs w:val="14"/>
                <w:b w:val="1"/>
                <w:bCs w:val="1"/>
                <w:color w:val="4800E6"/>
              </w:rPr>
              <w:t>Aggregate</w:t>
            </w:r>
          </w:p>
        </w:tc>
        <w:tc>
          <w:tcPr>
            <w:tcW w:w="0" w:type="dxa"/>
            <w:vAlign w:val="bottom"/>
          </w:tcPr>
          <w:p>
            <w:pPr>
              <w:spacing w:after="0"/>
              <w:rPr>
                <w:sz w:val="1"/>
                <w:szCs w:val="1"/>
                <w:color w:val="auto"/>
              </w:rPr>
            </w:pPr>
          </w:p>
        </w:tc>
      </w:tr>
      <w:tr>
        <w:trPr>
          <w:trHeight w:val="148"/>
        </w:trPr>
        <w:tc>
          <w:tcPr>
            <w:tcW w:w="2180" w:type="dxa"/>
            <w:vAlign w:val="bottom"/>
          </w:tcPr>
          <w:p>
            <w:pPr>
              <w:spacing w:after="0"/>
              <w:rPr>
                <w:sz w:val="12"/>
                <w:szCs w:val="12"/>
                <w:color w:val="auto"/>
              </w:rPr>
            </w:pPr>
          </w:p>
        </w:tc>
        <w:tc>
          <w:tcPr>
            <w:tcW w:w="2400" w:type="dxa"/>
            <w:vAlign w:val="bottom"/>
          </w:tcPr>
          <w:p>
            <w:pPr>
              <w:jc w:val="right"/>
              <w:ind w:right="87"/>
              <w:spacing w:after="0" w:line="148" w:lineRule="exact"/>
              <w:rPr>
                <w:sz w:val="20"/>
                <w:szCs w:val="20"/>
                <w:color w:val="auto"/>
              </w:rPr>
            </w:pPr>
            <w:r>
              <w:rPr>
                <w:rFonts w:ascii="Arial" w:cs="Arial" w:eastAsia="Arial" w:hAnsi="Arial"/>
                <w:sz w:val="14"/>
                <w:szCs w:val="14"/>
                <w:b w:val="1"/>
                <w:bCs w:val="1"/>
                <w:color w:val="4800E6"/>
              </w:rPr>
              <w:t>Executive</w:t>
            </w:r>
          </w:p>
        </w:tc>
        <w:tc>
          <w:tcPr>
            <w:tcW w:w="1360" w:type="dxa"/>
            <w:vAlign w:val="bottom"/>
            <w:vMerge w:val="continue"/>
          </w:tcPr>
          <w:p>
            <w:pPr>
              <w:spacing w:after="0"/>
              <w:rPr>
                <w:sz w:val="12"/>
                <w:szCs w:val="12"/>
                <w:color w:val="auto"/>
              </w:rPr>
            </w:pPr>
          </w:p>
        </w:tc>
        <w:tc>
          <w:tcPr>
            <w:tcW w:w="1020" w:type="dxa"/>
            <w:vAlign w:val="bottom"/>
          </w:tcPr>
          <w:p>
            <w:pPr>
              <w:jc w:val="right"/>
              <w:ind w:right="107"/>
              <w:spacing w:after="0" w:line="148" w:lineRule="exact"/>
              <w:rPr>
                <w:sz w:val="20"/>
                <w:szCs w:val="20"/>
                <w:color w:val="auto"/>
              </w:rPr>
            </w:pPr>
            <w:r>
              <w:rPr>
                <w:rFonts w:ascii="Arial" w:cs="Arial" w:eastAsia="Arial" w:hAnsi="Arial"/>
                <w:sz w:val="14"/>
                <w:szCs w:val="14"/>
                <w:b w:val="1"/>
                <w:bCs w:val="1"/>
                <w:color w:val="4800E6"/>
              </w:rPr>
              <w:t>Earnings</w:t>
            </w:r>
          </w:p>
        </w:tc>
        <w:tc>
          <w:tcPr>
            <w:tcW w:w="1280" w:type="dxa"/>
            <w:vAlign w:val="bottom"/>
          </w:tcPr>
          <w:p>
            <w:pPr>
              <w:jc w:val="right"/>
              <w:ind w:right="47"/>
              <w:spacing w:after="0" w:line="148" w:lineRule="exact"/>
              <w:rPr>
                <w:sz w:val="20"/>
                <w:szCs w:val="20"/>
                <w:color w:val="auto"/>
              </w:rPr>
            </w:pPr>
            <w:r>
              <w:rPr>
                <w:rFonts w:ascii="Arial" w:cs="Arial" w:eastAsia="Arial" w:hAnsi="Arial"/>
                <w:sz w:val="14"/>
                <w:szCs w:val="14"/>
                <w:b w:val="1"/>
                <w:bCs w:val="1"/>
                <w:color w:val="4800E6"/>
              </w:rPr>
              <w:t>Distributions in</w:t>
            </w:r>
          </w:p>
        </w:tc>
        <w:tc>
          <w:tcPr>
            <w:tcW w:w="940" w:type="dxa"/>
            <w:vAlign w:val="bottom"/>
          </w:tcPr>
          <w:p>
            <w:pPr>
              <w:jc w:val="right"/>
              <w:ind w:right="27"/>
              <w:spacing w:after="0" w:line="148" w:lineRule="exact"/>
              <w:rPr>
                <w:sz w:val="20"/>
                <w:szCs w:val="20"/>
                <w:color w:val="auto"/>
              </w:rPr>
            </w:pPr>
            <w:r>
              <w:rPr>
                <w:rFonts w:ascii="Arial" w:cs="Arial" w:eastAsia="Arial" w:hAnsi="Arial"/>
                <w:sz w:val="14"/>
                <w:szCs w:val="14"/>
                <w:b w:val="1"/>
                <w:bCs w:val="1"/>
                <w:color w:val="4800E6"/>
              </w:rPr>
              <w:t>Balance at</w:t>
            </w:r>
          </w:p>
        </w:tc>
        <w:tc>
          <w:tcPr>
            <w:tcW w:w="0" w:type="dxa"/>
            <w:vAlign w:val="bottom"/>
          </w:tcPr>
          <w:p>
            <w:pPr>
              <w:spacing w:after="0"/>
              <w:rPr>
                <w:sz w:val="1"/>
                <w:szCs w:val="1"/>
                <w:color w:val="auto"/>
              </w:rPr>
            </w:pPr>
          </w:p>
        </w:tc>
      </w:tr>
      <w:tr>
        <w:trPr>
          <w:trHeight w:val="162"/>
        </w:trPr>
        <w:tc>
          <w:tcPr>
            <w:tcW w:w="2180" w:type="dxa"/>
            <w:vAlign w:val="bottom"/>
          </w:tcPr>
          <w:p>
            <w:pPr>
              <w:spacing w:after="0"/>
              <w:rPr>
                <w:sz w:val="14"/>
                <w:szCs w:val="14"/>
                <w:color w:val="auto"/>
              </w:rPr>
            </w:pPr>
          </w:p>
        </w:tc>
        <w:tc>
          <w:tcPr>
            <w:tcW w:w="2400" w:type="dxa"/>
            <w:vAlign w:val="bottom"/>
          </w:tcPr>
          <w:p>
            <w:pPr>
              <w:jc w:val="right"/>
              <w:ind w:right="87"/>
              <w:spacing w:after="0"/>
              <w:rPr>
                <w:sz w:val="20"/>
                <w:szCs w:val="20"/>
                <w:color w:val="auto"/>
              </w:rPr>
            </w:pPr>
            <w:r>
              <w:rPr>
                <w:rFonts w:ascii="Arial" w:cs="Arial" w:eastAsia="Arial" w:hAnsi="Arial"/>
                <w:sz w:val="14"/>
                <w:szCs w:val="14"/>
                <w:b w:val="1"/>
                <w:bCs w:val="1"/>
                <w:color w:val="4800E6"/>
              </w:rPr>
              <w:t>Contributions in</w:t>
            </w:r>
          </w:p>
        </w:tc>
        <w:tc>
          <w:tcPr>
            <w:tcW w:w="1360" w:type="dxa"/>
            <w:vAlign w:val="bottom"/>
          </w:tcPr>
          <w:p>
            <w:pPr>
              <w:jc w:val="right"/>
              <w:ind w:right="87"/>
              <w:spacing w:after="0"/>
              <w:rPr>
                <w:sz w:val="20"/>
                <w:szCs w:val="20"/>
                <w:color w:val="auto"/>
              </w:rPr>
            </w:pPr>
            <w:r>
              <w:rPr>
                <w:rFonts w:ascii="Arial" w:cs="Arial" w:eastAsia="Arial" w:hAnsi="Arial"/>
                <w:sz w:val="14"/>
                <w:szCs w:val="14"/>
                <w:b w:val="1"/>
                <w:bCs w:val="1"/>
                <w:color w:val="4800E6"/>
              </w:rPr>
              <w:t>Contributions in</w:t>
            </w:r>
          </w:p>
        </w:tc>
        <w:tc>
          <w:tcPr>
            <w:tcW w:w="1020" w:type="dxa"/>
            <w:vAlign w:val="bottom"/>
          </w:tcPr>
          <w:p>
            <w:pPr>
              <w:jc w:val="right"/>
              <w:ind w:right="107"/>
              <w:spacing w:after="0"/>
              <w:rPr>
                <w:sz w:val="20"/>
                <w:szCs w:val="20"/>
                <w:color w:val="auto"/>
              </w:rPr>
            </w:pPr>
            <w:r>
              <w:rPr>
                <w:rFonts w:ascii="Arial" w:cs="Arial" w:eastAsia="Arial" w:hAnsi="Arial"/>
                <w:sz w:val="14"/>
                <w:szCs w:val="14"/>
                <w:b w:val="1"/>
                <w:bCs w:val="1"/>
                <w:color w:val="4800E6"/>
              </w:rPr>
              <w:t>in Last</w:t>
            </w:r>
          </w:p>
        </w:tc>
        <w:tc>
          <w:tcPr>
            <w:tcW w:w="1280" w:type="dxa"/>
            <w:vAlign w:val="bottom"/>
          </w:tcPr>
          <w:p>
            <w:pPr>
              <w:jc w:val="right"/>
              <w:ind w:right="47"/>
              <w:spacing w:after="0"/>
              <w:rPr>
                <w:sz w:val="20"/>
                <w:szCs w:val="20"/>
                <w:color w:val="auto"/>
              </w:rPr>
            </w:pPr>
            <w:r>
              <w:rPr>
                <w:rFonts w:ascii="Arial" w:cs="Arial" w:eastAsia="Arial" w:hAnsi="Arial"/>
                <w:sz w:val="14"/>
                <w:szCs w:val="14"/>
                <w:b w:val="1"/>
                <w:bCs w:val="1"/>
                <w:color w:val="4800E6"/>
              </w:rPr>
              <w:t>Last Fiscal</w:t>
            </w:r>
          </w:p>
        </w:tc>
        <w:tc>
          <w:tcPr>
            <w:tcW w:w="940" w:type="dxa"/>
            <w:vAlign w:val="bottom"/>
          </w:tcPr>
          <w:p>
            <w:pPr>
              <w:jc w:val="right"/>
              <w:ind w:right="27"/>
              <w:spacing w:after="0"/>
              <w:rPr>
                <w:sz w:val="20"/>
                <w:szCs w:val="20"/>
                <w:color w:val="auto"/>
              </w:rPr>
            </w:pPr>
            <w:r>
              <w:rPr>
                <w:rFonts w:ascii="Arial" w:cs="Arial" w:eastAsia="Arial" w:hAnsi="Arial"/>
                <w:sz w:val="14"/>
                <w:szCs w:val="14"/>
                <w:b w:val="1"/>
                <w:bCs w:val="1"/>
                <w:color w:val="4800E6"/>
              </w:rPr>
              <w:t>Last Fiscal</w:t>
            </w:r>
          </w:p>
        </w:tc>
        <w:tc>
          <w:tcPr>
            <w:tcW w:w="0" w:type="dxa"/>
            <w:vAlign w:val="bottom"/>
          </w:tcPr>
          <w:p>
            <w:pPr>
              <w:spacing w:after="0"/>
              <w:rPr>
                <w:sz w:val="1"/>
                <w:szCs w:val="1"/>
                <w:color w:val="auto"/>
              </w:rPr>
            </w:pPr>
          </w:p>
        </w:tc>
      </w:tr>
      <w:tr>
        <w:trPr>
          <w:trHeight w:val="162"/>
        </w:trPr>
        <w:tc>
          <w:tcPr>
            <w:tcW w:w="2180" w:type="dxa"/>
            <w:vAlign w:val="bottom"/>
          </w:tcPr>
          <w:p>
            <w:pPr>
              <w:spacing w:after="0"/>
              <w:rPr>
                <w:sz w:val="14"/>
                <w:szCs w:val="14"/>
                <w:color w:val="auto"/>
              </w:rPr>
            </w:pPr>
          </w:p>
        </w:tc>
        <w:tc>
          <w:tcPr>
            <w:tcW w:w="2400" w:type="dxa"/>
            <w:vAlign w:val="bottom"/>
          </w:tcPr>
          <w:p>
            <w:pPr>
              <w:jc w:val="right"/>
              <w:ind w:right="87"/>
              <w:spacing w:after="0"/>
              <w:rPr>
                <w:sz w:val="20"/>
                <w:szCs w:val="20"/>
                <w:color w:val="auto"/>
              </w:rPr>
            </w:pPr>
            <w:r>
              <w:rPr>
                <w:rFonts w:ascii="Arial" w:cs="Arial" w:eastAsia="Arial" w:hAnsi="Arial"/>
                <w:sz w:val="14"/>
                <w:szCs w:val="14"/>
                <w:b w:val="1"/>
                <w:bCs w:val="1"/>
                <w:color w:val="4800E6"/>
              </w:rPr>
              <w:t>Last Fiscal Year</w:t>
            </w:r>
          </w:p>
        </w:tc>
        <w:tc>
          <w:tcPr>
            <w:tcW w:w="1360" w:type="dxa"/>
            <w:vAlign w:val="bottom"/>
          </w:tcPr>
          <w:p>
            <w:pPr>
              <w:jc w:val="right"/>
              <w:ind w:right="87"/>
              <w:spacing w:after="0"/>
              <w:rPr>
                <w:sz w:val="20"/>
                <w:szCs w:val="20"/>
                <w:color w:val="auto"/>
              </w:rPr>
            </w:pPr>
            <w:r>
              <w:rPr>
                <w:rFonts w:ascii="Arial" w:cs="Arial" w:eastAsia="Arial" w:hAnsi="Arial"/>
                <w:sz w:val="14"/>
                <w:szCs w:val="14"/>
                <w:b w:val="1"/>
                <w:bCs w:val="1"/>
                <w:color w:val="4800E6"/>
              </w:rPr>
              <w:t>Last Fiscal Year</w:t>
            </w:r>
          </w:p>
        </w:tc>
        <w:tc>
          <w:tcPr>
            <w:tcW w:w="1020" w:type="dxa"/>
            <w:vAlign w:val="bottom"/>
          </w:tcPr>
          <w:p>
            <w:pPr>
              <w:jc w:val="right"/>
              <w:ind w:right="107"/>
              <w:spacing w:after="0"/>
              <w:rPr>
                <w:sz w:val="20"/>
                <w:szCs w:val="20"/>
                <w:color w:val="auto"/>
              </w:rPr>
            </w:pPr>
            <w:r>
              <w:rPr>
                <w:rFonts w:ascii="Arial" w:cs="Arial" w:eastAsia="Arial" w:hAnsi="Arial"/>
                <w:sz w:val="14"/>
                <w:szCs w:val="14"/>
                <w:b w:val="1"/>
                <w:bCs w:val="1"/>
                <w:color w:val="4800E6"/>
              </w:rPr>
              <w:t>Fiscal Year</w:t>
            </w:r>
          </w:p>
        </w:tc>
        <w:tc>
          <w:tcPr>
            <w:tcW w:w="1280" w:type="dxa"/>
            <w:vAlign w:val="bottom"/>
          </w:tcPr>
          <w:p>
            <w:pPr>
              <w:jc w:val="right"/>
              <w:ind w:right="47"/>
              <w:spacing w:after="0"/>
              <w:rPr>
                <w:sz w:val="20"/>
                <w:szCs w:val="20"/>
                <w:color w:val="auto"/>
              </w:rPr>
            </w:pPr>
            <w:r>
              <w:rPr>
                <w:rFonts w:ascii="Arial" w:cs="Arial" w:eastAsia="Arial" w:hAnsi="Arial"/>
                <w:sz w:val="14"/>
                <w:szCs w:val="14"/>
                <w:b w:val="1"/>
                <w:bCs w:val="1"/>
                <w:color w:val="4800E6"/>
              </w:rPr>
              <w:t>Year</w:t>
            </w:r>
          </w:p>
        </w:tc>
        <w:tc>
          <w:tcPr>
            <w:tcW w:w="940" w:type="dxa"/>
            <w:vAlign w:val="bottom"/>
          </w:tcPr>
          <w:p>
            <w:pPr>
              <w:jc w:val="right"/>
              <w:ind w:right="27"/>
              <w:spacing w:after="0"/>
              <w:rPr>
                <w:sz w:val="20"/>
                <w:szCs w:val="20"/>
                <w:color w:val="auto"/>
              </w:rPr>
            </w:pPr>
            <w:r>
              <w:rPr>
                <w:rFonts w:ascii="Arial" w:cs="Arial" w:eastAsia="Arial" w:hAnsi="Arial"/>
                <w:sz w:val="14"/>
                <w:szCs w:val="14"/>
                <w:b w:val="1"/>
                <w:bCs w:val="1"/>
                <w:color w:val="4800E6"/>
              </w:rPr>
              <w:t>Year</w:t>
            </w:r>
          </w:p>
        </w:tc>
        <w:tc>
          <w:tcPr>
            <w:tcW w:w="0" w:type="dxa"/>
            <w:vAlign w:val="bottom"/>
          </w:tcPr>
          <w:p>
            <w:pPr>
              <w:spacing w:after="0"/>
              <w:rPr>
                <w:sz w:val="1"/>
                <w:szCs w:val="1"/>
                <w:color w:val="auto"/>
              </w:rPr>
            </w:pPr>
          </w:p>
        </w:tc>
      </w:tr>
      <w:tr>
        <w:trPr>
          <w:trHeight w:val="216"/>
        </w:trPr>
        <w:tc>
          <w:tcPr>
            <w:tcW w:w="2180" w:type="dxa"/>
            <w:vAlign w:val="bottom"/>
            <w:tcBorders>
              <w:bottom w:val="single" w:sz="8" w:color="4800E6"/>
            </w:tcBorders>
          </w:tcPr>
          <w:p>
            <w:pPr>
              <w:ind w:left="40"/>
              <w:spacing w:after="0"/>
              <w:rPr>
                <w:sz w:val="20"/>
                <w:szCs w:val="20"/>
                <w:color w:val="auto"/>
              </w:rPr>
            </w:pPr>
            <w:r>
              <w:rPr>
                <w:rFonts w:ascii="Arial" w:cs="Arial" w:eastAsia="Arial" w:hAnsi="Arial"/>
                <w:sz w:val="14"/>
                <w:szCs w:val="14"/>
                <w:b w:val="1"/>
                <w:bCs w:val="1"/>
                <w:color w:val="4800E6"/>
              </w:rPr>
              <w:t>Name</w:t>
            </w:r>
          </w:p>
        </w:tc>
        <w:tc>
          <w:tcPr>
            <w:tcW w:w="2400" w:type="dxa"/>
            <w:vAlign w:val="bottom"/>
            <w:tcBorders>
              <w:bottom w:val="single" w:sz="8" w:color="4800E6"/>
            </w:tcBorders>
          </w:tcPr>
          <w:p>
            <w:pPr>
              <w:jc w:val="right"/>
              <w:ind w:right="47"/>
              <w:spacing w:after="0"/>
              <w:rPr>
                <w:sz w:val="20"/>
                <w:szCs w:val="20"/>
                <w:color w:val="auto"/>
              </w:rPr>
            </w:pPr>
            <w:r>
              <w:rPr>
                <w:rFonts w:ascii="Arial" w:cs="Arial" w:eastAsia="Arial" w:hAnsi="Arial"/>
                <w:sz w:val="14"/>
                <w:szCs w:val="14"/>
                <w:b w:val="1"/>
                <w:bCs w:val="1"/>
                <w:color w:val="4800E6"/>
              </w:rPr>
              <w:t>($)</w:t>
            </w:r>
          </w:p>
        </w:tc>
        <w:tc>
          <w:tcPr>
            <w:tcW w:w="1360" w:type="dxa"/>
            <w:vAlign w:val="bottom"/>
            <w:tcBorders>
              <w:bottom w:val="single" w:sz="8" w:color="4800E6"/>
            </w:tcBorders>
          </w:tcPr>
          <w:p>
            <w:pPr>
              <w:jc w:val="right"/>
              <w:ind w:right="47"/>
              <w:spacing w:after="0" w:line="216" w:lineRule="exact"/>
              <w:rPr>
                <w:sz w:val="20"/>
                <w:szCs w:val="20"/>
                <w:color w:val="auto"/>
              </w:rPr>
            </w:pPr>
            <w:r>
              <w:rPr>
                <w:rFonts w:ascii="Arial" w:cs="Arial" w:eastAsia="Arial" w:hAnsi="Arial"/>
                <w:sz w:val="14"/>
                <w:szCs w:val="14"/>
                <w:b w:val="1"/>
                <w:bCs w:val="1"/>
                <w:color w:val="4800E6"/>
              </w:rPr>
              <w:t>($)</w:t>
            </w:r>
            <w:r>
              <w:rPr>
                <w:rFonts w:ascii="Arial" w:cs="Arial" w:eastAsia="Arial" w:hAnsi="Arial"/>
                <w:sz w:val="21"/>
                <w:szCs w:val="21"/>
                <w:b w:val="1"/>
                <w:bCs w:val="1"/>
                <w:color w:val="4800E6"/>
                <w:vertAlign w:val="superscript"/>
              </w:rPr>
              <w:t>(1)</w:t>
            </w:r>
          </w:p>
        </w:tc>
        <w:tc>
          <w:tcPr>
            <w:tcW w:w="1020" w:type="dxa"/>
            <w:vAlign w:val="bottom"/>
            <w:tcBorders>
              <w:bottom w:val="single" w:sz="8" w:color="4800E6"/>
            </w:tcBorders>
          </w:tcPr>
          <w:p>
            <w:pPr>
              <w:jc w:val="right"/>
              <w:ind w:right="67"/>
              <w:spacing w:after="0"/>
              <w:rPr>
                <w:sz w:val="20"/>
                <w:szCs w:val="20"/>
                <w:color w:val="auto"/>
              </w:rPr>
            </w:pPr>
            <w:r>
              <w:rPr>
                <w:rFonts w:ascii="Arial" w:cs="Arial" w:eastAsia="Arial" w:hAnsi="Arial"/>
                <w:sz w:val="14"/>
                <w:szCs w:val="14"/>
                <w:b w:val="1"/>
                <w:bCs w:val="1"/>
                <w:color w:val="4800E6"/>
              </w:rPr>
              <w:t>($)</w:t>
            </w:r>
          </w:p>
        </w:tc>
        <w:tc>
          <w:tcPr>
            <w:tcW w:w="1280" w:type="dxa"/>
            <w:vAlign w:val="bottom"/>
            <w:tcBorders>
              <w:bottom w:val="single" w:sz="8" w:color="4800E6"/>
            </w:tcBorders>
          </w:tcPr>
          <w:p>
            <w:pPr>
              <w:jc w:val="right"/>
              <w:ind w:right="47"/>
              <w:spacing w:after="0"/>
              <w:rPr>
                <w:sz w:val="20"/>
                <w:szCs w:val="20"/>
                <w:color w:val="auto"/>
              </w:rPr>
            </w:pPr>
            <w:r>
              <w:rPr>
                <w:rFonts w:ascii="Arial" w:cs="Arial" w:eastAsia="Arial" w:hAnsi="Arial"/>
                <w:sz w:val="14"/>
                <w:szCs w:val="14"/>
                <w:b w:val="1"/>
                <w:bCs w:val="1"/>
                <w:color w:val="4800E6"/>
              </w:rPr>
              <w:t>($)</w:t>
            </w:r>
          </w:p>
        </w:tc>
        <w:tc>
          <w:tcPr>
            <w:tcW w:w="940" w:type="dxa"/>
            <w:vAlign w:val="bottom"/>
            <w:tcBorders>
              <w:bottom w:val="single" w:sz="8" w:color="4800E6"/>
            </w:tcBorders>
          </w:tcPr>
          <w:p>
            <w:pPr>
              <w:jc w:val="right"/>
              <w:spacing w:after="0"/>
              <w:rPr>
                <w:sz w:val="20"/>
                <w:szCs w:val="20"/>
                <w:color w:val="auto"/>
              </w:rPr>
            </w:pPr>
            <w:r>
              <w:rPr>
                <w:rFonts w:ascii="Arial" w:cs="Arial" w:eastAsia="Arial" w:hAnsi="Arial"/>
                <w:sz w:val="14"/>
                <w:szCs w:val="14"/>
                <w:b w:val="1"/>
                <w:bCs w:val="1"/>
                <w:color w:val="4800E6"/>
              </w:rPr>
              <w:t>($)</w:t>
            </w:r>
          </w:p>
        </w:tc>
        <w:tc>
          <w:tcPr>
            <w:tcW w:w="0" w:type="dxa"/>
            <w:vAlign w:val="bottom"/>
          </w:tcPr>
          <w:p>
            <w:pPr>
              <w:spacing w:after="0"/>
              <w:rPr>
                <w:sz w:val="1"/>
                <w:szCs w:val="1"/>
                <w:color w:val="auto"/>
              </w:rPr>
            </w:pPr>
          </w:p>
        </w:tc>
      </w:tr>
      <w:tr>
        <w:trPr>
          <w:trHeight w:val="215"/>
        </w:trPr>
        <w:tc>
          <w:tcPr>
            <w:tcW w:w="2180" w:type="dxa"/>
            <w:vAlign w:val="bottom"/>
          </w:tcPr>
          <w:p>
            <w:pPr>
              <w:ind w:left="40"/>
              <w:spacing w:after="0"/>
              <w:rPr>
                <w:sz w:val="20"/>
                <w:szCs w:val="20"/>
                <w:color w:val="auto"/>
              </w:rPr>
            </w:pPr>
            <w:r>
              <w:rPr>
                <w:rFonts w:ascii="Arial" w:cs="Arial" w:eastAsia="Arial" w:hAnsi="Arial"/>
                <w:sz w:val="15"/>
                <w:szCs w:val="15"/>
                <w:color w:val="auto"/>
              </w:rPr>
              <w:t>Edward Andrle</w:t>
            </w:r>
          </w:p>
        </w:tc>
        <w:tc>
          <w:tcPr>
            <w:tcW w:w="2400" w:type="dxa"/>
            <w:vAlign w:val="bottom"/>
          </w:tcPr>
          <w:p>
            <w:pPr>
              <w:jc w:val="right"/>
              <w:ind w:right="47"/>
              <w:spacing w:after="0"/>
              <w:rPr>
                <w:sz w:val="20"/>
                <w:szCs w:val="20"/>
                <w:color w:val="auto"/>
              </w:rPr>
            </w:pPr>
            <w:r>
              <w:rPr>
                <w:rFonts w:ascii="Arial" w:cs="Arial" w:eastAsia="Arial" w:hAnsi="Arial"/>
                <w:sz w:val="15"/>
                <w:szCs w:val="15"/>
                <w:color w:val="auto"/>
              </w:rPr>
              <w:t>–</w:t>
            </w:r>
          </w:p>
        </w:tc>
        <w:tc>
          <w:tcPr>
            <w:tcW w:w="1360" w:type="dxa"/>
            <w:vAlign w:val="bottom"/>
          </w:tcPr>
          <w:p>
            <w:pPr>
              <w:jc w:val="right"/>
              <w:ind w:right="47"/>
              <w:spacing w:after="0"/>
              <w:rPr>
                <w:sz w:val="20"/>
                <w:szCs w:val="20"/>
                <w:color w:val="auto"/>
              </w:rPr>
            </w:pPr>
            <w:r>
              <w:rPr>
                <w:rFonts w:ascii="Arial" w:cs="Arial" w:eastAsia="Arial" w:hAnsi="Arial"/>
                <w:sz w:val="15"/>
                <w:szCs w:val="15"/>
                <w:color w:val="auto"/>
              </w:rPr>
              <w:t>40,222</w:t>
            </w:r>
          </w:p>
        </w:tc>
        <w:tc>
          <w:tcPr>
            <w:tcW w:w="1020" w:type="dxa"/>
            <w:vAlign w:val="bottom"/>
          </w:tcPr>
          <w:p>
            <w:pPr>
              <w:jc w:val="right"/>
              <w:ind w:right="47"/>
              <w:spacing w:after="0"/>
              <w:rPr>
                <w:sz w:val="20"/>
                <w:szCs w:val="20"/>
                <w:color w:val="auto"/>
              </w:rPr>
            </w:pPr>
            <w:r>
              <w:rPr>
                <w:rFonts w:ascii="Arial" w:cs="Arial" w:eastAsia="Arial" w:hAnsi="Arial"/>
                <w:sz w:val="15"/>
                <w:szCs w:val="15"/>
                <w:color w:val="auto"/>
              </w:rPr>
              <w:t>30,254</w:t>
            </w:r>
          </w:p>
        </w:tc>
        <w:tc>
          <w:tcPr>
            <w:tcW w:w="1280" w:type="dxa"/>
            <w:vAlign w:val="bottom"/>
          </w:tcPr>
          <w:p>
            <w:pPr>
              <w:jc w:val="right"/>
              <w:ind w:right="27"/>
              <w:spacing w:after="0"/>
              <w:rPr>
                <w:sz w:val="20"/>
                <w:szCs w:val="20"/>
                <w:color w:val="auto"/>
              </w:rPr>
            </w:pPr>
            <w:r>
              <w:rPr>
                <w:rFonts w:ascii="Arial" w:cs="Arial" w:eastAsia="Arial" w:hAnsi="Arial"/>
                <w:sz w:val="15"/>
                <w:szCs w:val="15"/>
                <w:color w:val="auto"/>
              </w:rPr>
              <w:t>–</w:t>
            </w:r>
          </w:p>
        </w:tc>
        <w:tc>
          <w:tcPr>
            <w:tcW w:w="940" w:type="dxa"/>
            <w:vAlign w:val="bottom"/>
          </w:tcPr>
          <w:p>
            <w:pPr>
              <w:jc w:val="right"/>
              <w:spacing w:after="0"/>
              <w:rPr>
                <w:sz w:val="20"/>
                <w:szCs w:val="20"/>
                <w:color w:val="auto"/>
              </w:rPr>
            </w:pPr>
            <w:r>
              <w:rPr>
                <w:rFonts w:ascii="Arial" w:cs="Arial" w:eastAsia="Arial" w:hAnsi="Arial"/>
                <w:sz w:val="15"/>
                <w:szCs w:val="15"/>
                <w:color w:val="auto"/>
              </w:rPr>
              <w:t>169,015</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485140</wp:posOffset>
            </wp:positionH>
            <wp:positionV relativeFrom="paragraph">
              <wp:posOffset>13970</wp:posOffset>
            </wp:positionV>
            <wp:extent cx="5829300" cy="8255"/>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42">
                      <a:extLst>
                        <a:ext uri="{28A0092B-C50C-407E-A947-70E740481C1C}"/>
                      </a:extLst>
                    </a:blip>
                    <a:srcRect/>
                    <a:stretch>
                      <a:fillRect/>
                    </a:stretch>
                  </pic:blipFill>
                  <pic:spPr bwMode="auto">
                    <a:xfrm>
                      <a:off x="0" y="0"/>
                      <a:ext cx="5829300" cy="8255"/>
                    </a:xfrm>
                    <a:prstGeom prst="rect">
                      <a:avLst/>
                    </a:prstGeom>
                    <a:noFill/>
                  </pic:spPr>
                </pic:pic>
              </a:graphicData>
            </a:graphic>
          </wp:anchor>
        </w:drawing>
      </w:r>
    </w:p>
    <w:p>
      <w:pPr>
        <w:spacing w:after="0" w:line="27" w:lineRule="exact"/>
        <w:rPr>
          <w:sz w:val="20"/>
          <w:szCs w:val="20"/>
          <w:color w:val="auto"/>
        </w:rPr>
      </w:pPr>
    </w:p>
    <w:p>
      <w:pPr>
        <w:ind w:left="760"/>
        <w:spacing w:after="0"/>
        <w:rPr>
          <w:sz w:val="20"/>
          <w:szCs w:val="20"/>
          <w:color w:val="auto"/>
        </w:rPr>
      </w:pPr>
      <w:r>
        <w:rPr>
          <w:rFonts w:ascii="Arial" w:cs="Arial" w:eastAsia="Arial" w:hAnsi="Arial"/>
          <w:sz w:val="13"/>
          <w:szCs w:val="13"/>
          <w:i w:val="1"/>
          <w:iCs w:val="1"/>
          <w:color w:val="auto"/>
        </w:rPr>
        <w:t>(1) Represents Company contributions to the non-qualified defined contribution plan ($40,222) (see – Summary Compensation Table).</w:t>
      </w:r>
    </w:p>
    <w:p>
      <w:pPr>
        <w:spacing w:after="0" w:line="135" w:lineRule="exact"/>
        <w:rPr>
          <w:sz w:val="20"/>
          <w:szCs w:val="20"/>
          <w:color w:val="auto"/>
        </w:rPr>
      </w:pPr>
    </w:p>
    <w:p>
      <w:pPr>
        <w:ind w:left="760"/>
        <w:spacing w:after="0"/>
        <w:rPr>
          <w:sz w:val="20"/>
          <w:szCs w:val="20"/>
          <w:color w:val="auto"/>
        </w:rPr>
      </w:pPr>
      <w:r>
        <w:rPr>
          <w:rFonts w:ascii="Arial" w:cs="Arial" w:eastAsia="Arial" w:hAnsi="Arial"/>
          <w:sz w:val="20"/>
          <w:szCs w:val="20"/>
          <w:b w:val="1"/>
          <w:bCs w:val="1"/>
          <w:color w:val="FF4C4C"/>
        </w:rPr>
        <w:t>Equity Compensation Plan Information</w:t>
      </w:r>
    </w:p>
    <w:p>
      <w:pPr>
        <w:spacing w:after="0" w:line="124" w:lineRule="exact"/>
        <w:rPr>
          <w:sz w:val="20"/>
          <w:szCs w:val="20"/>
          <w:color w:val="auto"/>
        </w:rPr>
      </w:pPr>
    </w:p>
    <w:p>
      <w:pPr>
        <w:ind w:left="760" w:right="960"/>
        <w:spacing w:after="0" w:line="260" w:lineRule="auto"/>
        <w:rPr>
          <w:sz w:val="20"/>
          <w:szCs w:val="20"/>
          <w:color w:val="auto"/>
        </w:rPr>
      </w:pPr>
      <w:r>
        <w:rPr>
          <w:rFonts w:ascii="Arial" w:cs="Arial" w:eastAsia="Arial" w:hAnsi="Arial"/>
          <w:sz w:val="16"/>
          <w:szCs w:val="16"/>
          <w:color w:val="auto"/>
        </w:rPr>
        <w:t>The following table presents information as of December 31, 2019 regarding equity compensation plans applicable to our employees.</w:t>
      </w:r>
    </w:p>
    <w:p>
      <w:pPr>
        <w:spacing w:after="0" w:line="126" w:lineRule="exact"/>
        <w:rPr>
          <w:sz w:val="20"/>
          <w:szCs w:val="20"/>
          <w:color w:val="auto"/>
        </w:rPr>
      </w:pPr>
    </w:p>
    <w:tbl>
      <w:tblPr>
        <w:tblLayout w:type="fixed"/>
        <w:tblInd w:w="760" w:type="dxa"/>
        <w:tblCellMar>
          <w:top w:w="0" w:type="dxa"/>
          <w:left w:w="0" w:type="dxa"/>
          <w:bottom w:w="0" w:type="dxa"/>
          <w:right w:w="0" w:type="dxa"/>
        </w:tblCellMar>
      </w:tblPr>
      <w:tr>
        <w:trPr>
          <w:trHeight w:val="162"/>
        </w:trPr>
        <w:tc>
          <w:tcPr>
            <w:tcW w:w="4840" w:type="dxa"/>
            <w:vAlign w:val="bottom"/>
          </w:tcPr>
          <w:p>
            <w:pPr>
              <w:spacing w:after="0"/>
              <w:rPr>
                <w:sz w:val="14"/>
                <w:szCs w:val="14"/>
                <w:color w:val="auto"/>
              </w:rPr>
            </w:pPr>
          </w:p>
        </w:tc>
        <w:tc>
          <w:tcPr>
            <w:tcW w:w="180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160" w:type="dxa"/>
            <w:vAlign w:val="bottom"/>
          </w:tcPr>
          <w:p>
            <w:pPr>
              <w:jc w:val="right"/>
              <w:ind w:right="27"/>
              <w:spacing w:after="0"/>
              <w:rPr>
                <w:sz w:val="20"/>
                <w:szCs w:val="20"/>
                <w:color w:val="auto"/>
              </w:rPr>
            </w:pPr>
            <w:r>
              <w:rPr>
                <w:rFonts w:ascii="Arial" w:cs="Arial" w:eastAsia="Arial" w:hAnsi="Arial"/>
                <w:sz w:val="14"/>
                <w:szCs w:val="14"/>
                <w:b w:val="1"/>
                <w:bCs w:val="1"/>
                <w:color w:val="4800E6"/>
              </w:rPr>
              <w:t>Number of</w:t>
            </w:r>
          </w:p>
        </w:tc>
      </w:tr>
      <w:tr>
        <w:trPr>
          <w:trHeight w:val="162"/>
        </w:trPr>
        <w:tc>
          <w:tcPr>
            <w:tcW w:w="4840" w:type="dxa"/>
            <w:vAlign w:val="bottom"/>
          </w:tcPr>
          <w:p>
            <w:pPr>
              <w:spacing w:after="0"/>
              <w:rPr>
                <w:sz w:val="14"/>
                <w:szCs w:val="14"/>
                <w:color w:val="auto"/>
              </w:rPr>
            </w:pPr>
          </w:p>
        </w:tc>
        <w:tc>
          <w:tcPr>
            <w:tcW w:w="1800" w:type="dxa"/>
            <w:vAlign w:val="bottom"/>
          </w:tcPr>
          <w:p>
            <w:pPr>
              <w:jc w:val="right"/>
              <w:ind w:right="87"/>
              <w:spacing w:after="0"/>
              <w:rPr>
                <w:sz w:val="20"/>
                <w:szCs w:val="20"/>
                <w:color w:val="auto"/>
              </w:rPr>
            </w:pPr>
            <w:r>
              <w:rPr>
                <w:rFonts w:ascii="Arial" w:cs="Arial" w:eastAsia="Arial" w:hAnsi="Arial"/>
                <w:sz w:val="14"/>
                <w:szCs w:val="14"/>
                <w:b w:val="1"/>
                <w:bCs w:val="1"/>
                <w:color w:val="4800E6"/>
              </w:rPr>
              <w:t>Number of</w:t>
            </w:r>
          </w:p>
        </w:tc>
        <w:tc>
          <w:tcPr>
            <w:tcW w:w="1380" w:type="dxa"/>
            <w:vAlign w:val="bottom"/>
          </w:tcPr>
          <w:p>
            <w:pPr>
              <w:spacing w:after="0"/>
              <w:rPr>
                <w:sz w:val="14"/>
                <w:szCs w:val="14"/>
                <w:color w:val="auto"/>
              </w:rPr>
            </w:pPr>
          </w:p>
        </w:tc>
        <w:tc>
          <w:tcPr>
            <w:tcW w:w="1160" w:type="dxa"/>
            <w:vAlign w:val="bottom"/>
          </w:tcPr>
          <w:p>
            <w:pPr>
              <w:jc w:val="right"/>
              <w:ind w:right="27"/>
              <w:spacing w:after="0"/>
              <w:rPr>
                <w:sz w:val="20"/>
                <w:szCs w:val="20"/>
                <w:color w:val="auto"/>
              </w:rPr>
            </w:pPr>
            <w:r>
              <w:rPr>
                <w:rFonts w:ascii="Arial" w:cs="Arial" w:eastAsia="Arial" w:hAnsi="Arial"/>
                <w:sz w:val="14"/>
                <w:szCs w:val="14"/>
                <w:b w:val="1"/>
                <w:bCs w:val="1"/>
                <w:color w:val="4800E6"/>
              </w:rPr>
              <w:t>securities</w:t>
            </w:r>
          </w:p>
        </w:tc>
      </w:tr>
      <w:tr>
        <w:trPr>
          <w:trHeight w:val="162"/>
        </w:trPr>
        <w:tc>
          <w:tcPr>
            <w:tcW w:w="4840" w:type="dxa"/>
            <w:vAlign w:val="bottom"/>
          </w:tcPr>
          <w:p>
            <w:pPr>
              <w:spacing w:after="0"/>
              <w:rPr>
                <w:sz w:val="14"/>
                <w:szCs w:val="14"/>
                <w:color w:val="auto"/>
              </w:rPr>
            </w:pPr>
          </w:p>
        </w:tc>
        <w:tc>
          <w:tcPr>
            <w:tcW w:w="1800" w:type="dxa"/>
            <w:vAlign w:val="bottom"/>
          </w:tcPr>
          <w:p>
            <w:pPr>
              <w:jc w:val="right"/>
              <w:ind w:right="87"/>
              <w:spacing w:after="0"/>
              <w:rPr>
                <w:sz w:val="20"/>
                <w:szCs w:val="20"/>
                <w:color w:val="auto"/>
              </w:rPr>
            </w:pPr>
            <w:r>
              <w:rPr>
                <w:rFonts w:ascii="Arial" w:cs="Arial" w:eastAsia="Arial" w:hAnsi="Arial"/>
                <w:sz w:val="14"/>
                <w:szCs w:val="14"/>
                <w:b w:val="1"/>
                <w:bCs w:val="1"/>
                <w:color w:val="4800E6"/>
              </w:rPr>
              <w:t>securities</w:t>
            </w:r>
          </w:p>
        </w:tc>
        <w:tc>
          <w:tcPr>
            <w:tcW w:w="1380" w:type="dxa"/>
            <w:vAlign w:val="bottom"/>
          </w:tcPr>
          <w:p>
            <w:pPr>
              <w:jc w:val="right"/>
              <w:ind w:right="87"/>
              <w:spacing w:after="0"/>
              <w:rPr>
                <w:sz w:val="20"/>
                <w:szCs w:val="20"/>
                <w:color w:val="auto"/>
              </w:rPr>
            </w:pPr>
            <w:r>
              <w:rPr>
                <w:rFonts w:ascii="Arial" w:cs="Arial" w:eastAsia="Arial" w:hAnsi="Arial"/>
                <w:sz w:val="14"/>
                <w:szCs w:val="14"/>
                <w:b w:val="1"/>
                <w:bCs w:val="1"/>
                <w:color w:val="4800E6"/>
              </w:rPr>
              <w:t>Weighted-</w:t>
            </w:r>
          </w:p>
        </w:tc>
        <w:tc>
          <w:tcPr>
            <w:tcW w:w="1160" w:type="dxa"/>
            <w:vAlign w:val="bottom"/>
          </w:tcPr>
          <w:p>
            <w:pPr>
              <w:jc w:val="right"/>
              <w:ind w:right="27"/>
              <w:spacing w:after="0"/>
              <w:rPr>
                <w:sz w:val="20"/>
                <w:szCs w:val="20"/>
                <w:color w:val="auto"/>
              </w:rPr>
            </w:pPr>
            <w:r>
              <w:rPr>
                <w:rFonts w:ascii="Arial" w:cs="Arial" w:eastAsia="Arial" w:hAnsi="Arial"/>
                <w:sz w:val="14"/>
                <w:szCs w:val="14"/>
                <w:b w:val="1"/>
                <w:bCs w:val="1"/>
                <w:color w:val="4800E6"/>
              </w:rPr>
              <w:t>remaining</w:t>
            </w:r>
          </w:p>
        </w:tc>
      </w:tr>
      <w:tr>
        <w:trPr>
          <w:trHeight w:val="162"/>
        </w:trPr>
        <w:tc>
          <w:tcPr>
            <w:tcW w:w="4840" w:type="dxa"/>
            <w:vAlign w:val="bottom"/>
          </w:tcPr>
          <w:p>
            <w:pPr>
              <w:spacing w:after="0"/>
              <w:rPr>
                <w:sz w:val="14"/>
                <w:szCs w:val="14"/>
                <w:color w:val="auto"/>
              </w:rPr>
            </w:pPr>
          </w:p>
        </w:tc>
        <w:tc>
          <w:tcPr>
            <w:tcW w:w="1800" w:type="dxa"/>
            <w:vAlign w:val="bottom"/>
          </w:tcPr>
          <w:p>
            <w:pPr>
              <w:jc w:val="right"/>
              <w:ind w:right="87"/>
              <w:spacing w:after="0"/>
              <w:rPr>
                <w:sz w:val="20"/>
                <w:szCs w:val="20"/>
                <w:color w:val="auto"/>
              </w:rPr>
            </w:pPr>
            <w:r>
              <w:rPr>
                <w:rFonts w:ascii="Arial" w:cs="Arial" w:eastAsia="Arial" w:hAnsi="Arial"/>
                <w:sz w:val="14"/>
                <w:szCs w:val="14"/>
                <w:b w:val="1"/>
                <w:bCs w:val="1"/>
                <w:color w:val="4800E6"/>
              </w:rPr>
              <w:t>to be issued upon</w:t>
            </w:r>
          </w:p>
        </w:tc>
        <w:tc>
          <w:tcPr>
            <w:tcW w:w="1380" w:type="dxa"/>
            <w:vAlign w:val="bottom"/>
          </w:tcPr>
          <w:p>
            <w:pPr>
              <w:jc w:val="right"/>
              <w:ind w:right="87"/>
              <w:spacing w:after="0"/>
              <w:rPr>
                <w:sz w:val="20"/>
                <w:szCs w:val="20"/>
                <w:color w:val="auto"/>
              </w:rPr>
            </w:pPr>
            <w:r>
              <w:rPr>
                <w:rFonts w:ascii="Arial" w:cs="Arial" w:eastAsia="Arial" w:hAnsi="Arial"/>
                <w:sz w:val="14"/>
                <w:szCs w:val="14"/>
                <w:b w:val="1"/>
                <w:bCs w:val="1"/>
                <w:color w:val="4800E6"/>
              </w:rPr>
              <w:t>average</w:t>
            </w:r>
          </w:p>
        </w:tc>
        <w:tc>
          <w:tcPr>
            <w:tcW w:w="1160" w:type="dxa"/>
            <w:vAlign w:val="bottom"/>
          </w:tcPr>
          <w:p>
            <w:pPr>
              <w:jc w:val="right"/>
              <w:ind w:right="27"/>
              <w:spacing w:after="0"/>
              <w:rPr>
                <w:sz w:val="20"/>
                <w:szCs w:val="20"/>
                <w:color w:val="auto"/>
              </w:rPr>
            </w:pPr>
            <w:r>
              <w:rPr>
                <w:rFonts w:ascii="Arial" w:cs="Arial" w:eastAsia="Arial" w:hAnsi="Arial"/>
                <w:sz w:val="14"/>
                <w:szCs w:val="14"/>
                <w:b w:val="1"/>
                <w:bCs w:val="1"/>
                <w:color w:val="4800E6"/>
              </w:rPr>
              <w:t>available</w:t>
            </w:r>
          </w:p>
        </w:tc>
      </w:tr>
      <w:tr>
        <w:trPr>
          <w:trHeight w:val="162"/>
        </w:trPr>
        <w:tc>
          <w:tcPr>
            <w:tcW w:w="4840" w:type="dxa"/>
            <w:vAlign w:val="bottom"/>
          </w:tcPr>
          <w:p>
            <w:pPr>
              <w:spacing w:after="0"/>
              <w:rPr>
                <w:sz w:val="14"/>
                <w:szCs w:val="14"/>
                <w:color w:val="auto"/>
              </w:rPr>
            </w:pPr>
          </w:p>
        </w:tc>
        <w:tc>
          <w:tcPr>
            <w:tcW w:w="1800" w:type="dxa"/>
            <w:vAlign w:val="bottom"/>
          </w:tcPr>
          <w:p>
            <w:pPr>
              <w:jc w:val="right"/>
              <w:ind w:right="87"/>
              <w:spacing w:after="0"/>
              <w:rPr>
                <w:sz w:val="20"/>
                <w:szCs w:val="20"/>
                <w:color w:val="auto"/>
              </w:rPr>
            </w:pPr>
            <w:r>
              <w:rPr>
                <w:rFonts w:ascii="Arial" w:cs="Arial" w:eastAsia="Arial" w:hAnsi="Arial"/>
                <w:sz w:val="14"/>
                <w:szCs w:val="14"/>
                <w:b w:val="1"/>
                <w:bCs w:val="1"/>
                <w:color w:val="4800E6"/>
              </w:rPr>
              <w:t>exercise of</w:t>
            </w:r>
          </w:p>
        </w:tc>
        <w:tc>
          <w:tcPr>
            <w:tcW w:w="1380" w:type="dxa"/>
            <w:vAlign w:val="bottom"/>
          </w:tcPr>
          <w:p>
            <w:pPr>
              <w:jc w:val="right"/>
              <w:ind w:right="87"/>
              <w:spacing w:after="0"/>
              <w:rPr>
                <w:sz w:val="20"/>
                <w:szCs w:val="20"/>
                <w:color w:val="auto"/>
              </w:rPr>
            </w:pPr>
            <w:r>
              <w:rPr>
                <w:rFonts w:ascii="Arial" w:cs="Arial" w:eastAsia="Arial" w:hAnsi="Arial"/>
                <w:sz w:val="14"/>
                <w:szCs w:val="14"/>
                <w:b w:val="1"/>
                <w:bCs w:val="1"/>
                <w:color w:val="4800E6"/>
              </w:rPr>
              <w:t>exercise price of</w:t>
            </w:r>
          </w:p>
        </w:tc>
        <w:tc>
          <w:tcPr>
            <w:tcW w:w="1160" w:type="dxa"/>
            <w:vAlign w:val="bottom"/>
          </w:tcPr>
          <w:p>
            <w:pPr>
              <w:jc w:val="right"/>
              <w:ind w:right="27"/>
              <w:spacing w:after="0"/>
              <w:rPr>
                <w:sz w:val="20"/>
                <w:szCs w:val="20"/>
                <w:color w:val="auto"/>
              </w:rPr>
            </w:pPr>
            <w:r>
              <w:rPr>
                <w:rFonts w:ascii="Arial" w:cs="Arial" w:eastAsia="Arial" w:hAnsi="Arial"/>
                <w:sz w:val="14"/>
                <w:szCs w:val="14"/>
                <w:b w:val="1"/>
                <w:bCs w:val="1"/>
                <w:color w:val="4800E6"/>
              </w:rPr>
              <w:t>for future</w:t>
            </w:r>
          </w:p>
        </w:tc>
      </w:tr>
      <w:tr>
        <w:trPr>
          <w:trHeight w:val="162"/>
        </w:trPr>
        <w:tc>
          <w:tcPr>
            <w:tcW w:w="4840" w:type="dxa"/>
            <w:vAlign w:val="bottom"/>
          </w:tcPr>
          <w:p>
            <w:pPr>
              <w:spacing w:after="0"/>
              <w:rPr>
                <w:sz w:val="14"/>
                <w:szCs w:val="14"/>
                <w:color w:val="auto"/>
              </w:rPr>
            </w:pPr>
          </w:p>
        </w:tc>
        <w:tc>
          <w:tcPr>
            <w:tcW w:w="1800" w:type="dxa"/>
            <w:vAlign w:val="bottom"/>
          </w:tcPr>
          <w:p>
            <w:pPr>
              <w:jc w:val="right"/>
              <w:ind w:right="87"/>
              <w:spacing w:after="0"/>
              <w:rPr>
                <w:sz w:val="20"/>
                <w:szCs w:val="20"/>
                <w:color w:val="auto"/>
              </w:rPr>
            </w:pPr>
            <w:r>
              <w:rPr>
                <w:rFonts w:ascii="Arial" w:cs="Arial" w:eastAsia="Arial" w:hAnsi="Arial"/>
                <w:sz w:val="14"/>
                <w:szCs w:val="14"/>
                <w:b w:val="1"/>
                <w:bCs w:val="1"/>
                <w:color w:val="4800E6"/>
              </w:rPr>
              <w:t>outstanding</w:t>
            </w:r>
          </w:p>
        </w:tc>
        <w:tc>
          <w:tcPr>
            <w:tcW w:w="1380" w:type="dxa"/>
            <w:vAlign w:val="bottom"/>
          </w:tcPr>
          <w:p>
            <w:pPr>
              <w:jc w:val="right"/>
              <w:ind w:right="87"/>
              <w:spacing w:after="0"/>
              <w:rPr>
                <w:sz w:val="20"/>
                <w:szCs w:val="20"/>
                <w:color w:val="auto"/>
              </w:rPr>
            </w:pPr>
            <w:r>
              <w:rPr>
                <w:rFonts w:ascii="Arial" w:cs="Arial" w:eastAsia="Arial" w:hAnsi="Arial"/>
                <w:sz w:val="14"/>
                <w:szCs w:val="14"/>
                <w:b w:val="1"/>
                <w:bCs w:val="1"/>
                <w:color w:val="4800E6"/>
              </w:rPr>
              <w:t>outstanding</w:t>
            </w:r>
          </w:p>
        </w:tc>
        <w:tc>
          <w:tcPr>
            <w:tcW w:w="1160" w:type="dxa"/>
            <w:vAlign w:val="bottom"/>
          </w:tcPr>
          <w:p>
            <w:pPr>
              <w:jc w:val="right"/>
              <w:ind w:right="27"/>
              <w:spacing w:after="0"/>
              <w:rPr>
                <w:sz w:val="20"/>
                <w:szCs w:val="20"/>
                <w:color w:val="auto"/>
              </w:rPr>
            </w:pPr>
            <w:r>
              <w:rPr>
                <w:rFonts w:ascii="Arial" w:cs="Arial" w:eastAsia="Arial" w:hAnsi="Arial"/>
                <w:sz w:val="14"/>
                <w:szCs w:val="14"/>
                <w:b w:val="1"/>
                <w:bCs w:val="1"/>
                <w:color w:val="4800E6"/>
              </w:rPr>
              <w:t>issuance</w:t>
            </w:r>
          </w:p>
        </w:tc>
      </w:tr>
      <w:tr>
        <w:trPr>
          <w:trHeight w:val="162"/>
        </w:trPr>
        <w:tc>
          <w:tcPr>
            <w:tcW w:w="4840" w:type="dxa"/>
            <w:vAlign w:val="bottom"/>
          </w:tcPr>
          <w:p>
            <w:pPr>
              <w:spacing w:after="0"/>
              <w:rPr>
                <w:sz w:val="14"/>
                <w:szCs w:val="14"/>
                <w:color w:val="auto"/>
              </w:rPr>
            </w:pPr>
          </w:p>
        </w:tc>
        <w:tc>
          <w:tcPr>
            <w:tcW w:w="1800" w:type="dxa"/>
            <w:vAlign w:val="bottom"/>
          </w:tcPr>
          <w:p>
            <w:pPr>
              <w:jc w:val="right"/>
              <w:ind w:right="87"/>
              <w:spacing w:after="0"/>
              <w:rPr>
                <w:sz w:val="20"/>
                <w:szCs w:val="20"/>
                <w:color w:val="auto"/>
              </w:rPr>
            </w:pPr>
            <w:r>
              <w:rPr>
                <w:rFonts w:ascii="Arial" w:cs="Arial" w:eastAsia="Arial" w:hAnsi="Arial"/>
                <w:sz w:val="14"/>
                <w:szCs w:val="14"/>
                <w:b w:val="1"/>
                <w:bCs w:val="1"/>
                <w:color w:val="4800E6"/>
              </w:rPr>
              <w:t>options,</w:t>
            </w:r>
          </w:p>
        </w:tc>
        <w:tc>
          <w:tcPr>
            <w:tcW w:w="1380" w:type="dxa"/>
            <w:vAlign w:val="bottom"/>
          </w:tcPr>
          <w:p>
            <w:pPr>
              <w:jc w:val="right"/>
              <w:ind w:right="87"/>
              <w:spacing w:after="0"/>
              <w:rPr>
                <w:sz w:val="20"/>
                <w:szCs w:val="20"/>
                <w:color w:val="auto"/>
              </w:rPr>
            </w:pPr>
            <w:r>
              <w:rPr>
                <w:rFonts w:ascii="Arial" w:cs="Arial" w:eastAsia="Arial" w:hAnsi="Arial"/>
                <w:sz w:val="14"/>
                <w:szCs w:val="14"/>
                <w:b w:val="1"/>
                <w:bCs w:val="1"/>
                <w:color w:val="4800E6"/>
              </w:rPr>
              <w:t>options,</w:t>
            </w:r>
          </w:p>
        </w:tc>
        <w:tc>
          <w:tcPr>
            <w:tcW w:w="1160" w:type="dxa"/>
            <w:vAlign w:val="bottom"/>
          </w:tcPr>
          <w:p>
            <w:pPr>
              <w:jc w:val="right"/>
              <w:ind w:right="27"/>
              <w:spacing w:after="0"/>
              <w:rPr>
                <w:sz w:val="20"/>
                <w:szCs w:val="20"/>
                <w:color w:val="auto"/>
              </w:rPr>
            </w:pPr>
            <w:r>
              <w:rPr>
                <w:rFonts w:ascii="Arial" w:cs="Arial" w:eastAsia="Arial" w:hAnsi="Arial"/>
                <w:sz w:val="14"/>
                <w:szCs w:val="14"/>
                <w:b w:val="1"/>
                <w:bCs w:val="1"/>
                <w:color w:val="4800E6"/>
              </w:rPr>
              <w:t>under equity</w:t>
            </w:r>
          </w:p>
        </w:tc>
      </w:tr>
      <w:tr>
        <w:trPr>
          <w:trHeight w:val="162"/>
        </w:trPr>
        <w:tc>
          <w:tcPr>
            <w:tcW w:w="4840" w:type="dxa"/>
            <w:vAlign w:val="bottom"/>
          </w:tcPr>
          <w:p>
            <w:pPr>
              <w:spacing w:after="0"/>
              <w:rPr>
                <w:sz w:val="14"/>
                <w:szCs w:val="14"/>
                <w:color w:val="auto"/>
              </w:rPr>
            </w:pPr>
          </w:p>
        </w:tc>
        <w:tc>
          <w:tcPr>
            <w:tcW w:w="1800" w:type="dxa"/>
            <w:vAlign w:val="bottom"/>
          </w:tcPr>
          <w:p>
            <w:pPr>
              <w:jc w:val="right"/>
              <w:ind w:right="87"/>
              <w:spacing w:after="0"/>
              <w:rPr>
                <w:sz w:val="20"/>
                <w:szCs w:val="20"/>
                <w:color w:val="auto"/>
              </w:rPr>
            </w:pPr>
            <w:r>
              <w:rPr>
                <w:rFonts w:ascii="Arial" w:cs="Arial" w:eastAsia="Arial" w:hAnsi="Arial"/>
                <w:sz w:val="14"/>
                <w:szCs w:val="14"/>
                <w:b w:val="1"/>
                <w:bCs w:val="1"/>
                <w:color w:val="4800E6"/>
              </w:rPr>
              <w:t>warrants and</w:t>
            </w:r>
          </w:p>
        </w:tc>
        <w:tc>
          <w:tcPr>
            <w:tcW w:w="1380" w:type="dxa"/>
            <w:vAlign w:val="bottom"/>
          </w:tcPr>
          <w:p>
            <w:pPr>
              <w:jc w:val="right"/>
              <w:ind w:right="87"/>
              <w:spacing w:after="0"/>
              <w:rPr>
                <w:sz w:val="20"/>
                <w:szCs w:val="20"/>
                <w:color w:val="auto"/>
              </w:rPr>
            </w:pPr>
            <w:r>
              <w:rPr>
                <w:rFonts w:ascii="Arial" w:cs="Arial" w:eastAsia="Arial" w:hAnsi="Arial"/>
                <w:sz w:val="14"/>
                <w:szCs w:val="14"/>
                <w:b w:val="1"/>
                <w:bCs w:val="1"/>
                <w:color w:val="4800E6"/>
              </w:rPr>
              <w:t>warrants and</w:t>
            </w:r>
          </w:p>
        </w:tc>
        <w:tc>
          <w:tcPr>
            <w:tcW w:w="1160" w:type="dxa"/>
            <w:vAlign w:val="bottom"/>
          </w:tcPr>
          <w:p>
            <w:pPr>
              <w:jc w:val="right"/>
              <w:ind w:right="27"/>
              <w:spacing w:after="0"/>
              <w:rPr>
                <w:sz w:val="20"/>
                <w:szCs w:val="20"/>
                <w:color w:val="auto"/>
              </w:rPr>
            </w:pPr>
            <w:r>
              <w:rPr>
                <w:rFonts w:ascii="Arial" w:cs="Arial" w:eastAsia="Arial" w:hAnsi="Arial"/>
                <w:sz w:val="14"/>
                <w:szCs w:val="14"/>
                <w:b w:val="1"/>
                <w:bCs w:val="1"/>
                <w:color w:val="4800E6"/>
              </w:rPr>
              <w:t>compensation</w:t>
            </w:r>
          </w:p>
        </w:tc>
      </w:tr>
      <w:tr>
        <w:trPr>
          <w:trHeight w:val="162"/>
        </w:trPr>
        <w:tc>
          <w:tcPr>
            <w:tcW w:w="4840" w:type="dxa"/>
            <w:vAlign w:val="bottom"/>
          </w:tcPr>
          <w:p>
            <w:pPr>
              <w:spacing w:after="0"/>
              <w:rPr>
                <w:sz w:val="14"/>
                <w:szCs w:val="14"/>
                <w:color w:val="auto"/>
              </w:rPr>
            </w:pPr>
          </w:p>
        </w:tc>
        <w:tc>
          <w:tcPr>
            <w:tcW w:w="1800" w:type="dxa"/>
            <w:vAlign w:val="bottom"/>
          </w:tcPr>
          <w:p>
            <w:pPr>
              <w:jc w:val="right"/>
              <w:ind w:right="87"/>
              <w:spacing w:after="0"/>
              <w:rPr>
                <w:sz w:val="20"/>
                <w:szCs w:val="20"/>
                <w:color w:val="auto"/>
              </w:rPr>
            </w:pPr>
            <w:r>
              <w:rPr>
                <w:rFonts w:ascii="Arial" w:cs="Arial" w:eastAsia="Arial" w:hAnsi="Arial"/>
                <w:sz w:val="14"/>
                <w:szCs w:val="14"/>
                <w:b w:val="1"/>
                <w:bCs w:val="1"/>
                <w:color w:val="4800E6"/>
              </w:rPr>
              <w:t>rights</w:t>
            </w:r>
          </w:p>
        </w:tc>
        <w:tc>
          <w:tcPr>
            <w:tcW w:w="1380" w:type="dxa"/>
            <w:vAlign w:val="bottom"/>
          </w:tcPr>
          <w:p>
            <w:pPr>
              <w:jc w:val="right"/>
              <w:ind w:right="87"/>
              <w:spacing w:after="0"/>
              <w:rPr>
                <w:sz w:val="20"/>
                <w:szCs w:val="20"/>
                <w:color w:val="auto"/>
              </w:rPr>
            </w:pPr>
            <w:r>
              <w:rPr>
                <w:rFonts w:ascii="Arial" w:cs="Arial" w:eastAsia="Arial" w:hAnsi="Arial"/>
                <w:sz w:val="14"/>
                <w:szCs w:val="14"/>
                <w:b w:val="1"/>
                <w:bCs w:val="1"/>
                <w:color w:val="4800E6"/>
              </w:rPr>
              <w:t>rights</w:t>
            </w:r>
          </w:p>
        </w:tc>
        <w:tc>
          <w:tcPr>
            <w:tcW w:w="1160" w:type="dxa"/>
            <w:vAlign w:val="bottom"/>
          </w:tcPr>
          <w:p>
            <w:pPr>
              <w:jc w:val="right"/>
              <w:ind w:right="27"/>
              <w:spacing w:after="0"/>
              <w:rPr>
                <w:sz w:val="20"/>
                <w:szCs w:val="20"/>
                <w:color w:val="auto"/>
              </w:rPr>
            </w:pPr>
            <w:r>
              <w:rPr>
                <w:rFonts w:ascii="Arial" w:cs="Arial" w:eastAsia="Arial" w:hAnsi="Arial"/>
                <w:sz w:val="14"/>
                <w:szCs w:val="14"/>
                <w:b w:val="1"/>
                <w:bCs w:val="1"/>
                <w:color w:val="4800E6"/>
              </w:rPr>
              <w:t>plans</w:t>
            </w:r>
          </w:p>
        </w:tc>
      </w:tr>
      <w:tr>
        <w:trPr>
          <w:trHeight w:val="196"/>
        </w:trPr>
        <w:tc>
          <w:tcPr>
            <w:tcW w:w="4840" w:type="dxa"/>
            <w:vAlign w:val="bottom"/>
            <w:tcBorders>
              <w:bottom w:val="single" w:sz="8" w:color="4800E6"/>
            </w:tcBorders>
          </w:tcPr>
          <w:p>
            <w:pPr>
              <w:ind w:left="40"/>
              <w:spacing w:after="0"/>
              <w:rPr>
                <w:sz w:val="20"/>
                <w:szCs w:val="20"/>
                <w:color w:val="auto"/>
              </w:rPr>
            </w:pPr>
            <w:r>
              <w:rPr>
                <w:rFonts w:ascii="Arial" w:cs="Arial" w:eastAsia="Arial" w:hAnsi="Arial"/>
                <w:sz w:val="14"/>
                <w:szCs w:val="14"/>
                <w:b w:val="1"/>
                <w:bCs w:val="1"/>
                <w:color w:val="4800E6"/>
              </w:rPr>
              <w:t>Plan category</w:t>
            </w:r>
          </w:p>
        </w:tc>
        <w:tc>
          <w:tcPr>
            <w:tcW w:w="1800" w:type="dxa"/>
            <w:vAlign w:val="bottom"/>
            <w:tcBorders>
              <w:bottom w:val="single" w:sz="8" w:color="4800E6"/>
            </w:tcBorders>
          </w:tcPr>
          <w:p>
            <w:pPr>
              <w:jc w:val="right"/>
              <w:ind w:right="47"/>
              <w:spacing w:after="0"/>
              <w:rPr>
                <w:sz w:val="20"/>
                <w:szCs w:val="20"/>
                <w:color w:val="auto"/>
              </w:rPr>
            </w:pPr>
            <w:r>
              <w:rPr>
                <w:rFonts w:ascii="Arial" w:cs="Arial" w:eastAsia="Arial" w:hAnsi="Arial"/>
                <w:sz w:val="14"/>
                <w:szCs w:val="14"/>
                <w:b w:val="1"/>
                <w:bCs w:val="1"/>
                <w:color w:val="4800E6"/>
              </w:rPr>
              <w:t>(#)</w:t>
            </w:r>
          </w:p>
        </w:tc>
        <w:tc>
          <w:tcPr>
            <w:tcW w:w="1380" w:type="dxa"/>
            <w:vAlign w:val="bottom"/>
            <w:tcBorders>
              <w:bottom w:val="single" w:sz="8" w:color="4800E6"/>
            </w:tcBorders>
          </w:tcPr>
          <w:p>
            <w:pPr>
              <w:jc w:val="right"/>
              <w:ind w:right="47"/>
              <w:spacing w:after="0"/>
              <w:rPr>
                <w:sz w:val="20"/>
                <w:szCs w:val="20"/>
                <w:color w:val="auto"/>
              </w:rPr>
            </w:pPr>
            <w:r>
              <w:rPr>
                <w:rFonts w:ascii="Arial" w:cs="Arial" w:eastAsia="Arial" w:hAnsi="Arial"/>
                <w:sz w:val="14"/>
                <w:szCs w:val="14"/>
                <w:b w:val="1"/>
                <w:bCs w:val="1"/>
                <w:color w:val="4800E6"/>
              </w:rPr>
              <w:t>($)</w:t>
            </w:r>
          </w:p>
        </w:tc>
        <w:tc>
          <w:tcPr>
            <w:tcW w:w="1160" w:type="dxa"/>
            <w:vAlign w:val="bottom"/>
            <w:tcBorders>
              <w:bottom w:val="single" w:sz="8" w:color="4800E6"/>
            </w:tcBorders>
          </w:tcPr>
          <w:p>
            <w:pPr>
              <w:jc w:val="right"/>
              <w:spacing w:after="0"/>
              <w:rPr>
                <w:sz w:val="20"/>
                <w:szCs w:val="20"/>
                <w:color w:val="auto"/>
              </w:rPr>
            </w:pPr>
            <w:r>
              <w:rPr>
                <w:rFonts w:ascii="Arial" w:cs="Arial" w:eastAsia="Arial" w:hAnsi="Arial"/>
                <w:sz w:val="14"/>
                <w:szCs w:val="14"/>
                <w:b w:val="1"/>
                <w:bCs w:val="1"/>
                <w:color w:val="4800E6"/>
              </w:rPr>
              <w:t>(#)</w:t>
            </w:r>
          </w:p>
        </w:tc>
      </w:tr>
      <w:tr>
        <w:trPr>
          <w:trHeight w:val="221"/>
        </w:trPr>
        <w:tc>
          <w:tcPr>
            <w:tcW w:w="4840" w:type="dxa"/>
            <w:vAlign w:val="bottom"/>
          </w:tcPr>
          <w:p>
            <w:pPr>
              <w:ind w:left="40"/>
              <w:spacing w:after="0"/>
              <w:rPr>
                <w:sz w:val="20"/>
                <w:szCs w:val="20"/>
                <w:color w:val="auto"/>
              </w:rPr>
            </w:pPr>
            <w:r>
              <w:rPr>
                <w:rFonts w:ascii="Arial" w:cs="Arial" w:eastAsia="Arial" w:hAnsi="Arial"/>
                <w:sz w:val="15"/>
                <w:szCs w:val="15"/>
                <w:b w:val="1"/>
                <w:bCs w:val="1"/>
                <w:color w:val="auto"/>
              </w:rPr>
              <w:t>Equity compensation plans approved by security holders</w:t>
            </w:r>
          </w:p>
        </w:tc>
        <w:tc>
          <w:tcPr>
            <w:tcW w:w="180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1160" w:type="dxa"/>
            <w:vAlign w:val="bottom"/>
          </w:tcPr>
          <w:p>
            <w:pPr>
              <w:spacing w:after="0"/>
              <w:rPr>
                <w:sz w:val="19"/>
                <w:szCs w:val="19"/>
                <w:color w:val="auto"/>
              </w:rPr>
            </w:pPr>
          </w:p>
        </w:tc>
      </w:tr>
      <w:tr>
        <w:trPr>
          <w:trHeight w:val="21"/>
        </w:trPr>
        <w:tc>
          <w:tcPr>
            <w:tcW w:w="4840" w:type="dxa"/>
            <w:vAlign w:val="bottom"/>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r>
      <w:tr>
        <w:trPr>
          <w:trHeight w:val="297"/>
        </w:trPr>
        <w:tc>
          <w:tcPr>
            <w:tcW w:w="4840" w:type="dxa"/>
            <w:vAlign w:val="bottom"/>
            <w:shd w:val="clear" w:color="auto" w:fill="EFE9FC"/>
          </w:tcPr>
          <w:p>
            <w:pPr>
              <w:ind w:left="200"/>
              <w:spacing w:after="0"/>
              <w:rPr>
                <w:sz w:val="20"/>
                <w:szCs w:val="20"/>
                <w:color w:val="auto"/>
              </w:rPr>
            </w:pPr>
            <w:r>
              <w:rPr>
                <w:rFonts w:ascii="Arial" w:cs="Arial" w:eastAsia="Arial" w:hAnsi="Arial"/>
                <w:sz w:val="15"/>
                <w:szCs w:val="15"/>
                <w:color w:val="auto"/>
              </w:rPr>
              <w:t>LivaNova PLC 2015 Incentive Award Plan and Sub-Plan</w:t>
            </w:r>
            <w:r>
              <w:rPr>
                <w:rFonts w:ascii="Arial" w:cs="Arial" w:eastAsia="Arial" w:hAnsi="Arial"/>
                <w:sz w:val="23"/>
                <w:szCs w:val="23"/>
                <w:color w:val="auto"/>
                <w:vertAlign w:val="superscript"/>
              </w:rPr>
              <w:t>(1)</w:t>
            </w:r>
          </w:p>
        </w:tc>
        <w:tc>
          <w:tcPr>
            <w:tcW w:w="1800" w:type="dxa"/>
            <w:vAlign w:val="bottom"/>
            <w:shd w:val="clear" w:color="auto" w:fill="EFE9FC"/>
          </w:tcPr>
          <w:p>
            <w:pPr>
              <w:jc w:val="right"/>
              <w:ind w:right="47"/>
              <w:spacing w:after="0"/>
              <w:rPr>
                <w:sz w:val="20"/>
                <w:szCs w:val="20"/>
                <w:color w:val="auto"/>
              </w:rPr>
            </w:pPr>
            <w:r>
              <w:rPr>
                <w:rFonts w:ascii="Arial" w:cs="Arial" w:eastAsia="Arial" w:hAnsi="Arial"/>
                <w:sz w:val="15"/>
                <w:szCs w:val="15"/>
                <w:color w:val="auto"/>
              </w:rPr>
              <w:t>2,788,448</w:t>
            </w:r>
          </w:p>
        </w:tc>
        <w:tc>
          <w:tcPr>
            <w:tcW w:w="1380" w:type="dxa"/>
            <w:vAlign w:val="bottom"/>
            <w:shd w:val="clear" w:color="auto" w:fill="EFE9FC"/>
          </w:tcPr>
          <w:p>
            <w:pPr>
              <w:jc w:val="right"/>
              <w:ind w:right="47"/>
              <w:spacing w:after="0"/>
              <w:rPr>
                <w:sz w:val="20"/>
                <w:szCs w:val="20"/>
                <w:color w:val="auto"/>
              </w:rPr>
            </w:pPr>
            <w:r>
              <w:rPr>
                <w:rFonts w:ascii="Arial" w:cs="Arial" w:eastAsia="Arial" w:hAnsi="Arial"/>
                <w:sz w:val="15"/>
                <w:szCs w:val="15"/>
                <w:color w:val="auto"/>
              </w:rPr>
              <w:t>77.06</w:t>
            </w:r>
          </w:p>
        </w:tc>
        <w:tc>
          <w:tcPr>
            <w:tcW w:w="1160" w:type="dxa"/>
            <w:vAlign w:val="bottom"/>
            <w:shd w:val="clear" w:color="auto" w:fill="EFE9FC"/>
          </w:tcPr>
          <w:p>
            <w:pPr>
              <w:jc w:val="right"/>
              <w:spacing w:after="0"/>
              <w:rPr>
                <w:sz w:val="20"/>
                <w:szCs w:val="20"/>
                <w:color w:val="auto"/>
              </w:rPr>
            </w:pPr>
            <w:r>
              <w:rPr>
                <w:rFonts w:ascii="Arial" w:cs="Arial" w:eastAsia="Arial" w:hAnsi="Arial"/>
                <w:sz w:val="15"/>
                <w:szCs w:val="15"/>
                <w:color w:val="auto"/>
              </w:rPr>
              <w:t>4,903,894</w:t>
            </w:r>
          </w:p>
        </w:tc>
      </w:tr>
      <w:tr>
        <w:trPr>
          <w:trHeight w:val="270"/>
        </w:trPr>
        <w:tc>
          <w:tcPr>
            <w:tcW w:w="4840" w:type="dxa"/>
            <w:vAlign w:val="bottom"/>
          </w:tcPr>
          <w:p>
            <w:pPr>
              <w:ind w:left="200"/>
              <w:spacing w:after="0"/>
              <w:rPr>
                <w:sz w:val="20"/>
                <w:szCs w:val="20"/>
                <w:color w:val="auto"/>
              </w:rPr>
            </w:pPr>
            <w:r>
              <w:rPr>
                <w:rFonts w:ascii="Arial" w:cs="Arial" w:eastAsia="Arial" w:hAnsi="Arial"/>
                <w:sz w:val="15"/>
                <w:szCs w:val="15"/>
                <w:color w:val="auto"/>
              </w:rPr>
              <w:t>Cyberonics Legacy Plans</w:t>
            </w:r>
            <w:r>
              <w:rPr>
                <w:rFonts w:ascii="Arial" w:cs="Arial" w:eastAsia="Arial" w:hAnsi="Arial"/>
                <w:sz w:val="23"/>
                <w:szCs w:val="23"/>
                <w:color w:val="auto"/>
                <w:vertAlign w:val="superscript"/>
              </w:rPr>
              <w:t>(2)</w:t>
            </w:r>
          </w:p>
        </w:tc>
        <w:tc>
          <w:tcPr>
            <w:tcW w:w="1800" w:type="dxa"/>
            <w:vAlign w:val="bottom"/>
          </w:tcPr>
          <w:p>
            <w:pPr>
              <w:jc w:val="right"/>
              <w:ind w:right="47"/>
              <w:spacing w:after="0"/>
              <w:rPr>
                <w:sz w:val="20"/>
                <w:szCs w:val="20"/>
                <w:color w:val="auto"/>
              </w:rPr>
            </w:pPr>
            <w:r>
              <w:rPr>
                <w:rFonts w:ascii="Arial" w:cs="Arial" w:eastAsia="Arial" w:hAnsi="Arial"/>
                <w:sz w:val="15"/>
                <w:szCs w:val="15"/>
                <w:color w:val="auto"/>
              </w:rPr>
              <w:t>235,844</w:t>
            </w:r>
          </w:p>
        </w:tc>
        <w:tc>
          <w:tcPr>
            <w:tcW w:w="1380" w:type="dxa"/>
            <w:vAlign w:val="bottom"/>
          </w:tcPr>
          <w:p>
            <w:pPr>
              <w:jc w:val="right"/>
              <w:ind w:right="47"/>
              <w:spacing w:after="0"/>
              <w:rPr>
                <w:sz w:val="20"/>
                <w:szCs w:val="20"/>
                <w:color w:val="auto"/>
              </w:rPr>
            </w:pPr>
            <w:r>
              <w:rPr>
                <w:rFonts w:ascii="Arial" w:cs="Arial" w:eastAsia="Arial" w:hAnsi="Arial"/>
                <w:sz w:val="15"/>
                <w:szCs w:val="15"/>
                <w:color w:val="auto"/>
              </w:rPr>
              <w:t>52.10</w:t>
            </w:r>
          </w:p>
        </w:tc>
        <w:tc>
          <w:tcPr>
            <w:tcW w:w="1160" w:type="dxa"/>
            <w:vAlign w:val="bottom"/>
          </w:tcPr>
          <w:p>
            <w:pPr>
              <w:jc w:val="right"/>
              <w:spacing w:after="0"/>
              <w:rPr>
                <w:sz w:val="20"/>
                <w:szCs w:val="20"/>
                <w:color w:val="auto"/>
              </w:rPr>
            </w:pPr>
            <w:r>
              <w:rPr>
                <w:rFonts w:ascii="Arial" w:cs="Arial" w:eastAsia="Arial" w:hAnsi="Arial"/>
                <w:sz w:val="15"/>
                <w:szCs w:val="15"/>
                <w:color w:val="auto"/>
              </w:rPr>
              <w:t>1,855,720</w:t>
            </w:r>
          </w:p>
        </w:tc>
      </w:tr>
      <w:tr>
        <w:trPr>
          <w:trHeight w:val="264"/>
        </w:trPr>
        <w:tc>
          <w:tcPr>
            <w:tcW w:w="4840" w:type="dxa"/>
            <w:vAlign w:val="bottom"/>
            <w:tcBorders>
              <w:bottom w:val="single" w:sz="8" w:color="EFE9FC"/>
            </w:tcBorders>
            <w:shd w:val="clear" w:color="auto" w:fill="EFE9FC"/>
          </w:tcPr>
          <w:p>
            <w:pPr>
              <w:ind w:left="40"/>
              <w:spacing w:after="0"/>
              <w:rPr>
                <w:sz w:val="20"/>
                <w:szCs w:val="20"/>
                <w:color w:val="auto"/>
              </w:rPr>
            </w:pPr>
            <w:r>
              <w:rPr>
                <w:rFonts w:ascii="Arial" w:cs="Arial" w:eastAsia="Arial" w:hAnsi="Arial"/>
                <w:sz w:val="15"/>
                <w:szCs w:val="15"/>
                <w:b w:val="1"/>
                <w:bCs w:val="1"/>
                <w:color w:val="auto"/>
              </w:rPr>
              <w:t>Equity compensation plans not approved by security holders</w:t>
            </w:r>
          </w:p>
        </w:tc>
        <w:tc>
          <w:tcPr>
            <w:tcW w:w="1800" w:type="dxa"/>
            <w:vAlign w:val="bottom"/>
            <w:tcBorders>
              <w:bottom w:val="single" w:sz="8" w:color="EFE9FC"/>
            </w:tcBorders>
            <w:shd w:val="clear" w:color="auto" w:fill="EFE9FC"/>
          </w:tcPr>
          <w:p>
            <w:pPr>
              <w:spacing w:after="0"/>
              <w:rPr>
                <w:sz w:val="22"/>
                <w:szCs w:val="22"/>
                <w:color w:val="auto"/>
              </w:rPr>
            </w:pPr>
          </w:p>
        </w:tc>
        <w:tc>
          <w:tcPr>
            <w:tcW w:w="1380" w:type="dxa"/>
            <w:vAlign w:val="bottom"/>
            <w:tcBorders>
              <w:bottom w:val="single" w:sz="8" w:color="EFE9FC"/>
            </w:tcBorders>
            <w:shd w:val="clear" w:color="auto" w:fill="EFE9FC"/>
          </w:tcPr>
          <w:p>
            <w:pPr>
              <w:spacing w:after="0"/>
              <w:rPr>
                <w:sz w:val="22"/>
                <w:szCs w:val="22"/>
                <w:color w:val="auto"/>
              </w:rPr>
            </w:pPr>
          </w:p>
        </w:tc>
        <w:tc>
          <w:tcPr>
            <w:tcW w:w="1160" w:type="dxa"/>
            <w:vAlign w:val="bottom"/>
            <w:tcBorders>
              <w:bottom w:val="single" w:sz="8" w:color="EFE9FC"/>
            </w:tcBorders>
            <w:shd w:val="clear" w:color="auto" w:fill="EFE9FC"/>
          </w:tcPr>
          <w:p>
            <w:pPr>
              <w:spacing w:after="0"/>
              <w:rPr>
                <w:sz w:val="22"/>
                <w:szCs w:val="22"/>
                <w:color w:val="auto"/>
              </w:rPr>
            </w:pPr>
          </w:p>
        </w:tc>
      </w:tr>
      <w:tr>
        <w:trPr>
          <w:trHeight w:val="270"/>
        </w:trPr>
        <w:tc>
          <w:tcPr>
            <w:tcW w:w="4840" w:type="dxa"/>
            <w:vAlign w:val="bottom"/>
          </w:tcPr>
          <w:p>
            <w:pPr>
              <w:ind w:left="200"/>
              <w:spacing w:after="0"/>
              <w:rPr>
                <w:sz w:val="20"/>
                <w:szCs w:val="20"/>
                <w:color w:val="auto"/>
              </w:rPr>
            </w:pPr>
            <w:r>
              <w:rPr>
                <w:rFonts w:ascii="Arial" w:cs="Arial" w:eastAsia="Arial" w:hAnsi="Arial"/>
                <w:sz w:val="15"/>
                <w:szCs w:val="15"/>
                <w:color w:val="auto"/>
              </w:rPr>
              <w:t>Cyberonics, Inc. New Employee Equity Inducement Plan</w:t>
            </w:r>
            <w:r>
              <w:rPr>
                <w:rFonts w:ascii="Arial" w:cs="Arial" w:eastAsia="Arial" w:hAnsi="Arial"/>
                <w:sz w:val="23"/>
                <w:szCs w:val="23"/>
                <w:color w:val="auto"/>
                <w:vertAlign w:val="superscript"/>
              </w:rPr>
              <w:t>(4)</w:t>
            </w:r>
          </w:p>
        </w:tc>
        <w:tc>
          <w:tcPr>
            <w:tcW w:w="1800" w:type="dxa"/>
            <w:vAlign w:val="bottom"/>
          </w:tcPr>
          <w:p>
            <w:pPr>
              <w:spacing w:after="0"/>
              <w:rPr>
                <w:sz w:val="23"/>
                <w:szCs w:val="23"/>
                <w:color w:val="auto"/>
              </w:rPr>
            </w:pPr>
          </w:p>
        </w:tc>
        <w:tc>
          <w:tcPr>
            <w:tcW w:w="1380" w:type="dxa"/>
            <w:vAlign w:val="bottom"/>
          </w:tcPr>
          <w:p>
            <w:pPr>
              <w:spacing w:after="0"/>
              <w:rPr>
                <w:sz w:val="23"/>
                <w:szCs w:val="23"/>
                <w:color w:val="auto"/>
              </w:rPr>
            </w:pPr>
          </w:p>
        </w:tc>
        <w:tc>
          <w:tcPr>
            <w:tcW w:w="1160" w:type="dxa"/>
            <w:vAlign w:val="bottom"/>
          </w:tcPr>
          <w:p>
            <w:pPr>
              <w:jc w:val="right"/>
              <w:spacing w:after="0"/>
              <w:rPr>
                <w:sz w:val="20"/>
                <w:szCs w:val="20"/>
                <w:color w:val="auto"/>
              </w:rPr>
            </w:pPr>
            <w:r>
              <w:rPr>
                <w:rFonts w:ascii="Arial" w:cs="Arial" w:eastAsia="Arial" w:hAnsi="Arial"/>
                <w:sz w:val="15"/>
                <w:szCs w:val="15"/>
                <w:color w:val="auto"/>
              </w:rPr>
              <w:t>290,185</w:t>
            </w:r>
          </w:p>
        </w:tc>
      </w:tr>
      <w:tr>
        <w:trPr>
          <w:trHeight w:val="250"/>
        </w:trPr>
        <w:tc>
          <w:tcPr>
            <w:tcW w:w="4840" w:type="dxa"/>
            <w:vAlign w:val="bottom"/>
            <w:tcBorders>
              <w:bottom w:val="single" w:sz="8" w:color="EFE9FC"/>
            </w:tcBorders>
            <w:shd w:val="clear" w:color="auto" w:fill="EFE9FC"/>
          </w:tcPr>
          <w:p>
            <w:pPr>
              <w:ind w:left="40"/>
              <w:spacing w:after="0"/>
              <w:rPr>
                <w:sz w:val="20"/>
                <w:szCs w:val="20"/>
                <w:color w:val="auto"/>
              </w:rPr>
            </w:pPr>
            <w:r>
              <w:rPr>
                <w:rFonts w:ascii="Arial" w:cs="Arial" w:eastAsia="Arial" w:hAnsi="Arial"/>
                <w:sz w:val="15"/>
                <w:szCs w:val="15"/>
                <w:b w:val="1"/>
                <w:bCs w:val="1"/>
                <w:color w:val="auto"/>
              </w:rPr>
              <w:t>Total</w:t>
            </w:r>
          </w:p>
        </w:tc>
        <w:tc>
          <w:tcPr>
            <w:tcW w:w="1800" w:type="dxa"/>
            <w:vAlign w:val="bottom"/>
            <w:tcBorders>
              <w:bottom w:val="single" w:sz="8" w:color="EFE9FC"/>
            </w:tcBorders>
            <w:shd w:val="clear" w:color="auto" w:fill="EFE9FC"/>
          </w:tcPr>
          <w:p>
            <w:pPr>
              <w:jc w:val="right"/>
              <w:ind w:right="47"/>
              <w:spacing w:after="0"/>
              <w:rPr>
                <w:sz w:val="20"/>
                <w:szCs w:val="20"/>
                <w:color w:val="auto"/>
              </w:rPr>
            </w:pPr>
            <w:r>
              <w:rPr>
                <w:rFonts w:ascii="Arial" w:cs="Arial" w:eastAsia="Arial" w:hAnsi="Arial"/>
                <w:sz w:val="15"/>
                <w:szCs w:val="15"/>
                <w:color w:val="auto"/>
              </w:rPr>
              <w:t>3,024,292</w:t>
            </w:r>
          </w:p>
        </w:tc>
        <w:tc>
          <w:tcPr>
            <w:tcW w:w="1380" w:type="dxa"/>
            <w:vAlign w:val="bottom"/>
            <w:tcBorders>
              <w:bottom w:val="single" w:sz="8" w:color="EFE9FC"/>
            </w:tcBorders>
            <w:shd w:val="clear" w:color="auto" w:fill="EFE9FC"/>
          </w:tcPr>
          <w:p>
            <w:pPr>
              <w:jc w:val="right"/>
              <w:ind w:right="47"/>
              <w:spacing w:after="0"/>
              <w:rPr>
                <w:sz w:val="20"/>
                <w:szCs w:val="20"/>
                <w:color w:val="auto"/>
              </w:rPr>
            </w:pPr>
            <w:r>
              <w:rPr>
                <w:rFonts w:ascii="Arial" w:cs="Arial" w:eastAsia="Arial" w:hAnsi="Arial"/>
                <w:sz w:val="15"/>
                <w:szCs w:val="15"/>
                <w:color w:val="auto"/>
              </w:rPr>
              <w:t>64.58</w:t>
            </w:r>
          </w:p>
        </w:tc>
        <w:tc>
          <w:tcPr>
            <w:tcW w:w="1160" w:type="dxa"/>
            <w:vAlign w:val="bottom"/>
            <w:tcBorders>
              <w:bottom w:val="single" w:sz="8" w:color="EFE9FC"/>
            </w:tcBorders>
            <w:shd w:val="clear" w:color="auto" w:fill="EFE9FC"/>
          </w:tcPr>
          <w:p>
            <w:pPr>
              <w:jc w:val="right"/>
              <w:spacing w:after="0"/>
              <w:rPr>
                <w:sz w:val="20"/>
                <w:szCs w:val="20"/>
                <w:color w:val="auto"/>
              </w:rPr>
            </w:pPr>
            <w:r>
              <w:rPr>
                <w:rFonts w:ascii="Arial" w:cs="Arial" w:eastAsia="Arial" w:hAnsi="Arial"/>
                <w:sz w:val="15"/>
                <w:szCs w:val="15"/>
                <w:color w:val="auto"/>
              </w:rPr>
              <w:t>7,049,799</w:t>
            </w:r>
          </w:p>
        </w:tc>
      </w:tr>
      <w:tr>
        <w:trPr>
          <w:trHeight w:val="20"/>
        </w:trPr>
        <w:tc>
          <w:tcPr>
            <w:tcW w:w="4840" w:type="dxa"/>
            <w:vAlign w:val="bottom"/>
            <w:shd w:val="clear" w:color="auto" w:fill="4800E6"/>
          </w:tcPr>
          <w:p>
            <w:pPr>
              <w:spacing w:after="0" w:line="20" w:lineRule="exact"/>
              <w:rPr>
                <w:sz w:val="1"/>
                <w:szCs w:val="1"/>
                <w:color w:val="auto"/>
              </w:rPr>
            </w:pPr>
          </w:p>
        </w:tc>
        <w:tc>
          <w:tcPr>
            <w:tcW w:w="1800" w:type="dxa"/>
            <w:vAlign w:val="bottom"/>
            <w:shd w:val="clear" w:color="auto" w:fill="4800E6"/>
          </w:tcPr>
          <w:p>
            <w:pPr>
              <w:spacing w:after="0" w:line="20" w:lineRule="exact"/>
              <w:rPr>
                <w:sz w:val="1"/>
                <w:szCs w:val="1"/>
                <w:color w:val="auto"/>
              </w:rPr>
            </w:pPr>
          </w:p>
        </w:tc>
        <w:tc>
          <w:tcPr>
            <w:tcW w:w="1380" w:type="dxa"/>
            <w:vAlign w:val="bottom"/>
            <w:shd w:val="clear" w:color="auto" w:fill="4800E6"/>
          </w:tcPr>
          <w:p>
            <w:pPr>
              <w:spacing w:after="0" w:line="20" w:lineRule="exact"/>
              <w:rPr>
                <w:sz w:val="1"/>
                <w:szCs w:val="1"/>
                <w:color w:val="auto"/>
              </w:rPr>
            </w:pPr>
          </w:p>
        </w:tc>
        <w:tc>
          <w:tcPr>
            <w:tcW w:w="1160" w:type="dxa"/>
            <w:vAlign w:val="bottom"/>
            <w:shd w:val="clear" w:color="auto" w:fill="4800E6"/>
          </w:tcPr>
          <w:p>
            <w:pPr>
              <w:spacing w:after="0" w:line="20" w:lineRule="exact"/>
              <w:rPr>
                <w:sz w:val="1"/>
                <w:szCs w:val="1"/>
                <w:color w:val="auto"/>
              </w:rPr>
            </w:pPr>
          </w:p>
        </w:tc>
      </w:tr>
    </w:tbl>
    <w:p>
      <w:pPr>
        <w:spacing w:after="0" w:line="115" w:lineRule="exact"/>
        <w:rPr>
          <w:sz w:val="20"/>
          <w:szCs w:val="20"/>
          <w:color w:val="auto"/>
        </w:rPr>
      </w:pPr>
    </w:p>
    <w:p>
      <w:pPr>
        <w:sectPr>
          <w:pgSz w:w="11900" w:h="16838" w:orient="portrait"/>
          <w:cols w:equalWidth="0" w:num="1">
            <w:col w:w="10180"/>
          </w:cols>
          <w:pgMar w:left="320" w:top="132" w:right="1399" w:bottom="1440" w:gutter="0" w:footer="0" w:header="0"/>
        </w:sectPr>
      </w:pPr>
    </w:p>
    <w:p>
      <w:pPr>
        <w:ind w:left="4340"/>
        <w:spacing w:after="0"/>
        <w:tabs>
          <w:tab w:leader="none" w:pos="10000" w:val="left"/>
        </w:tabs>
        <w:rPr>
          <w:sz w:val="20"/>
          <w:szCs w:val="20"/>
          <w:color w:val="auto"/>
        </w:rPr>
      </w:pPr>
      <w:r>
        <w:rPr>
          <w:rFonts w:ascii="Arial" w:cs="Arial" w:eastAsia="Arial" w:hAnsi="Arial"/>
          <w:sz w:val="13"/>
          <w:szCs w:val="13"/>
          <w:b w:val="1"/>
          <w:bCs w:val="1"/>
          <w:color w:val="4800E6"/>
        </w:rPr>
        <w:t xml:space="preserve">LIVANOVA </w:t>
      </w:r>
      <w:r>
        <w:rPr>
          <w:rFonts w:ascii="Arial" w:cs="Arial" w:eastAsia="Arial" w:hAnsi="Arial"/>
          <w:sz w:val="13"/>
          <w:szCs w:val="13"/>
          <w:color w:val="000000"/>
        </w:rPr>
        <w:t>|</w:t>
      </w:r>
      <w:r>
        <w:rPr>
          <w:rFonts w:ascii="Arial" w:cs="Arial" w:eastAsia="Arial" w:hAnsi="Arial"/>
          <w:sz w:val="13"/>
          <w:szCs w:val="13"/>
          <w:b w:val="1"/>
          <w:bCs w:val="1"/>
          <w:color w:val="4800E6"/>
        </w:rPr>
        <w:t xml:space="preserve"> </w:t>
      </w:r>
      <w:r>
        <w:rPr>
          <w:rFonts w:ascii="Arial" w:cs="Arial" w:eastAsia="Arial" w:hAnsi="Arial"/>
          <w:sz w:val="13"/>
          <w:szCs w:val="13"/>
          <w:color w:val="4800E6"/>
        </w:rPr>
        <w:t>2020</w:t>
      </w:r>
      <w:r>
        <w:rPr>
          <w:rFonts w:ascii="Arial" w:cs="Arial" w:eastAsia="Arial" w:hAnsi="Arial"/>
          <w:sz w:val="13"/>
          <w:szCs w:val="13"/>
          <w:b w:val="1"/>
          <w:bCs w:val="1"/>
          <w:color w:val="4800E6"/>
        </w:rPr>
        <w:t xml:space="preserve"> </w:t>
      </w:r>
      <w:r>
        <w:rPr>
          <w:rFonts w:ascii="Arial" w:cs="Arial" w:eastAsia="Arial" w:hAnsi="Arial"/>
          <w:sz w:val="13"/>
          <w:szCs w:val="13"/>
          <w:color w:val="000000"/>
        </w:rPr>
        <w:t>Proxy Statement</w:t>
      </w:r>
      <w:r>
        <w:rPr>
          <w:sz w:val="20"/>
          <w:szCs w:val="20"/>
          <w:color w:val="auto"/>
        </w:rPr>
        <w:tab/>
      </w:r>
      <w:r>
        <w:rPr>
          <w:rFonts w:ascii="Arial" w:cs="Arial" w:eastAsia="Arial" w:hAnsi="Arial"/>
          <w:sz w:val="21"/>
          <w:szCs w:val="21"/>
          <w:b w:val="1"/>
          <w:bCs w:val="1"/>
          <w:color w:val="auto"/>
          <w:vertAlign w:val="subscript"/>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519430</wp:posOffset>
            </wp:positionH>
            <wp:positionV relativeFrom="paragraph">
              <wp:posOffset>47625</wp:posOffset>
            </wp:positionV>
            <wp:extent cx="1954530" cy="8890"/>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43">
                      <a:extLst>
                        <a:ext uri="{28A0092B-C50C-407E-A947-70E740481C1C}"/>
                      </a:extLst>
                    </a:blip>
                    <a:srcRect/>
                    <a:stretch>
                      <a:fillRect/>
                    </a:stretch>
                  </pic:blipFill>
                  <pic:spPr bwMode="auto">
                    <a:xfrm>
                      <a:off x="0" y="0"/>
                      <a:ext cx="1954530" cy="8890"/>
                    </a:xfrm>
                    <a:prstGeom prst="rect">
                      <a:avLst/>
                    </a:prstGeom>
                    <a:noFill/>
                  </pic:spPr>
                </pic:pic>
              </a:graphicData>
            </a:graphic>
          </wp:anchor>
        </w:drawing>
        <w:drawing>
          <wp:anchor simplePos="0" relativeHeight="251657728" behindDoc="1" locked="0" layoutInCell="0" allowOverlap="1">
            <wp:simplePos x="0" y="0"/>
            <wp:positionH relativeFrom="column">
              <wp:posOffset>4257040</wp:posOffset>
            </wp:positionH>
            <wp:positionV relativeFrom="paragraph">
              <wp:posOffset>47625</wp:posOffset>
            </wp:positionV>
            <wp:extent cx="1954530" cy="8890"/>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44">
                      <a:extLst>
                        <a:ext uri="{28A0092B-C50C-407E-A947-70E740481C1C}"/>
                      </a:extLst>
                    </a:blip>
                    <a:srcRect/>
                    <a:stretch>
                      <a:fillRect/>
                    </a:stretch>
                  </pic:blipFill>
                  <pic:spPr bwMode="auto">
                    <a:xfrm>
                      <a:off x="0" y="0"/>
                      <a:ext cx="195453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176530</wp:posOffset>
            </wp:positionV>
            <wp:extent cx="6806565" cy="17145"/>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45">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10180"/>
          </w:cols>
          <w:pgMar w:left="320" w:top="132" w:right="1399" w:bottom="1440" w:gutter="0" w:footer="0" w:header="0"/>
          <w:type w:val="continuous"/>
        </w:sectPr>
      </w:pPr>
    </w:p>
    <w:bookmarkStart w:id="48" w:name="page49"/>
    <w:bookmarkEnd w:id="48"/>
    <w:p>
      <w:pPr>
        <w:spacing w:after="0"/>
        <w:rPr>
          <w:rFonts w:ascii="Arial" w:cs="Arial" w:eastAsia="Arial" w:hAnsi="Arial"/>
          <w:sz w:val="14"/>
          <w:szCs w:val="14"/>
          <w:color w:val="003366"/>
        </w:rPr>
      </w:pPr>
      <w:hyperlink w:anchor="page5">
        <w:r>
          <w:rPr>
            <w:rFonts w:ascii="Arial" w:cs="Arial" w:eastAsia="Arial" w:hAnsi="Arial"/>
            <w:sz w:val="14"/>
            <w:szCs w:val="14"/>
            <w:color w:val="003366"/>
          </w:rPr>
          <w:t>TABLE OF CONTENTS</w:t>
        </w:r>
      </w:hyperlink>
    </w:p>
    <w:p>
      <w:pPr>
        <w:spacing w:after="0" w:line="338" w:lineRule="exact"/>
        <w:rPr>
          <w:sz w:val="20"/>
          <w:szCs w:val="20"/>
          <w:color w:val="auto"/>
        </w:rPr>
      </w:pPr>
    </w:p>
    <w:p>
      <w:pPr>
        <w:ind w:left="760"/>
        <w:spacing w:after="0"/>
        <w:rPr>
          <w:sz w:val="20"/>
          <w:szCs w:val="20"/>
          <w:color w:val="auto"/>
        </w:rPr>
      </w:pPr>
      <w:r>
        <w:rPr>
          <w:rFonts w:ascii="Arial" w:cs="Arial" w:eastAsia="Arial" w:hAnsi="Arial"/>
          <w:sz w:val="13"/>
          <w:szCs w:val="13"/>
          <w:b w:val="1"/>
          <w:bCs w:val="1"/>
          <w:color w:val="auto"/>
        </w:rPr>
        <w:t xml:space="preserve">Executive </w:t>
      </w:r>
      <w:r>
        <w:rPr>
          <w:rFonts w:ascii="Arial" w:cs="Arial" w:eastAsia="Arial" w:hAnsi="Arial"/>
          <w:sz w:val="13"/>
          <w:szCs w:val="13"/>
          <w:b w:val="1"/>
          <w:bCs w:val="1"/>
          <w:color w:val="666666"/>
        </w:rPr>
        <w:t>Compensation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485140</wp:posOffset>
            </wp:positionH>
            <wp:positionV relativeFrom="paragraph">
              <wp:posOffset>30480</wp:posOffset>
            </wp:positionV>
            <wp:extent cx="5829300" cy="8255"/>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46">
                      <a:extLst>
                        <a:ext uri="{28A0092B-C50C-407E-A947-70E740481C1C}"/>
                      </a:extLst>
                    </a:blip>
                    <a:srcRect/>
                    <a:stretch>
                      <a:fillRect/>
                    </a:stretch>
                  </pic:blipFill>
                  <pic:spPr bwMode="auto">
                    <a:xfrm>
                      <a:off x="0" y="0"/>
                      <a:ext cx="5829300" cy="8255"/>
                    </a:xfrm>
                    <a:prstGeom prst="rect">
                      <a:avLst/>
                    </a:prstGeom>
                    <a:noFill/>
                  </pic:spPr>
                </pic:pic>
              </a:graphicData>
            </a:graphic>
          </wp:anchor>
        </w:drawing>
      </w:r>
    </w:p>
    <w:p>
      <w:pPr>
        <w:spacing w:after="0" w:line="60" w:lineRule="exact"/>
        <w:rPr>
          <w:sz w:val="20"/>
          <w:szCs w:val="20"/>
          <w:color w:val="auto"/>
        </w:rPr>
      </w:pPr>
    </w:p>
    <w:p>
      <w:pPr>
        <w:ind w:left="760"/>
        <w:spacing w:after="0"/>
        <w:rPr>
          <w:sz w:val="20"/>
          <w:szCs w:val="20"/>
          <w:color w:val="auto"/>
        </w:rPr>
      </w:pPr>
      <w:r>
        <w:rPr>
          <w:rFonts w:ascii="Arial" w:cs="Arial" w:eastAsia="Arial" w:hAnsi="Arial"/>
          <w:sz w:val="13"/>
          <w:szCs w:val="13"/>
          <w:b w:val="1"/>
          <w:bCs w:val="1"/>
          <w:color w:val="4800E6"/>
        </w:rPr>
        <w:t>Compensation of Executive Officers and Directors</w:t>
      </w: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ind w:left="980" w:right="339" w:hanging="216"/>
        <w:spacing w:after="0" w:line="253" w:lineRule="auto"/>
        <w:tabs>
          <w:tab w:leader="none" w:pos="980" w:val="left"/>
        </w:tabs>
        <w:numPr>
          <w:ilvl w:val="0"/>
          <w:numId w:val="68"/>
        </w:numPr>
        <w:rPr>
          <w:rFonts w:ascii="Arial" w:cs="Arial" w:eastAsia="Arial" w:hAnsi="Arial"/>
          <w:sz w:val="13"/>
          <w:szCs w:val="13"/>
          <w:i w:val="1"/>
          <w:iCs w:val="1"/>
          <w:color w:val="auto"/>
        </w:rPr>
      </w:pPr>
      <w:r>
        <w:rPr>
          <w:rFonts w:ascii="Arial" w:cs="Arial" w:eastAsia="Arial" w:hAnsi="Arial"/>
          <w:sz w:val="13"/>
          <w:szCs w:val="13"/>
          <w:i w:val="1"/>
          <w:iCs w:val="1"/>
          <w:color w:val="auto"/>
        </w:rPr>
        <w:t>The LivaNova 2015 Incentive Award Plan and the Sub-Plan were approved by our Board and our sole shareholder, effective on October 16, 2015. Amounts represent the number of LivaNova Shares issuable upon the exercise or settlement of outstanding SARs (1,979,011) and RSUs (809,437), as granted under the LivaNova 2015 Incentive Award Plan as of December 31, 2019.</w:t>
      </w:r>
    </w:p>
    <w:p>
      <w:pPr>
        <w:ind w:left="980" w:right="259" w:hanging="216"/>
        <w:spacing w:after="0" w:line="242" w:lineRule="auto"/>
        <w:tabs>
          <w:tab w:leader="none" w:pos="980" w:val="left"/>
        </w:tabs>
        <w:numPr>
          <w:ilvl w:val="0"/>
          <w:numId w:val="68"/>
        </w:numPr>
        <w:rPr>
          <w:rFonts w:ascii="Arial" w:cs="Arial" w:eastAsia="Arial" w:hAnsi="Arial"/>
          <w:sz w:val="13"/>
          <w:szCs w:val="13"/>
          <w:i w:val="1"/>
          <w:iCs w:val="1"/>
          <w:color w:val="auto"/>
        </w:rPr>
      </w:pPr>
      <w:r>
        <w:rPr>
          <w:rFonts w:ascii="Arial" w:cs="Arial" w:eastAsia="Arial" w:hAnsi="Arial"/>
          <w:sz w:val="13"/>
          <w:szCs w:val="13"/>
          <w:i w:val="1"/>
          <w:iCs w:val="1"/>
          <w:color w:val="auto"/>
        </w:rPr>
        <w:t>The Cyberonics, Inc. Amended and Restated 1996 Stock Option Plan (“1996 Stock Plan”), the Cyberonics, Inc. Amended and Restated 1997 Stock Plan (“1997 Stock Plan”), the Cyberonics, Inc. 2005 Stock Plan (“2005 Stock Plan”) and the Cyberonics, Inc. 2009 Stock Plan (“2009 Stock Plan”) were approved by Cyberonics board and became effective in November 1996, November 2000, March 2005 and August 2009, respectively. Options granted under the 1996 Stock Plan (now expired), the 1997 Stock Plan (no longer available) and the 2005 Stock Plan (no longer available) generally vest ratably over four or five years following their date of grant. Option awards have a maximum term of 10 years from grant date. In connection with the merger of Sorin and Cyberonics, on October 19, 2015, we assumed the 1996 Stock Plan, 1997 Stock Plan, 2005 Stock Plan and the 2009 Stock Plan and all outstanding Cyberonics stock options granted thereunder (9,375; 102,121; 500; and 689,526, respectively), were fully vested, canceled and converted into an option to purchase one LivaNova Share. The amount represents the number of LivaNova Shares that may be issuable upon exercise of the converted option awards as of December 31, 2019. Based on the unused share reserve of the assumed Cyberonics, Inc. 2009 Stock Plan, there remain 1,855,720 LivaNova Shares available for issuance thereunder, as converted in connection with the above-described merger Transaction.</w:t>
      </w:r>
    </w:p>
    <w:p>
      <w:pPr>
        <w:spacing w:after="0" w:line="4" w:lineRule="exact"/>
        <w:rPr>
          <w:rFonts w:ascii="Arial" w:cs="Arial" w:eastAsia="Arial" w:hAnsi="Arial"/>
          <w:sz w:val="13"/>
          <w:szCs w:val="13"/>
          <w:i w:val="1"/>
          <w:iCs w:val="1"/>
          <w:color w:val="auto"/>
        </w:rPr>
      </w:pPr>
    </w:p>
    <w:p>
      <w:pPr>
        <w:ind w:left="980" w:right="259" w:hanging="216"/>
        <w:spacing w:after="0" w:line="248" w:lineRule="auto"/>
        <w:tabs>
          <w:tab w:leader="none" w:pos="980" w:val="left"/>
        </w:tabs>
        <w:numPr>
          <w:ilvl w:val="0"/>
          <w:numId w:val="68"/>
        </w:numPr>
        <w:rPr>
          <w:rFonts w:ascii="Arial" w:cs="Arial" w:eastAsia="Arial" w:hAnsi="Arial"/>
          <w:sz w:val="13"/>
          <w:szCs w:val="13"/>
          <w:i w:val="1"/>
          <w:iCs w:val="1"/>
          <w:color w:val="auto"/>
        </w:rPr>
      </w:pPr>
      <w:r>
        <w:rPr>
          <w:rFonts w:ascii="Arial" w:cs="Arial" w:eastAsia="Arial" w:hAnsi="Arial"/>
          <w:sz w:val="13"/>
          <w:szCs w:val="13"/>
          <w:i w:val="1"/>
          <w:iCs w:val="1"/>
          <w:color w:val="auto"/>
        </w:rPr>
        <w:t>The Cyberonics, Inc. New Employee Equity Inducement Plan (“New Employee Plan”) was not approved by the shareholders of Cyberonics. The New Employee Plan provides for the award of unrestricted shares, restricted stock and stock options to newly hired Cyberonics employees. On October 19, 2015, we assumed the New Employee Plan and each outstanding Cyberonics stock option granted thereunder was fully vested, canceled and converted into an option to purchase one LivaNova Share. The amounts represent the number of LivaNova Shares that may be issuable upon exercise of the converted options and the total number of shares that remain available for issuance under the New Employee Plan as of December 31, 201.</w:t>
      </w:r>
    </w:p>
    <w:p>
      <w:pPr>
        <w:spacing w:after="0" w:line="244" w:lineRule="exact"/>
        <w:rPr>
          <w:sz w:val="20"/>
          <w:szCs w:val="20"/>
          <w:color w:val="auto"/>
        </w:rPr>
      </w:pPr>
    </w:p>
    <w:p>
      <w:pPr>
        <w:ind w:left="760"/>
        <w:spacing w:after="0"/>
        <w:rPr>
          <w:sz w:val="20"/>
          <w:szCs w:val="20"/>
          <w:color w:val="auto"/>
        </w:rPr>
      </w:pPr>
      <w:r>
        <w:rPr>
          <w:rFonts w:ascii="Arial" w:cs="Arial" w:eastAsia="Arial" w:hAnsi="Arial"/>
          <w:sz w:val="23"/>
          <w:szCs w:val="23"/>
          <w:b w:val="1"/>
          <w:bCs w:val="1"/>
          <w:color w:val="auto"/>
        </w:rPr>
        <w:t>Potential Payments Upon Termination or Change in Control</w:t>
      </w:r>
    </w:p>
    <w:p>
      <w:pPr>
        <w:spacing w:after="0" w:line="139" w:lineRule="exact"/>
        <w:rPr>
          <w:sz w:val="20"/>
          <w:szCs w:val="20"/>
          <w:color w:val="auto"/>
        </w:rPr>
      </w:pPr>
    </w:p>
    <w:p>
      <w:pPr>
        <w:ind w:left="760" w:right="199"/>
        <w:spacing w:after="0" w:line="251" w:lineRule="auto"/>
        <w:rPr>
          <w:sz w:val="20"/>
          <w:szCs w:val="20"/>
          <w:color w:val="auto"/>
        </w:rPr>
      </w:pPr>
      <w:r>
        <w:rPr>
          <w:rFonts w:ascii="Arial" w:cs="Arial" w:eastAsia="Arial" w:hAnsi="Arial"/>
          <w:sz w:val="16"/>
          <w:szCs w:val="16"/>
          <w:color w:val="auto"/>
        </w:rPr>
        <w:t>The Compensation Committee’s charter requires it to review and approve severance arrangements and change-in-control agreements. The employment agreements with the NEOs provide for severance payments and benefits in amounts that have been deemed appropriate by the Compensation Committee. The severance amounts take into account the time it is expected to take a separated employee to find alternative employment, as well as market practice for global executives.</w:t>
      </w:r>
    </w:p>
    <w:p>
      <w:pPr>
        <w:spacing w:after="0" w:line="81" w:lineRule="exact"/>
        <w:rPr>
          <w:sz w:val="20"/>
          <w:szCs w:val="20"/>
          <w:color w:val="auto"/>
        </w:rPr>
      </w:pPr>
    </w:p>
    <w:p>
      <w:pPr>
        <w:ind w:left="760"/>
        <w:spacing w:after="0"/>
        <w:rPr>
          <w:sz w:val="20"/>
          <w:szCs w:val="20"/>
          <w:color w:val="auto"/>
        </w:rPr>
      </w:pPr>
      <w:r>
        <w:rPr>
          <w:rFonts w:ascii="Arial" w:cs="Arial" w:eastAsia="Arial" w:hAnsi="Arial"/>
          <w:sz w:val="16"/>
          <w:szCs w:val="16"/>
          <w:color w:val="auto"/>
        </w:rPr>
        <w:t>At times, as circumstances dictate, we also enter into additional separation arrangements with departing executive officers.</w:t>
      </w:r>
    </w:p>
    <w:p>
      <w:pPr>
        <w:spacing w:after="0" w:line="5" w:lineRule="exact"/>
        <w:rPr>
          <w:sz w:val="20"/>
          <w:szCs w:val="20"/>
          <w:color w:val="auto"/>
        </w:rPr>
      </w:pPr>
    </w:p>
    <w:p>
      <w:pPr>
        <w:ind w:left="760"/>
        <w:spacing w:after="0"/>
        <w:rPr>
          <w:sz w:val="20"/>
          <w:szCs w:val="20"/>
          <w:color w:val="auto"/>
        </w:rPr>
      </w:pPr>
      <w:r>
        <w:rPr>
          <w:rFonts w:ascii="Arial" w:cs="Arial" w:eastAsia="Arial" w:hAnsi="Arial"/>
          <w:sz w:val="16"/>
          <w:szCs w:val="16"/>
          <w:color w:val="auto"/>
        </w:rPr>
        <w:t>Employment agreements and any additional separation arrangements for departing NEOs are set out below.</w:t>
      </w:r>
    </w:p>
    <w:p>
      <w:pPr>
        <w:spacing w:after="0" w:line="165" w:lineRule="exact"/>
        <w:rPr>
          <w:sz w:val="20"/>
          <w:szCs w:val="20"/>
          <w:color w:val="auto"/>
        </w:rPr>
      </w:pPr>
    </w:p>
    <w:p>
      <w:pPr>
        <w:ind w:left="760"/>
        <w:spacing w:after="0"/>
        <w:rPr>
          <w:sz w:val="20"/>
          <w:szCs w:val="20"/>
          <w:color w:val="auto"/>
        </w:rPr>
      </w:pPr>
      <w:r>
        <w:rPr>
          <w:rFonts w:ascii="Arial" w:cs="Arial" w:eastAsia="Arial" w:hAnsi="Arial"/>
          <w:sz w:val="20"/>
          <w:szCs w:val="20"/>
          <w:b w:val="1"/>
          <w:bCs w:val="1"/>
          <w:color w:val="FF4C4C"/>
        </w:rPr>
        <w:t>Damien McDonald</w:t>
      </w:r>
    </w:p>
    <w:p>
      <w:pPr>
        <w:spacing w:after="0" w:line="124" w:lineRule="exact"/>
        <w:rPr>
          <w:sz w:val="20"/>
          <w:szCs w:val="20"/>
          <w:color w:val="auto"/>
        </w:rPr>
      </w:pPr>
    </w:p>
    <w:p>
      <w:pPr>
        <w:ind w:left="760"/>
        <w:spacing w:after="0"/>
        <w:rPr>
          <w:sz w:val="20"/>
          <w:szCs w:val="20"/>
          <w:color w:val="auto"/>
        </w:rPr>
      </w:pPr>
      <w:r>
        <w:rPr>
          <w:rFonts w:ascii="Arial" w:cs="Arial" w:eastAsia="Arial" w:hAnsi="Arial"/>
          <w:sz w:val="16"/>
          <w:szCs w:val="16"/>
          <w:color w:val="auto"/>
        </w:rPr>
        <w:t>Following Mr. McDonald’s appointment as Chief Executive Officer with effect from January 1, 2017, the Compensation Committee</w:t>
      </w:r>
    </w:p>
    <w:p>
      <w:pPr>
        <w:spacing w:after="0" w:line="5" w:lineRule="exact"/>
        <w:rPr>
          <w:sz w:val="20"/>
          <w:szCs w:val="20"/>
          <w:color w:val="auto"/>
        </w:rPr>
      </w:pPr>
    </w:p>
    <w:p>
      <w:pPr>
        <w:ind w:left="760"/>
        <w:spacing w:after="0"/>
        <w:rPr>
          <w:sz w:val="20"/>
          <w:szCs w:val="20"/>
          <w:color w:val="auto"/>
        </w:rPr>
      </w:pPr>
      <w:r>
        <w:rPr>
          <w:rFonts w:ascii="Arial" w:cs="Arial" w:eastAsia="Arial" w:hAnsi="Arial"/>
          <w:sz w:val="16"/>
          <w:szCs w:val="16"/>
          <w:color w:val="auto"/>
        </w:rPr>
        <w:t>on February 22, 2017 approved a service agreement with Mr. McDonald. Mr. McDonald’s annual base salary was £731,500</w:t>
      </w:r>
    </w:p>
    <w:p>
      <w:pPr>
        <w:spacing w:after="0" w:line="5" w:lineRule="exact"/>
        <w:rPr>
          <w:sz w:val="20"/>
          <w:szCs w:val="20"/>
          <w:color w:val="auto"/>
        </w:rPr>
      </w:pPr>
    </w:p>
    <w:p>
      <w:pPr>
        <w:ind w:left="760"/>
        <w:spacing w:after="0"/>
        <w:rPr>
          <w:sz w:val="20"/>
          <w:szCs w:val="20"/>
          <w:color w:val="auto"/>
        </w:rPr>
      </w:pPr>
      <w:r>
        <w:rPr>
          <w:rFonts w:ascii="Arial" w:cs="Arial" w:eastAsia="Arial" w:hAnsi="Arial"/>
          <w:sz w:val="16"/>
          <w:szCs w:val="16"/>
          <w:color w:val="auto"/>
        </w:rPr>
        <w:t>($933,202) as of April 1, 2019 and an opportunity to earn an annual cash incentive bonus with a target amount equal to 125% of</w:t>
      </w:r>
    </w:p>
    <w:p>
      <w:pPr>
        <w:spacing w:after="0" w:line="5" w:lineRule="exact"/>
        <w:rPr>
          <w:sz w:val="20"/>
          <w:szCs w:val="20"/>
          <w:color w:val="auto"/>
        </w:rPr>
      </w:pPr>
    </w:p>
    <w:p>
      <w:pPr>
        <w:ind w:left="760"/>
        <w:spacing w:after="0"/>
        <w:rPr>
          <w:sz w:val="20"/>
          <w:szCs w:val="20"/>
          <w:color w:val="auto"/>
        </w:rPr>
      </w:pPr>
      <w:r>
        <w:rPr>
          <w:rFonts w:ascii="Arial" w:cs="Arial" w:eastAsia="Arial" w:hAnsi="Arial"/>
          <w:sz w:val="15"/>
          <w:szCs w:val="15"/>
          <w:color w:val="auto"/>
        </w:rPr>
        <w:t>his annual base salary (effective April 2019). In addition, we agreed to pay Mr. McDonald an annual housing allowance for a period</w:t>
      </w:r>
    </w:p>
    <w:p>
      <w:pPr>
        <w:spacing w:after="0" w:line="17" w:lineRule="exact"/>
        <w:rPr>
          <w:sz w:val="20"/>
          <w:szCs w:val="20"/>
          <w:color w:val="auto"/>
        </w:rPr>
      </w:pPr>
    </w:p>
    <w:p>
      <w:pPr>
        <w:ind w:left="760"/>
        <w:spacing w:after="0"/>
        <w:rPr>
          <w:sz w:val="20"/>
          <w:szCs w:val="20"/>
          <w:color w:val="auto"/>
        </w:rPr>
      </w:pPr>
      <w:r>
        <w:rPr>
          <w:rFonts w:ascii="Arial" w:cs="Arial" w:eastAsia="Arial" w:hAnsi="Arial"/>
          <w:sz w:val="16"/>
          <w:szCs w:val="16"/>
          <w:color w:val="auto"/>
        </w:rPr>
        <w:t>of five years, commencing at £150,000 ($191,361) for 2017 and decreasing by £30,000 ($38,272) each year for the succeeding</w:t>
      </w:r>
    </w:p>
    <w:p>
      <w:pPr>
        <w:spacing w:after="0" w:line="5" w:lineRule="exact"/>
        <w:rPr>
          <w:sz w:val="20"/>
          <w:szCs w:val="20"/>
          <w:color w:val="auto"/>
        </w:rPr>
      </w:pPr>
    </w:p>
    <w:p>
      <w:pPr>
        <w:ind w:left="760"/>
        <w:spacing w:after="0"/>
        <w:rPr>
          <w:sz w:val="20"/>
          <w:szCs w:val="20"/>
          <w:color w:val="auto"/>
        </w:rPr>
      </w:pPr>
      <w:r>
        <w:rPr>
          <w:rFonts w:ascii="Arial" w:cs="Arial" w:eastAsia="Arial" w:hAnsi="Arial"/>
          <w:sz w:val="16"/>
          <w:szCs w:val="16"/>
          <w:color w:val="auto"/>
        </w:rPr>
        <w:t>four years, an annual school allowance for a period of five years, commencing at £31,950 ($40,760) for 2017 and decreasing by</w:t>
      </w:r>
    </w:p>
    <w:p>
      <w:pPr>
        <w:spacing w:after="0" w:line="5" w:lineRule="exact"/>
        <w:rPr>
          <w:sz w:val="20"/>
          <w:szCs w:val="20"/>
          <w:color w:val="auto"/>
        </w:rPr>
      </w:pPr>
    </w:p>
    <w:p>
      <w:pPr>
        <w:ind w:left="760"/>
        <w:spacing w:after="0"/>
        <w:rPr>
          <w:sz w:val="20"/>
          <w:szCs w:val="20"/>
          <w:color w:val="auto"/>
        </w:rPr>
      </w:pPr>
      <w:r>
        <w:rPr>
          <w:rFonts w:ascii="Arial" w:cs="Arial" w:eastAsia="Arial" w:hAnsi="Arial"/>
          <w:sz w:val="15"/>
          <w:szCs w:val="15"/>
          <w:color w:val="auto"/>
        </w:rPr>
        <w:t>£6,390 ($8,152) each year for the succeeding four years, an annual car allowance of £17,750 ($22,644) and pension contributions</w:t>
      </w:r>
    </w:p>
    <w:p>
      <w:pPr>
        <w:spacing w:after="0" w:line="17" w:lineRule="exact"/>
        <w:rPr>
          <w:sz w:val="20"/>
          <w:szCs w:val="20"/>
          <w:color w:val="auto"/>
        </w:rPr>
      </w:pPr>
    </w:p>
    <w:p>
      <w:pPr>
        <w:ind w:left="760"/>
        <w:spacing w:after="0"/>
        <w:rPr>
          <w:sz w:val="20"/>
          <w:szCs w:val="20"/>
          <w:color w:val="auto"/>
        </w:rPr>
      </w:pPr>
      <w:r>
        <w:rPr>
          <w:rFonts w:ascii="Arial" w:cs="Arial" w:eastAsia="Arial" w:hAnsi="Arial"/>
          <w:sz w:val="16"/>
          <w:szCs w:val="16"/>
          <w:color w:val="auto"/>
        </w:rPr>
        <w:t>equal to 15% of the sum of his base salary and annual bonus under our STIP. Mr. McDonald is also eligible to participate in our</w:t>
      </w:r>
    </w:p>
    <w:p>
      <w:pPr>
        <w:spacing w:after="0" w:line="5" w:lineRule="exact"/>
        <w:rPr>
          <w:sz w:val="20"/>
          <w:szCs w:val="20"/>
          <w:color w:val="auto"/>
        </w:rPr>
      </w:pPr>
    </w:p>
    <w:p>
      <w:pPr>
        <w:ind w:left="760"/>
        <w:spacing w:after="0"/>
        <w:rPr>
          <w:sz w:val="20"/>
          <w:szCs w:val="20"/>
          <w:color w:val="auto"/>
        </w:rPr>
      </w:pPr>
      <w:r>
        <w:rPr>
          <w:rFonts w:ascii="Arial" w:cs="Arial" w:eastAsia="Arial" w:hAnsi="Arial"/>
          <w:sz w:val="15"/>
          <w:szCs w:val="15"/>
          <w:color w:val="auto"/>
        </w:rPr>
        <w:t>employee benefit plans made available to all our UK-based employees. Mr. McDonald was also issued a letter dated February 22,</w:t>
      </w:r>
    </w:p>
    <w:p>
      <w:pPr>
        <w:spacing w:after="0" w:line="17" w:lineRule="exact"/>
        <w:rPr>
          <w:sz w:val="20"/>
          <w:szCs w:val="20"/>
          <w:color w:val="auto"/>
        </w:rPr>
      </w:pPr>
    </w:p>
    <w:p>
      <w:pPr>
        <w:ind w:left="760"/>
        <w:spacing w:after="0"/>
        <w:rPr>
          <w:sz w:val="20"/>
          <w:szCs w:val="20"/>
          <w:color w:val="auto"/>
        </w:rPr>
      </w:pPr>
      <w:r>
        <w:rPr>
          <w:rFonts w:ascii="Arial" w:cs="Arial" w:eastAsia="Arial" w:hAnsi="Arial"/>
          <w:sz w:val="15"/>
          <w:szCs w:val="15"/>
          <w:color w:val="auto"/>
        </w:rPr>
        <w:t>2017 confirming that the Company would recommend to the Compensation Committee annual equity awards but underscoring that</w:t>
      </w:r>
    </w:p>
    <w:p>
      <w:pPr>
        <w:spacing w:after="0" w:line="17" w:lineRule="exact"/>
        <w:rPr>
          <w:sz w:val="20"/>
          <w:szCs w:val="20"/>
          <w:color w:val="auto"/>
        </w:rPr>
      </w:pPr>
    </w:p>
    <w:p>
      <w:pPr>
        <w:ind w:left="760"/>
        <w:spacing w:after="0"/>
        <w:rPr>
          <w:sz w:val="20"/>
          <w:szCs w:val="20"/>
          <w:color w:val="auto"/>
        </w:rPr>
      </w:pPr>
      <w:r>
        <w:rPr>
          <w:rFonts w:ascii="Arial" w:cs="Arial" w:eastAsia="Arial" w:hAnsi="Arial"/>
          <w:sz w:val="16"/>
          <w:szCs w:val="16"/>
          <w:color w:val="auto"/>
        </w:rPr>
        <w:t>any such awards remain in the absolute discretion of the Compensation Committee.</w:t>
      </w:r>
    </w:p>
    <w:p>
      <w:pPr>
        <w:spacing w:after="0" w:line="100" w:lineRule="exact"/>
        <w:rPr>
          <w:sz w:val="20"/>
          <w:szCs w:val="20"/>
          <w:color w:val="auto"/>
        </w:rPr>
      </w:pPr>
    </w:p>
    <w:p>
      <w:pPr>
        <w:ind w:left="760" w:right="359"/>
        <w:spacing w:after="0" w:line="260" w:lineRule="auto"/>
        <w:rPr>
          <w:sz w:val="20"/>
          <w:szCs w:val="20"/>
          <w:color w:val="auto"/>
        </w:rPr>
      </w:pPr>
      <w:r>
        <w:rPr>
          <w:rFonts w:ascii="Arial" w:cs="Arial" w:eastAsia="Arial" w:hAnsi="Arial"/>
          <w:sz w:val="16"/>
          <w:szCs w:val="16"/>
          <w:color w:val="auto"/>
        </w:rPr>
        <w:t>Certain provisions of Mr. McDonald’s service agreement will continue in effect until the expiration of 12 months following notice of termination. The Company’s policy is not to have any notice period exceed 12 months.</w:t>
      </w:r>
    </w:p>
    <w:p>
      <w:pPr>
        <w:spacing w:after="0" w:line="60" w:lineRule="exact"/>
        <w:rPr>
          <w:sz w:val="20"/>
          <w:szCs w:val="20"/>
          <w:color w:val="auto"/>
        </w:rPr>
      </w:pPr>
    </w:p>
    <w:p>
      <w:pPr>
        <w:ind w:left="760" w:right="399"/>
        <w:spacing w:after="0" w:line="260" w:lineRule="auto"/>
        <w:rPr>
          <w:sz w:val="20"/>
          <w:szCs w:val="20"/>
          <w:color w:val="auto"/>
        </w:rPr>
      </w:pPr>
      <w:r>
        <w:rPr>
          <w:rFonts w:ascii="Arial" w:cs="Arial" w:eastAsia="Arial" w:hAnsi="Arial"/>
          <w:sz w:val="16"/>
          <w:szCs w:val="16"/>
          <w:color w:val="auto"/>
        </w:rPr>
        <w:t>The following table quantifies the potential payments that would be made to Mr. McDonald assuming a termination or change-in-control event had occurred on December 31, 2019.</w:t>
      </w:r>
    </w:p>
    <w:p>
      <w:pPr>
        <w:spacing w:after="0" w:line="140" w:lineRule="exact"/>
        <w:rPr>
          <w:sz w:val="20"/>
          <w:szCs w:val="20"/>
          <w:color w:val="auto"/>
        </w:rPr>
      </w:pPr>
    </w:p>
    <w:tbl>
      <w:tblPr>
        <w:tblLayout w:type="fixed"/>
        <w:tblInd w:w="760" w:type="dxa"/>
        <w:tblCellMar>
          <w:top w:w="0" w:type="dxa"/>
          <w:left w:w="0" w:type="dxa"/>
          <w:bottom w:w="0" w:type="dxa"/>
          <w:right w:w="0" w:type="dxa"/>
        </w:tblCellMar>
      </w:tblPr>
      <w:tr>
        <w:trPr>
          <w:trHeight w:val="175"/>
        </w:trPr>
        <w:tc>
          <w:tcPr>
            <w:tcW w:w="1600" w:type="dxa"/>
            <w:vAlign w:val="bottom"/>
          </w:tcPr>
          <w:p>
            <w:pPr>
              <w:ind w:left="40"/>
              <w:spacing w:after="0"/>
              <w:rPr>
                <w:sz w:val="20"/>
                <w:szCs w:val="20"/>
                <w:color w:val="auto"/>
              </w:rPr>
            </w:pPr>
            <w:r>
              <w:rPr>
                <w:rFonts w:ascii="Arial" w:cs="Arial" w:eastAsia="Arial" w:hAnsi="Arial"/>
                <w:sz w:val="14"/>
                <w:szCs w:val="14"/>
                <w:b w:val="1"/>
                <w:bCs w:val="1"/>
                <w:color w:val="4800E6"/>
              </w:rPr>
              <w:t>Type of Payment</w:t>
            </w:r>
          </w:p>
        </w:tc>
        <w:tc>
          <w:tcPr>
            <w:tcW w:w="1680" w:type="dxa"/>
            <w:vAlign w:val="bottom"/>
            <w:gridSpan w:val="2"/>
          </w:tcPr>
          <w:p>
            <w:pPr>
              <w:jc w:val="right"/>
              <w:ind w:right="104"/>
              <w:spacing w:after="0"/>
              <w:rPr>
                <w:sz w:val="20"/>
                <w:szCs w:val="20"/>
                <w:color w:val="auto"/>
              </w:rPr>
            </w:pPr>
            <w:r>
              <w:rPr>
                <w:rFonts w:ascii="Arial" w:cs="Arial" w:eastAsia="Arial" w:hAnsi="Arial"/>
                <w:sz w:val="14"/>
                <w:szCs w:val="14"/>
                <w:b w:val="1"/>
                <w:bCs w:val="1"/>
                <w:color w:val="4800E6"/>
              </w:rPr>
              <w:t>Termination</w:t>
            </w:r>
          </w:p>
        </w:tc>
        <w:tc>
          <w:tcPr>
            <w:tcW w:w="1580" w:type="dxa"/>
            <w:vAlign w:val="bottom"/>
          </w:tcPr>
          <w:p>
            <w:pPr>
              <w:jc w:val="right"/>
              <w:ind w:right="85"/>
              <w:spacing w:after="0"/>
              <w:rPr>
                <w:sz w:val="20"/>
                <w:szCs w:val="20"/>
                <w:color w:val="auto"/>
              </w:rPr>
            </w:pPr>
            <w:r>
              <w:rPr>
                <w:rFonts w:ascii="Arial" w:cs="Arial" w:eastAsia="Arial" w:hAnsi="Arial"/>
                <w:sz w:val="14"/>
                <w:szCs w:val="14"/>
                <w:b w:val="1"/>
                <w:bCs w:val="1"/>
                <w:color w:val="4800E6"/>
              </w:rPr>
              <w:t>Separation due to</w:t>
            </w:r>
          </w:p>
        </w:tc>
        <w:tc>
          <w:tcPr>
            <w:tcW w:w="1460" w:type="dxa"/>
            <w:vAlign w:val="bottom"/>
          </w:tcPr>
          <w:p>
            <w:pPr>
              <w:jc w:val="right"/>
              <w:ind w:right="85"/>
              <w:spacing w:after="0"/>
              <w:rPr>
                <w:sz w:val="20"/>
                <w:szCs w:val="20"/>
                <w:color w:val="auto"/>
              </w:rPr>
            </w:pPr>
            <w:r>
              <w:rPr>
                <w:rFonts w:ascii="Arial" w:cs="Arial" w:eastAsia="Arial" w:hAnsi="Arial"/>
                <w:sz w:val="14"/>
                <w:szCs w:val="14"/>
                <w:b w:val="1"/>
                <w:bCs w:val="1"/>
                <w:color w:val="4800E6"/>
              </w:rPr>
              <w:t>Separation due to</w:t>
            </w:r>
          </w:p>
        </w:tc>
        <w:tc>
          <w:tcPr>
            <w:tcW w:w="1460" w:type="dxa"/>
            <w:vAlign w:val="bottom"/>
          </w:tcPr>
          <w:p>
            <w:pPr>
              <w:jc w:val="right"/>
              <w:ind w:right="85"/>
              <w:spacing w:after="0"/>
              <w:rPr>
                <w:sz w:val="20"/>
                <w:szCs w:val="20"/>
                <w:color w:val="auto"/>
              </w:rPr>
            </w:pPr>
            <w:r>
              <w:rPr>
                <w:rFonts w:ascii="Arial" w:cs="Arial" w:eastAsia="Arial" w:hAnsi="Arial"/>
                <w:sz w:val="14"/>
                <w:szCs w:val="14"/>
                <w:b w:val="1"/>
                <w:bCs w:val="1"/>
                <w:color w:val="4800E6"/>
              </w:rPr>
              <w:t>Separation due to</w:t>
            </w:r>
          </w:p>
        </w:tc>
        <w:tc>
          <w:tcPr>
            <w:tcW w:w="1400" w:type="dxa"/>
            <w:vAlign w:val="bottom"/>
          </w:tcPr>
          <w:p>
            <w:pPr>
              <w:ind w:left="120"/>
              <w:spacing w:after="0"/>
              <w:rPr>
                <w:sz w:val="20"/>
                <w:szCs w:val="20"/>
                <w:color w:val="auto"/>
              </w:rPr>
            </w:pPr>
            <w:r>
              <w:rPr>
                <w:rFonts w:ascii="Arial" w:cs="Arial" w:eastAsia="Arial" w:hAnsi="Arial"/>
                <w:sz w:val="14"/>
                <w:szCs w:val="14"/>
                <w:b w:val="1"/>
                <w:bCs w:val="1"/>
                <w:color w:val="4800E6"/>
              </w:rPr>
              <w:t>Separation due to</w:t>
            </w:r>
          </w:p>
        </w:tc>
      </w:tr>
      <w:tr>
        <w:trPr>
          <w:trHeight w:val="216"/>
        </w:trPr>
        <w:tc>
          <w:tcPr>
            <w:tcW w:w="1600" w:type="dxa"/>
            <w:vAlign w:val="bottom"/>
            <w:tcBorders>
              <w:bottom w:val="single" w:sz="8" w:color="4800E6"/>
            </w:tcBorders>
          </w:tcPr>
          <w:p>
            <w:pPr>
              <w:ind w:left="40"/>
              <w:spacing w:after="0"/>
              <w:rPr>
                <w:sz w:val="20"/>
                <w:szCs w:val="20"/>
                <w:color w:val="auto"/>
              </w:rPr>
            </w:pPr>
            <w:r>
              <w:rPr>
                <w:rFonts w:ascii="Arial" w:cs="Arial" w:eastAsia="Arial" w:hAnsi="Arial"/>
                <w:sz w:val="14"/>
                <w:szCs w:val="14"/>
                <w:b w:val="1"/>
                <w:bCs w:val="1"/>
                <w:color w:val="4800E6"/>
              </w:rPr>
              <w:t>or Benefit</w:t>
            </w:r>
          </w:p>
        </w:tc>
        <w:tc>
          <w:tcPr>
            <w:tcW w:w="1680" w:type="dxa"/>
            <w:vAlign w:val="bottom"/>
            <w:tcBorders>
              <w:bottom w:val="single" w:sz="8" w:color="4800E6"/>
            </w:tcBorders>
            <w:gridSpan w:val="2"/>
          </w:tcPr>
          <w:p>
            <w:pPr>
              <w:jc w:val="right"/>
              <w:ind w:right="64"/>
              <w:spacing w:after="0" w:line="216" w:lineRule="exact"/>
              <w:rPr>
                <w:sz w:val="20"/>
                <w:szCs w:val="20"/>
                <w:color w:val="auto"/>
              </w:rPr>
            </w:pPr>
            <w:r>
              <w:rPr>
                <w:rFonts w:ascii="Arial" w:cs="Arial" w:eastAsia="Arial" w:hAnsi="Arial"/>
                <w:sz w:val="14"/>
                <w:szCs w:val="14"/>
                <w:b w:val="1"/>
                <w:bCs w:val="1"/>
                <w:color w:val="4800E6"/>
              </w:rPr>
              <w:t>without Cause</w:t>
            </w:r>
            <w:r>
              <w:rPr>
                <w:rFonts w:ascii="Arial" w:cs="Arial" w:eastAsia="Arial" w:hAnsi="Arial"/>
                <w:sz w:val="21"/>
                <w:szCs w:val="21"/>
                <w:b w:val="1"/>
                <w:bCs w:val="1"/>
                <w:color w:val="4800E6"/>
                <w:vertAlign w:val="superscript"/>
              </w:rPr>
              <w:t>(1)</w:t>
            </w:r>
          </w:p>
        </w:tc>
        <w:tc>
          <w:tcPr>
            <w:tcW w:w="1580" w:type="dxa"/>
            <w:vAlign w:val="bottom"/>
            <w:tcBorders>
              <w:bottom w:val="single" w:sz="8" w:color="4800E6"/>
            </w:tcBorders>
          </w:tcPr>
          <w:p>
            <w:pPr>
              <w:jc w:val="right"/>
              <w:ind w:right="45"/>
              <w:spacing w:after="0" w:line="216" w:lineRule="exact"/>
              <w:rPr>
                <w:sz w:val="20"/>
                <w:szCs w:val="20"/>
                <w:color w:val="auto"/>
              </w:rPr>
            </w:pPr>
            <w:r>
              <w:rPr>
                <w:rFonts w:ascii="Arial" w:cs="Arial" w:eastAsia="Arial" w:hAnsi="Arial"/>
                <w:sz w:val="14"/>
                <w:szCs w:val="14"/>
                <w:b w:val="1"/>
                <w:bCs w:val="1"/>
                <w:color w:val="4800E6"/>
              </w:rPr>
              <w:t>Change in Control</w:t>
            </w:r>
            <w:r>
              <w:rPr>
                <w:rFonts w:ascii="Arial" w:cs="Arial" w:eastAsia="Arial" w:hAnsi="Arial"/>
                <w:sz w:val="21"/>
                <w:szCs w:val="21"/>
                <w:b w:val="1"/>
                <w:bCs w:val="1"/>
                <w:color w:val="4800E6"/>
                <w:vertAlign w:val="superscript"/>
              </w:rPr>
              <w:t>(2)</w:t>
            </w:r>
          </w:p>
        </w:tc>
        <w:tc>
          <w:tcPr>
            <w:tcW w:w="1460" w:type="dxa"/>
            <w:vAlign w:val="bottom"/>
            <w:tcBorders>
              <w:bottom w:val="single" w:sz="8" w:color="4800E6"/>
            </w:tcBorders>
          </w:tcPr>
          <w:p>
            <w:pPr>
              <w:jc w:val="right"/>
              <w:ind w:right="45"/>
              <w:spacing w:after="0" w:line="216" w:lineRule="exact"/>
              <w:rPr>
                <w:sz w:val="20"/>
                <w:szCs w:val="20"/>
                <w:color w:val="auto"/>
              </w:rPr>
            </w:pPr>
            <w:r>
              <w:rPr>
                <w:rFonts w:ascii="Arial" w:cs="Arial" w:eastAsia="Arial" w:hAnsi="Arial"/>
                <w:sz w:val="14"/>
                <w:szCs w:val="14"/>
                <w:b w:val="1"/>
                <w:bCs w:val="1"/>
                <w:color w:val="4800E6"/>
              </w:rPr>
              <w:t>Disability</w:t>
            </w:r>
            <w:r>
              <w:rPr>
                <w:rFonts w:ascii="Arial" w:cs="Arial" w:eastAsia="Arial" w:hAnsi="Arial"/>
                <w:sz w:val="21"/>
                <w:szCs w:val="21"/>
                <w:b w:val="1"/>
                <w:bCs w:val="1"/>
                <w:color w:val="4800E6"/>
                <w:vertAlign w:val="superscript"/>
              </w:rPr>
              <w:t>(3)</w:t>
            </w:r>
          </w:p>
        </w:tc>
        <w:tc>
          <w:tcPr>
            <w:tcW w:w="1460" w:type="dxa"/>
            <w:vAlign w:val="bottom"/>
            <w:tcBorders>
              <w:bottom w:val="single" w:sz="8" w:color="4800E6"/>
            </w:tcBorders>
          </w:tcPr>
          <w:p>
            <w:pPr>
              <w:jc w:val="right"/>
              <w:ind w:right="45"/>
              <w:spacing w:after="0" w:line="216" w:lineRule="exact"/>
              <w:rPr>
                <w:sz w:val="20"/>
                <w:szCs w:val="20"/>
                <w:color w:val="auto"/>
              </w:rPr>
            </w:pPr>
            <w:r>
              <w:rPr>
                <w:rFonts w:ascii="Arial" w:cs="Arial" w:eastAsia="Arial" w:hAnsi="Arial"/>
                <w:sz w:val="14"/>
                <w:szCs w:val="14"/>
                <w:b w:val="1"/>
                <w:bCs w:val="1"/>
                <w:color w:val="4800E6"/>
              </w:rPr>
              <w:t>Death</w:t>
            </w:r>
            <w:r>
              <w:rPr>
                <w:rFonts w:ascii="Arial" w:cs="Arial" w:eastAsia="Arial" w:hAnsi="Arial"/>
                <w:sz w:val="21"/>
                <w:szCs w:val="21"/>
                <w:b w:val="1"/>
                <w:bCs w:val="1"/>
                <w:color w:val="4800E6"/>
                <w:vertAlign w:val="superscript"/>
              </w:rPr>
              <w:t>(4)</w:t>
            </w:r>
          </w:p>
        </w:tc>
        <w:tc>
          <w:tcPr>
            <w:tcW w:w="1400" w:type="dxa"/>
            <w:vAlign w:val="bottom"/>
            <w:tcBorders>
              <w:bottom w:val="single" w:sz="8" w:color="4800E6"/>
            </w:tcBorders>
          </w:tcPr>
          <w:p>
            <w:pPr>
              <w:ind w:left="600"/>
              <w:spacing w:after="0"/>
              <w:rPr>
                <w:sz w:val="20"/>
                <w:szCs w:val="20"/>
                <w:color w:val="auto"/>
              </w:rPr>
            </w:pPr>
            <w:r>
              <w:rPr>
                <w:rFonts w:ascii="Arial" w:cs="Arial" w:eastAsia="Arial" w:hAnsi="Arial"/>
                <w:sz w:val="14"/>
                <w:szCs w:val="14"/>
                <w:b w:val="1"/>
                <w:bCs w:val="1"/>
                <w:color w:val="4800E6"/>
              </w:rPr>
              <w:t>Retirement</w:t>
            </w:r>
          </w:p>
        </w:tc>
      </w:tr>
      <w:tr>
        <w:trPr>
          <w:trHeight w:val="215"/>
        </w:trPr>
        <w:tc>
          <w:tcPr>
            <w:tcW w:w="1600" w:type="dxa"/>
            <w:vAlign w:val="bottom"/>
          </w:tcPr>
          <w:p>
            <w:pPr>
              <w:ind w:left="40"/>
              <w:spacing w:after="0"/>
              <w:rPr>
                <w:sz w:val="20"/>
                <w:szCs w:val="20"/>
                <w:color w:val="auto"/>
              </w:rPr>
            </w:pPr>
            <w:r>
              <w:rPr>
                <w:rFonts w:ascii="Arial" w:cs="Arial" w:eastAsia="Arial" w:hAnsi="Arial"/>
                <w:sz w:val="15"/>
                <w:szCs w:val="15"/>
                <w:color w:val="auto"/>
              </w:rPr>
              <w:t>Severance</w:t>
            </w:r>
          </w:p>
        </w:tc>
        <w:tc>
          <w:tcPr>
            <w:tcW w:w="860" w:type="dxa"/>
            <w:vAlign w:val="bottom"/>
          </w:tcPr>
          <w:p>
            <w:pPr>
              <w:jc w:val="right"/>
              <w:spacing w:after="0"/>
              <w:rPr>
                <w:sz w:val="20"/>
                <w:szCs w:val="20"/>
                <w:color w:val="auto"/>
              </w:rPr>
            </w:pPr>
            <w:r>
              <w:rPr>
                <w:rFonts w:ascii="Arial" w:cs="Arial" w:eastAsia="Arial" w:hAnsi="Arial"/>
                <w:sz w:val="15"/>
                <w:szCs w:val="15"/>
                <w:color w:val="auto"/>
              </w:rPr>
              <w:t>$</w:t>
            </w:r>
          </w:p>
        </w:tc>
        <w:tc>
          <w:tcPr>
            <w:tcW w:w="820" w:type="dxa"/>
            <w:vAlign w:val="bottom"/>
          </w:tcPr>
          <w:p>
            <w:pPr>
              <w:jc w:val="right"/>
              <w:ind w:right="64"/>
              <w:spacing w:after="0"/>
              <w:rPr>
                <w:sz w:val="20"/>
                <w:szCs w:val="20"/>
                <w:color w:val="auto"/>
              </w:rPr>
            </w:pPr>
            <w:r>
              <w:rPr>
                <w:rFonts w:ascii="Arial" w:cs="Arial" w:eastAsia="Arial" w:hAnsi="Arial"/>
                <w:sz w:val="15"/>
                <w:szCs w:val="15"/>
                <w:color w:val="auto"/>
              </w:rPr>
              <w:t>933,202</w:t>
            </w:r>
          </w:p>
        </w:tc>
        <w:tc>
          <w:tcPr>
            <w:tcW w:w="1580" w:type="dxa"/>
            <w:vAlign w:val="bottom"/>
          </w:tcPr>
          <w:p>
            <w:pPr>
              <w:jc w:val="right"/>
              <w:ind w:right="25"/>
              <w:spacing w:after="0"/>
              <w:rPr>
                <w:sz w:val="20"/>
                <w:szCs w:val="20"/>
                <w:color w:val="auto"/>
              </w:rPr>
            </w:pPr>
            <w:r>
              <w:rPr>
                <w:rFonts w:ascii="Arial" w:cs="Arial" w:eastAsia="Arial" w:hAnsi="Arial"/>
                <w:sz w:val="15"/>
                <w:szCs w:val="15"/>
                <w:color w:val="auto"/>
              </w:rPr>
              <w:t>–</w:t>
            </w:r>
          </w:p>
        </w:tc>
        <w:tc>
          <w:tcPr>
            <w:tcW w:w="1460" w:type="dxa"/>
            <w:vAlign w:val="bottom"/>
          </w:tcPr>
          <w:p>
            <w:pPr>
              <w:jc w:val="right"/>
              <w:ind w:right="25"/>
              <w:spacing w:after="0"/>
              <w:rPr>
                <w:sz w:val="20"/>
                <w:szCs w:val="20"/>
                <w:color w:val="auto"/>
              </w:rPr>
            </w:pPr>
            <w:r>
              <w:rPr>
                <w:rFonts w:ascii="Arial" w:cs="Arial" w:eastAsia="Arial" w:hAnsi="Arial"/>
                <w:sz w:val="15"/>
                <w:szCs w:val="15"/>
                <w:color w:val="auto"/>
              </w:rPr>
              <w:t>–</w:t>
            </w:r>
          </w:p>
        </w:tc>
        <w:tc>
          <w:tcPr>
            <w:tcW w:w="1460" w:type="dxa"/>
            <w:vAlign w:val="bottom"/>
          </w:tcPr>
          <w:p>
            <w:pPr>
              <w:jc w:val="right"/>
              <w:ind w:right="25"/>
              <w:spacing w:after="0"/>
              <w:rPr>
                <w:sz w:val="20"/>
                <w:szCs w:val="20"/>
                <w:color w:val="auto"/>
              </w:rPr>
            </w:pPr>
            <w:r>
              <w:rPr>
                <w:rFonts w:ascii="Arial" w:cs="Arial" w:eastAsia="Arial" w:hAnsi="Arial"/>
                <w:sz w:val="15"/>
                <w:szCs w:val="15"/>
                <w:color w:val="auto"/>
              </w:rPr>
              <w:t>$ 3,732,809</w:t>
            </w:r>
          </w:p>
        </w:tc>
        <w:tc>
          <w:tcPr>
            <w:tcW w:w="1400" w:type="dxa"/>
            <w:vAlign w:val="bottom"/>
          </w:tcPr>
          <w:p>
            <w:pPr>
              <w:ind w:left="1260"/>
              <w:spacing w:after="0"/>
              <w:rPr>
                <w:sz w:val="20"/>
                <w:szCs w:val="20"/>
                <w:color w:val="auto"/>
              </w:rPr>
            </w:pPr>
            <w:r>
              <w:rPr>
                <w:rFonts w:ascii="Arial" w:cs="Arial" w:eastAsia="Arial" w:hAnsi="Arial"/>
                <w:sz w:val="15"/>
                <w:szCs w:val="15"/>
                <w:color w:val="auto"/>
              </w:rPr>
              <w:t>–</w:t>
            </w:r>
          </w:p>
        </w:tc>
      </w:tr>
      <w:tr>
        <w:trPr>
          <w:trHeight w:val="22"/>
        </w:trPr>
        <w:tc>
          <w:tcPr>
            <w:tcW w:w="160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r>
      <w:tr>
        <w:trPr>
          <w:trHeight w:val="250"/>
        </w:trPr>
        <w:tc>
          <w:tcPr>
            <w:tcW w:w="1600" w:type="dxa"/>
            <w:vAlign w:val="bottom"/>
            <w:tcBorders>
              <w:bottom w:val="single" w:sz="8" w:color="EFE9FC"/>
            </w:tcBorders>
            <w:shd w:val="clear" w:color="auto" w:fill="EFE9FC"/>
          </w:tcPr>
          <w:p>
            <w:pPr>
              <w:ind w:left="40"/>
              <w:spacing w:after="0"/>
              <w:rPr>
                <w:sz w:val="20"/>
                <w:szCs w:val="20"/>
                <w:color w:val="auto"/>
              </w:rPr>
            </w:pPr>
            <w:r>
              <w:rPr>
                <w:rFonts w:ascii="Arial" w:cs="Arial" w:eastAsia="Arial" w:hAnsi="Arial"/>
                <w:sz w:val="15"/>
                <w:szCs w:val="15"/>
                <w:color w:val="auto"/>
              </w:rPr>
              <w:t>STIP</w:t>
            </w:r>
          </w:p>
        </w:tc>
        <w:tc>
          <w:tcPr>
            <w:tcW w:w="860" w:type="dxa"/>
            <w:vAlign w:val="bottom"/>
            <w:tcBorders>
              <w:bottom w:val="single" w:sz="8" w:color="EFE9FC"/>
            </w:tcBorders>
            <w:shd w:val="clear" w:color="auto" w:fill="EFE9FC"/>
          </w:tcPr>
          <w:p>
            <w:pPr>
              <w:spacing w:after="0"/>
              <w:rPr>
                <w:sz w:val="21"/>
                <w:szCs w:val="21"/>
                <w:color w:val="auto"/>
              </w:rPr>
            </w:pPr>
          </w:p>
        </w:tc>
        <w:tc>
          <w:tcPr>
            <w:tcW w:w="820" w:type="dxa"/>
            <w:vAlign w:val="bottom"/>
            <w:tcBorders>
              <w:bottom w:val="single" w:sz="8" w:color="EFE9FC"/>
            </w:tcBorders>
            <w:shd w:val="clear" w:color="auto" w:fill="EFE9FC"/>
          </w:tcPr>
          <w:p>
            <w:pPr>
              <w:jc w:val="right"/>
              <w:ind w:right="64"/>
              <w:spacing w:after="0"/>
              <w:rPr>
                <w:sz w:val="20"/>
                <w:szCs w:val="20"/>
                <w:color w:val="auto"/>
              </w:rPr>
            </w:pPr>
            <w:r>
              <w:rPr>
                <w:rFonts w:ascii="Arial" w:cs="Arial" w:eastAsia="Arial" w:hAnsi="Arial"/>
                <w:sz w:val="15"/>
                <w:szCs w:val="15"/>
                <w:color w:val="auto"/>
              </w:rPr>
              <w:t>–</w:t>
            </w:r>
          </w:p>
        </w:tc>
        <w:tc>
          <w:tcPr>
            <w:tcW w:w="1580" w:type="dxa"/>
            <w:vAlign w:val="bottom"/>
            <w:tcBorders>
              <w:bottom w:val="single" w:sz="8" w:color="EFE9FC"/>
            </w:tcBorders>
            <w:shd w:val="clear" w:color="auto" w:fill="EFE9FC"/>
          </w:tcPr>
          <w:p>
            <w:pPr>
              <w:jc w:val="right"/>
              <w:ind w:right="25"/>
              <w:spacing w:after="0"/>
              <w:rPr>
                <w:sz w:val="20"/>
                <w:szCs w:val="20"/>
                <w:color w:val="auto"/>
              </w:rPr>
            </w:pPr>
            <w:r>
              <w:rPr>
                <w:rFonts w:ascii="Arial" w:cs="Arial" w:eastAsia="Arial" w:hAnsi="Arial"/>
                <w:sz w:val="15"/>
                <w:szCs w:val="15"/>
                <w:color w:val="auto"/>
              </w:rPr>
              <w:t>–</w:t>
            </w:r>
          </w:p>
        </w:tc>
        <w:tc>
          <w:tcPr>
            <w:tcW w:w="1460" w:type="dxa"/>
            <w:vAlign w:val="bottom"/>
            <w:tcBorders>
              <w:bottom w:val="single" w:sz="8" w:color="EFE9FC"/>
            </w:tcBorders>
            <w:shd w:val="clear" w:color="auto" w:fill="EFE9FC"/>
          </w:tcPr>
          <w:p>
            <w:pPr>
              <w:jc w:val="right"/>
              <w:ind w:right="25"/>
              <w:spacing w:after="0"/>
              <w:rPr>
                <w:sz w:val="20"/>
                <w:szCs w:val="20"/>
                <w:color w:val="auto"/>
              </w:rPr>
            </w:pPr>
            <w:r>
              <w:rPr>
                <w:rFonts w:ascii="Arial" w:cs="Arial" w:eastAsia="Arial" w:hAnsi="Arial"/>
                <w:sz w:val="15"/>
                <w:szCs w:val="15"/>
                <w:color w:val="auto"/>
              </w:rPr>
              <w:t>–</w:t>
            </w:r>
          </w:p>
        </w:tc>
        <w:tc>
          <w:tcPr>
            <w:tcW w:w="1460" w:type="dxa"/>
            <w:vAlign w:val="bottom"/>
            <w:tcBorders>
              <w:bottom w:val="single" w:sz="8" w:color="EFE9FC"/>
            </w:tcBorders>
            <w:shd w:val="clear" w:color="auto" w:fill="EFE9FC"/>
          </w:tcPr>
          <w:p>
            <w:pPr>
              <w:jc w:val="right"/>
              <w:ind w:right="25"/>
              <w:spacing w:after="0"/>
              <w:rPr>
                <w:sz w:val="20"/>
                <w:szCs w:val="20"/>
                <w:color w:val="auto"/>
              </w:rPr>
            </w:pPr>
            <w:r>
              <w:rPr>
                <w:rFonts w:ascii="Arial" w:cs="Arial" w:eastAsia="Arial" w:hAnsi="Arial"/>
                <w:sz w:val="15"/>
                <w:szCs w:val="15"/>
                <w:color w:val="auto"/>
              </w:rPr>
              <w:t>–</w:t>
            </w:r>
          </w:p>
        </w:tc>
        <w:tc>
          <w:tcPr>
            <w:tcW w:w="1400" w:type="dxa"/>
            <w:vAlign w:val="bottom"/>
            <w:tcBorders>
              <w:bottom w:val="single" w:sz="8" w:color="EFE9FC"/>
            </w:tcBorders>
            <w:shd w:val="clear" w:color="auto" w:fill="EFE9FC"/>
          </w:tcPr>
          <w:p>
            <w:pPr>
              <w:ind w:left="1260"/>
              <w:spacing w:after="0"/>
              <w:rPr>
                <w:sz w:val="20"/>
                <w:szCs w:val="20"/>
                <w:color w:val="auto"/>
              </w:rPr>
            </w:pPr>
            <w:r>
              <w:rPr>
                <w:rFonts w:ascii="Arial" w:cs="Arial" w:eastAsia="Arial" w:hAnsi="Arial"/>
                <w:sz w:val="15"/>
                <w:szCs w:val="15"/>
                <w:color w:val="auto"/>
              </w:rPr>
              <w:t>–</w:t>
            </w:r>
          </w:p>
        </w:tc>
      </w:tr>
      <w:tr>
        <w:trPr>
          <w:trHeight w:val="221"/>
        </w:trPr>
        <w:tc>
          <w:tcPr>
            <w:tcW w:w="1600" w:type="dxa"/>
            <w:vAlign w:val="bottom"/>
          </w:tcPr>
          <w:p>
            <w:pPr>
              <w:ind w:left="40"/>
              <w:spacing w:after="0"/>
              <w:rPr>
                <w:sz w:val="20"/>
                <w:szCs w:val="20"/>
                <w:color w:val="auto"/>
              </w:rPr>
            </w:pPr>
            <w:r>
              <w:rPr>
                <w:rFonts w:ascii="Arial" w:cs="Arial" w:eastAsia="Arial" w:hAnsi="Arial"/>
                <w:sz w:val="15"/>
                <w:szCs w:val="15"/>
                <w:color w:val="auto"/>
              </w:rPr>
              <w:t>LTIP</w:t>
            </w:r>
          </w:p>
        </w:tc>
        <w:tc>
          <w:tcPr>
            <w:tcW w:w="860" w:type="dxa"/>
            <w:vAlign w:val="bottom"/>
          </w:tcPr>
          <w:p>
            <w:pPr>
              <w:spacing w:after="0"/>
              <w:rPr>
                <w:sz w:val="19"/>
                <w:szCs w:val="19"/>
                <w:color w:val="auto"/>
              </w:rPr>
            </w:pPr>
          </w:p>
        </w:tc>
        <w:tc>
          <w:tcPr>
            <w:tcW w:w="820" w:type="dxa"/>
            <w:vAlign w:val="bottom"/>
          </w:tcPr>
          <w:p>
            <w:pPr>
              <w:jc w:val="right"/>
              <w:ind w:right="64"/>
              <w:spacing w:after="0"/>
              <w:rPr>
                <w:sz w:val="20"/>
                <w:szCs w:val="20"/>
                <w:color w:val="auto"/>
              </w:rPr>
            </w:pPr>
            <w:r>
              <w:rPr>
                <w:rFonts w:ascii="Arial" w:cs="Arial" w:eastAsia="Arial" w:hAnsi="Arial"/>
                <w:sz w:val="15"/>
                <w:szCs w:val="15"/>
                <w:color w:val="auto"/>
              </w:rPr>
              <w:t>–</w:t>
            </w:r>
          </w:p>
        </w:tc>
        <w:tc>
          <w:tcPr>
            <w:tcW w:w="1580" w:type="dxa"/>
            <w:vAlign w:val="bottom"/>
          </w:tcPr>
          <w:p>
            <w:pPr>
              <w:jc w:val="right"/>
              <w:ind w:right="25"/>
              <w:spacing w:after="0"/>
              <w:rPr>
                <w:sz w:val="20"/>
                <w:szCs w:val="20"/>
                <w:color w:val="auto"/>
              </w:rPr>
            </w:pPr>
            <w:r>
              <w:rPr>
                <w:rFonts w:ascii="Arial" w:cs="Arial" w:eastAsia="Arial" w:hAnsi="Arial"/>
                <w:sz w:val="15"/>
                <w:szCs w:val="15"/>
                <w:color w:val="auto"/>
              </w:rPr>
              <w:t>$6,972,797</w:t>
            </w:r>
          </w:p>
        </w:tc>
        <w:tc>
          <w:tcPr>
            <w:tcW w:w="1460" w:type="dxa"/>
            <w:vAlign w:val="bottom"/>
          </w:tcPr>
          <w:p>
            <w:pPr>
              <w:jc w:val="right"/>
              <w:ind w:right="25"/>
              <w:spacing w:after="0"/>
              <w:rPr>
                <w:sz w:val="20"/>
                <w:szCs w:val="20"/>
                <w:color w:val="auto"/>
              </w:rPr>
            </w:pPr>
            <w:r>
              <w:rPr>
                <w:rFonts w:ascii="Arial" w:cs="Arial" w:eastAsia="Arial" w:hAnsi="Arial"/>
                <w:sz w:val="15"/>
                <w:szCs w:val="15"/>
                <w:color w:val="auto"/>
              </w:rPr>
              <w:t>$ 1,334,556</w:t>
            </w:r>
          </w:p>
        </w:tc>
        <w:tc>
          <w:tcPr>
            <w:tcW w:w="1460" w:type="dxa"/>
            <w:vAlign w:val="bottom"/>
          </w:tcPr>
          <w:p>
            <w:pPr>
              <w:jc w:val="right"/>
              <w:ind w:right="25"/>
              <w:spacing w:after="0"/>
              <w:rPr>
                <w:sz w:val="20"/>
                <w:szCs w:val="20"/>
                <w:color w:val="auto"/>
              </w:rPr>
            </w:pPr>
            <w:r>
              <w:rPr>
                <w:rFonts w:ascii="Arial" w:cs="Arial" w:eastAsia="Arial" w:hAnsi="Arial"/>
                <w:sz w:val="15"/>
                <w:szCs w:val="15"/>
                <w:color w:val="auto"/>
              </w:rPr>
              <w:t>$ 1,334,556</w:t>
            </w:r>
          </w:p>
        </w:tc>
        <w:tc>
          <w:tcPr>
            <w:tcW w:w="1400" w:type="dxa"/>
            <w:vAlign w:val="bottom"/>
          </w:tcPr>
          <w:p>
            <w:pPr>
              <w:ind w:left="1260"/>
              <w:spacing w:after="0"/>
              <w:rPr>
                <w:sz w:val="20"/>
                <w:szCs w:val="20"/>
                <w:color w:val="auto"/>
              </w:rPr>
            </w:pPr>
            <w:r>
              <w:rPr>
                <w:rFonts w:ascii="Arial" w:cs="Arial" w:eastAsia="Arial" w:hAnsi="Arial"/>
                <w:sz w:val="15"/>
                <w:szCs w:val="15"/>
                <w:color w:val="auto"/>
              </w:rPr>
              <w:t>–</w:t>
            </w:r>
          </w:p>
        </w:tc>
      </w:tr>
      <w:tr>
        <w:trPr>
          <w:trHeight w:val="22"/>
        </w:trPr>
        <w:tc>
          <w:tcPr>
            <w:tcW w:w="160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r>
      <w:tr>
        <w:trPr>
          <w:trHeight w:val="250"/>
        </w:trPr>
        <w:tc>
          <w:tcPr>
            <w:tcW w:w="1600" w:type="dxa"/>
            <w:vAlign w:val="bottom"/>
            <w:tcBorders>
              <w:bottom w:val="single" w:sz="8" w:color="EFE9FC"/>
            </w:tcBorders>
            <w:shd w:val="clear" w:color="auto" w:fill="EFE9FC"/>
          </w:tcPr>
          <w:p>
            <w:pPr>
              <w:ind w:left="40"/>
              <w:spacing w:after="0"/>
              <w:rPr>
                <w:sz w:val="20"/>
                <w:szCs w:val="20"/>
                <w:color w:val="auto"/>
              </w:rPr>
            </w:pPr>
            <w:r>
              <w:rPr>
                <w:rFonts w:ascii="Arial" w:cs="Arial" w:eastAsia="Arial" w:hAnsi="Arial"/>
                <w:sz w:val="15"/>
                <w:szCs w:val="15"/>
                <w:color w:val="auto"/>
              </w:rPr>
              <w:t>Benefits</w:t>
            </w:r>
          </w:p>
        </w:tc>
        <w:tc>
          <w:tcPr>
            <w:tcW w:w="860" w:type="dxa"/>
            <w:vAlign w:val="bottom"/>
            <w:tcBorders>
              <w:bottom w:val="single" w:sz="8" w:color="EFE9FC"/>
            </w:tcBorders>
            <w:shd w:val="clear" w:color="auto" w:fill="EFE9FC"/>
          </w:tcPr>
          <w:p>
            <w:pPr>
              <w:jc w:val="right"/>
              <w:spacing w:after="0"/>
              <w:rPr>
                <w:sz w:val="20"/>
                <w:szCs w:val="20"/>
                <w:color w:val="auto"/>
              </w:rPr>
            </w:pPr>
            <w:r>
              <w:rPr>
                <w:rFonts w:ascii="Arial" w:cs="Arial" w:eastAsia="Arial" w:hAnsi="Arial"/>
                <w:sz w:val="15"/>
                <w:szCs w:val="15"/>
                <w:color w:val="auto"/>
              </w:rPr>
              <w:t>$</w:t>
            </w:r>
          </w:p>
        </w:tc>
        <w:tc>
          <w:tcPr>
            <w:tcW w:w="820" w:type="dxa"/>
            <w:vAlign w:val="bottom"/>
            <w:tcBorders>
              <w:bottom w:val="single" w:sz="8" w:color="EFE9FC"/>
            </w:tcBorders>
            <w:shd w:val="clear" w:color="auto" w:fill="EFE9FC"/>
          </w:tcPr>
          <w:p>
            <w:pPr>
              <w:jc w:val="right"/>
              <w:ind w:right="64"/>
              <w:spacing w:after="0"/>
              <w:rPr>
                <w:sz w:val="20"/>
                <w:szCs w:val="20"/>
                <w:color w:val="auto"/>
              </w:rPr>
            </w:pPr>
            <w:r>
              <w:rPr>
                <w:rFonts w:ascii="Arial" w:cs="Arial" w:eastAsia="Arial" w:hAnsi="Arial"/>
                <w:sz w:val="15"/>
                <w:szCs w:val="15"/>
                <w:color w:val="auto"/>
              </w:rPr>
              <w:t>333,845</w:t>
            </w:r>
          </w:p>
        </w:tc>
        <w:tc>
          <w:tcPr>
            <w:tcW w:w="1580" w:type="dxa"/>
            <w:vAlign w:val="bottom"/>
            <w:tcBorders>
              <w:bottom w:val="single" w:sz="8" w:color="EFE9FC"/>
            </w:tcBorders>
            <w:shd w:val="clear" w:color="auto" w:fill="EFE9FC"/>
          </w:tcPr>
          <w:p>
            <w:pPr>
              <w:jc w:val="right"/>
              <w:ind w:right="25"/>
              <w:spacing w:after="0"/>
              <w:rPr>
                <w:sz w:val="20"/>
                <w:szCs w:val="20"/>
                <w:color w:val="auto"/>
              </w:rPr>
            </w:pPr>
            <w:r>
              <w:rPr>
                <w:rFonts w:ascii="Arial" w:cs="Arial" w:eastAsia="Arial" w:hAnsi="Arial"/>
                <w:sz w:val="15"/>
                <w:szCs w:val="15"/>
                <w:color w:val="auto"/>
              </w:rPr>
              <w:t>–</w:t>
            </w:r>
          </w:p>
        </w:tc>
        <w:tc>
          <w:tcPr>
            <w:tcW w:w="1460" w:type="dxa"/>
            <w:vAlign w:val="bottom"/>
            <w:tcBorders>
              <w:bottom w:val="single" w:sz="8" w:color="EFE9FC"/>
            </w:tcBorders>
            <w:shd w:val="clear" w:color="auto" w:fill="EFE9FC"/>
          </w:tcPr>
          <w:p>
            <w:pPr>
              <w:jc w:val="right"/>
              <w:ind w:right="25"/>
              <w:spacing w:after="0"/>
              <w:rPr>
                <w:sz w:val="20"/>
                <w:szCs w:val="20"/>
                <w:color w:val="auto"/>
              </w:rPr>
            </w:pPr>
            <w:r>
              <w:rPr>
                <w:rFonts w:ascii="Arial" w:cs="Arial" w:eastAsia="Arial" w:hAnsi="Arial"/>
                <w:sz w:val="15"/>
                <w:szCs w:val="15"/>
                <w:color w:val="auto"/>
              </w:rPr>
              <w:t>–</w:t>
            </w:r>
          </w:p>
        </w:tc>
        <w:tc>
          <w:tcPr>
            <w:tcW w:w="1460" w:type="dxa"/>
            <w:vAlign w:val="bottom"/>
            <w:tcBorders>
              <w:bottom w:val="single" w:sz="8" w:color="EFE9FC"/>
            </w:tcBorders>
            <w:shd w:val="clear" w:color="auto" w:fill="EFE9FC"/>
          </w:tcPr>
          <w:p>
            <w:pPr>
              <w:jc w:val="right"/>
              <w:ind w:right="25"/>
              <w:spacing w:after="0"/>
              <w:rPr>
                <w:sz w:val="20"/>
                <w:szCs w:val="20"/>
                <w:color w:val="auto"/>
              </w:rPr>
            </w:pPr>
            <w:r>
              <w:rPr>
                <w:rFonts w:ascii="Arial" w:cs="Arial" w:eastAsia="Arial" w:hAnsi="Arial"/>
                <w:sz w:val="15"/>
                <w:szCs w:val="15"/>
                <w:color w:val="auto"/>
              </w:rPr>
              <w:t>–</w:t>
            </w:r>
          </w:p>
        </w:tc>
        <w:tc>
          <w:tcPr>
            <w:tcW w:w="1400" w:type="dxa"/>
            <w:vAlign w:val="bottom"/>
            <w:tcBorders>
              <w:bottom w:val="single" w:sz="8" w:color="EFE9FC"/>
            </w:tcBorders>
            <w:shd w:val="clear" w:color="auto" w:fill="EFE9FC"/>
          </w:tcPr>
          <w:p>
            <w:pPr>
              <w:ind w:left="1260"/>
              <w:spacing w:after="0"/>
              <w:rPr>
                <w:sz w:val="20"/>
                <w:szCs w:val="20"/>
                <w:color w:val="auto"/>
              </w:rPr>
            </w:pPr>
            <w:r>
              <w:rPr>
                <w:rFonts w:ascii="Arial" w:cs="Arial" w:eastAsia="Arial" w:hAnsi="Arial"/>
                <w:sz w:val="15"/>
                <w:szCs w:val="15"/>
                <w:color w:val="auto"/>
              </w:rPr>
              <w:t>–</w:t>
            </w:r>
          </w:p>
        </w:tc>
      </w:tr>
      <w:tr>
        <w:trPr>
          <w:trHeight w:val="221"/>
        </w:trPr>
        <w:tc>
          <w:tcPr>
            <w:tcW w:w="1600" w:type="dxa"/>
            <w:vAlign w:val="bottom"/>
          </w:tcPr>
          <w:p>
            <w:pPr>
              <w:ind w:left="40"/>
              <w:spacing w:after="0"/>
              <w:rPr>
                <w:sz w:val="20"/>
                <w:szCs w:val="20"/>
                <w:color w:val="auto"/>
              </w:rPr>
            </w:pPr>
            <w:r>
              <w:rPr>
                <w:rFonts w:ascii="Arial" w:cs="Arial" w:eastAsia="Arial" w:hAnsi="Arial"/>
                <w:sz w:val="15"/>
                <w:szCs w:val="15"/>
                <w:color w:val="auto"/>
              </w:rPr>
              <w:t>Total</w:t>
            </w:r>
          </w:p>
        </w:tc>
        <w:tc>
          <w:tcPr>
            <w:tcW w:w="860" w:type="dxa"/>
            <w:vAlign w:val="bottom"/>
          </w:tcPr>
          <w:p>
            <w:pPr>
              <w:jc w:val="right"/>
              <w:spacing w:after="0"/>
              <w:rPr>
                <w:sz w:val="20"/>
                <w:szCs w:val="20"/>
                <w:color w:val="auto"/>
              </w:rPr>
            </w:pPr>
            <w:r>
              <w:rPr>
                <w:rFonts w:ascii="Arial" w:cs="Arial" w:eastAsia="Arial" w:hAnsi="Arial"/>
                <w:sz w:val="15"/>
                <w:szCs w:val="15"/>
                <w:color w:val="auto"/>
              </w:rPr>
              <w:t>$</w:t>
            </w:r>
          </w:p>
        </w:tc>
        <w:tc>
          <w:tcPr>
            <w:tcW w:w="820" w:type="dxa"/>
            <w:vAlign w:val="bottom"/>
          </w:tcPr>
          <w:p>
            <w:pPr>
              <w:jc w:val="right"/>
              <w:ind w:right="64"/>
              <w:spacing w:after="0"/>
              <w:rPr>
                <w:sz w:val="20"/>
                <w:szCs w:val="20"/>
                <w:color w:val="auto"/>
              </w:rPr>
            </w:pPr>
            <w:r>
              <w:rPr>
                <w:rFonts w:ascii="Arial" w:cs="Arial" w:eastAsia="Arial" w:hAnsi="Arial"/>
                <w:sz w:val="15"/>
                <w:szCs w:val="15"/>
                <w:color w:val="auto"/>
                <w:w w:val="98"/>
              </w:rPr>
              <w:t>1,267,047</w:t>
            </w:r>
          </w:p>
        </w:tc>
        <w:tc>
          <w:tcPr>
            <w:tcW w:w="1580" w:type="dxa"/>
            <w:vAlign w:val="bottom"/>
          </w:tcPr>
          <w:p>
            <w:pPr>
              <w:jc w:val="right"/>
              <w:ind w:right="25"/>
              <w:spacing w:after="0"/>
              <w:rPr>
                <w:sz w:val="20"/>
                <w:szCs w:val="20"/>
                <w:color w:val="auto"/>
              </w:rPr>
            </w:pPr>
            <w:r>
              <w:rPr>
                <w:rFonts w:ascii="Arial" w:cs="Arial" w:eastAsia="Arial" w:hAnsi="Arial"/>
                <w:sz w:val="15"/>
                <w:szCs w:val="15"/>
                <w:color w:val="auto"/>
              </w:rPr>
              <w:t>$6,972,797</w:t>
            </w:r>
          </w:p>
        </w:tc>
        <w:tc>
          <w:tcPr>
            <w:tcW w:w="1460" w:type="dxa"/>
            <w:vAlign w:val="bottom"/>
          </w:tcPr>
          <w:p>
            <w:pPr>
              <w:jc w:val="right"/>
              <w:ind w:right="25"/>
              <w:spacing w:after="0"/>
              <w:rPr>
                <w:sz w:val="20"/>
                <w:szCs w:val="20"/>
                <w:color w:val="auto"/>
              </w:rPr>
            </w:pPr>
            <w:r>
              <w:rPr>
                <w:rFonts w:ascii="Arial" w:cs="Arial" w:eastAsia="Arial" w:hAnsi="Arial"/>
                <w:sz w:val="15"/>
                <w:szCs w:val="15"/>
                <w:color w:val="auto"/>
              </w:rPr>
              <w:t>$ 1,334,556</w:t>
            </w:r>
          </w:p>
        </w:tc>
        <w:tc>
          <w:tcPr>
            <w:tcW w:w="1460" w:type="dxa"/>
            <w:vAlign w:val="bottom"/>
          </w:tcPr>
          <w:p>
            <w:pPr>
              <w:jc w:val="right"/>
              <w:ind w:right="25"/>
              <w:spacing w:after="0"/>
              <w:rPr>
                <w:sz w:val="20"/>
                <w:szCs w:val="20"/>
                <w:color w:val="auto"/>
              </w:rPr>
            </w:pPr>
            <w:r>
              <w:rPr>
                <w:rFonts w:ascii="Arial" w:cs="Arial" w:eastAsia="Arial" w:hAnsi="Arial"/>
                <w:sz w:val="15"/>
                <w:szCs w:val="15"/>
                <w:color w:val="auto"/>
              </w:rPr>
              <w:t>$ 5,067,365</w:t>
            </w:r>
          </w:p>
        </w:tc>
        <w:tc>
          <w:tcPr>
            <w:tcW w:w="1400" w:type="dxa"/>
            <w:vAlign w:val="bottom"/>
          </w:tcPr>
          <w:p>
            <w:pPr>
              <w:ind w:left="1260"/>
              <w:spacing w:after="0"/>
              <w:rPr>
                <w:sz w:val="20"/>
                <w:szCs w:val="20"/>
                <w:color w:val="auto"/>
              </w:rPr>
            </w:pPr>
            <w:r>
              <w:rPr>
                <w:rFonts w:ascii="Arial" w:cs="Arial" w:eastAsia="Arial" w:hAnsi="Arial"/>
                <w:sz w:val="15"/>
                <w:szCs w:val="15"/>
                <w:color w:val="auto"/>
              </w:rPr>
              <w: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485140</wp:posOffset>
            </wp:positionH>
            <wp:positionV relativeFrom="paragraph">
              <wp:posOffset>13970</wp:posOffset>
            </wp:positionV>
            <wp:extent cx="5829300" cy="8890"/>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47">
                      <a:extLst>
                        <a:ext uri="{28A0092B-C50C-407E-A947-70E740481C1C}"/>
                      </a:extLst>
                    </a:blip>
                    <a:srcRect/>
                    <a:stretch>
                      <a:fillRect/>
                    </a:stretch>
                  </pic:blipFill>
                  <pic:spPr bwMode="auto">
                    <a:xfrm>
                      <a:off x="0" y="0"/>
                      <a:ext cx="5829300" cy="8890"/>
                    </a:xfrm>
                    <a:prstGeom prst="rect">
                      <a:avLst/>
                    </a:prstGeom>
                    <a:noFill/>
                  </pic:spPr>
                </pic:pic>
              </a:graphicData>
            </a:graphic>
          </wp:anchor>
        </w:drawing>
      </w:r>
    </w:p>
    <w:p>
      <w:pPr>
        <w:spacing w:after="0" w:line="27" w:lineRule="exact"/>
        <w:rPr>
          <w:sz w:val="20"/>
          <w:szCs w:val="20"/>
          <w:color w:val="auto"/>
        </w:rPr>
      </w:pPr>
    </w:p>
    <w:p>
      <w:pPr>
        <w:jc w:val="both"/>
        <w:ind w:left="980" w:right="199" w:hanging="216"/>
        <w:spacing w:after="0" w:line="247" w:lineRule="auto"/>
        <w:tabs>
          <w:tab w:leader="none" w:pos="980" w:val="left"/>
        </w:tabs>
        <w:numPr>
          <w:ilvl w:val="0"/>
          <w:numId w:val="69"/>
        </w:numPr>
        <w:rPr>
          <w:rFonts w:ascii="Arial" w:cs="Arial" w:eastAsia="Arial" w:hAnsi="Arial"/>
          <w:sz w:val="13"/>
          <w:szCs w:val="13"/>
          <w:i w:val="1"/>
          <w:iCs w:val="1"/>
          <w:color w:val="auto"/>
        </w:rPr>
      </w:pPr>
      <w:r>
        <w:rPr>
          <w:rFonts w:ascii="Arial" w:cs="Arial" w:eastAsia="Arial" w:hAnsi="Arial"/>
          <w:sz w:val="13"/>
          <w:szCs w:val="13"/>
          <w:i w:val="1"/>
          <w:iCs w:val="1"/>
          <w:color w:val="auto"/>
        </w:rPr>
        <w:t>The potential payment in case of termination without cause represents 12 months of base salary ($933,202) and includes a cash amount representing the value of the following benefits for a period of 12 months: pension ($162,643), accommodation ($122,471), school allowance ($26,086), and car allowance ($22,644). The Company may elect to pay this severance amount in installments, and in this case, if Mr. McDonald secures alternative employment, then the gross installments payable after the date when alternative employment commences will be reduced by a sum equal to the gross amount of his income from the alternative employment. As to pension, this amount reflects 15% of Mr. McDonald’s compensation (consisting of base).</w:t>
      </w:r>
    </w:p>
    <w:p>
      <w:pPr>
        <w:jc w:val="both"/>
        <w:ind w:left="980" w:right="559" w:hanging="216"/>
        <w:spacing w:after="0" w:line="280" w:lineRule="auto"/>
        <w:tabs>
          <w:tab w:leader="none" w:pos="980" w:val="left"/>
        </w:tabs>
        <w:numPr>
          <w:ilvl w:val="0"/>
          <w:numId w:val="69"/>
        </w:numPr>
        <w:rPr>
          <w:rFonts w:ascii="Arial" w:cs="Arial" w:eastAsia="Arial" w:hAnsi="Arial"/>
          <w:sz w:val="13"/>
          <w:szCs w:val="13"/>
          <w:i w:val="1"/>
          <w:iCs w:val="1"/>
          <w:color w:val="auto"/>
        </w:rPr>
      </w:pPr>
      <w:r>
        <w:rPr>
          <w:rFonts w:ascii="Arial" w:cs="Arial" w:eastAsia="Arial" w:hAnsi="Arial"/>
          <w:sz w:val="13"/>
          <w:szCs w:val="13"/>
          <w:i w:val="1"/>
          <w:iCs w:val="1"/>
          <w:color w:val="auto"/>
        </w:rPr>
        <w:t>The potential payment in case of separation due to change in control is calculated adding (i) the amount resulting from multiplying the 74,748 RSUs subject to accelerated vesting by the closing market price at December 31, 2019 ($75.43) and (ii) the amount resulting from multiplying each SARs</w:t>
      </w:r>
    </w:p>
    <w:p>
      <w:pPr>
        <w:ind w:left="480"/>
        <w:spacing w:after="0"/>
        <w:tabs>
          <w:tab w:leader="none" w:pos="4400" w:val="left"/>
          <w:tab w:leader="none" w:pos="8760" w:val="left"/>
        </w:tabs>
        <w:rPr>
          <w:sz w:val="20"/>
          <w:szCs w:val="20"/>
          <w:color w:val="auto"/>
        </w:rPr>
      </w:pPr>
      <w:r>
        <w:rPr>
          <w:rFonts w:ascii="Arial" w:cs="Arial" w:eastAsia="Arial" w:hAnsi="Arial"/>
          <w:sz w:val="28"/>
          <w:szCs w:val="28"/>
          <w:b w:val="1"/>
          <w:bCs w:val="1"/>
          <w:color w:val="auto"/>
          <w:vertAlign w:val="subscript"/>
        </w:rPr>
        <w:t>45</w:t>
      </w:r>
      <w:r>
        <w:rPr>
          <w:sz w:val="20"/>
          <w:szCs w:val="20"/>
          <w:color w:val="auto"/>
        </w:rPr>
        <w:tab/>
      </w:r>
      <w:r>
        <w:rPr>
          <w:rFonts w:ascii="Arial" w:cs="Arial" w:eastAsia="Arial" w:hAnsi="Arial"/>
          <w:sz w:val="12"/>
          <w:szCs w:val="12"/>
          <w:b w:val="1"/>
          <w:bCs w:val="1"/>
          <w:color w:val="4800E6"/>
        </w:rPr>
        <w:t xml:space="preserve">LIVANOVA </w:t>
      </w:r>
      <w:r>
        <w:rPr>
          <w:rFonts w:ascii="Arial" w:cs="Arial" w:eastAsia="Arial" w:hAnsi="Arial"/>
          <w:sz w:val="12"/>
          <w:szCs w:val="12"/>
          <w:color w:val="000000"/>
        </w:rPr>
        <w:t>|</w:t>
      </w:r>
      <w:r>
        <w:rPr>
          <w:rFonts w:ascii="Arial" w:cs="Arial" w:eastAsia="Arial" w:hAnsi="Arial"/>
          <w:sz w:val="12"/>
          <w:szCs w:val="12"/>
          <w:b w:val="1"/>
          <w:bCs w:val="1"/>
          <w:color w:val="4800E6"/>
        </w:rPr>
        <w:t xml:space="preserve"> </w:t>
      </w:r>
      <w:r>
        <w:rPr>
          <w:rFonts w:ascii="Arial" w:cs="Arial" w:eastAsia="Arial" w:hAnsi="Arial"/>
          <w:sz w:val="12"/>
          <w:szCs w:val="12"/>
          <w:color w:val="4800E6"/>
        </w:rPr>
        <w:t>2020</w:t>
      </w:r>
      <w:r>
        <w:rPr>
          <w:rFonts w:ascii="Arial" w:cs="Arial" w:eastAsia="Arial" w:hAnsi="Arial"/>
          <w:sz w:val="12"/>
          <w:szCs w:val="12"/>
          <w:b w:val="1"/>
          <w:bCs w:val="1"/>
          <w:color w:val="4800E6"/>
        </w:rPr>
        <w:t xml:space="preserve"> </w:t>
      </w:r>
      <w:r>
        <w:rPr>
          <w:rFonts w:ascii="Arial" w:cs="Arial" w:eastAsia="Arial" w:hAnsi="Arial"/>
          <w:sz w:val="12"/>
          <w:szCs w:val="12"/>
          <w:color w:val="000000"/>
        </w:rPr>
        <w:t>Proxy Statement</w:t>
      </w:r>
      <w:r>
        <w:rPr>
          <w:sz w:val="20"/>
          <w:szCs w:val="20"/>
          <w:color w:val="auto"/>
        </w:rPr>
        <w:tab/>
      </w:r>
      <w:r>
        <w:rPr>
          <w:rFonts w:ascii="Arial" w:cs="Arial" w:eastAsia="Arial" w:hAnsi="Arial"/>
          <w:sz w:val="12"/>
          <w:szCs w:val="12"/>
          <w:b w:val="1"/>
          <w:bCs w:val="1"/>
          <w:color w:val="4800E6"/>
        </w:rPr>
        <w:t>www.livanova.com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561975</wp:posOffset>
            </wp:positionH>
            <wp:positionV relativeFrom="paragraph">
              <wp:posOffset>85725</wp:posOffset>
            </wp:positionV>
            <wp:extent cx="1954530" cy="8890"/>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48">
                      <a:extLst>
                        <a:ext uri="{28A0092B-C50C-407E-A947-70E740481C1C}"/>
                      </a:extLst>
                    </a:blip>
                    <a:srcRect/>
                    <a:stretch>
                      <a:fillRect/>
                    </a:stretch>
                  </pic:blipFill>
                  <pic:spPr bwMode="auto">
                    <a:xfrm>
                      <a:off x="0" y="0"/>
                      <a:ext cx="1954530" cy="8890"/>
                    </a:xfrm>
                    <a:prstGeom prst="rect">
                      <a:avLst/>
                    </a:prstGeom>
                    <a:noFill/>
                  </pic:spPr>
                </pic:pic>
              </a:graphicData>
            </a:graphic>
          </wp:anchor>
        </w:drawing>
        <w:drawing>
          <wp:anchor simplePos="0" relativeHeight="251657728" behindDoc="1" locked="0" layoutInCell="0" allowOverlap="1">
            <wp:simplePos x="0" y="0"/>
            <wp:positionH relativeFrom="column">
              <wp:posOffset>4316730</wp:posOffset>
            </wp:positionH>
            <wp:positionV relativeFrom="paragraph">
              <wp:posOffset>85725</wp:posOffset>
            </wp:positionV>
            <wp:extent cx="1028700" cy="8890"/>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49">
                      <a:extLst>
                        <a:ext uri="{28A0092B-C50C-407E-A947-70E740481C1C}"/>
                      </a:extLst>
                    </a:blip>
                    <a:srcRect/>
                    <a:stretch>
                      <a:fillRect/>
                    </a:stretch>
                  </pic:blipFill>
                  <pic:spPr bwMode="auto">
                    <a:xfrm>
                      <a:off x="0" y="0"/>
                      <a:ext cx="102870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222885</wp:posOffset>
            </wp:positionV>
            <wp:extent cx="6806565" cy="17145"/>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50">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10139"/>
          </w:cols>
          <w:pgMar w:left="320" w:top="132" w:right="1440" w:bottom="1440" w:gutter="0" w:footer="0" w:header="0"/>
        </w:sectPr>
      </w:pPr>
    </w:p>
    <w:bookmarkStart w:id="49" w:name="page50"/>
    <w:bookmarkEnd w:id="49"/>
    <w:p>
      <w:pPr>
        <w:spacing w:after="0"/>
        <w:rPr>
          <w:rFonts w:ascii="Arial" w:cs="Arial" w:eastAsia="Arial" w:hAnsi="Arial"/>
          <w:sz w:val="14"/>
          <w:szCs w:val="14"/>
          <w:color w:val="003366"/>
        </w:rPr>
      </w:pPr>
      <w:hyperlink w:anchor="page5">
        <w:r>
          <w:rPr>
            <w:rFonts w:ascii="Arial" w:cs="Arial" w:eastAsia="Arial" w:hAnsi="Arial"/>
            <w:sz w:val="14"/>
            <w:szCs w:val="14"/>
            <w:color w:val="003366"/>
          </w:rPr>
          <w:t>TABLE OF CONTENTS</w:t>
        </w:r>
      </w:hyperlink>
    </w:p>
    <w:p>
      <w:pPr>
        <w:spacing w:after="0" w:line="338" w:lineRule="exact"/>
        <w:rPr>
          <w:sz w:val="20"/>
          <w:szCs w:val="20"/>
          <w:color w:val="auto"/>
        </w:rPr>
      </w:pPr>
    </w:p>
    <w:p>
      <w:pPr>
        <w:jc w:val="right"/>
        <w:ind w:right="780"/>
        <w:spacing w:after="0"/>
        <w:rPr>
          <w:sz w:val="20"/>
          <w:szCs w:val="20"/>
          <w:color w:val="auto"/>
        </w:rPr>
      </w:pPr>
      <w:r>
        <w:rPr>
          <w:rFonts w:ascii="Arial" w:cs="Arial" w:eastAsia="Arial" w:hAnsi="Arial"/>
          <w:sz w:val="13"/>
          <w:szCs w:val="13"/>
          <w:b w:val="1"/>
          <w:bCs w:val="1"/>
          <w:color w:val="auto"/>
        </w:rPr>
        <w:t xml:space="preserve">Executive </w:t>
      </w:r>
      <w:r>
        <w:rPr>
          <w:rFonts w:ascii="Arial" w:cs="Arial" w:eastAsia="Arial" w:hAnsi="Arial"/>
          <w:sz w:val="13"/>
          <w:szCs w:val="13"/>
          <w:b w:val="1"/>
          <w:bCs w:val="1"/>
          <w:color w:val="666666"/>
        </w:rPr>
        <w:t>Compensation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485140</wp:posOffset>
            </wp:positionH>
            <wp:positionV relativeFrom="paragraph">
              <wp:posOffset>30480</wp:posOffset>
            </wp:positionV>
            <wp:extent cx="5829300" cy="8255"/>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51">
                      <a:extLst>
                        <a:ext uri="{28A0092B-C50C-407E-A947-70E740481C1C}"/>
                      </a:extLst>
                    </a:blip>
                    <a:srcRect/>
                    <a:stretch>
                      <a:fillRect/>
                    </a:stretch>
                  </pic:blipFill>
                  <pic:spPr bwMode="auto">
                    <a:xfrm>
                      <a:off x="0" y="0"/>
                      <a:ext cx="5829300" cy="8255"/>
                    </a:xfrm>
                    <a:prstGeom prst="rect">
                      <a:avLst/>
                    </a:prstGeom>
                    <a:noFill/>
                  </pic:spPr>
                </pic:pic>
              </a:graphicData>
            </a:graphic>
          </wp:anchor>
        </w:drawing>
      </w:r>
    </w:p>
    <w:p>
      <w:pPr>
        <w:spacing w:after="0" w:line="60" w:lineRule="exact"/>
        <w:rPr>
          <w:sz w:val="20"/>
          <w:szCs w:val="20"/>
          <w:color w:val="auto"/>
        </w:rPr>
      </w:pPr>
    </w:p>
    <w:p>
      <w:pPr>
        <w:jc w:val="right"/>
        <w:ind w:right="780"/>
        <w:spacing w:after="0"/>
        <w:rPr>
          <w:sz w:val="20"/>
          <w:szCs w:val="20"/>
          <w:color w:val="auto"/>
        </w:rPr>
      </w:pPr>
      <w:r>
        <w:rPr>
          <w:rFonts w:ascii="Arial" w:cs="Arial" w:eastAsia="Arial" w:hAnsi="Arial"/>
          <w:sz w:val="13"/>
          <w:szCs w:val="13"/>
          <w:b w:val="1"/>
          <w:bCs w:val="1"/>
          <w:color w:val="4800E6"/>
        </w:rPr>
        <w:t>Compensation of Executive Officers and Directors</w:t>
      </w:r>
    </w:p>
    <w:p>
      <w:pPr>
        <w:spacing w:after="0" w:line="200" w:lineRule="exact"/>
        <w:rPr>
          <w:sz w:val="20"/>
          <w:szCs w:val="20"/>
          <w:color w:val="auto"/>
        </w:rPr>
      </w:pPr>
    </w:p>
    <w:p>
      <w:pPr>
        <w:spacing w:after="0" w:line="400" w:lineRule="exact"/>
        <w:rPr>
          <w:sz w:val="20"/>
          <w:szCs w:val="20"/>
          <w:color w:val="auto"/>
        </w:rPr>
      </w:pPr>
    </w:p>
    <w:p>
      <w:pPr>
        <w:ind w:left="980" w:right="920"/>
        <w:spacing w:after="0" w:line="249" w:lineRule="auto"/>
        <w:rPr>
          <w:sz w:val="20"/>
          <w:szCs w:val="20"/>
          <w:color w:val="auto"/>
        </w:rPr>
      </w:pPr>
      <w:r>
        <w:rPr>
          <w:rFonts w:ascii="Arial" w:cs="Arial" w:eastAsia="Arial" w:hAnsi="Arial"/>
          <w:sz w:val="13"/>
          <w:szCs w:val="13"/>
          <w:i w:val="1"/>
          <w:iCs w:val="1"/>
          <w:color w:val="auto"/>
        </w:rPr>
        <w:t>award subject to accelerated vesting by the difference between the closing market price at December 31, 2019 ($75.43) and the exercise price for each SAR, as follows (43,556 SARs with an exercise price of $44.79). This does not include SARs where the exercise price exceeds the market price.</w:t>
      </w:r>
    </w:p>
    <w:p>
      <w:pPr>
        <w:spacing w:after="0" w:line="1" w:lineRule="exact"/>
        <w:rPr>
          <w:sz w:val="20"/>
          <w:szCs w:val="20"/>
          <w:color w:val="auto"/>
        </w:rPr>
      </w:pPr>
    </w:p>
    <w:p>
      <w:pPr>
        <w:jc w:val="both"/>
        <w:ind w:left="980" w:right="980" w:hanging="216"/>
        <w:spacing w:after="0" w:line="252" w:lineRule="auto"/>
        <w:tabs>
          <w:tab w:leader="none" w:pos="980" w:val="left"/>
        </w:tabs>
        <w:numPr>
          <w:ilvl w:val="0"/>
          <w:numId w:val="70"/>
        </w:numPr>
        <w:rPr>
          <w:rFonts w:ascii="Arial" w:cs="Arial" w:eastAsia="Arial" w:hAnsi="Arial"/>
          <w:sz w:val="13"/>
          <w:szCs w:val="13"/>
          <w:i w:val="1"/>
          <w:iCs w:val="1"/>
          <w:color w:val="auto"/>
        </w:rPr>
      </w:pPr>
      <w:r>
        <w:rPr>
          <w:rFonts w:ascii="Arial" w:cs="Arial" w:eastAsia="Arial" w:hAnsi="Arial"/>
          <w:sz w:val="13"/>
          <w:szCs w:val="13"/>
          <w:i w:val="1"/>
          <w:iCs w:val="1"/>
          <w:color w:val="auto"/>
        </w:rPr>
        <w:t>The potential payment amount in case of separation due to disability represents LTIP payments calculated by multiplying each SARs award subject to accelerated vesting in case of a disability by the difference between the closing market price at December 31, 2019 ($75.43) and the exercise price for each SAR, as follows (43,556 SARs with an exercise price of $44.79). This does not include SARs where the exercise price exceeds the market price.</w:t>
      </w:r>
    </w:p>
    <w:p>
      <w:pPr>
        <w:spacing w:after="0" w:line="1" w:lineRule="exact"/>
        <w:rPr>
          <w:rFonts w:ascii="Arial" w:cs="Arial" w:eastAsia="Arial" w:hAnsi="Arial"/>
          <w:sz w:val="13"/>
          <w:szCs w:val="13"/>
          <w:i w:val="1"/>
          <w:iCs w:val="1"/>
          <w:color w:val="auto"/>
        </w:rPr>
      </w:pPr>
    </w:p>
    <w:p>
      <w:pPr>
        <w:ind w:left="980" w:right="980" w:hanging="216"/>
        <w:spacing w:after="0" w:line="249" w:lineRule="auto"/>
        <w:tabs>
          <w:tab w:leader="none" w:pos="980" w:val="left"/>
        </w:tabs>
        <w:numPr>
          <w:ilvl w:val="0"/>
          <w:numId w:val="70"/>
        </w:numPr>
        <w:rPr>
          <w:rFonts w:ascii="Arial" w:cs="Arial" w:eastAsia="Arial" w:hAnsi="Arial"/>
          <w:sz w:val="13"/>
          <w:szCs w:val="13"/>
          <w:i w:val="1"/>
          <w:iCs w:val="1"/>
          <w:color w:val="auto"/>
        </w:rPr>
      </w:pPr>
      <w:r>
        <w:rPr>
          <w:rFonts w:ascii="Arial" w:cs="Arial" w:eastAsia="Arial" w:hAnsi="Arial"/>
          <w:sz w:val="13"/>
          <w:szCs w:val="13"/>
          <w:i w:val="1"/>
          <w:iCs w:val="1"/>
          <w:color w:val="auto"/>
        </w:rPr>
        <w:t>The payment amount in case of separation due to death represents four times the base salary as a lump sum (payable by a third party insurer under a policy held by the Company for its employees) tax-free amount to the nominated person(s) plus LTIP potential payments in case of separation due to death calculated by multiplying each SARs award subject to accelerated vesting by the difference between the closing market price at December 31, 2019 ($75.43) and the exercise price for each SAR, as follows (43,556 SARs with an exercise price of $44.79).</w:t>
      </w:r>
    </w:p>
    <w:p>
      <w:pPr>
        <w:ind w:left="980" w:right="1220" w:hanging="216"/>
        <w:spacing w:after="0" w:line="258" w:lineRule="auto"/>
        <w:tabs>
          <w:tab w:leader="none" w:pos="980" w:val="left"/>
        </w:tabs>
        <w:numPr>
          <w:ilvl w:val="0"/>
          <w:numId w:val="70"/>
        </w:numPr>
        <w:rPr>
          <w:rFonts w:ascii="Arial" w:cs="Arial" w:eastAsia="Arial" w:hAnsi="Arial"/>
          <w:sz w:val="13"/>
          <w:szCs w:val="13"/>
          <w:i w:val="1"/>
          <w:iCs w:val="1"/>
          <w:color w:val="auto"/>
        </w:rPr>
      </w:pPr>
      <w:r>
        <w:rPr>
          <w:rFonts w:ascii="Arial" w:cs="Arial" w:eastAsia="Arial" w:hAnsi="Arial"/>
          <w:sz w:val="13"/>
          <w:szCs w:val="13"/>
          <w:i w:val="1"/>
          <w:iCs w:val="1"/>
          <w:color w:val="auto"/>
        </w:rPr>
        <w:t>For the amounts on this table, we used an exchange rate of $1.275738014 per British Pound, each of which reflects the applicable period average published rate from our BOPC Accounting System between January 1, 2019 and December 31, 2019.</w:t>
      </w:r>
    </w:p>
    <w:p>
      <w:pPr>
        <w:spacing w:after="0" w:line="151" w:lineRule="exact"/>
        <w:rPr>
          <w:sz w:val="20"/>
          <w:szCs w:val="20"/>
          <w:color w:val="auto"/>
        </w:rPr>
      </w:pPr>
    </w:p>
    <w:p>
      <w:pPr>
        <w:ind w:left="760"/>
        <w:spacing w:after="0"/>
        <w:rPr>
          <w:sz w:val="20"/>
          <w:szCs w:val="20"/>
          <w:color w:val="auto"/>
        </w:rPr>
      </w:pPr>
      <w:r>
        <w:rPr>
          <w:rFonts w:ascii="Arial" w:cs="Arial" w:eastAsia="Arial" w:hAnsi="Arial"/>
          <w:sz w:val="20"/>
          <w:szCs w:val="20"/>
          <w:b w:val="1"/>
          <w:bCs w:val="1"/>
          <w:color w:val="FF4C4C"/>
        </w:rPr>
        <w:t>Thad Huston</w:t>
      </w:r>
    </w:p>
    <w:p>
      <w:pPr>
        <w:spacing w:after="0" w:line="110" w:lineRule="exact"/>
        <w:rPr>
          <w:sz w:val="20"/>
          <w:szCs w:val="20"/>
          <w:color w:val="auto"/>
        </w:rPr>
      </w:pPr>
    </w:p>
    <w:p>
      <w:pPr>
        <w:ind w:left="760"/>
        <w:spacing w:after="0"/>
        <w:rPr>
          <w:sz w:val="20"/>
          <w:szCs w:val="20"/>
          <w:color w:val="auto"/>
        </w:rPr>
      </w:pPr>
      <w:r>
        <w:rPr>
          <w:rFonts w:ascii="Arial" w:cs="Arial" w:eastAsia="Arial" w:hAnsi="Arial"/>
          <w:sz w:val="16"/>
          <w:szCs w:val="16"/>
          <w:color w:val="auto"/>
        </w:rPr>
        <w:t>The Compensation Committee approved a service agreement between Mr. Huston and us effective as of May 20, 2017.</w:t>
      </w:r>
    </w:p>
    <w:p>
      <w:pPr>
        <w:spacing w:after="0" w:line="5" w:lineRule="exact"/>
        <w:rPr>
          <w:sz w:val="20"/>
          <w:szCs w:val="20"/>
          <w:color w:val="auto"/>
        </w:rPr>
      </w:pPr>
    </w:p>
    <w:p>
      <w:pPr>
        <w:ind w:left="760" w:right="860"/>
        <w:spacing w:after="0" w:line="262" w:lineRule="auto"/>
        <w:rPr>
          <w:sz w:val="20"/>
          <w:szCs w:val="20"/>
          <w:color w:val="auto"/>
        </w:rPr>
      </w:pPr>
      <w:r>
        <w:rPr>
          <w:rFonts w:ascii="Arial" w:cs="Arial" w:eastAsia="Arial" w:hAnsi="Arial"/>
          <w:sz w:val="15"/>
          <w:szCs w:val="15"/>
          <w:color w:val="auto"/>
        </w:rPr>
        <w:t>Mr. Huston’s annual base salary was £405,000 ($516,674) as of April 1, 2019 and an opportunity to earn an annual cash incentive bonus with a target amount equal to 90% of his annual base salary. In addition, we agreed to pay Mr. Huston an annual car allowance of £13,200 ($16,840) and pension contributions equal to 15% of the sum of his base salary and annual bonus.</w:t>
      </w:r>
    </w:p>
    <w:p>
      <w:pPr>
        <w:spacing w:after="0" w:line="2" w:lineRule="exact"/>
        <w:rPr>
          <w:sz w:val="20"/>
          <w:szCs w:val="20"/>
          <w:color w:val="auto"/>
        </w:rPr>
      </w:pPr>
    </w:p>
    <w:p>
      <w:pPr>
        <w:ind w:left="760" w:right="840"/>
        <w:spacing w:after="0" w:line="250" w:lineRule="auto"/>
        <w:rPr>
          <w:sz w:val="20"/>
          <w:szCs w:val="20"/>
          <w:color w:val="auto"/>
        </w:rPr>
      </w:pPr>
      <w:r>
        <w:rPr>
          <w:rFonts w:ascii="Arial" w:cs="Arial" w:eastAsia="Arial" w:hAnsi="Arial"/>
          <w:sz w:val="16"/>
          <w:szCs w:val="16"/>
          <w:color w:val="auto"/>
        </w:rPr>
        <w:t>Mr. Huston is also eligible to participate in our employee benefit plans made available to all our UK-based employees. Certain provisions of Mr. Huston’s service agreement will continue in effect until the expiration of 12 months following notice of termination. Mr. Huston was also issued a letter dated April 27, 2017 confirming that the Company would recommend to the Compensation Committee annual equity awards but underscoring that any such awards remain in the absolute discretion of the Compensation Committee.</w:t>
      </w:r>
    </w:p>
    <w:p>
      <w:pPr>
        <w:spacing w:after="0" w:line="81" w:lineRule="exact"/>
        <w:rPr>
          <w:sz w:val="20"/>
          <w:szCs w:val="20"/>
          <w:color w:val="auto"/>
        </w:rPr>
      </w:pPr>
    </w:p>
    <w:p>
      <w:pPr>
        <w:ind w:left="760" w:right="1200"/>
        <w:spacing w:after="0" w:line="260" w:lineRule="auto"/>
        <w:rPr>
          <w:sz w:val="20"/>
          <w:szCs w:val="20"/>
          <w:color w:val="auto"/>
        </w:rPr>
      </w:pPr>
      <w:r>
        <w:rPr>
          <w:rFonts w:ascii="Arial" w:cs="Arial" w:eastAsia="Arial" w:hAnsi="Arial"/>
          <w:sz w:val="16"/>
          <w:szCs w:val="16"/>
          <w:color w:val="auto"/>
        </w:rPr>
        <w:t>The following table quantifies the potential payments that would be made to Mr. Huston assuming a termination or change-in-control event had occurred on December 31, 2019.</w:t>
      </w:r>
    </w:p>
    <w:p>
      <w:pPr>
        <w:spacing w:after="0" w:line="126" w:lineRule="exact"/>
        <w:rPr>
          <w:sz w:val="20"/>
          <w:szCs w:val="20"/>
          <w:color w:val="auto"/>
        </w:rPr>
      </w:pPr>
    </w:p>
    <w:tbl>
      <w:tblPr>
        <w:tblLayout w:type="fixed"/>
        <w:tblInd w:w="760" w:type="dxa"/>
        <w:tblCellMar>
          <w:top w:w="0" w:type="dxa"/>
          <w:left w:w="0" w:type="dxa"/>
          <w:bottom w:w="0" w:type="dxa"/>
          <w:right w:w="0" w:type="dxa"/>
        </w:tblCellMar>
      </w:tblPr>
      <w:tr>
        <w:trPr>
          <w:trHeight w:val="175"/>
        </w:trPr>
        <w:tc>
          <w:tcPr>
            <w:tcW w:w="1580" w:type="dxa"/>
            <w:vAlign w:val="bottom"/>
          </w:tcPr>
          <w:p>
            <w:pPr>
              <w:ind w:left="40"/>
              <w:spacing w:after="0"/>
              <w:rPr>
                <w:sz w:val="20"/>
                <w:szCs w:val="20"/>
                <w:color w:val="auto"/>
              </w:rPr>
            </w:pPr>
            <w:r>
              <w:rPr>
                <w:rFonts w:ascii="Arial" w:cs="Arial" w:eastAsia="Arial" w:hAnsi="Arial"/>
                <w:sz w:val="14"/>
                <w:szCs w:val="14"/>
                <w:b w:val="1"/>
                <w:bCs w:val="1"/>
                <w:color w:val="4800E6"/>
              </w:rPr>
              <w:t>Type of Payment</w:t>
            </w:r>
          </w:p>
        </w:tc>
        <w:tc>
          <w:tcPr>
            <w:tcW w:w="1680" w:type="dxa"/>
            <w:vAlign w:val="bottom"/>
          </w:tcPr>
          <w:p>
            <w:pPr>
              <w:jc w:val="right"/>
              <w:ind w:right="85"/>
              <w:spacing w:after="0"/>
              <w:rPr>
                <w:sz w:val="20"/>
                <w:szCs w:val="20"/>
                <w:color w:val="auto"/>
              </w:rPr>
            </w:pPr>
            <w:r>
              <w:rPr>
                <w:rFonts w:ascii="Arial" w:cs="Arial" w:eastAsia="Arial" w:hAnsi="Arial"/>
                <w:sz w:val="14"/>
                <w:szCs w:val="14"/>
                <w:b w:val="1"/>
                <w:bCs w:val="1"/>
                <w:color w:val="4800E6"/>
              </w:rPr>
              <w:t>Termination</w:t>
            </w:r>
          </w:p>
        </w:tc>
        <w:tc>
          <w:tcPr>
            <w:tcW w:w="1600" w:type="dxa"/>
            <w:vAlign w:val="bottom"/>
          </w:tcPr>
          <w:p>
            <w:pPr>
              <w:jc w:val="right"/>
              <w:ind w:right="65"/>
              <w:spacing w:after="0"/>
              <w:rPr>
                <w:sz w:val="20"/>
                <w:szCs w:val="20"/>
                <w:color w:val="auto"/>
              </w:rPr>
            </w:pPr>
            <w:r>
              <w:rPr>
                <w:rFonts w:ascii="Arial" w:cs="Arial" w:eastAsia="Arial" w:hAnsi="Arial"/>
                <w:sz w:val="14"/>
                <w:szCs w:val="14"/>
                <w:b w:val="1"/>
                <w:bCs w:val="1"/>
                <w:color w:val="4800E6"/>
              </w:rPr>
              <w:t>Separation due to</w:t>
            </w:r>
          </w:p>
        </w:tc>
        <w:tc>
          <w:tcPr>
            <w:tcW w:w="1460" w:type="dxa"/>
            <w:vAlign w:val="bottom"/>
          </w:tcPr>
          <w:p>
            <w:pPr>
              <w:ind w:left="120"/>
              <w:spacing w:after="0"/>
              <w:rPr>
                <w:sz w:val="20"/>
                <w:szCs w:val="20"/>
                <w:color w:val="auto"/>
              </w:rPr>
            </w:pPr>
            <w:r>
              <w:rPr>
                <w:rFonts w:ascii="Arial" w:cs="Arial" w:eastAsia="Arial" w:hAnsi="Arial"/>
                <w:sz w:val="14"/>
                <w:szCs w:val="14"/>
                <w:b w:val="1"/>
                <w:bCs w:val="1"/>
                <w:color w:val="4800E6"/>
              </w:rPr>
              <w:t>Separation due to</w:t>
            </w:r>
          </w:p>
        </w:tc>
        <w:tc>
          <w:tcPr>
            <w:tcW w:w="1460" w:type="dxa"/>
            <w:vAlign w:val="bottom"/>
          </w:tcPr>
          <w:p>
            <w:pPr>
              <w:jc w:val="right"/>
              <w:ind w:right="85"/>
              <w:spacing w:after="0"/>
              <w:rPr>
                <w:sz w:val="20"/>
                <w:szCs w:val="20"/>
                <w:color w:val="auto"/>
              </w:rPr>
            </w:pPr>
            <w:r>
              <w:rPr>
                <w:rFonts w:ascii="Arial" w:cs="Arial" w:eastAsia="Arial" w:hAnsi="Arial"/>
                <w:sz w:val="14"/>
                <w:szCs w:val="14"/>
                <w:b w:val="1"/>
                <w:bCs w:val="1"/>
                <w:color w:val="4800E6"/>
              </w:rPr>
              <w:t>Separation due to</w:t>
            </w:r>
          </w:p>
        </w:tc>
        <w:tc>
          <w:tcPr>
            <w:tcW w:w="1400" w:type="dxa"/>
            <w:vAlign w:val="bottom"/>
          </w:tcPr>
          <w:p>
            <w:pPr>
              <w:ind w:left="120"/>
              <w:spacing w:after="0"/>
              <w:rPr>
                <w:sz w:val="20"/>
                <w:szCs w:val="20"/>
                <w:color w:val="auto"/>
              </w:rPr>
            </w:pPr>
            <w:r>
              <w:rPr>
                <w:rFonts w:ascii="Arial" w:cs="Arial" w:eastAsia="Arial" w:hAnsi="Arial"/>
                <w:sz w:val="14"/>
                <w:szCs w:val="14"/>
                <w:b w:val="1"/>
                <w:bCs w:val="1"/>
                <w:color w:val="4800E6"/>
              </w:rPr>
              <w:t>Separation due to</w:t>
            </w:r>
          </w:p>
        </w:tc>
      </w:tr>
      <w:tr>
        <w:trPr>
          <w:trHeight w:val="216"/>
        </w:trPr>
        <w:tc>
          <w:tcPr>
            <w:tcW w:w="1580" w:type="dxa"/>
            <w:vAlign w:val="bottom"/>
            <w:tcBorders>
              <w:bottom w:val="single" w:sz="8" w:color="4800E6"/>
            </w:tcBorders>
          </w:tcPr>
          <w:p>
            <w:pPr>
              <w:ind w:left="40"/>
              <w:spacing w:after="0"/>
              <w:rPr>
                <w:sz w:val="20"/>
                <w:szCs w:val="20"/>
                <w:color w:val="auto"/>
              </w:rPr>
            </w:pPr>
            <w:r>
              <w:rPr>
                <w:rFonts w:ascii="Arial" w:cs="Arial" w:eastAsia="Arial" w:hAnsi="Arial"/>
                <w:sz w:val="14"/>
                <w:szCs w:val="14"/>
                <w:b w:val="1"/>
                <w:bCs w:val="1"/>
                <w:color w:val="4800E6"/>
              </w:rPr>
              <w:t>or Benefit</w:t>
            </w:r>
          </w:p>
        </w:tc>
        <w:tc>
          <w:tcPr>
            <w:tcW w:w="1680" w:type="dxa"/>
            <w:vAlign w:val="bottom"/>
            <w:tcBorders>
              <w:bottom w:val="single" w:sz="8" w:color="4800E6"/>
            </w:tcBorders>
          </w:tcPr>
          <w:p>
            <w:pPr>
              <w:jc w:val="right"/>
              <w:ind w:right="65"/>
              <w:spacing w:after="0" w:line="216" w:lineRule="exact"/>
              <w:rPr>
                <w:sz w:val="20"/>
                <w:szCs w:val="20"/>
                <w:color w:val="auto"/>
              </w:rPr>
            </w:pPr>
            <w:r>
              <w:rPr>
                <w:rFonts w:ascii="Arial" w:cs="Arial" w:eastAsia="Arial" w:hAnsi="Arial"/>
                <w:sz w:val="14"/>
                <w:szCs w:val="14"/>
                <w:b w:val="1"/>
                <w:bCs w:val="1"/>
                <w:color w:val="4800E6"/>
              </w:rPr>
              <w:t>Without Cause</w:t>
            </w:r>
            <w:r>
              <w:rPr>
                <w:rFonts w:ascii="Arial" w:cs="Arial" w:eastAsia="Arial" w:hAnsi="Arial"/>
                <w:sz w:val="21"/>
                <w:szCs w:val="21"/>
                <w:b w:val="1"/>
                <w:bCs w:val="1"/>
                <w:color w:val="4800E6"/>
                <w:vertAlign w:val="superscript"/>
              </w:rPr>
              <w:t>(1)</w:t>
            </w:r>
          </w:p>
        </w:tc>
        <w:tc>
          <w:tcPr>
            <w:tcW w:w="1600" w:type="dxa"/>
            <w:vAlign w:val="bottom"/>
            <w:tcBorders>
              <w:bottom w:val="single" w:sz="8" w:color="4800E6"/>
            </w:tcBorders>
          </w:tcPr>
          <w:p>
            <w:pPr>
              <w:jc w:val="right"/>
              <w:ind w:right="45"/>
              <w:spacing w:after="0" w:line="216" w:lineRule="exact"/>
              <w:rPr>
                <w:sz w:val="20"/>
                <w:szCs w:val="20"/>
                <w:color w:val="auto"/>
              </w:rPr>
            </w:pPr>
            <w:r>
              <w:rPr>
                <w:rFonts w:ascii="Arial" w:cs="Arial" w:eastAsia="Arial" w:hAnsi="Arial"/>
                <w:sz w:val="14"/>
                <w:szCs w:val="14"/>
                <w:b w:val="1"/>
                <w:bCs w:val="1"/>
                <w:color w:val="4800E6"/>
              </w:rPr>
              <w:t>Change in Control</w:t>
            </w:r>
            <w:r>
              <w:rPr>
                <w:rFonts w:ascii="Arial" w:cs="Arial" w:eastAsia="Arial" w:hAnsi="Arial"/>
                <w:sz w:val="21"/>
                <w:szCs w:val="21"/>
                <w:b w:val="1"/>
                <w:bCs w:val="1"/>
                <w:color w:val="4800E6"/>
                <w:vertAlign w:val="superscript"/>
              </w:rPr>
              <w:t>(2)</w:t>
            </w:r>
          </w:p>
        </w:tc>
        <w:tc>
          <w:tcPr>
            <w:tcW w:w="1460" w:type="dxa"/>
            <w:vAlign w:val="bottom"/>
            <w:tcBorders>
              <w:bottom w:val="single" w:sz="8" w:color="4800E6"/>
            </w:tcBorders>
          </w:tcPr>
          <w:p>
            <w:pPr>
              <w:ind w:left="720"/>
              <w:spacing w:after="0"/>
              <w:rPr>
                <w:sz w:val="20"/>
                <w:szCs w:val="20"/>
                <w:color w:val="auto"/>
              </w:rPr>
            </w:pPr>
            <w:r>
              <w:rPr>
                <w:rFonts w:ascii="Arial" w:cs="Arial" w:eastAsia="Arial" w:hAnsi="Arial"/>
                <w:sz w:val="14"/>
                <w:szCs w:val="14"/>
                <w:b w:val="1"/>
                <w:bCs w:val="1"/>
                <w:color w:val="4800E6"/>
              </w:rPr>
              <w:t>Disability</w:t>
            </w:r>
          </w:p>
        </w:tc>
        <w:tc>
          <w:tcPr>
            <w:tcW w:w="1460" w:type="dxa"/>
            <w:vAlign w:val="bottom"/>
            <w:tcBorders>
              <w:bottom w:val="single" w:sz="8" w:color="4800E6"/>
            </w:tcBorders>
          </w:tcPr>
          <w:p>
            <w:pPr>
              <w:jc w:val="right"/>
              <w:ind w:right="45"/>
              <w:spacing w:after="0" w:line="216" w:lineRule="exact"/>
              <w:rPr>
                <w:sz w:val="20"/>
                <w:szCs w:val="20"/>
                <w:color w:val="auto"/>
              </w:rPr>
            </w:pPr>
            <w:r>
              <w:rPr>
                <w:rFonts w:ascii="Arial" w:cs="Arial" w:eastAsia="Arial" w:hAnsi="Arial"/>
                <w:sz w:val="14"/>
                <w:szCs w:val="14"/>
                <w:b w:val="1"/>
                <w:bCs w:val="1"/>
                <w:color w:val="4800E6"/>
              </w:rPr>
              <w:t>Death</w:t>
            </w:r>
            <w:r>
              <w:rPr>
                <w:rFonts w:ascii="Arial" w:cs="Arial" w:eastAsia="Arial" w:hAnsi="Arial"/>
                <w:sz w:val="21"/>
                <w:szCs w:val="21"/>
                <w:b w:val="1"/>
                <w:bCs w:val="1"/>
                <w:color w:val="4800E6"/>
                <w:vertAlign w:val="superscript"/>
              </w:rPr>
              <w:t>(3)</w:t>
            </w:r>
          </w:p>
        </w:tc>
        <w:tc>
          <w:tcPr>
            <w:tcW w:w="1400" w:type="dxa"/>
            <w:vAlign w:val="bottom"/>
            <w:tcBorders>
              <w:bottom w:val="single" w:sz="8" w:color="4800E6"/>
            </w:tcBorders>
          </w:tcPr>
          <w:p>
            <w:pPr>
              <w:ind w:left="600"/>
              <w:spacing w:after="0"/>
              <w:rPr>
                <w:sz w:val="20"/>
                <w:szCs w:val="20"/>
                <w:color w:val="auto"/>
              </w:rPr>
            </w:pPr>
            <w:r>
              <w:rPr>
                <w:rFonts w:ascii="Arial" w:cs="Arial" w:eastAsia="Arial" w:hAnsi="Arial"/>
                <w:sz w:val="14"/>
                <w:szCs w:val="14"/>
                <w:b w:val="1"/>
                <w:bCs w:val="1"/>
                <w:color w:val="4800E6"/>
              </w:rPr>
              <w:t>Retirement</w:t>
            </w:r>
          </w:p>
        </w:tc>
      </w:tr>
      <w:tr>
        <w:trPr>
          <w:trHeight w:val="215"/>
        </w:trPr>
        <w:tc>
          <w:tcPr>
            <w:tcW w:w="1580" w:type="dxa"/>
            <w:vAlign w:val="bottom"/>
          </w:tcPr>
          <w:p>
            <w:pPr>
              <w:ind w:left="40"/>
              <w:spacing w:after="0"/>
              <w:rPr>
                <w:sz w:val="20"/>
                <w:szCs w:val="20"/>
                <w:color w:val="auto"/>
              </w:rPr>
            </w:pPr>
            <w:r>
              <w:rPr>
                <w:rFonts w:ascii="Arial" w:cs="Arial" w:eastAsia="Arial" w:hAnsi="Arial"/>
                <w:sz w:val="15"/>
                <w:szCs w:val="15"/>
                <w:color w:val="auto"/>
              </w:rPr>
              <w:t>Severance</w:t>
            </w:r>
          </w:p>
        </w:tc>
        <w:tc>
          <w:tcPr>
            <w:tcW w:w="1680" w:type="dxa"/>
            <w:vAlign w:val="bottom"/>
          </w:tcPr>
          <w:p>
            <w:pPr>
              <w:jc w:val="right"/>
              <w:ind w:right="45"/>
              <w:spacing w:after="0"/>
              <w:rPr>
                <w:sz w:val="20"/>
                <w:szCs w:val="20"/>
                <w:color w:val="auto"/>
              </w:rPr>
            </w:pPr>
            <w:r>
              <w:rPr>
                <w:rFonts w:ascii="Arial" w:cs="Arial" w:eastAsia="Arial" w:hAnsi="Arial"/>
                <w:sz w:val="15"/>
                <w:szCs w:val="15"/>
                <w:color w:val="auto"/>
              </w:rPr>
              <w:t>$516,674</w:t>
            </w:r>
          </w:p>
        </w:tc>
        <w:tc>
          <w:tcPr>
            <w:tcW w:w="1600" w:type="dxa"/>
            <w:vAlign w:val="bottom"/>
          </w:tcPr>
          <w:p>
            <w:pPr>
              <w:jc w:val="right"/>
              <w:ind w:right="25"/>
              <w:spacing w:after="0"/>
              <w:rPr>
                <w:sz w:val="20"/>
                <w:szCs w:val="20"/>
                <w:color w:val="auto"/>
              </w:rPr>
            </w:pPr>
            <w:r>
              <w:rPr>
                <w:rFonts w:ascii="Arial" w:cs="Arial" w:eastAsia="Arial" w:hAnsi="Arial"/>
                <w:sz w:val="15"/>
                <w:szCs w:val="15"/>
                <w:color w:val="auto"/>
              </w:rPr>
              <w:t>–</w:t>
            </w:r>
          </w:p>
        </w:tc>
        <w:tc>
          <w:tcPr>
            <w:tcW w:w="1460" w:type="dxa"/>
            <w:vAlign w:val="bottom"/>
          </w:tcPr>
          <w:p>
            <w:pPr>
              <w:ind w:left="1260"/>
              <w:spacing w:after="0"/>
              <w:rPr>
                <w:sz w:val="20"/>
                <w:szCs w:val="20"/>
                <w:color w:val="auto"/>
              </w:rPr>
            </w:pPr>
            <w:r>
              <w:rPr>
                <w:rFonts w:ascii="Arial" w:cs="Arial" w:eastAsia="Arial" w:hAnsi="Arial"/>
                <w:sz w:val="15"/>
                <w:szCs w:val="15"/>
                <w:color w:val="auto"/>
              </w:rPr>
              <w:t>–</w:t>
            </w:r>
          </w:p>
        </w:tc>
        <w:tc>
          <w:tcPr>
            <w:tcW w:w="1460" w:type="dxa"/>
            <w:vAlign w:val="bottom"/>
          </w:tcPr>
          <w:p>
            <w:pPr>
              <w:jc w:val="right"/>
              <w:ind w:right="25"/>
              <w:spacing w:after="0"/>
              <w:rPr>
                <w:sz w:val="20"/>
                <w:szCs w:val="20"/>
                <w:color w:val="auto"/>
              </w:rPr>
            </w:pPr>
            <w:r>
              <w:rPr>
                <w:rFonts w:ascii="Arial" w:cs="Arial" w:eastAsia="Arial" w:hAnsi="Arial"/>
                <w:sz w:val="15"/>
                <w:szCs w:val="15"/>
                <w:color w:val="auto"/>
              </w:rPr>
              <w:t>$ 2,066,696</w:t>
            </w:r>
          </w:p>
        </w:tc>
        <w:tc>
          <w:tcPr>
            <w:tcW w:w="1400" w:type="dxa"/>
            <w:vAlign w:val="bottom"/>
          </w:tcPr>
          <w:p>
            <w:pPr>
              <w:ind w:left="1260"/>
              <w:spacing w:after="0"/>
              <w:rPr>
                <w:sz w:val="20"/>
                <w:szCs w:val="20"/>
                <w:color w:val="auto"/>
              </w:rPr>
            </w:pPr>
            <w:r>
              <w:rPr>
                <w:rFonts w:ascii="Arial" w:cs="Arial" w:eastAsia="Arial" w:hAnsi="Arial"/>
                <w:sz w:val="15"/>
                <w:szCs w:val="15"/>
                <w:color w:val="auto"/>
              </w:rPr>
              <w:t>–</w:t>
            </w:r>
          </w:p>
        </w:tc>
      </w:tr>
      <w:tr>
        <w:trPr>
          <w:trHeight w:val="22"/>
        </w:trPr>
        <w:tc>
          <w:tcPr>
            <w:tcW w:w="158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r>
      <w:tr>
        <w:trPr>
          <w:trHeight w:val="250"/>
        </w:trPr>
        <w:tc>
          <w:tcPr>
            <w:tcW w:w="1580" w:type="dxa"/>
            <w:vAlign w:val="bottom"/>
            <w:tcBorders>
              <w:bottom w:val="single" w:sz="8" w:color="EFE9FC"/>
            </w:tcBorders>
            <w:shd w:val="clear" w:color="auto" w:fill="EFE9FC"/>
          </w:tcPr>
          <w:p>
            <w:pPr>
              <w:ind w:left="40"/>
              <w:spacing w:after="0"/>
              <w:rPr>
                <w:sz w:val="20"/>
                <w:szCs w:val="20"/>
                <w:color w:val="auto"/>
              </w:rPr>
            </w:pPr>
            <w:r>
              <w:rPr>
                <w:rFonts w:ascii="Arial" w:cs="Arial" w:eastAsia="Arial" w:hAnsi="Arial"/>
                <w:sz w:val="15"/>
                <w:szCs w:val="15"/>
                <w:color w:val="auto"/>
              </w:rPr>
              <w:t>STIP</w:t>
            </w:r>
          </w:p>
        </w:tc>
        <w:tc>
          <w:tcPr>
            <w:tcW w:w="1680" w:type="dxa"/>
            <w:vAlign w:val="bottom"/>
            <w:tcBorders>
              <w:bottom w:val="single" w:sz="8" w:color="EFE9FC"/>
            </w:tcBorders>
            <w:shd w:val="clear" w:color="auto" w:fill="EFE9FC"/>
          </w:tcPr>
          <w:p>
            <w:pPr>
              <w:jc w:val="right"/>
              <w:ind w:right="45"/>
              <w:spacing w:after="0"/>
              <w:rPr>
                <w:sz w:val="20"/>
                <w:szCs w:val="20"/>
                <w:color w:val="auto"/>
              </w:rPr>
            </w:pPr>
            <w:r>
              <w:rPr>
                <w:rFonts w:ascii="Arial" w:cs="Arial" w:eastAsia="Arial" w:hAnsi="Arial"/>
                <w:sz w:val="15"/>
                <w:szCs w:val="15"/>
                <w:color w:val="auto"/>
              </w:rPr>
              <w:t>–</w:t>
            </w:r>
          </w:p>
        </w:tc>
        <w:tc>
          <w:tcPr>
            <w:tcW w:w="1600" w:type="dxa"/>
            <w:vAlign w:val="bottom"/>
            <w:tcBorders>
              <w:bottom w:val="single" w:sz="8" w:color="EFE9FC"/>
            </w:tcBorders>
            <w:shd w:val="clear" w:color="auto" w:fill="EFE9FC"/>
          </w:tcPr>
          <w:p>
            <w:pPr>
              <w:jc w:val="right"/>
              <w:ind w:right="25"/>
              <w:spacing w:after="0"/>
              <w:rPr>
                <w:sz w:val="20"/>
                <w:szCs w:val="20"/>
                <w:color w:val="auto"/>
              </w:rPr>
            </w:pPr>
            <w:r>
              <w:rPr>
                <w:rFonts w:ascii="Arial" w:cs="Arial" w:eastAsia="Arial" w:hAnsi="Arial"/>
                <w:sz w:val="15"/>
                <w:szCs w:val="15"/>
                <w:color w:val="auto"/>
              </w:rPr>
              <w:t>–</w:t>
            </w:r>
          </w:p>
        </w:tc>
        <w:tc>
          <w:tcPr>
            <w:tcW w:w="1460" w:type="dxa"/>
            <w:vAlign w:val="bottom"/>
            <w:tcBorders>
              <w:bottom w:val="single" w:sz="8" w:color="EFE9FC"/>
            </w:tcBorders>
            <w:shd w:val="clear" w:color="auto" w:fill="EFE9FC"/>
          </w:tcPr>
          <w:p>
            <w:pPr>
              <w:ind w:left="1260"/>
              <w:spacing w:after="0"/>
              <w:rPr>
                <w:sz w:val="20"/>
                <w:szCs w:val="20"/>
                <w:color w:val="auto"/>
              </w:rPr>
            </w:pPr>
            <w:r>
              <w:rPr>
                <w:rFonts w:ascii="Arial" w:cs="Arial" w:eastAsia="Arial" w:hAnsi="Arial"/>
                <w:sz w:val="15"/>
                <w:szCs w:val="15"/>
                <w:color w:val="auto"/>
              </w:rPr>
              <w:t>–</w:t>
            </w:r>
          </w:p>
        </w:tc>
        <w:tc>
          <w:tcPr>
            <w:tcW w:w="1460" w:type="dxa"/>
            <w:vAlign w:val="bottom"/>
            <w:tcBorders>
              <w:bottom w:val="single" w:sz="8" w:color="EFE9FC"/>
            </w:tcBorders>
            <w:shd w:val="clear" w:color="auto" w:fill="EFE9FC"/>
          </w:tcPr>
          <w:p>
            <w:pPr>
              <w:jc w:val="right"/>
              <w:ind w:right="25"/>
              <w:spacing w:after="0"/>
              <w:rPr>
                <w:sz w:val="20"/>
                <w:szCs w:val="20"/>
                <w:color w:val="auto"/>
              </w:rPr>
            </w:pPr>
            <w:r>
              <w:rPr>
                <w:rFonts w:ascii="Arial" w:cs="Arial" w:eastAsia="Arial" w:hAnsi="Arial"/>
                <w:sz w:val="15"/>
                <w:szCs w:val="15"/>
                <w:color w:val="auto"/>
              </w:rPr>
              <w:t>–</w:t>
            </w:r>
          </w:p>
        </w:tc>
        <w:tc>
          <w:tcPr>
            <w:tcW w:w="1400" w:type="dxa"/>
            <w:vAlign w:val="bottom"/>
            <w:tcBorders>
              <w:bottom w:val="single" w:sz="8" w:color="EFE9FC"/>
            </w:tcBorders>
            <w:shd w:val="clear" w:color="auto" w:fill="EFE9FC"/>
          </w:tcPr>
          <w:p>
            <w:pPr>
              <w:ind w:left="1260"/>
              <w:spacing w:after="0"/>
              <w:rPr>
                <w:sz w:val="20"/>
                <w:szCs w:val="20"/>
                <w:color w:val="auto"/>
              </w:rPr>
            </w:pPr>
            <w:r>
              <w:rPr>
                <w:rFonts w:ascii="Arial" w:cs="Arial" w:eastAsia="Arial" w:hAnsi="Arial"/>
                <w:sz w:val="15"/>
                <w:szCs w:val="15"/>
                <w:color w:val="auto"/>
              </w:rPr>
              <w:t>–</w:t>
            </w:r>
          </w:p>
        </w:tc>
      </w:tr>
      <w:tr>
        <w:trPr>
          <w:trHeight w:val="221"/>
        </w:trPr>
        <w:tc>
          <w:tcPr>
            <w:tcW w:w="1580" w:type="dxa"/>
            <w:vAlign w:val="bottom"/>
          </w:tcPr>
          <w:p>
            <w:pPr>
              <w:ind w:left="40"/>
              <w:spacing w:after="0"/>
              <w:rPr>
                <w:sz w:val="20"/>
                <w:szCs w:val="20"/>
                <w:color w:val="auto"/>
              </w:rPr>
            </w:pPr>
            <w:r>
              <w:rPr>
                <w:rFonts w:ascii="Arial" w:cs="Arial" w:eastAsia="Arial" w:hAnsi="Arial"/>
                <w:sz w:val="15"/>
                <w:szCs w:val="15"/>
                <w:color w:val="auto"/>
              </w:rPr>
              <w:t>LTIP</w:t>
            </w:r>
          </w:p>
        </w:tc>
        <w:tc>
          <w:tcPr>
            <w:tcW w:w="1680" w:type="dxa"/>
            <w:vAlign w:val="bottom"/>
          </w:tcPr>
          <w:p>
            <w:pPr>
              <w:jc w:val="right"/>
              <w:ind w:right="45"/>
              <w:spacing w:after="0"/>
              <w:rPr>
                <w:sz w:val="20"/>
                <w:szCs w:val="20"/>
                <w:color w:val="auto"/>
              </w:rPr>
            </w:pPr>
            <w:r>
              <w:rPr>
                <w:rFonts w:ascii="Arial" w:cs="Arial" w:eastAsia="Arial" w:hAnsi="Arial"/>
                <w:sz w:val="15"/>
                <w:szCs w:val="15"/>
                <w:color w:val="auto"/>
              </w:rPr>
              <w:t>–</w:t>
            </w:r>
          </w:p>
        </w:tc>
        <w:tc>
          <w:tcPr>
            <w:tcW w:w="1600" w:type="dxa"/>
            <w:vAlign w:val="bottom"/>
          </w:tcPr>
          <w:p>
            <w:pPr>
              <w:jc w:val="right"/>
              <w:ind w:right="25"/>
              <w:spacing w:after="0"/>
              <w:rPr>
                <w:sz w:val="20"/>
                <w:szCs w:val="20"/>
                <w:color w:val="auto"/>
              </w:rPr>
            </w:pPr>
            <w:r>
              <w:rPr>
                <w:rFonts w:ascii="Arial" w:cs="Arial" w:eastAsia="Arial" w:hAnsi="Arial"/>
                <w:sz w:val="15"/>
                <w:szCs w:val="15"/>
                <w:color w:val="auto"/>
              </w:rPr>
              <w:t>$3,084,484</w:t>
            </w:r>
          </w:p>
        </w:tc>
        <w:tc>
          <w:tcPr>
            <w:tcW w:w="1460" w:type="dxa"/>
            <w:vAlign w:val="bottom"/>
          </w:tcPr>
          <w:p>
            <w:pPr>
              <w:ind w:left="1260"/>
              <w:spacing w:after="0"/>
              <w:rPr>
                <w:sz w:val="20"/>
                <w:szCs w:val="20"/>
                <w:color w:val="auto"/>
              </w:rPr>
            </w:pPr>
            <w:r>
              <w:rPr>
                <w:rFonts w:ascii="Arial" w:cs="Arial" w:eastAsia="Arial" w:hAnsi="Arial"/>
                <w:sz w:val="15"/>
                <w:szCs w:val="15"/>
                <w:color w:val="auto"/>
              </w:rPr>
              <w:t>–</w:t>
            </w:r>
          </w:p>
        </w:tc>
        <w:tc>
          <w:tcPr>
            <w:tcW w:w="1460" w:type="dxa"/>
            <w:vAlign w:val="bottom"/>
          </w:tcPr>
          <w:p>
            <w:pPr>
              <w:jc w:val="right"/>
              <w:ind w:right="25"/>
              <w:spacing w:after="0"/>
              <w:rPr>
                <w:sz w:val="20"/>
                <w:szCs w:val="20"/>
                <w:color w:val="auto"/>
              </w:rPr>
            </w:pPr>
            <w:r>
              <w:rPr>
                <w:rFonts w:ascii="Arial" w:cs="Arial" w:eastAsia="Arial" w:hAnsi="Arial"/>
                <w:sz w:val="15"/>
                <w:szCs w:val="15"/>
                <w:color w:val="auto"/>
              </w:rPr>
              <w:t>–</w:t>
            </w:r>
          </w:p>
        </w:tc>
        <w:tc>
          <w:tcPr>
            <w:tcW w:w="1400" w:type="dxa"/>
            <w:vAlign w:val="bottom"/>
          </w:tcPr>
          <w:p>
            <w:pPr>
              <w:ind w:left="1260"/>
              <w:spacing w:after="0"/>
              <w:rPr>
                <w:sz w:val="20"/>
                <w:szCs w:val="20"/>
                <w:color w:val="auto"/>
              </w:rPr>
            </w:pPr>
            <w:r>
              <w:rPr>
                <w:rFonts w:ascii="Arial" w:cs="Arial" w:eastAsia="Arial" w:hAnsi="Arial"/>
                <w:sz w:val="15"/>
                <w:szCs w:val="15"/>
                <w:color w:val="auto"/>
              </w:rPr>
              <w:t>–</w:t>
            </w:r>
          </w:p>
        </w:tc>
      </w:tr>
      <w:tr>
        <w:trPr>
          <w:trHeight w:val="22"/>
        </w:trPr>
        <w:tc>
          <w:tcPr>
            <w:tcW w:w="158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r>
      <w:tr>
        <w:trPr>
          <w:trHeight w:val="250"/>
        </w:trPr>
        <w:tc>
          <w:tcPr>
            <w:tcW w:w="1580" w:type="dxa"/>
            <w:vAlign w:val="bottom"/>
            <w:tcBorders>
              <w:bottom w:val="single" w:sz="8" w:color="EFE9FC"/>
            </w:tcBorders>
            <w:shd w:val="clear" w:color="auto" w:fill="EFE9FC"/>
          </w:tcPr>
          <w:p>
            <w:pPr>
              <w:ind w:left="40"/>
              <w:spacing w:after="0"/>
              <w:rPr>
                <w:sz w:val="20"/>
                <w:szCs w:val="20"/>
                <w:color w:val="auto"/>
              </w:rPr>
            </w:pPr>
            <w:r>
              <w:rPr>
                <w:rFonts w:ascii="Arial" w:cs="Arial" w:eastAsia="Arial" w:hAnsi="Arial"/>
                <w:sz w:val="15"/>
                <w:szCs w:val="15"/>
                <w:color w:val="auto"/>
              </w:rPr>
              <w:t>Benefits</w:t>
            </w:r>
          </w:p>
        </w:tc>
        <w:tc>
          <w:tcPr>
            <w:tcW w:w="1680" w:type="dxa"/>
            <w:vAlign w:val="bottom"/>
            <w:tcBorders>
              <w:bottom w:val="single" w:sz="8" w:color="EFE9FC"/>
            </w:tcBorders>
            <w:shd w:val="clear" w:color="auto" w:fill="EFE9FC"/>
          </w:tcPr>
          <w:p>
            <w:pPr>
              <w:jc w:val="right"/>
              <w:ind w:right="45"/>
              <w:spacing w:after="0"/>
              <w:rPr>
                <w:sz w:val="20"/>
                <w:szCs w:val="20"/>
                <w:color w:val="auto"/>
              </w:rPr>
            </w:pPr>
            <w:r>
              <w:rPr>
                <w:rFonts w:ascii="Arial" w:cs="Arial" w:eastAsia="Arial" w:hAnsi="Arial"/>
                <w:sz w:val="15"/>
                <w:szCs w:val="15"/>
                <w:color w:val="auto"/>
              </w:rPr>
              <w:t>–</w:t>
            </w:r>
          </w:p>
        </w:tc>
        <w:tc>
          <w:tcPr>
            <w:tcW w:w="1600" w:type="dxa"/>
            <w:vAlign w:val="bottom"/>
            <w:tcBorders>
              <w:bottom w:val="single" w:sz="8" w:color="EFE9FC"/>
            </w:tcBorders>
            <w:shd w:val="clear" w:color="auto" w:fill="EFE9FC"/>
          </w:tcPr>
          <w:p>
            <w:pPr>
              <w:jc w:val="right"/>
              <w:ind w:right="25"/>
              <w:spacing w:after="0"/>
              <w:rPr>
                <w:sz w:val="20"/>
                <w:szCs w:val="20"/>
                <w:color w:val="auto"/>
              </w:rPr>
            </w:pPr>
            <w:r>
              <w:rPr>
                <w:rFonts w:ascii="Arial" w:cs="Arial" w:eastAsia="Arial" w:hAnsi="Arial"/>
                <w:sz w:val="15"/>
                <w:szCs w:val="15"/>
                <w:color w:val="auto"/>
              </w:rPr>
              <w:t>–</w:t>
            </w:r>
          </w:p>
        </w:tc>
        <w:tc>
          <w:tcPr>
            <w:tcW w:w="1460" w:type="dxa"/>
            <w:vAlign w:val="bottom"/>
            <w:tcBorders>
              <w:bottom w:val="single" w:sz="8" w:color="EFE9FC"/>
            </w:tcBorders>
            <w:shd w:val="clear" w:color="auto" w:fill="EFE9FC"/>
          </w:tcPr>
          <w:p>
            <w:pPr>
              <w:ind w:left="1260"/>
              <w:spacing w:after="0"/>
              <w:rPr>
                <w:sz w:val="20"/>
                <w:szCs w:val="20"/>
                <w:color w:val="auto"/>
              </w:rPr>
            </w:pPr>
            <w:r>
              <w:rPr>
                <w:rFonts w:ascii="Arial" w:cs="Arial" w:eastAsia="Arial" w:hAnsi="Arial"/>
                <w:sz w:val="15"/>
                <w:szCs w:val="15"/>
                <w:color w:val="auto"/>
              </w:rPr>
              <w:t>–</w:t>
            </w:r>
          </w:p>
        </w:tc>
        <w:tc>
          <w:tcPr>
            <w:tcW w:w="1460" w:type="dxa"/>
            <w:vAlign w:val="bottom"/>
            <w:tcBorders>
              <w:bottom w:val="single" w:sz="8" w:color="EFE9FC"/>
            </w:tcBorders>
            <w:shd w:val="clear" w:color="auto" w:fill="EFE9FC"/>
          </w:tcPr>
          <w:p>
            <w:pPr>
              <w:jc w:val="right"/>
              <w:ind w:right="25"/>
              <w:spacing w:after="0"/>
              <w:rPr>
                <w:sz w:val="20"/>
                <w:szCs w:val="20"/>
                <w:color w:val="auto"/>
              </w:rPr>
            </w:pPr>
            <w:r>
              <w:rPr>
                <w:rFonts w:ascii="Arial" w:cs="Arial" w:eastAsia="Arial" w:hAnsi="Arial"/>
                <w:sz w:val="15"/>
                <w:szCs w:val="15"/>
                <w:color w:val="auto"/>
              </w:rPr>
              <w:t>–</w:t>
            </w:r>
          </w:p>
        </w:tc>
        <w:tc>
          <w:tcPr>
            <w:tcW w:w="1400" w:type="dxa"/>
            <w:vAlign w:val="bottom"/>
            <w:tcBorders>
              <w:bottom w:val="single" w:sz="8" w:color="EFE9FC"/>
            </w:tcBorders>
            <w:shd w:val="clear" w:color="auto" w:fill="EFE9FC"/>
          </w:tcPr>
          <w:p>
            <w:pPr>
              <w:ind w:left="1260"/>
              <w:spacing w:after="0"/>
              <w:rPr>
                <w:sz w:val="20"/>
                <w:szCs w:val="20"/>
                <w:color w:val="auto"/>
              </w:rPr>
            </w:pPr>
            <w:r>
              <w:rPr>
                <w:rFonts w:ascii="Arial" w:cs="Arial" w:eastAsia="Arial" w:hAnsi="Arial"/>
                <w:sz w:val="15"/>
                <w:szCs w:val="15"/>
                <w:color w:val="auto"/>
              </w:rPr>
              <w:t>–</w:t>
            </w:r>
          </w:p>
        </w:tc>
      </w:tr>
      <w:tr>
        <w:trPr>
          <w:trHeight w:val="221"/>
        </w:trPr>
        <w:tc>
          <w:tcPr>
            <w:tcW w:w="1580" w:type="dxa"/>
            <w:vAlign w:val="bottom"/>
          </w:tcPr>
          <w:p>
            <w:pPr>
              <w:ind w:left="40"/>
              <w:spacing w:after="0"/>
              <w:rPr>
                <w:sz w:val="20"/>
                <w:szCs w:val="20"/>
                <w:color w:val="auto"/>
              </w:rPr>
            </w:pPr>
            <w:r>
              <w:rPr>
                <w:rFonts w:ascii="Arial" w:cs="Arial" w:eastAsia="Arial" w:hAnsi="Arial"/>
                <w:sz w:val="15"/>
                <w:szCs w:val="15"/>
                <w:color w:val="auto"/>
              </w:rPr>
              <w:t>Total</w:t>
            </w:r>
          </w:p>
        </w:tc>
        <w:tc>
          <w:tcPr>
            <w:tcW w:w="1680" w:type="dxa"/>
            <w:vAlign w:val="bottom"/>
          </w:tcPr>
          <w:p>
            <w:pPr>
              <w:jc w:val="right"/>
              <w:ind w:right="45"/>
              <w:spacing w:after="0"/>
              <w:rPr>
                <w:sz w:val="20"/>
                <w:szCs w:val="20"/>
                <w:color w:val="auto"/>
              </w:rPr>
            </w:pPr>
            <w:r>
              <w:rPr>
                <w:rFonts w:ascii="Arial" w:cs="Arial" w:eastAsia="Arial" w:hAnsi="Arial"/>
                <w:sz w:val="15"/>
                <w:szCs w:val="15"/>
                <w:color w:val="auto"/>
              </w:rPr>
              <w:t>$516,674</w:t>
            </w:r>
          </w:p>
        </w:tc>
        <w:tc>
          <w:tcPr>
            <w:tcW w:w="1600" w:type="dxa"/>
            <w:vAlign w:val="bottom"/>
          </w:tcPr>
          <w:p>
            <w:pPr>
              <w:jc w:val="right"/>
              <w:ind w:right="25"/>
              <w:spacing w:after="0"/>
              <w:rPr>
                <w:sz w:val="20"/>
                <w:szCs w:val="20"/>
                <w:color w:val="auto"/>
              </w:rPr>
            </w:pPr>
            <w:r>
              <w:rPr>
                <w:rFonts w:ascii="Arial" w:cs="Arial" w:eastAsia="Arial" w:hAnsi="Arial"/>
                <w:sz w:val="15"/>
                <w:szCs w:val="15"/>
                <w:color w:val="auto"/>
              </w:rPr>
              <w:t>$3,084,484</w:t>
            </w:r>
          </w:p>
        </w:tc>
        <w:tc>
          <w:tcPr>
            <w:tcW w:w="1460" w:type="dxa"/>
            <w:vAlign w:val="bottom"/>
          </w:tcPr>
          <w:p>
            <w:pPr>
              <w:ind w:left="1260"/>
              <w:spacing w:after="0"/>
              <w:rPr>
                <w:sz w:val="20"/>
                <w:szCs w:val="20"/>
                <w:color w:val="auto"/>
              </w:rPr>
            </w:pPr>
            <w:r>
              <w:rPr>
                <w:rFonts w:ascii="Arial" w:cs="Arial" w:eastAsia="Arial" w:hAnsi="Arial"/>
                <w:sz w:val="15"/>
                <w:szCs w:val="15"/>
                <w:color w:val="auto"/>
              </w:rPr>
              <w:t>–</w:t>
            </w:r>
          </w:p>
        </w:tc>
        <w:tc>
          <w:tcPr>
            <w:tcW w:w="1460" w:type="dxa"/>
            <w:vAlign w:val="bottom"/>
          </w:tcPr>
          <w:p>
            <w:pPr>
              <w:jc w:val="right"/>
              <w:ind w:right="25"/>
              <w:spacing w:after="0"/>
              <w:rPr>
                <w:sz w:val="20"/>
                <w:szCs w:val="20"/>
                <w:color w:val="auto"/>
              </w:rPr>
            </w:pPr>
            <w:r>
              <w:rPr>
                <w:rFonts w:ascii="Arial" w:cs="Arial" w:eastAsia="Arial" w:hAnsi="Arial"/>
                <w:sz w:val="15"/>
                <w:szCs w:val="15"/>
                <w:color w:val="auto"/>
              </w:rPr>
              <w:t>$ 2,066,696</w:t>
            </w:r>
          </w:p>
        </w:tc>
        <w:tc>
          <w:tcPr>
            <w:tcW w:w="1400" w:type="dxa"/>
            <w:vAlign w:val="bottom"/>
          </w:tcPr>
          <w:p>
            <w:pPr>
              <w:ind w:left="1260"/>
              <w:spacing w:after="0"/>
              <w:rPr>
                <w:sz w:val="20"/>
                <w:szCs w:val="20"/>
                <w:color w:val="auto"/>
              </w:rPr>
            </w:pPr>
            <w:r>
              <w:rPr>
                <w:rFonts w:ascii="Arial" w:cs="Arial" w:eastAsia="Arial" w:hAnsi="Arial"/>
                <w:sz w:val="15"/>
                <w:szCs w:val="15"/>
                <w:color w:val="auto"/>
              </w:rPr>
              <w: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485140</wp:posOffset>
            </wp:positionH>
            <wp:positionV relativeFrom="paragraph">
              <wp:posOffset>13970</wp:posOffset>
            </wp:positionV>
            <wp:extent cx="5829300" cy="8890"/>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52">
                      <a:extLst>
                        <a:ext uri="{28A0092B-C50C-407E-A947-70E740481C1C}"/>
                      </a:extLst>
                    </a:blip>
                    <a:srcRect/>
                    <a:stretch>
                      <a:fillRect/>
                    </a:stretch>
                  </pic:blipFill>
                  <pic:spPr bwMode="auto">
                    <a:xfrm>
                      <a:off x="0" y="0"/>
                      <a:ext cx="5829300" cy="8890"/>
                    </a:xfrm>
                    <a:prstGeom prst="rect">
                      <a:avLst/>
                    </a:prstGeom>
                    <a:noFill/>
                  </pic:spPr>
                </pic:pic>
              </a:graphicData>
            </a:graphic>
          </wp:anchor>
        </w:drawing>
      </w:r>
    </w:p>
    <w:p>
      <w:pPr>
        <w:spacing w:after="0" w:line="27" w:lineRule="exact"/>
        <w:rPr>
          <w:sz w:val="20"/>
          <w:szCs w:val="20"/>
          <w:color w:val="auto"/>
        </w:rPr>
      </w:pPr>
    </w:p>
    <w:p>
      <w:pPr>
        <w:ind w:left="980" w:right="1120" w:hanging="216"/>
        <w:spacing w:after="0" w:line="253" w:lineRule="auto"/>
        <w:tabs>
          <w:tab w:leader="none" w:pos="980" w:val="left"/>
        </w:tabs>
        <w:numPr>
          <w:ilvl w:val="0"/>
          <w:numId w:val="71"/>
        </w:numPr>
        <w:rPr>
          <w:rFonts w:ascii="Arial" w:cs="Arial" w:eastAsia="Arial" w:hAnsi="Arial"/>
          <w:sz w:val="13"/>
          <w:szCs w:val="13"/>
          <w:i w:val="1"/>
          <w:iCs w:val="1"/>
          <w:color w:val="auto"/>
        </w:rPr>
      </w:pPr>
      <w:r>
        <w:rPr>
          <w:rFonts w:ascii="Arial" w:cs="Arial" w:eastAsia="Arial" w:hAnsi="Arial"/>
          <w:sz w:val="13"/>
          <w:szCs w:val="13"/>
          <w:i w:val="1"/>
          <w:iCs w:val="1"/>
          <w:color w:val="auto"/>
        </w:rPr>
        <w:t>The potential payment in case of termination without cause represents 12 months of base salary ($516,674). The Company may elect to pay this severance amount in installments, and in this case, if Mr. Huston secures alternative employment, then the gross installments payable after the date when alternative employment commences will be reduced by a sum equal to the gross amount of his income from the alternative employment.</w:t>
      </w:r>
    </w:p>
    <w:p>
      <w:pPr>
        <w:ind w:left="980" w:right="1080" w:hanging="216"/>
        <w:spacing w:after="0" w:line="252" w:lineRule="auto"/>
        <w:tabs>
          <w:tab w:leader="none" w:pos="980" w:val="left"/>
        </w:tabs>
        <w:numPr>
          <w:ilvl w:val="0"/>
          <w:numId w:val="71"/>
        </w:numPr>
        <w:rPr>
          <w:rFonts w:ascii="Arial" w:cs="Arial" w:eastAsia="Arial" w:hAnsi="Arial"/>
          <w:sz w:val="13"/>
          <w:szCs w:val="13"/>
          <w:i w:val="1"/>
          <w:iCs w:val="1"/>
          <w:color w:val="auto"/>
        </w:rPr>
      </w:pPr>
      <w:r>
        <w:rPr>
          <w:rFonts w:ascii="Arial" w:cs="Arial" w:eastAsia="Arial" w:hAnsi="Arial"/>
          <w:sz w:val="13"/>
          <w:szCs w:val="13"/>
          <w:i w:val="1"/>
          <w:iCs w:val="1"/>
          <w:color w:val="auto"/>
        </w:rPr>
        <w:t>The potential payments in case of separation due to change in control are calculated adding the amount resulting from multiplying the 40,892 RSUs subject to accelerated vesting in case of a change in control by the closing market price at December 31, 2019 ($75.43) The SARs were underwater, therefore not part of this payout calculation).</w:t>
      </w:r>
    </w:p>
    <w:p>
      <w:pPr>
        <w:spacing w:after="0" w:line="1" w:lineRule="exact"/>
        <w:rPr>
          <w:rFonts w:ascii="Arial" w:cs="Arial" w:eastAsia="Arial" w:hAnsi="Arial"/>
          <w:sz w:val="13"/>
          <w:szCs w:val="13"/>
          <w:i w:val="1"/>
          <w:iCs w:val="1"/>
          <w:color w:val="auto"/>
        </w:rPr>
      </w:pPr>
    </w:p>
    <w:p>
      <w:pPr>
        <w:ind w:left="980" w:hanging="216"/>
        <w:spacing w:after="0"/>
        <w:tabs>
          <w:tab w:leader="none" w:pos="980" w:val="left"/>
        </w:tabs>
        <w:numPr>
          <w:ilvl w:val="0"/>
          <w:numId w:val="71"/>
        </w:numPr>
        <w:rPr>
          <w:rFonts w:ascii="Arial" w:cs="Arial" w:eastAsia="Arial" w:hAnsi="Arial"/>
          <w:sz w:val="13"/>
          <w:szCs w:val="13"/>
          <w:i w:val="1"/>
          <w:iCs w:val="1"/>
          <w:color w:val="auto"/>
        </w:rPr>
      </w:pPr>
      <w:r>
        <w:rPr>
          <w:rFonts w:ascii="Arial" w:cs="Arial" w:eastAsia="Arial" w:hAnsi="Arial"/>
          <w:sz w:val="13"/>
          <w:szCs w:val="13"/>
          <w:i w:val="1"/>
          <w:iCs w:val="1"/>
          <w:color w:val="auto"/>
        </w:rPr>
        <w:t>The exercise price of the SARs was higher than the market price and, therefore, not part of this payout calculation.</w:t>
      </w:r>
    </w:p>
    <w:p>
      <w:pPr>
        <w:spacing w:after="0" w:line="25" w:lineRule="exact"/>
        <w:rPr>
          <w:rFonts w:ascii="Arial" w:cs="Arial" w:eastAsia="Arial" w:hAnsi="Arial"/>
          <w:sz w:val="13"/>
          <w:szCs w:val="13"/>
          <w:i w:val="1"/>
          <w:iCs w:val="1"/>
          <w:color w:val="auto"/>
        </w:rPr>
      </w:pPr>
    </w:p>
    <w:p>
      <w:pPr>
        <w:ind w:left="980" w:right="980" w:hanging="216"/>
        <w:spacing w:after="0" w:line="249" w:lineRule="auto"/>
        <w:tabs>
          <w:tab w:leader="none" w:pos="980" w:val="left"/>
        </w:tabs>
        <w:numPr>
          <w:ilvl w:val="0"/>
          <w:numId w:val="71"/>
        </w:numPr>
        <w:rPr>
          <w:rFonts w:ascii="Arial" w:cs="Arial" w:eastAsia="Arial" w:hAnsi="Arial"/>
          <w:sz w:val="13"/>
          <w:szCs w:val="13"/>
          <w:i w:val="1"/>
          <w:iCs w:val="1"/>
          <w:color w:val="auto"/>
        </w:rPr>
      </w:pPr>
      <w:r>
        <w:rPr>
          <w:rFonts w:ascii="Arial" w:cs="Arial" w:eastAsia="Arial" w:hAnsi="Arial"/>
          <w:sz w:val="13"/>
          <w:szCs w:val="13"/>
          <w:i w:val="1"/>
          <w:iCs w:val="1"/>
          <w:color w:val="auto"/>
        </w:rPr>
        <w:t>The payment amount in case of separation due to death represents four times the base salary as a lump sum (payable by a third party insurer under a policy held by the Company for its employees) tax-free amount to the nominated person(s).</w:t>
      </w:r>
    </w:p>
    <w:p>
      <w:pPr>
        <w:ind w:left="980" w:right="1220" w:hanging="216"/>
        <w:spacing w:after="0" w:line="280" w:lineRule="auto"/>
        <w:tabs>
          <w:tab w:leader="none" w:pos="980" w:val="left"/>
        </w:tabs>
        <w:numPr>
          <w:ilvl w:val="0"/>
          <w:numId w:val="71"/>
        </w:numPr>
        <w:rPr>
          <w:rFonts w:ascii="Arial" w:cs="Arial" w:eastAsia="Arial" w:hAnsi="Arial"/>
          <w:sz w:val="13"/>
          <w:szCs w:val="13"/>
          <w:i w:val="1"/>
          <w:iCs w:val="1"/>
          <w:color w:val="auto"/>
        </w:rPr>
      </w:pPr>
      <w:r>
        <w:rPr>
          <w:rFonts w:ascii="Arial" w:cs="Arial" w:eastAsia="Arial" w:hAnsi="Arial"/>
          <w:sz w:val="13"/>
          <w:szCs w:val="13"/>
          <w:i w:val="1"/>
          <w:iCs w:val="1"/>
          <w:color w:val="auto"/>
        </w:rPr>
        <w:t>For the amounts on this table, we used an exchange rate of $1.275738014 per British Pound, each of which reflects the applicable period average published rate from our BOPC Accounting System between January 1, 2019 and December 31, 2019.</w:t>
      </w:r>
    </w:p>
    <w:p>
      <w:pPr>
        <w:spacing w:after="0" w:line="124" w:lineRule="exact"/>
        <w:rPr>
          <w:sz w:val="20"/>
          <w:szCs w:val="20"/>
          <w:color w:val="auto"/>
        </w:rPr>
      </w:pPr>
    </w:p>
    <w:p>
      <w:pPr>
        <w:ind w:left="760"/>
        <w:spacing w:after="0"/>
        <w:rPr>
          <w:sz w:val="20"/>
          <w:szCs w:val="20"/>
          <w:color w:val="auto"/>
        </w:rPr>
      </w:pPr>
      <w:r>
        <w:rPr>
          <w:rFonts w:ascii="Arial" w:cs="Arial" w:eastAsia="Arial" w:hAnsi="Arial"/>
          <w:sz w:val="20"/>
          <w:szCs w:val="20"/>
          <w:b w:val="1"/>
          <w:bCs w:val="1"/>
          <w:color w:val="FF4C4C"/>
        </w:rPr>
        <w:t>Keyna Skeffington</w:t>
      </w:r>
    </w:p>
    <w:p>
      <w:pPr>
        <w:spacing w:after="0" w:line="124" w:lineRule="exact"/>
        <w:rPr>
          <w:sz w:val="20"/>
          <w:szCs w:val="20"/>
          <w:color w:val="auto"/>
        </w:rPr>
      </w:pPr>
    </w:p>
    <w:p>
      <w:pPr>
        <w:ind w:left="760" w:right="780"/>
        <w:spacing w:after="0" w:line="248" w:lineRule="auto"/>
        <w:rPr>
          <w:sz w:val="20"/>
          <w:szCs w:val="20"/>
          <w:color w:val="auto"/>
        </w:rPr>
      </w:pPr>
      <w:r>
        <w:rPr>
          <w:rFonts w:ascii="Arial" w:cs="Arial" w:eastAsia="Arial" w:hAnsi="Arial"/>
          <w:sz w:val="16"/>
          <w:szCs w:val="16"/>
          <w:color w:val="auto"/>
        </w:rPr>
        <w:t>On May 24, 2017, we entered into a service agreement with Ms. Skeffington effective June 12, 2017. The agreement provides for an annual base salary in the amount of £300,000 ($382,721), increased to £340,000 ($433,751) as of April 1, 2019) and an opportunity to earn an annual cash incentive bonus with a target amount equal to 55% (increased to 70% in 2019) of her annual base salary. In addition, we agreed to pay Ms. Skeffington an annual car allowance of £13,200 ($16,840) and pension contributions equal to 15% of the sum of her base salary and annual bonus. Ms. Skeffington is also eligible to participate in our employee benefit plans made available to all our UK-based employees. The agreement will continue in effect until the expiration of 12 months following notice of termination. Ms. Skeffington also benefited from certain relocation benefits under the agreement.</w:t>
      </w:r>
    </w:p>
    <w:p>
      <w:pPr>
        <w:spacing w:after="0" w:line="87" w:lineRule="exact"/>
        <w:rPr>
          <w:sz w:val="20"/>
          <w:szCs w:val="20"/>
          <w:color w:val="auto"/>
        </w:rPr>
      </w:pPr>
    </w:p>
    <w:p>
      <w:pPr>
        <w:ind w:left="760" w:right="880"/>
        <w:spacing w:after="0" w:line="260" w:lineRule="auto"/>
        <w:rPr>
          <w:sz w:val="20"/>
          <w:szCs w:val="20"/>
          <w:color w:val="auto"/>
        </w:rPr>
      </w:pPr>
      <w:r>
        <w:rPr>
          <w:rFonts w:ascii="Arial" w:cs="Arial" w:eastAsia="Arial" w:hAnsi="Arial"/>
          <w:sz w:val="16"/>
          <w:szCs w:val="16"/>
          <w:color w:val="auto"/>
        </w:rPr>
        <w:t>The following table quantifies the potential payments that would be made to Ms. Skeffington assuming a termination or change-in-control event had occurred on December 31, 2019.</w:t>
      </w:r>
    </w:p>
    <w:p>
      <w:pPr>
        <w:spacing w:after="0" w:line="126"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760" w:type="dxa"/>
            <w:vAlign w:val="bottom"/>
          </w:tcPr>
          <w:p>
            <w:pPr>
              <w:spacing w:after="0"/>
              <w:rPr>
                <w:sz w:val="15"/>
                <w:szCs w:val="15"/>
                <w:color w:val="auto"/>
              </w:rPr>
            </w:pPr>
          </w:p>
        </w:tc>
        <w:tc>
          <w:tcPr>
            <w:tcW w:w="1620" w:type="dxa"/>
            <w:vAlign w:val="bottom"/>
            <w:gridSpan w:val="2"/>
          </w:tcPr>
          <w:p>
            <w:pPr>
              <w:ind w:left="40"/>
              <w:spacing w:after="0"/>
              <w:rPr>
                <w:sz w:val="20"/>
                <w:szCs w:val="20"/>
                <w:color w:val="auto"/>
              </w:rPr>
            </w:pPr>
            <w:r>
              <w:rPr>
                <w:rFonts w:ascii="Arial" w:cs="Arial" w:eastAsia="Arial" w:hAnsi="Arial"/>
                <w:sz w:val="14"/>
                <w:szCs w:val="14"/>
                <w:b w:val="1"/>
                <w:bCs w:val="1"/>
                <w:color w:val="4800E6"/>
              </w:rPr>
              <w:t>Type of Payment</w:t>
            </w:r>
          </w:p>
        </w:tc>
        <w:tc>
          <w:tcPr>
            <w:tcW w:w="1660" w:type="dxa"/>
            <w:vAlign w:val="bottom"/>
            <w:gridSpan w:val="2"/>
          </w:tcPr>
          <w:p>
            <w:pPr>
              <w:jc w:val="right"/>
              <w:ind w:right="140"/>
              <w:spacing w:after="0"/>
              <w:rPr>
                <w:sz w:val="20"/>
                <w:szCs w:val="20"/>
                <w:color w:val="auto"/>
              </w:rPr>
            </w:pPr>
            <w:r>
              <w:rPr>
                <w:rFonts w:ascii="Arial" w:cs="Arial" w:eastAsia="Arial" w:hAnsi="Arial"/>
                <w:sz w:val="14"/>
                <w:szCs w:val="14"/>
                <w:b w:val="1"/>
                <w:bCs w:val="1"/>
                <w:color w:val="4800E6"/>
              </w:rPr>
              <w:t>Termination</w:t>
            </w:r>
          </w:p>
        </w:tc>
        <w:tc>
          <w:tcPr>
            <w:tcW w:w="1580" w:type="dxa"/>
            <w:vAlign w:val="bottom"/>
          </w:tcPr>
          <w:p>
            <w:pPr>
              <w:ind w:left="240"/>
              <w:spacing w:after="0"/>
              <w:rPr>
                <w:sz w:val="20"/>
                <w:szCs w:val="20"/>
                <w:color w:val="auto"/>
              </w:rPr>
            </w:pPr>
            <w:r>
              <w:rPr>
                <w:rFonts w:ascii="Arial" w:cs="Arial" w:eastAsia="Arial" w:hAnsi="Arial"/>
                <w:sz w:val="14"/>
                <w:szCs w:val="14"/>
                <w:b w:val="1"/>
                <w:bCs w:val="1"/>
                <w:color w:val="4800E6"/>
              </w:rPr>
              <w:t>Separation due to</w:t>
            </w:r>
          </w:p>
        </w:tc>
        <w:tc>
          <w:tcPr>
            <w:tcW w:w="1460" w:type="dxa"/>
            <w:vAlign w:val="bottom"/>
            <w:gridSpan w:val="2"/>
          </w:tcPr>
          <w:p>
            <w:pPr>
              <w:ind w:left="120"/>
              <w:spacing w:after="0"/>
              <w:rPr>
                <w:sz w:val="20"/>
                <w:szCs w:val="20"/>
                <w:color w:val="auto"/>
              </w:rPr>
            </w:pPr>
            <w:r>
              <w:rPr>
                <w:rFonts w:ascii="Arial" w:cs="Arial" w:eastAsia="Arial" w:hAnsi="Arial"/>
                <w:sz w:val="14"/>
                <w:szCs w:val="14"/>
                <w:b w:val="1"/>
                <w:bCs w:val="1"/>
                <w:color w:val="4800E6"/>
              </w:rPr>
              <w:t>Separation due to</w:t>
            </w:r>
          </w:p>
        </w:tc>
        <w:tc>
          <w:tcPr>
            <w:tcW w:w="1460" w:type="dxa"/>
            <w:vAlign w:val="bottom"/>
          </w:tcPr>
          <w:p>
            <w:pPr>
              <w:jc w:val="right"/>
              <w:ind w:right="86"/>
              <w:spacing w:after="0"/>
              <w:rPr>
                <w:sz w:val="20"/>
                <w:szCs w:val="20"/>
                <w:color w:val="auto"/>
              </w:rPr>
            </w:pPr>
            <w:r>
              <w:rPr>
                <w:rFonts w:ascii="Arial" w:cs="Arial" w:eastAsia="Arial" w:hAnsi="Arial"/>
                <w:sz w:val="14"/>
                <w:szCs w:val="14"/>
                <w:b w:val="1"/>
                <w:bCs w:val="1"/>
                <w:color w:val="4800E6"/>
              </w:rPr>
              <w:t>Separation due to</w:t>
            </w:r>
          </w:p>
        </w:tc>
        <w:tc>
          <w:tcPr>
            <w:tcW w:w="2180" w:type="dxa"/>
            <w:vAlign w:val="bottom"/>
            <w:gridSpan w:val="3"/>
          </w:tcPr>
          <w:p>
            <w:pPr>
              <w:jc w:val="right"/>
              <w:ind w:right="808"/>
              <w:spacing w:after="0"/>
              <w:rPr>
                <w:sz w:val="20"/>
                <w:szCs w:val="20"/>
                <w:color w:val="auto"/>
              </w:rPr>
            </w:pPr>
            <w:r>
              <w:rPr>
                <w:rFonts w:ascii="Arial" w:cs="Arial" w:eastAsia="Arial" w:hAnsi="Arial"/>
                <w:sz w:val="14"/>
                <w:szCs w:val="14"/>
                <w:b w:val="1"/>
                <w:bCs w:val="1"/>
                <w:color w:val="4800E6"/>
              </w:rPr>
              <w:t>Separation due to</w:t>
            </w:r>
          </w:p>
        </w:tc>
        <w:tc>
          <w:tcPr>
            <w:tcW w:w="0" w:type="dxa"/>
            <w:vAlign w:val="bottom"/>
          </w:tcPr>
          <w:p>
            <w:pPr>
              <w:spacing w:after="0"/>
              <w:rPr>
                <w:sz w:val="1"/>
                <w:szCs w:val="1"/>
                <w:color w:val="auto"/>
              </w:rPr>
            </w:pPr>
          </w:p>
        </w:tc>
      </w:tr>
      <w:tr>
        <w:trPr>
          <w:trHeight w:val="216"/>
        </w:trPr>
        <w:tc>
          <w:tcPr>
            <w:tcW w:w="760" w:type="dxa"/>
            <w:vAlign w:val="bottom"/>
          </w:tcPr>
          <w:p>
            <w:pPr>
              <w:spacing w:after="0"/>
              <w:rPr>
                <w:sz w:val="18"/>
                <w:szCs w:val="18"/>
                <w:color w:val="auto"/>
              </w:rPr>
            </w:pPr>
          </w:p>
        </w:tc>
        <w:tc>
          <w:tcPr>
            <w:tcW w:w="1620" w:type="dxa"/>
            <w:vAlign w:val="bottom"/>
            <w:tcBorders>
              <w:bottom w:val="single" w:sz="8" w:color="4800E6"/>
            </w:tcBorders>
            <w:gridSpan w:val="2"/>
          </w:tcPr>
          <w:p>
            <w:pPr>
              <w:ind w:left="40"/>
              <w:spacing w:after="0"/>
              <w:rPr>
                <w:sz w:val="20"/>
                <w:szCs w:val="20"/>
                <w:color w:val="auto"/>
              </w:rPr>
            </w:pPr>
            <w:r>
              <w:rPr>
                <w:rFonts w:ascii="Arial" w:cs="Arial" w:eastAsia="Arial" w:hAnsi="Arial"/>
                <w:sz w:val="14"/>
                <w:szCs w:val="14"/>
                <w:b w:val="1"/>
                <w:bCs w:val="1"/>
                <w:color w:val="4800E6"/>
              </w:rPr>
              <w:t>or Benefit</w:t>
            </w:r>
          </w:p>
        </w:tc>
        <w:tc>
          <w:tcPr>
            <w:tcW w:w="1660" w:type="dxa"/>
            <w:vAlign w:val="bottom"/>
            <w:tcBorders>
              <w:bottom w:val="single" w:sz="8" w:color="4800E6"/>
            </w:tcBorders>
            <w:gridSpan w:val="2"/>
          </w:tcPr>
          <w:p>
            <w:pPr>
              <w:jc w:val="right"/>
              <w:ind w:right="120"/>
              <w:spacing w:after="0" w:line="216" w:lineRule="exact"/>
              <w:rPr>
                <w:sz w:val="20"/>
                <w:szCs w:val="20"/>
                <w:color w:val="auto"/>
              </w:rPr>
            </w:pPr>
            <w:r>
              <w:rPr>
                <w:rFonts w:ascii="Arial" w:cs="Arial" w:eastAsia="Arial" w:hAnsi="Arial"/>
                <w:sz w:val="14"/>
                <w:szCs w:val="14"/>
                <w:b w:val="1"/>
                <w:bCs w:val="1"/>
                <w:color w:val="4800E6"/>
              </w:rPr>
              <w:t>without Cause</w:t>
            </w:r>
            <w:r>
              <w:rPr>
                <w:rFonts w:ascii="Arial" w:cs="Arial" w:eastAsia="Arial" w:hAnsi="Arial"/>
                <w:sz w:val="21"/>
                <w:szCs w:val="21"/>
                <w:b w:val="1"/>
                <w:bCs w:val="1"/>
                <w:color w:val="4800E6"/>
                <w:vertAlign w:val="superscript"/>
              </w:rPr>
              <w:t>(1)</w:t>
            </w:r>
          </w:p>
        </w:tc>
        <w:tc>
          <w:tcPr>
            <w:tcW w:w="1580" w:type="dxa"/>
            <w:vAlign w:val="bottom"/>
            <w:tcBorders>
              <w:bottom w:val="single" w:sz="8" w:color="4800E6"/>
            </w:tcBorders>
          </w:tcPr>
          <w:p>
            <w:pPr>
              <w:ind w:left="120"/>
              <w:spacing w:after="0" w:line="216" w:lineRule="exact"/>
              <w:rPr>
                <w:sz w:val="20"/>
                <w:szCs w:val="20"/>
                <w:color w:val="auto"/>
              </w:rPr>
            </w:pPr>
            <w:r>
              <w:rPr>
                <w:rFonts w:ascii="Arial" w:cs="Arial" w:eastAsia="Arial" w:hAnsi="Arial"/>
                <w:sz w:val="14"/>
                <w:szCs w:val="14"/>
                <w:b w:val="1"/>
                <w:bCs w:val="1"/>
                <w:color w:val="4800E6"/>
              </w:rPr>
              <w:t>Change in Control</w:t>
            </w:r>
            <w:r>
              <w:rPr>
                <w:rFonts w:ascii="Arial" w:cs="Arial" w:eastAsia="Arial" w:hAnsi="Arial"/>
                <w:sz w:val="21"/>
                <w:szCs w:val="21"/>
                <w:b w:val="1"/>
                <w:bCs w:val="1"/>
                <w:color w:val="4800E6"/>
                <w:vertAlign w:val="superscript"/>
              </w:rPr>
              <w:t>(2)</w:t>
            </w:r>
          </w:p>
        </w:tc>
        <w:tc>
          <w:tcPr>
            <w:tcW w:w="1460" w:type="dxa"/>
            <w:vAlign w:val="bottom"/>
            <w:tcBorders>
              <w:bottom w:val="single" w:sz="8" w:color="4800E6"/>
            </w:tcBorders>
            <w:gridSpan w:val="2"/>
          </w:tcPr>
          <w:p>
            <w:pPr>
              <w:ind w:left="600"/>
              <w:spacing w:after="0" w:line="216" w:lineRule="exact"/>
              <w:rPr>
                <w:sz w:val="20"/>
                <w:szCs w:val="20"/>
                <w:color w:val="auto"/>
              </w:rPr>
            </w:pPr>
            <w:r>
              <w:rPr>
                <w:rFonts w:ascii="Arial" w:cs="Arial" w:eastAsia="Arial" w:hAnsi="Arial"/>
                <w:sz w:val="14"/>
                <w:szCs w:val="14"/>
                <w:b w:val="1"/>
                <w:bCs w:val="1"/>
                <w:color w:val="4800E6"/>
              </w:rPr>
              <w:t>Disability</w:t>
            </w:r>
            <w:r>
              <w:rPr>
                <w:rFonts w:ascii="Arial" w:cs="Arial" w:eastAsia="Arial" w:hAnsi="Arial"/>
                <w:sz w:val="21"/>
                <w:szCs w:val="21"/>
                <w:b w:val="1"/>
                <w:bCs w:val="1"/>
                <w:color w:val="4800E6"/>
                <w:vertAlign w:val="superscript"/>
              </w:rPr>
              <w:t>(3)</w:t>
            </w:r>
          </w:p>
        </w:tc>
        <w:tc>
          <w:tcPr>
            <w:tcW w:w="1460" w:type="dxa"/>
            <w:vAlign w:val="bottom"/>
            <w:tcBorders>
              <w:bottom w:val="single" w:sz="8" w:color="4800E6"/>
            </w:tcBorders>
          </w:tcPr>
          <w:p>
            <w:pPr>
              <w:jc w:val="right"/>
              <w:ind w:right="46"/>
              <w:spacing w:after="0" w:line="216" w:lineRule="exact"/>
              <w:rPr>
                <w:sz w:val="20"/>
                <w:szCs w:val="20"/>
                <w:color w:val="auto"/>
              </w:rPr>
            </w:pPr>
            <w:r>
              <w:rPr>
                <w:rFonts w:ascii="Arial" w:cs="Arial" w:eastAsia="Arial" w:hAnsi="Arial"/>
                <w:sz w:val="14"/>
                <w:szCs w:val="14"/>
                <w:b w:val="1"/>
                <w:bCs w:val="1"/>
                <w:color w:val="4800E6"/>
              </w:rPr>
              <w:t>Death</w:t>
            </w:r>
            <w:r>
              <w:rPr>
                <w:rFonts w:ascii="Arial" w:cs="Arial" w:eastAsia="Arial" w:hAnsi="Arial"/>
                <w:sz w:val="21"/>
                <w:szCs w:val="21"/>
                <w:b w:val="1"/>
                <w:bCs w:val="1"/>
                <w:color w:val="4800E6"/>
                <w:vertAlign w:val="superscript"/>
              </w:rPr>
              <w:t>(4)</w:t>
            </w:r>
          </w:p>
        </w:tc>
        <w:tc>
          <w:tcPr>
            <w:tcW w:w="1400" w:type="dxa"/>
            <w:vAlign w:val="bottom"/>
            <w:tcBorders>
              <w:bottom w:val="single" w:sz="8" w:color="4800E6"/>
            </w:tcBorders>
            <w:gridSpan w:val="2"/>
          </w:tcPr>
          <w:p>
            <w:pPr>
              <w:jc w:val="right"/>
              <w:spacing w:after="0"/>
              <w:rPr>
                <w:sz w:val="20"/>
                <w:szCs w:val="20"/>
                <w:color w:val="auto"/>
              </w:rPr>
            </w:pPr>
            <w:r>
              <w:rPr>
                <w:rFonts w:ascii="Arial" w:cs="Arial" w:eastAsia="Arial" w:hAnsi="Arial"/>
                <w:sz w:val="14"/>
                <w:szCs w:val="14"/>
                <w:b w:val="1"/>
                <w:bCs w:val="1"/>
                <w:color w:val="4800E6"/>
              </w:rPr>
              <w:t>Retirement</w:t>
            </w:r>
          </w:p>
        </w:tc>
        <w:tc>
          <w:tcPr>
            <w:tcW w:w="7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760" w:type="dxa"/>
            <w:vAlign w:val="bottom"/>
          </w:tcPr>
          <w:p>
            <w:pPr>
              <w:spacing w:after="0"/>
              <w:rPr>
                <w:sz w:val="18"/>
                <w:szCs w:val="18"/>
                <w:color w:val="auto"/>
              </w:rPr>
            </w:pPr>
          </w:p>
        </w:tc>
        <w:tc>
          <w:tcPr>
            <w:tcW w:w="1620" w:type="dxa"/>
            <w:vAlign w:val="bottom"/>
            <w:gridSpan w:val="2"/>
          </w:tcPr>
          <w:p>
            <w:pPr>
              <w:ind w:left="40"/>
              <w:spacing w:after="0"/>
              <w:rPr>
                <w:sz w:val="20"/>
                <w:szCs w:val="20"/>
                <w:color w:val="auto"/>
              </w:rPr>
            </w:pPr>
            <w:r>
              <w:rPr>
                <w:rFonts w:ascii="Arial" w:cs="Arial" w:eastAsia="Arial" w:hAnsi="Arial"/>
                <w:sz w:val="15"/>
                <w:szCs w:val="15"/>
                <w:color w:val="auto"/>
              </w:rPr>
              <w:t>Severance</w:t>
            </w:r>
          </w:p>
        </w:tc>
        <w:tc>
          <w:tcPr>
            <w:tcW w:w="1660" w:type="dxa"/>
            <w:vAlign w:val="bottom"/>
            <w:gridSpan w:val="2"/>
          </w:tcPr>
          <w:p>
            <w:pPr>
              <w:jc w:val="right"/>
              <w:ind w:right="100"/>
              <w:spacing w:after="0"/>
              <w:rPr>
                <w:sz w:val="20"/>
                <w:szCs w:val="20"/>
                <w:color w:val="auto"/>
              </w:rPr>
            </w:pPr>
            <w:r>
              <w:rPr>
                <w:rFonts w:ascii="Arial" w:cs="Arial" w:eastAsia="Arial" w:hAnsi="Arial"/>
                <w:sz w:val="15"/>
                <w:szCs w:val="15"/>
                <w:color w:val="auto"/>
              </w:rPr>
              <w:t>$433,751</w:t>
            </w:r>
          </w:p>
        </w:tc>
        <w:tc>
          <w:tcPr>
            <w:tcW w:w="1580" w:type="dxa"/>
            <w:vAlign w:val="bottom"/>
          </w:tcPr>
          <w:p>
            <w:pPr>
              <w:ind w:left="1400"/>
              <w:spacing w:after="0"/>
              <w:rPr>
                <w:sz w:val="20"/>
                <w:szCs w:val="20"/>
                <w:color w:val="auto"/>
              </w:rPr>
            </w:pPr>
            <w:r>
              <w:rPr>
                <w:rFonts w:ascii="Arial" w:cs="Arial" w:eastAsia="Arial" w:hAnsi="Arial"/>
                <w:sz w:val="15"/>
                <w:szCs w:val="15"/>
                <w:color w:val="auto"/>
              </w:rPr>
              <w:t>–</w:t>
            </w:r>
          </w:p>
        </w:tc>
        <w:tc>
          <w:tcPr>
            <w:tcW w:w="1080" w:type="dxa"/>
            <w:vAlign w:val="bottom"/>
          </w:tcPr>
          <w:p>
            <w:pPr>
              <w:spacing w:after="0"/>
              <w:rPr>
                <w:sz w:val="18"/>
                <w:szCs w:val="18"/>
                <w:color w:val="auto"/>
              </w:rPr>
            </w:pPr>
          </w:p>
        </w:tc>
        <w:tc>
          <w:tcPr>
            <w:tcW w:w="380" w:type="dxa"/>
            <w:vAlign w:val="bottom"/>
          </w:tcPr>
          <w:p>
            <w:pPr>
              <w:ind w:left="180"/>
              <w:spacing w:after="0"/>
              <w:rPr>
                <w:sz w:val="20"/>
                <w:szCs w:val="20"/>
                <w:color w:val="auto"/>
              </w:rPr>
            </w:pPr>
            <w:r>
              <w:rPr>
                <w:rFonts w:ascii="Arial" w:cs="Arial" w:eastAsia="Arial" w:hAnsi="Arial"/>
                <w:sz w:val="15"/>
                <w:szCs w:val="15"/>
                <w:color w:val="auto"/>
              </w:rPr>
              <w:t>–</w:t>
            </w:r>
          </w:p>
        </w:tc>
        <w:tc>
          <w:tcPr>
            <w:tcW w:w="1460" w:type="dxa"/>
            <w:vAlign w:val="bottom"/>
          </w:tcPr>
          <w:p>
            <w:pPr>
              <w:jc w:val="right"/>
              <w:ind w:right="26"/>
              <w:spacing w:after="0"/>
              <w:rPr>
                <w:sz w:val="20"/>
                <w:szCs w:val="20"/>
                <w:color w:val="auto"/>
              </w:rPr>
            </w:pPr>
            <w:r>
              <w:rPr>
                <w:rFonts w:ascii="Arial" w:cs="Arial" w:eastAsia="Arial" w:hAnsi="Arial"/>
                <w:sz w:val="15"/>
                <w:szCs w:val="15"/>
                <w:color w:val="auto"/>
              </w:rPr>
              <w:t>$ 1,735,004</w:t>
            </w:r>
          </w:p>
        </w:tc>
        <w:tc>
          <w:tcPr>
            <w:tcW w:w="1240" w:type="dxa"/>
            <w:vAlign w:val="bottom"/>
          </w:tcPr>
          <w:p>
            <w:pPr>
              <w:spacing w:after="0"/>
              <w:rPr>
                <w:sz w:val="18"/>
                <w:szCs w:val="18"/>
                <w:color w:val="auto"/>
              </w:rPr>
            </w:pPr>
          </w:p>
        </w:tc>
        <w:tc>
          <w:tcPr>
            <w:tcW w:w="940" w:type="dxa"/>
            <w:vAlign w:val="bottom"/>
            <w:gridSpan w:val="2"/>
          </w:tcPr>
          <w:p>
            <w:pPr>
              <w:ind w:left="20"/>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21"/>
        </w:trPr>
        <w:tc>
          <w:tcPr>
            <w:tcW w:w="7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94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1"/>
        </w:trPr>
        <w:tc>
          <w:tcPr>
            <w:tcW w:w="760" w:type="dxa"/>
            <w:vAlign w:val="bottom"/>
          </w:tcPr>
          <w:p>
            <w:pPr>
              <w:spacing w:after="0"/>
              <w:rPr>
                <w:sz w:val="22"/>
                <w:szCs w:val="22"/>
                <w:color w:val="auto"/>
              </w:rPr>
            </w:pPr>
          </w:p>
        </w:tc>
        <w:tc>
          <w:tcPr>
            <w:tcW w:w="1620" w:type="dxa"/>
            <w:vAlign w:val="bottom"/>
            <w:tcBorders>
              <w:bottom w:val="single" w:sz="8" w:color="EFE9FC"/>
            </w:tcBorders>
            <w:gridSpan w:val="2"/>
            <w:shd w:val="clear" w:color="auto" w:fill="EFE9FC"/>
          </w:tcPr>
          <w:p>
            <w:pPr>
              <w:ind w:left="40"/>
              <w:spacing w:after="0"/>
              <w:rPr>
                <w:sz w:val="20"/>
                <w:szCs w:val="20"/>
                <w:color w:val="auto"/>
              </w:rPr>
            </w:pPr>
            <w:r>
              <w:rPr>
                <w:rFonts w:ascii="Arial" w:cs="Arial" w:eastAsia="Arial" w:hAnsi="Arial"/>
                <w:sz w:val="15"/>
                <w:szCs w:val="15"/>
                <w:color w:val="auto"/>
              </w:rPr>
              <w:t>STIP</w:t>
            </w:r>
          </w:p>
        </w:tc>
        <w:tc>
          <w:tcPr>
            <w:tcW w:w="1660" w:type="dxa"/>
            <w:vAlign w:val="bottom"/>
            <w:tcBorders>
              <w:bottom w:val="single" w:sz="8" w:color="EFE9FC"/>
            </w:tcBorders>
            <w:gridSpan w:val="2"/>
            <w:shd w:val="clear" w:color="auto" w:fill="EFE9FC"/>
          </w:tcPr>
          <w:p>
            <w:pPr>
              <w:jc w:val="right"/>
              <w:ind w:right="100"/>
              <w:spacing w:after="0"/>
              <w:rPr>
                <w:sz w:val="20"/>
                <w:szCs w:val="20"/>
                <w:color w:val="auto"/>
              </w:rPr>
            </w:pPr>
            <w:r>
              <w:rPr>
                <w:rFonts w:ascii="Arial" w:cs="Arial" w:eastAsia="Arial" w:hAnsi="Arial"/>
                <w:sz w:val="15"/>
                <w:szCs w:val="15"/>
                <w:color w:val="auto"/>
              </w:rPr>
              <w:t>–</w:t>
            </w:r>
          </w:p>
        </w:tc>
        <w:tc>
          <w:tcPr>
            <w:tcW w:w="1580" w:type="dxa"/>
            <w:vAlign w:val="bottom"/>
            <w:tcBorders>
              <w:bottom w:val="single" w:sz="8" w:color="EFE9FC"/>
            </w:tcBorders>
            <w:shd w:val="clear" w:color="auto" w:fill="EFE9FC"/>
          </w:tcPr>
          <w:p>
            <w:pPr>
              <w:ind w:left="1400"/>
              <w:spacing w:after="0"/>
              <w:rPr>
                <w:sz w:val="20"/>
                <w:szCs w:val="20"/>
                <w:color w:val="auto"/>
              </w:rPr>
            </w:pPr>
            <w:r>
              <w:rPr>
                <w:rFonts w:ascii="Arial" w:cs="Arial" w:eastAsia="Arial" w:hAnsi="Arial"/>
                <w:sz w:val="15"/>
                <w:szCs w:val="15"/>
                <w:color w:val="auto"/>
              </w:rPr>
              <w:t>–</w:t>
            </w:r>
          </w:p>
        </w:tc>
        <w:tc>
          <w:tcPr>
            <w:tcW w:w="1080" w:type="dxa"/>
            <w:vAlign w:val="bottom"/>
            <w:tcBorders>
              <w:bottom w:val="single" w:sz="8" w:color="EFE9FC"/>
            </w:tcBorders>
            <w:shd w:val="clear" w:color="auto" w:fill="EFE9FC"/>
          </w:tcPr>
          <w:p>
            <w:pPr>
              <w:spacing w:after="0"/>
              <w:rPr>
                <w:sz w:val="22"/>
                <w:szCs w:val="22"/>
                <w:color w:val="auto"/>
              </w:rPr>
            </w:pPr>
          </w:p>
        </w:tc>
        <w:tc>
          <w:tcPr>
            <w:tcW w:w="380" w:type="dxa"/>
            <w:vAlign w:val="bottom"/>
            <w:tcBorders>
              <w:bottom w:val="single" w:sz="8" w:color="EFE9FC"/>
            </w:tcBorders>
            <w:shd w:val="clear" w:color="auto" w:fill="EFE9FC"/>
          </w:tcPr>
          <w:p>
            <w:pPr>
              <w:ind w:left="180"/>
              <w:spacing w:after="0"/>
              <w:rPr>
                <w:sz w:val="20"/>
                <w:szCs w:val="20"/>
                <w:color w:val="auto"/>
              </w:rPr>
            </w:pPr>
            <w:r>
              <w:rPr>
                <w:rFonts w:ascii="Arial" w:cs="Arial" w:eastAsia="Arial" w:hAnsi="Arial"/>
                <w:sz w:val="15"/>
                <w:szCs w:val="15"/>
                <w:color w:val="auto"/>
              </w:rPr>
              <w:t>–</w:t>
            </w:r>
          </w:p>
        </w:tc>
        <w:tc>
          <w:tcPr>
            <w:tcW w:w="1460" w:type="dxa"/>
            <w:vAlign w:val="bottom"/>
            <w:tcBorders>
              <w:bottom w:val="single" w:sz="8" w:color="EFE9FC"/>
            </w:tcBorders>
            <w:shd w:val="clear" w:color="auto" w:fill="EFE9FC"/>
          </w:tcPr>
          <w:p>
            <w:pPr>
              <w:jc w:val="right"/>
              <w:ind w:right="26"/>
              <w:spacing w:after="0"/>
              <w:rPr>
                <w:sz w:val="20"/>
                <w:szCs w:val="20"/>
                <w:color w:val="auto"/>
              </w:rPr>
            </w:pPr>
            <w:r>
              <w:rPr>
                <w:rFonts w:ascii="Arial" w:cs="Arial" w:eastAsia="Arial" w:hAnsi="Arial"/>
                <w:sz w:val="15"/>
                <w:szCs w:val="15"/>
                <w:color w:val="auto"/>
              </w:rPr>
              <w:t>–</w:t>
            </w:r>
          </w:p>
        </w:tc>
        <w:tc>
          <w:tcPr>
            <w:tcW w:w="1240" w:type="dxa"/>
            <w:vAlign w:val="bottom"/>
            <w:tcBorders>
              <w:bottom w:val="single" w:sz="8" w:color="EFE9FC"/>
            </w:tcBorders>
            <w:shd w:val="clear" w:color="auto" w:fill="EFE9FC"/>
          </w:tcPr>
          <w:p>
            <w:pPr>
              <w:spacing w:after="0"/>
              <w:rPr>
                <w:sz w:val="22"/>
                <w:szCs w:val="22"/>
                <w:color w:val="auto"/>
              </w:rPr>
            </w:pPr>
          </w:p>
        </w:tc>
        <w:tc>
          <w:tcPr>
            <w:tcW w:w="160" w:type="dxa"/>
            <w:vAlign w:val="bottom"/>
            <w:tcBorders>
              <w:bottom w:val="single" w:sz="8" w:color="EFE9FC"/>
            </w:tcBorders>
            <w:shd w:val="clear" w:color="auto" w:fill="EFE9FC"/>
          </w:tcPr>
          <w:p>
            <w:pPr>
              <w:ind w:left="20"/>
              <w:spacing w:after="0"/>
              <w:rPr>
                <w:sz w:val="20"/>
                <w:szCs w:val="20"/>
                <w:color w:val="auto"/>
              </w:rPr>
            </w:pPr>
            <w:r>
              <w:rPr>
                <w:rFonts w:ascii="Arial" w:cs="Arial" w:eastAsia="Arial" w:hAnsi="Arial"/>
                <w:sz w:val="15"/>
                <w:szCs w:val="15"/>
                <w:color w:val="auto"/>
              </w:rPr>
              <w:t>–</w:t>
            </w:r>
          </w:p>
        </w:tc>
        <w:tc>
          <w:tcPr>
            <w:tcW w:w="7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426"/>
        </w:trPr>
        <w:tc>
          <w:tcPr>
            <w:tcW w:w="760" w:type="dxa"/>
            <w:vAlign w:val="bottom"/>
          </w:tcPr>
          <w:p>
            <w:pPr>
              <w:spacing w:after="0"/>
              <w:rPr>
                <w:sz w:val="24"/>
                <w:szCs w:val="24"/>
                <w:color w:val="auto"/>
              </w:rPr>
            </w:pPr>
          </w:p>
        </w:tc>
        <w:tc>
          <w:tcPr>
            <w:tcW w:w="60" w:type="dxa"/>
            <w:vAlign w:val="bottom"/>
            <w:tcBorders>
              <w:top w:val="single" w:sz="8" w:color="4800E6"/>
            </w:tcBorders>
          </w:tcPr>
          <w:p>
            <w:pPr>
              <w:spacing w:after="0"/>
              <w:rPr>
                <w:sz w:val="24"/>
                <w:szCs w:val="24"/>
                <w:color w:val="auto"/>
              </w:rPr>
            </w:pPr>
          </w:p>
        </w:tc>
        <w:tc>
          <w:tcPr>
            <w:tcW w:w="1560" w:type="dxa"/>
            <w:vAlign w:val="bottom"/>
            <w:tcBorders>
              <w:top w:val="single" w:sz="8" w:color="4800E6"/>
              <w:bottom w:val="single" w:sz="8" w:color="auto"/>
            </w:tcBorders>
          </w:tcPr>
          <w:p>
            <w:pPr>
              <w:spacing w:after="0"/>
              <w:rPr>
                <w:sz w:val="24"/>
                <w:szCs w:val="24"/>
                <w:color w:val="auto"/>
              </w:rPr>
            </w:pPr>
          </w:p>
        </w:tc>
        <w:tc>
          <w:tcPr>
            <w:tcW w:w="1520" w:type="dxa"/>
            <w:vAlign w:val="bottom"/>
            <w:tcBorders>
              <w:top w:val="single" w:sz="8" w:color="4800E6"/>
              <w:bottom w:val="single" w:sz="8" w:color="auto"/>
            </w:tcBorders>
          </w:tcPr>
          <w:p>
            <w:pPr>
              <w:spacing w:after="0"/>
              <w:rPr>
                <w:sz w:val="24"/>
                <w:szCs w:val="24"/>
                <w:color w:val="auto"/>
              </w:rPr>
            </w:pPr>
          </w:p>
        </w:tc>
        <w:tc>
          <w:tcPr>
            <w:tcW w:w="140" w:type="dxa"/>
            <w:vAlign w:val="bottom"/>
            <w:tcBorders>
              <w:top w:val="single" w:sz="8" w:color="4800E6"/>
            </w:tcBorders>
          </w:tcPr>
          <w:p>
            <w:pPr>
              <w:spacing w:after="0"/>
              <w:rPr>
                <w:sz w:val="24"/>
                <w:szCs w:val="24"/>
                <w:color w:val="auto"/>
              </w:rPr>
            </w:pPr>
          </w:p>
        </w:tc>
        <w:tc>
          <w:tcPr>
            <w:tcW w:w="2660" w:type="dxa"/>
            <w:vAlign w:val="bottom"/>
            <w:tcBorders>
              <w:top w:val="single" w:sz="8" w:color="4800E6"/>
              <w:bottom w:val="single" w:sz="8" w:color="4800E6"/>
            </w:tcBorders>
            <w:gridSpan w:val="2"/>
            <w:vMerge w:val="restart"/>
          </w:tcPr>
          <w:p>
            <w:pPr>
              <w:ind w:left="300"/>
              <w:spacing w:after="0"/>
              <w:rPr>
                <w:sz w:val="20"/>
                <w:szCs w:val="20"/>
                <w:color w:val="auto"/>
              </w:rPr>
            </w:pPr>
            <w:r>
              <w:rPr>
                <w:rFonts w:ascii="Arial" w:cs="Arial" w:eastAsia="Arial" w:hAnsi="Arial"/>
                <w:sz w:val="13"/>
                <w:szCs w:val="13"/>
                <w:b w:val="1"/>
                <w:bCs w:val="1"/>
                <w:color w:val="4800E6"/>
              </w:rPr>
              <w:t xml:space="preserve">LIVANOVA </w:t>
            </w:r>
            <w:r>
              <w:rPr>
                <w:rFonts w:ascii="Arial" w:cs="Arial" w:eastAsia="Arial" w:hAnsi="Arial"/>
                <w:sz w:val="13"/>
                <w:szCs w:val="13"/>
                <w:color w:val="000000"/>
              </w:rPr>
              <w:t>|</w:t>
            </w:r>
            <w:r>
              <w:rPr>
                <w:rFonts w:ascii="Arial" w:cs="Arial" w:eastAsia="Arial" w:hAnsi="Arial"/>
                <w:sz w:val="13"/>
                <w:szCs w:val="13"/>
                <w:b w:val="1"/>
                <w:bCs w:val="1"/>
                <w:color w:val="4800E6"/>
              </w:rPr>
              <w:t xml:space="preserve"> </w:t>
            </w:r>
            <w:r>
              <w:rPr>
                <w:rFonts w:ascii="Arial" w:cs="Arial" w:eastAsia="Arial" w:hAnsi="Arial"/>
                <w:sz w:val="13"/>
                <w:szCs w:val="13"/>
                <w:color w:val="4800E6"/>
              </w:rPr>
              <w:t>2020</w:t>
            </w:r>
            <w:r>
              <w:rPr>
                <w:rFonts w:ascii="Arial" w:cs="Arial" w:eastAsia="Arial" w:hAnsi="Arial"/>
                <w:sz w:val="13"/>
                <w:szCs w:val="13"/>
                <w:b w:val="1"/>
                <w:bCs w:val="1"/>
                <w:color w:val="4800E6"/>
              </w:rPr>
              <w:t xml:space="preserve"> </w:t>
            </w:r>
            <w:r>
              <w:rPr>
                <w:rFonts w:ascii="Arial" w:cs="Arial" w:eastAsia="Arial" w:hAnsi="Arial"/>
                <w:sz w:val="13"/>
                <w:szCs w:val="13"/>
                <w:color w:val="000000"/>
              </w:rPr>
              <w:t>Proxy Statement</w:t>
            </w:r>
          </w:p>
        </w:tc>
        <w:tc>
          <w:tcPr>
            <w:tcW w:w="380" w:type="dxa"/>
            <w:vAlign w:val="bottom"/>
            <w:tcBorders>
              <w:top w:val="single" w:sz="8" w:color="4800E6"/>
              <w:bottom w:val="single" w:sz="8" w:color="auto"/>
            </w:tcBorders>
          </w:tcPr>
          <w:p>
            <w:pPr>
              <w:spacing w:after="0"/>
              <w:rPr>
                <w:sz w:val="24"/>
                <w:szCs w:val="24"/>
                <w:color w:val="auto"/>
              </w:rPr>
            </w:pPr>
          </w:p>
        </w:tc>
        <w:tc>
          <w:tcPr>
            <w:tcW w:w="1460" w:type="dxa"/>
            <w:vAlign w:val="bottom"/>
            <w:tcBorders>
              <w:top w:val="single" w:sz="8" w:color="4800E6"/>
              <w:bottom w:val="single" w:sz="8" w:color="auto"/>
            </w:tcBorders>
          </w:tcPr>
          <w:p>
            <w:pPr>
              <w:spacing w:after="0"/>
              <w:rPr>
                <w:sz w:val="24"/>
                <w:szCs w:val="24"/>
                <w:color w:val="auto"/>
              </w:rPr>
            </w:pPr>
          </w:p>
        </w:tc>
        <w:tc>
          <w:tcPr>
            <w:tcW w:w="1240" w:type="dxa"/>
            <w:vAlign w:val="bottom"/>
            <w:tcBorders>
              <w:top w:val="single" w:sz="8" w:color="4800E6"/>
              <w:bottom w:val="single" w:sz="8" w:color="auto"/>
            </w:tcBorders>
          </w:tcPr>
          <w:p>
            <w:pPr>
              <w:spacing w:after="0"/>
              <w:rPr>
                <w:sz w:val="24"/>
                <w:szCs w:val="24"/>
                <w:color w:val="auto"/>
              </w:rPr>
            </w:pPr>
          </w:p>
        </w:tc>
        <w:tc>
          <w:tcPr>
            <w:tcW w:w="160" w:type="dxa"/>
            <w:vAlign w:val="bottom"/>
            <w:tcBorders>
              <w:top w:val="single" w:sz="8" w:color="4800E6"/>
              <w:bottom w:val="single" w:sz="8" w:color="4800E6"/>
            </w:tcBorders>
            <w:vMerge w:val="restart"/>
          </w:tcPr>
          <w:p>
            <w:pPr>
              <w:spacing w:after="0"/>
              <w:rPr>
                <w:sz w:val="24"/>
                <w:szCs w:val="24"/>
                <w:color w:val="auto"/>
              </w:rPr>
            </w:pPr>
          </w:p>
        </w:tc>
        <w:tc>
          <w:tcPr>
            <w:tcW w:w="780" w:type="dxa"/>
            <w:vAlign w:val="bottom"/>
            <w:vMerge w:val="restart"/>
          </w:tcPr>
          <w:p>
            <w:pPr>
              <w:jc w:val="right"/>
              <w:ind w:right="468"/>
              <w:spacing w:after="0"/>
              <w:rPr>
                <w:sz w:val="20"/>
                <w:szCs w:val="20"/>
                <w:color w:val="auto"/>
              </w:rPr>
            </w:pPr>
            <w:r>
              <w:rPr>
                <w:rFonts w:ascii="Arial" w:cs="Arial" w:eastAsia="Arial" w:hAnsi="Arial"/>
                <w:sz w:val="14"/>
                <w:szCs w:val="14"/>
                <w:b w:val="1"/>
                <w:bCs w:val="1"/>
                <w:color w:val="auto"/>
              </w:rPr>
              <w:t>46</w:t>
            </w:r>
          </w:p>
        </w:tc>
        <w:tc>
          <w:tcPr>
            <w:tcW w:w="0" w:type="dxa"/>
            <w:vAlign w:val="bottom"/>
          </w:tcPr>
          <w:p>
            <w:pPr>
              <w:spacing w:after="0"/>
              <w:rPr>
                <w:sz w:val="1"/>
                <w:szCs w:val="1"/>
                <w:color w:val="auto"/>
              </w:rPr>
            </w:pPr>
          </w:p>
        </w:tc>
      </w:tr>
      <w:tr>
        <w:trPr>
          <w:trHeight w:val="49"/>
        </w:trPr>
        <w:tc>
          <w:tcPr>
            <w:tcW w:w="760" w:type="dxa"/>
            <w:vAlign w:val="bottom"/>
          </w:tcPr>
          <w:p>
            <w:pPr>
              <w:spacing w:after="0"/>
              <w:rPr>
                <w:sz w:val="4"/>
                <w:szCs w:val="4"/>
                <w:color w:val="auto"/>
              </w:rPr>
            </w:pPr>
          </w:p>
        </w:tc>
        <w:tc>
          <w:tcPr>
            <w:tcW w:w="60" w:type="dxa"/>
            <w:vAlign w:val="bottom"/>
          </w:tcPr>
          <w:p>
            <w:pPr>
              <w:spacing w:after="0"/>
              <w:rPr>
                <w:sz w:val="4"/>
                <w:szCs w:val="4"/>
                <w:color w:val="auto"/>
              </w:rPr>
            </w:pPr>
          </w:p>
        </w:tc>
        <w:tc>
          <w:tcPr>
            <w:tcW w:w="1560" w:type="dxa"/>
            <w:vAlign w:val="bottom"/>
          </w:tcPr>
          <w:p>
            <w:pPr>
              <w:spacing w:after="0"/>
              <w:rPr>
                <w:sz w:val="4"/>
                <w:szCs w:val="4"/>
                <w:color w:val="auto"/>
              </w:rPr>
            </w:pPr>
          </w:p>
        </w:tc>
        <w:tc>
          <w:tcPr>
            <w:tcW w:w="1520" w:type="dxa"/>
            <w:vAlign w:val="bottom"/>
          </w:tcPr>
          <w:p>
            <w:pPr>
              <w:spacing w:after="0"/>
              <w:rPr>
                <w:sz w:val="4"/>
                <w:szCs w:val="4"/>
                <w:color w:val="auto"/>
              </w:rPr>
            </w:pPr>
          </w:p>
        </w:tc>
        <w:tc>
          <w:tcPr>
            <w:tcW w:w="140" w:type="dxa"/>
            <w:vAlign w:val="bottom"/>
          </w:tcPr>
          <w:p>
            <w:pPr>
              <w:spacing w:after="0"/>
              <w:rPr>
                <w:sz w:val="4"/>
                <w:szCs w:val="4"/>
                <w:color w:val="auto"/>
              </w:rPr>
            </w:pPr>
          </w:p>
        </w:tc>
        <w:tc>
          <w:tcPr>
            <w:tcW w:w="2660" w:type="dxa"/>
            <w:vAlign w:val="bottom"/>
            <w:gridSpan w:val="2"/>
            <w:vMerge w:val="continue"/>
          </w:tcPr>
          <w:p>
            <w:pPr>
              <w:spacing w:after="0"/>
              <w:rPr>
                <w:sz w:val="4"/>
                <w:szCs w:val="4"/>
                <w:color w:val="auto"/>
              </w:rPr>
            </w:pPr>
          </w:p>
        </w:tc>
        <w:tc>
          <w:tcPr>
            <w:tcW w:w="380" w:type="dxa"/>
            <w:vAlign w:val="bottom"/>
          </w:tcPr>
          <w:p>
            <w:pPr>
              <w:spacing w:after="0"/>
              <w:rPr>
                <w:sz w:val="4"/>
                <w:szCs w:val="4"/>
                <w:color w:val="auto"/>
              </w:rPr>
            </w:pPr>
          </w:p>
        </w:tc>
        <w:tc>
          <w:tcPr>
            <w:tcW w:w="1460" w:type="dxa"/>
            <w:vAlign w:val="bottom"/>
          </w:tcPr>
          <w:p>
            <w:pPr>
              <w:spacing w:after="0"/>
              <w:rPr>
                <w:sz w:val="4"/>
                <w:szCs w:val="4"/>
                <w:color w:val="auto"/>
              </w:rPr>
            </w:pPr>
          </w:p>
        </w:tc>
        <w:tc>
          <w:tcPr>
            <w:tcW w:w="1240" w:type="dxa"/>
            <w:vAlign w:val="bottom"/>
          </w:tcPr>
          <w:p>
            <w:pPr>
              <w:spacing w:after="0"/>
              <w:rPr>
                <w:sz w:val="4"/>
                <w:szCs w:val="4"/>
                <w:color w:val="auto"/>
              </w:rPr>
            </w:pPr>
          </w:p>
        </w:tc>
        <w:tc>
          <w:tcPr>
            <w:tcW w:w="160" w:type="dxa"/>
            <w:vAlign w:val="bottom"/>
            <w:vMerge w:val="continue"/>
          </w:tcPr>
          <w:p>
            <w:pPr>
              <w:spacing w:after="0"/>
              <w:rPr>
                <w:sz w:val="4"/>
                <w:szCs w:val="4"/>
                <w:color w:val="auto"/>
              </w:rPr>
            </w:pPr>
          </w:p>
        </w:tc>
        <w:tc>
          <w:tcPr>
            <w:tcW w:w="78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40"/>
        </w:trPr>
        <w:tc>
          <w:tcPr>
            <w:tcW w:w="760" w:type="dxa"/>
            <w:vAlign w:val="bottom"/>
            <w:tcBorders>
              <w:bottom w:val="single" w:sz="8" w:color="9A9A9A"/>
            </w:tcBorders>
          </w:tcPr>
          <w:p>
            <w:pPr>
              <w:spacing w:after="0"/>
              <w:rPr>
                <w:sz w:val="12"/>
                <w:szCs w:val="12"/>
                <w:color w:val="auto"/>
              </w:rPr>
            </w:pPr>
          </w:p>
        </w:tc>
        <w:tc>
          <w:tcPr>
            <w:tcW w:w="60" w:type="dxa"/>
            <w:vAlign w:val="bottom"/>
            <w:tcBorders>
              <w:bottom w:val="single" w:sz="8" w:color="9A9A9A"/>
            </w:tcBorders>
          </w:tcPr>
          <w:p>
            <w:pPr>
              <w:spacing w:after="0"/>
              <w:rPr>
                <w:sz w:val="12"/>
                <w:szCs w:val="12"/>
                <w:color w:val="auto"/>
              </w:rPr>
            </w:pPr>
          </w:p>
        </w:tc>
        <w:tc>
          <w:tcPr>
            <w:tcW w:w="1560" w:type="dxa"/>
            <w:vAlign w:val="bottom"/>
            <w:tcBorders>
              <w:bottom w:val="single" w:sz="8" w:color="9A9A9A"/>
            </w:tcBorders>
          </w:tcPr>
          <w:p>
            <w:pPr>
              <w:spacing w:after="0"/>
              <w:rPr>
                <w:sz w:val="12"/>
                <w:szCs w:val="12"/>
                <w:color w:val="auto"/>
              </w:rPr>
            </w:pPr>
          </w:p>
        </w:tc>
        <w:tc>
          <w:tcPr>
            <w:tcW w:w="1520" w:type="dxa"/>
            <w:vAlign w:val="bottom"/>
            <w:tcBorders>
              <w:bottom w:val="single" w:sz="8" w:color="9A9A9A"/>
            </w:tcBorders>
          </w:tcPr>
          <w:p>
            <w:pPr>
              <w:spacing w:after="0"/>
              <w:rPr>
                <w:sz w:val="12"/>
                <w:szCs w:val="12"/>
                <w:color w:val="auto"/>
              </w:rPr>
            </w:pPr>
          </w:p>
        </w:tc>
        <w:tc>
          <w:tcPr>
            <w:tcW w:w="140" w:type="dxa"/>
            <w:vAlign w:val="bottom"/>
            <w:tcBorders>
              <w:bottom w:val="single" w:sz="8" w:color="9A9A9A"/>
            </w:tcBorders>
          </w:tcPr>
          <w:p>
            <w:pPr>
              <w:spacing w:after="0"/>
              <w:rPr>
                <w:sz w:val="12"/>
                <w:szCs w:val="12"/>
                <w:color w:val="auto"/>
              </w:rPr>
            </w:pPr>
          </w:p>
        </w:tc>
        <w:tc>
          <w:tcPr>
            <w:tcW w:w="1580" w:type="dxa"/>
            <w:vAlign w:val="bottom"/>
            <w:tcBorders>
              <w:bottom w:val="single" w:sz="8" w:color="9A9A9A"/>
            </w:tcBorders>
          </w:tcPr>
          <w:p>
            <w:pPr>
              <w:spacing w:after="0"/>
              <w:rPr>
                <w:sz w:val="12"/>
                <w:szCs w:val="12"/>
                <w:color w:val="auto"/>
              </w:rPr>
            </w:pPr>
          </w:p>
        </w:tc>
        <w:tc>
          <w:tcPr>
            <w:tcW w:w="1080" w:type="dxa"/>
            <w:vAlign w:val="bottom"/>
            <w:tcBorders>
              <w:bottom w:val="single" w:sz="8" w:color="9A9A9A"/>
            </w:tcBorders>
          </w:tcPr>
          <w:p>
            <w:pPr>
              <w:spacing w:after="0"/>
              <w:rPr>
                <w:sz w:val="12"/>
                <w:szCs w:val="12"/>
                <w:color w:val="auto"/>
              </w:rPr>
            </w:pPr>
          </w:p>
        </w:tc>
        <w:tc>
          <w:tcPr>
            <w:tcW w:w="380" w:type="dxa"/>
            <w:vAlign w:val="bottom"/>
            <w:tcBorders>
              <w:bottom w:val="single" w:sz="8" w:color="9A9A9A"/>
            </w:tcBorders>
          </w:tcPr>
          <w:p>
            <w:pPr>
              <w:spacing w:after="0"/>
              <w:rPr>
                <w:sz w:val="12"/>
                <w:szCs w:val="12"/>
                <w:color w:val="auto"/>
              </w:rPr>
            </w:pPr>
          </w:p>
        </w:tc>
        <w:tc>
          <w:tcPr>
            <w:tcW w:w="1460" w:type="dxa"/>
            <w:vAlign w:val="bottom"/>
            <w:tcBorders>
              <w:bottom w:val="single" w:sz="8" w:color="9A9A9A"/>
            </w:tcBorders>
          </w:tcPr>
          <w:p>
            <w:pPr>
              <w:spacing w:after="0"/>
              <w:rPr>
                <w:sz w:val="12"/>
                <w:szCs w:val="12"/>
                <w:color w:val="auto"/>
              </w:rPr>
            </w:pPr>
          </w:p>
        </w:tc>
        <w:tc>
          <w:tcPr>
            <w:tcW w:w="1240" w:type="dxa"/>
            <w:vAlign w:val="bottom"/>
            <w:tcBorders>
              <w:bottom w:val="single" w:sz="8" w:color="9A9A9A"/>
            </w:tcBorders>
          </w:tcPr>
          <w:p>
            <w:pPr>
              <w:spacing w:after="0"/>
              <w:rPr>
                <w:sz w:val="12"/>
                <w:szCs w:val="12"/>
                <w:color w:val="auto"/>
              </w:rPr>
            </w:pPr>
          </w:p>
        </w:tc>
        <w:tc>
          <w:tcPr>
            <w:tcW w:w="160" w:type="dxa"/>
            <w:vAlign w:val="bottom"/>
            <w:tcBorders>
              <w:bottom w:val="single" w:sz="8" w:color="9A9A9A"/>
            </w:tcBorders>
          </w:tcPr>
          <w:p>
            <w:pPr>
              <w:spacing w:after="0"/>
              <w:rPr>
                <w:sz w:val="12"/>
                <w:szCs w:val="12"/>
                <w:color w:val="auto"/>
              </w:rPr>
            </w:pPr>
          </w:p>
        </w:tc>
        <w:tc>
          <w:tcPr>
            <w:tcW w:w="780" w:type="dxa"/>
            <w:vAlign w:val="bottom"/>
            <w:tcBorders>
              <w:bottom w:val="single" w:sz="8" w:color="9A9A9A"/>
            </w:tcBorders>
          </w:tcPr>
          <w:p>
            <w:pPr>
              <w:spacing w:after="0"/>
              <w:rPr>
                <w:sz w:val="12"/>
                <w:szCs w:val="12"/>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6802755</wp:posOffset>
            </wp:positionH>
            <wp:positionV relativeFrom="paragraph">
              <wp:posOffset>-8255</wp:posOffset>
            </wp:positionV>
            <wp:extent cx="8255" cy="8890"/>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53">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wp:posOffset>
            </wp:positionV>
            <wp:extent cx="8890" cy="17145"/>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54">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sectPr>
          <w:pgSz w:w="11900" w:h="16838" w:orient="portrait"/>
          <w:cols w:equalWidth="0" w:num="1">
            <w:col w:w="10720"/>
          </w:cols>
          <w:pgMar w:left="320" w:top="132" w:right="859" w:bottom="1440" w:gutter="0" w:footer="0" w:header="0"/>
        </w:sectPr>
      </w:pPr>
    </w:p>
    <w:bookmarkStart w:id="50" w:name="page51"/>
    <w:bookmarkEnd w:id="50"/>
    <w:p>
      <w:pPr>
        <w:spacing w:after="0"/>
        <w:rPr>
          <w:rFonts w:ascii="Arial" w:cs="Arial" w:eastAsia="Arial" w:hAnsi="Arial"/>
          <w:sz w:val="14"/>
          <w:szCs w:val="14"/>
          <w:color w:val="003366"/>
        </w:rPr>
      </w:pPr>
      <w:hyperlink w:anchor="page5">
        <w:r>
          <w:rPr>
            <w:rFonts w:ascii="Arial" w:cs="Arial" w:eastAsia="Arial" w:hAnsi="Arial"/>
            <w:sz w:val="14"/>
            <w:szCs w:val="14"/>
            <w:color w:val="003366"/>
          </w:rPr>
          <w:t>TABLE OF CONTENTS</w:t>
        </w:r>
      </w:hyperlink>
    </w:p>
    <w:p>
      <w:pPr>
        <w:spacing w:after="0" w:line="338" w:lineRule="exact"/>
        <w:rPr>
          <w:sz w:val="20"/>
          <w:szCs w:val="20"/>
          <w:color w:val="auto"/>
        </w:rPr>
      </w:pPr>
    </w:p>
    <w:p>
      <w:pPr>
        <w:ind w:left="760"/>
        <w:spacing w:after="0"/>
        <w:rPr>
          <w:sz w:val="20"/>
          <w:szCs w:val="20"/>
          <w:color w:val="auto"/>
        </w:rPr>
      </w:pPr>
      <w:r>
        <w:rPr>
          <w:rFonts w:ascii="Arial" w:cs="Arial" w:eastAsia="Arial" w:hAnsi="Arial"/>
          <w:sz w:val="13"/>
          <w:szCs w:val="13"/>
          <w:b w:val="1"/>
          <w:bCs w:val="1"/>
          <w:color w:val="auto"/>
        </w:rPr>
        <w:t xml:space="preserve">Executive </w:t>
      </w:r>
      <w:r>
        <w:rPr>
          <w:rFonts w:ascii="Arial" w:cs="Arial" w:eastAsia="Arial" w:hAnsi="Arial"/>
          <w:sz w:val="13"/>
          <w:szCs w:val="13"/>
          <w:b w:val="1"/>
          <w:bCs w:val="1"/>
          <w:color w:val="666666"/>
        </w:rPr>
        <w:t>Compensation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485140</wp:posOffset>
            </wp:positionH>
            <wp:positionV relativeFrom="paragraph">
              <wp:posOffset>30480</wp:posOffset>
            </wp:positionV>
            <wp:extent cx="5829300" cy="8255"/>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55">
                      <a:extLst>
                        <a:ext uri="{28A0092B-C50C-407E-A947-70E740481C1C}"/>
                      </a:extLst>
                    </a:blip>
                    <a:srcRect/>
                    <a:stretch>
                      <a:fillRect/>
                    </a:stretch>
                  </pic:blipFill>
                  <pic:spPr bwMode="auto">
                    <a:xfrm>
                      <a:off x="0" y="0"/>
                      <a:ext cx="5829300" cy="8255"/>
                    </a:xfrm>
                    <a:prstGeom prst="rect">
                      <a:avLst/>
                    </a:prstGeom>
                    <a:noFill/>
                  </pic:spPr>
                </pic:pic>
              </a:graphicData>
            </a:graphic>
          </wp:anchor>
        </w:drawing>
      </w:r>
    </w:p>
    <w:p>
      <w:pPr>
        <w:spacing w:after="0" w:line="60" w:lineRule="exact"/>
        <w:rPr>
          <w:sz w:val="20"/>
          <w:szCs w:val="20"/>
          <w:color w:val="auto"/>
        </w:rPr>
      </w:pPr>
    </w:p>
    <w:p>
      <w:pPr>
        <w:ind w:left="760"/>
        <w:spacing w:after="0"/>
        <w:rPr>
          <w:sz w:val="20"/>
          <w:szCs w:val="20"/>
          <w:color w:val="auto"/>
        </w:rPr>
      </w:pPr>
      <w:r>
        <w:rPr>
          <w:rFonts w:ascii="Arial" w:cs="Arial" w:eastAsia="Arial" w:hAnsi="Arial"/>
          <w:sz w:val="13"/>
          <w:szCs w:val="13"/>
          <w:b w:val="1"/>
          <w:bCs w:val="1"/>
          <w:color w:val="4800E6"/>
        </w:rPr>
        <w:t>Compensation of Executive Officers and Directors</w:t>
      </w: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tbl>
      <w:tblPr>
        <w:tblLayout w:type="fixed"/>
        <w:tblInd w:w="760" w:type="dxa"/>
        <w:tblCellMar>
          <w:top w:w="0" w:type="dxa"/>
          <w:left w:w="0" w:type="dxa"/>
          <w:bottom w:w="0" w:type="dxa"/>
          <w:right w:w="0" w:type="dxa"/>
        </w:tblCellMar>
      </w:tblPr>
      <w:tr>
        <w:trPr>
          <w:trHeight w:val="175"/>
        </w:trPr>
        <w:tc>
          <w:tcPr>
            <w:tcW w:w="1600" w:type="dxa"/>
            <w:vAlign w:val="bottom"/>
          </w:tcPr>
          <w:p>
            <w:pPr>
              <w:ind w:left="40"/>
              <w:spacing w:after="0"/>
              <w:rPr>
                <w:sz w:val="20"/>
                <w:szCs w:val="20"/>
                <w:color w:val="auto"/>
              </w:rPr>
            </w:pPr>
            <w:r>
              <w:rPr>
                <w:rFonts w:ascii="Arial" w:cs="Arial" w:eastAsia="Arial" w:hAnsi="Arial"/>
                <w:sz w:val="14"/>
                <w:szCs w:val="14"/>
                <w:b w:val="1"/>
                <w:bCs w:val="1"/>
                <w:color w:val="4800E6"/>
              </w:rPr>
              <w:t>Type of Payment</w:t>
            </w:r>
          </w:p>
        </w:tc>
        <w:tc>
          <w:tcPr>
            <w:tcW w:w="1680" w:type="dxa"/>
            <w:vAlign w:val="bottom"/>
          </w:tcPr>
          <w:p>
            <w:pPr>
              <w:jc w:val="right"/>
              <w:ind w:right="105"/>
              <w:spacing w:after="0"/>
              <w:rPr>
                <w:sz w:val="20"/>
                <w:szCs w:val="20"/>
                <w:color w:val="auto"/>
              </w:rPr>
            </w:pPr>
            <w:r>
              <w:rPr>
                <w:rFonts w:ascii="Arial" w:cs="Arial" w:eastAsia="Arial" w:hAnsi="Arial"/>
                <w:sz w:val="14"/>
                <w:szCs w:val="14"/>
                <w:b w:val="1"/>
                <w:bCs w:val="1"/>
                <w:color w:val="4800E6"/>
              </w:rPr>
              <w:t>Termination</w:t>
            </w:r>
          </w:p>
        </w:tc>
        <w:tc>
          <w:tcPr>
            <w:tcW w:w="1580" w:type="dxa"/>
            <w:vAlign w:val="bottom"/>
          </w:tcPr>
          <w:p>
            <w:pPr>
              <w:jc w:val="right"/>
              <w:ind w:right="65"/>
              <w:spacing w:after="0"/>
              <w:rPr>
                <w:sz w:val="20"/>
                <w:szCs w:val="20"/>
                <w:color w:val="auto"/>
              </w:rPr>
            </w:pPr>
            <w:r>
              <w:rPr>
                <w:rFonts w:ascii="Arial" w:cs="Arial" w:eastAsia="Arial" w:hAnsi="Arial"/>
                <w:sz w:val="14"/>
                <w:szCs w:val="14"/>
                <w:b w:val="1"/>
                <w:bCs w:val="1"/>
                <w:color w:val="4800E6"/>
              </w:rPr>
              <w:t>Separation due to</w:t>
            </w:r>
          </w:p>
        </w:tc>
        <w:tc>
          <w:tcPr>
            <w:tcW w:w="1460" w:type="dxa"/>
            <w:vAlign w:val="bottom"/>
          </w:tcPr>
          <w:p>
            <w:pPr>
              <w:ind w:left="120"/>
              <w:spacing w:after="0"/>
              <w:rPr>
                <w:sz w:val="20"/>
                <w:szCs w:val="20"/>
                <w:color w:val="auto"/>
              </w:rPr>
            </w:pPr>
            <w:r>
              <w:rPr>
                <w:rFonts w:ascii="Arial" w:cs="Arial" w:eastAsia="Arial" w:hAnsi="Arial"/>
                <w:sz w:val="14"/>
                <w:szCs w:val="14"/>
                <w:b w:val="1"/>
                <w:bCs w:val="1"/>
                <w:color w:val="4800E6"/>
              </w:rPr>
              <w:t>Separation due to</w:t>
            </w:r>
          </w:p>
        </w:tc>
        <w:tc>
          <w:tcPr>
            <w:tcW w:w="1460" w:type="dxa"/>
            <w:vAlign w:val="bottom"/>
            <w:gridSpan w:val="2"/>
          </w:tcPr>
          <w:p>
            <w:pPr>
              <w:jc w:val="right"/>
              <w:ind w:right="85"/>
              <w:spacing w:after="0"/>
              <w:rPr>
                <w:sz w:val="20"/>
                <w:szCs w:val="20"/>
                <w:color w:val="auto"/>
              </w:rPr>
            </w:pPr>
            <w:r>
              <w:rPr>
                <w:rFonts w:ascii="Arial" w:cs="Arial" w:eastAsia="Arial" w:hAnsi="Arial"/>
                <w:sz w:val="14"/>
                <w:szCs w:val="14"/>
                <w:b w:val="1"/>
                <w:bCs w:val="1"/>
                <w:color w:val="4800E6"/>
              </w:rPr>
              <w:t>Separation due to</w:t>
            </w:r>
          </w:p>
        </w:tc>
        <w:tc>
          <w:tcPr>
            <w:tcW w:w="1400" w:type="dxa"/>
            <w:vAlign w:val="bottom"/>
          </w:tcPr>
          <w:p>
            <w:pPr>
              <w:ind w:left="120"/>
              <w:spacing w:after="0"/>
              <w:rPr>
                <w:sz w:val="20"/>
                <w:szCs w:val="20"/>
                <w:color w:val="auto"/>
              </w:rPr>
            </w:pPr>
            <w:r>
              <w:rPr>
                <w:rFonts w:ascii="Arial" w:cs="Arial" w:eastAsia="Arial" w:hAnsi="Arial"/>
                <w:sz w:val="14"/>
                <w:szCs w:val="14"/>
                <w:b w:val="1"/>
                <w:bCs w:val="1"/>
                <w:color w:val="4800E6"/>
              </w:rPr>
              <w:t>Separation due to</w:t>
            </w:r>
          </w:p>
        </w:tc>
      </w:tr>
      <w:tr>
        <w:trPr>
          <w:trHeight w:val="216"/>
        </w:trPr>
        <w:tc>
          <w:tcPr>
            <w:tcW w:w="1600" w:type="dxa"/>
            <w:vAlign w:val="bottom"/>
            <w:tcBorders>
              <w:bottom w:val="single" w:sz="8" w:color="4800E6"/>
            </w:tcBorders>
          </w:tcPr>
          <w:p>
            <w:pPr>
              <w:ind w:left="40"/>
              <w:spacing w:after="0"/>
              <w:rPr>
                <w:sz w:val="20"/>
                <w:szCs w:val="20"/>
                <w:color w:val="auto"/>
              </w:rPr>
            </w:pPr>
            <w:r>
              <w:rPr>
                <w:rFonts w:ascii="Arial" w:cs="Arial" w:eastAsia="Arial" w:hAnsi="Arial"/>
                <w:sz w:val="14"/>
                <w:szCs w:val="14"/>
                <w:b w:val="1"/>
                <w:bCs w:val="1"/>
                <w:color w:val="4800E6"/>
              </w:rPr>
              <w:t>or Benefit</w:t>
            </w:r>
          </w:p>
        </w:tc>
        <w:tc>
          <w:tcPr>
            <w:tcW w:w="1680" w:type="dxa"/>
            <w:vAlign w:val="bottom"/>
            <w:tcBorders>
              <w:bottom w:val="single" w:sz="8" w:color="4800E6"/>
            </w:tcBorders>
          </w:tcPr>
          <w:p>
            <w:pPr>
              <w:jc w:val="right"/>
              <w:ind w:right="65"/>
              <w:spacing w:after="0" w:line="216" w:lineRule="exact"/>
              <w:rPr>
                <w:sz w:val="20"/>
                <w:szCs w:val="20"/>
                <w:color w:val="auto"/>
              </w:rPr>
            </w:pPr>
            <w:r>
              <w:rPr>
                <w:rFonts w:ascii="Arial" w:cs="Arial" w:eastAsia="Arial" w:hAnsi="Arial"/>
                <w:sz w:val="14"/>
                <w:szCs w:val="14"/>
                <w:b w:val="1"/>
                <w:bCs w:val="1"/>
                <w:color w:val="4800E6"/>
              </w:rPr>
              <w:t>without Cause</w:t>
            </w:r>
            <w:r>
              <w:rPr>
                <w:rFonts w:ascii="Arial" w:cs="Arial" w:eastAsia="Arial" w:hAnsi="Arial"/>
                <w:sz w:val="21"/>
                <w:szCs w:val="21"/>
                <w:b w:val="1"/>
                <w:bCs w:val="1"/>
                <w:color w:val="4800E6"/>
                <w:vertAlign w:val="superscript"/>
              </w:rPr>
              <w:t>(1)</w:t>
            </w:r>
          </w:p>
        </w:tc>
        <w:tc>
          <w:tcPr>
            <w:tcW w:w="1580" w:type="dxa"/>
            <w:vAlign w:val="bottom"/>
            <w:tcBorders>
              <w:bottom w:val="single" w:sz="8" w:color="4800E6"/>
            </w:tcBorders>
          </w:tcPr>
          <w:p>
            <w:pPr>
              <w:jc w:val="right"/>
              <w:ind w:right="45"/>
              <w:spacing w:after="0" w:line="216" w:lineRule="exact"/>
              <w:rPr>
                <w:sz w:val="20"/>
                <w:szCs w:val="20"/>
                <w:color w:val="auto"/>
              </w:rPr>
            </w:pPr>
            <w:r>
              <w:rPr>
                <w:rFonts w:ascii="Arial" w:cs="Arial" w:eastAsia="Arial" w:hAnsi="Arial"/>
                <w:sz w:val="14"/>
                <w:szCs w:val="14"/>
                <w:b w:val="1"/>
                <w:bCs w:val="1"/>
                <w:color w:val="4800E6"/>
              </w:rPr>
              <w:t>Change in Control</w:t>
            </w:r>
            <w:r>
              <w:rPr>
                <w:rFonts w:ascii="Arial" w:cs="Arial" w:eastAsia="Arial" w:hAnsi="Arial"/>
                <w:sz w:val="21"/>
                <w:szCs w:val="21"/>
                <w:b w:val="1"/>
                <w:bCs w:val="1"/>
                <w:color w:val="4800E6"/>
                <w:vertAlign w:val="superscript"/>
              </w:rPr>
              <w:t>(2)</w:t>
            </w:r>
          </w:p>
        </w:tc>
        <w:tc>
          <w:tcPr>
            <w:tcW w:w="1460" w:type="dxa"/>
            <w:vAlign w:val="bottom"/>
            <w:tcBorders>
              <w:bottom w:val="single" w:sz="8" w:color="4800E6"/>
            </w:tcBorders>
          </w:tcPr>
          <w:p>
            <w:pPr>
              <w:ind w:left="600"/>
              <w:spacing w:after="0" w:line="216" w:lineRule="exact"/>
              <w:rPr>
                <w:sz w:val="20"/>
                <w:szCs w:val="20"/>
                <w:color w:val="auto"/>
              </w:rPr>
            </w:pPr>
            <w:r>
              <w:rPr>
                <w:rFonts w:ascii="Arial" w:cs="Arial" w:eastAsia="Arial" w:hAnsi="Arial"/>
                <w:sz w:val="14"/>
                <w:szCs w:val="14"/>
                <w:b w:val="1"/>
                <w:bCs w:val="1"/>
                <w:color w:val="4800E6"/>
              </w:rPr>
              <w:t>Disability</w:t>
            </w:r>
            <w:r>
              <w:rPr>
                <w:rFonts w:ascii="Arial" w:cs="Arial" w:eastAsia="Arial" w:hAnsi="Arial"/>
                <w:sz w:val="21"/>
                <w:szCs w:val="21"/>
                <w:b w:val="1"/>
                <w:bCs w:val="1"/>
                <w:color w:val="4800E6"/>
                <w:vertAlign w:val="superscript"/>
              </w:rPr>
              <w:t>(3)</w:t>
            </w:r>
          </w:p>
        </w:tc>
        <w:tc>
          <w:tcPr>
            <w:tcW w:w="660" w:type="dxa"/>
            <w:vAlign w:val="bottom"/>
            <w:tcBorders>
              <w:bottom w:val="single" w:sz="8" w:color="4800E6"/>
            </w:tcBorders>
          </w:tcPr>
          <w:p>
            <w:pPr>
              <w:spacing w:after="0"/>
              <w:rPr>
                <w:sz w:val="18"/>
                <w:szCs w:val="18"/>
                <w:color w:val="auto"/>
              </w:rPr>
            </w:pPr>
          </w:p>
        </w:tc>
        <w:tc>
          <w:tcPr>
            <w:tcW w:w="800" w:type="dxa"/>
            <w:vAlign w:val="bottom"/>
            <w:tcBorders>
              <w:bottom w:val="single" w:sz="8" w:color="4800E6"/>
            </w:tcBorders>
          </w:tcPr>
          <w:p>
            <w:pPr>
              <w:jc w:val="right"/>
              <w:ind w:right="45"/>
              <w:spacing w:after="0" w:line="216" w:lineRule="exact"/>
              <w:rPr>
                <w:sz w:val="20"/>
                <w:szCs w:val="20"/>
                <w:color w:val="auto"/>
              </w:rPr>
            </w:pPr>
            <w:r>
              <w:rPr>
                <w:rFonts w:ascii="Arial" w:cs="Arial" w:eastAsia="Arial" w:hAnsi="Arial"/>
                <w:sz w:val="14"/>
                <w:szCs w:val="14"/>
                <w:b w:val="1"/>
                <w:bCs w:val="1"/>
                <w:color w:val="4800E6"/>
              </w:rPr>
              <w:t>Death</w:t>
            </w:r>
            <w:r>
              <w:rPr>
                <w:rFonts w:ascii="Arial" w:cs="Arial" w:eastAsia="Arial" w:hAnsi="Arial"/>
                <w:sz w:val="21"/>
                <w:szCs w:val="21"/>
                <w:b w:val="1"/>
                <w:bCs w:val="1"/>
                <w:color w:val="4800E6"/>
                <w:vertAlign w:val="superscript"/>
              </w:rPr>
              <w:t>(4)</w:t>
            </w:r>
          </w:p>
        </w:tc>
        <w:tc>
          <w:tcPr>
            <w:tcW w:w="1400" w:type="dxa"/>
            <w:vAlign w:val="bottom"/>
            <w:tcBorders>
              <w:bottom w:val="single" w:sz="8" w:color="4800E6"/>
            </w:tcBorders>
          </w:tcPr>
          <w:p>
            <w:pPr>
              <w:ind w:left="600"/>
              <w:spacing w:after="0"/>
              <w:rPr>
                <w:sz w:val="20"/>
                <w:szCs w:val="20"/>
                <w:color w:val="auto"/>
              </w:rPr>
            </w:pPr>
            <w:r>
              <w:rPr>
                <w:rFonts w:ascii="Arial" w:cs="Arial" w:eastAsia="Arial" w:hAnsi="Arial"/>
                <w:sz w:val="14"/>
                <w:szCs w:val="14"/>
                <w:b w:val="1"/>
                <w:bCs w:val="1"/>
                <w:color w:val="4800E6"/>
              </w:rPr>
              <w:t>Retirement</w:t>
            </w:r>
          </w:p>
        </w:tc>
      </w:tr>
      <w:tr>
        <w:trPr>
          <w:trHeight w:val="250"/>
        </w:trPr>
        <w:tc>
          <w:tcPr>
            <w:tcW w:w="1600" w:type="dxa"/>
            <w:vAlign w:val="bottom"/>
          </w:tcPr>
          <w:p>
            <w:pPr>
              <w:ind w:left="40"/>
              <w:spacing w:after="0" w:line="250" w:lineRule="exact"/>
              <w:rPr>
                <w:sz w:val="20"/>
                <w:szCs w:val="20"/>
                <w:color w:val="auto"/>
              </w:rPr>
            </w:pPr>
            <w:r>
              <w:rPr>
                <w:rFonts w:ascii="Arial" w:cs="Arial" w:eastAsia="Arial" w:hAnsi="Arial"/>
                <w:sz w:val="15"/>
                <w:szCs w:val="15"/>
                <w:color w:val="auto"/>
              </w:rPr>
              <w:t>LTIP</w:t>
            </w:r>
            <w:r>
              <w:rPr>
                <w:rFonts w:ascii="Arial" w:cs="Arial" w:eastAsia="Arial" w:hAnsi="Arial"/>
                <w:sz w:val="23"/>
                <w:szCs w:val="23"/>
                <w:color w:val="auto"/>
                <w:vertAlign w:val="superscript"/>
              </w:rPr>
              <w:t>(1)</w:t>
            </w:r>
          </w:p>
        </w:tc>
        <w:tc>
          <w:tcPr>
            <w:tcW w:w="1680" w:type="dxa"/>
            <w:vAlign w:val="bottom"/>
          </w:tcPr>
          <w:p>
            <w:pPr>
              <w:jc w:val="right"/>
              <w:ind w:right="65"/>
              <w:spacing w:after="0"/>
              <w:rPr>
                <w:sz w:val="20"/>
                <w:szCs w:val="20"/>
                <w:color w:val="auto"/>
              </w:rPr>
            </w:pPr>
            <w:r>
              <w:rPr>
                <w:rFonts w:ascii="Arial" w:cs="Arial" w:eastAsia="Arial" w:hAnsi="Arial"/>
                <w:sz w:val="15"/>
                <w:szCs w:val="15"/>
                <w:color w:val="auto"/>
              </w:rPr>
              <w:t>–</w:t>
            </w:r>
          </w:p>
        </w:tc>
        <w:tc>
          <w:tcPr>
            <w:tcW w:w="1580" w:type="dxa"/>
            <w:vAlign w:val="bottom"/>
          </w:tcPr>
          <w:p>
            <w:pPr>
              <w:jc w:val="right"/>
              <w:ind w:right="25"/>
              <w:spacing w:after="0"/>
              <w:rPr>
                <w:sz w:val="20"/>
                <w:szCs w:val="20"/>
                <w:color w:val="auto"/>
              </w:rPr>
            </w:pPr>
            <w:r>
              <w:rPr>
                <w:rFonts w:ascii="Arial" w:cs="Arial" w:eastAsia="Arial" w:hAnsi="Arial"/>
                <w:sz w:val="15"/>
                <w:szCs w:val="15"/>
                <w:color w:val="auto"/>
              </w:rPr>
              <w:t>$695,535</w:t>
            </w:r>
          </w:p>
        </w:tc>
        <w:tc>
          <w:tcPr>
            <w:tcW w:w="1460" w:type="dxa"/>
            <w:vAlign w:val="bottom"/>
          </w:tcPr>
          <w:p>
            <w:pPr>
              <w:ind w:left="1260"/>
              <w:spacing w:after="0"/>
              <w:rPr>
                <w:sz w:val="20"/>
                <w:szCs w:val="20"/>
                <w:color w:val="auto"/>
              </w:rPr>
            </w:pPr>
            <w:r>
              <w:rPr>
                <w:rFonts w:ascii="Arial" w:cs="Arial" w:eastAsia="Arial" w:hAnsi="Arial"/>
                <w:sz w:val="15"/>
                <w:szCs w:val="15"/>
                <w:color w:val="auto"/>
              </w:rPr>
              <w:t>–</w:t>
            </w:r>
          </w:p>
        </w:tc>
        <w:tc>
          <w:tcPr>
            <w:tcW w:w="660" w:type="dxa"/>
            <w:vAlign w:val="bottom"/>
          </w:tcPr>
          <w:p>
            <w:pPr>
              <w:jc w:val="right"/>
              <w:spacing w:after="0"/>
              <w:rPr>
                <w:sz w:val="20"/>
                <w:szCs w:val="20"/>
                <w:color w:val="auto"/>
              </w:rPr>
            </w:pPr>
            <w:r>
              <w:rPr>
                <w:rFonts w:ascii="Arial" w:cs="Arial" w:eastAsia="Arial" w:hAnsi="Arial"/>
                <w:sz w:val="15"/>
                <w:szCs w:val="15"/>
                <w:color w:val="auto"/>
              </w:rPr>
              <w:t>$</w:t>
            </w:r>
          </w:p>
        </w:tc>
        <w:tc>
          <w:tcPr>
            <w:tcW w:w="800" w:type="dxa"/>
            <w:vAlign w:val="bottom"/>
          </w:tcPr>
          <w:p>
            <w:pPr>
              <w:jc w:val="right"/>
              <w:ind w:right="25"/>
              <w:spacing w:after="0"/>
              <w:rPr>
                <w:sz w:val="20"/>
                <w:szCs w:val="20"/>
                <w:color w:val="auto"/>
              </w:rPr>
            </w:pPr>
            <w:r>
              <w:rPr>
                <w:rFonts w:ascii="Arial" w:cs="Arial" w:eastAsia="Arial" w:hAnsi="Arial"/>
                <w:sz w:val="15"/>
                <w:szCs w:val="15"/>
                <w:color w:val="auto"/>
              </w:rPr>
              <w:t>176,275</w:t>
            </w:r>
          </w:p>
        </w:tc>
        <w:tc>
          <w:tcPr>
            <w:tcW w:w="1400" w:type="dxa"/>
            <w:vAlign w:val="bottom"/>
          </w:tcPr>
          <w:p>
            <w:pPr>
              <w:ind w:left="1260"/>
              <w:spacing w:after="0"/>
              <w:rPr>
                <w:sz w:val="20"/>
                <w:szCs w:val="20"/>
                <w:color w:val="auto"/>
              </w:rPr>
            </w:pPr>
            <w:r>
              <w:rPr>
                <w:rFonts w:ascii="Arial" w:cs="Arial" w:eastAsia="Arial" w:hAnsi="Arial"/>
                <w:sz w:val="15"/>
                <w:szCs w:val="15"/>
                <w:color w:val="auto"/>
              </w:rPr>
              <w:t>–</w:t>
            </w:r>
          </w:p>
        </w:tc>
      </w:tr>
      <w:tr>
        <w:trPr>
          <w:trHeight w:val="250"/>
        </w:trPr>
        <w:tc>
          <w:tcPr>
            <w:tcW w:w="1600" w:type="dxa"/>
            <w:vAlign w:val="bottom"/>
            <w:tcBorders>
              <w:bottom w:val="single" w:sz="8" w:color="EFE9FC"/>
            </w:tcBorders>
            <w:shd w:val="clear" w:color="auto" w:fill="EFE9FC"/>
          </w:tcPr>
          <w:p>
            <w:pPr>
              <w:ind w:left="40"/>
              <w:spacing w:after="0"/>
              <w:rPr>
                <w:sz w:val="20"/>
                <w:szCs w:val="20"/>
                <w:color w:val="auto"/>
              </w:rPr>
            </w:pPr>
            <w:r>
              <w:rPr>
                <w:rFonts w:ascii="Arial" w:cs="Arial" w:eastAsia="Arial" w:hAnsi="Arial"/>
                <w:sz w:val="15"/>
                <w:szCs w:val="15"/>
                <w:color w:val="auto"/>
              </w:rPr>
              <w:t>Benefits</w:t>
            </w:r>
          </w:p>
        </w:tc>
        <w:tc>
          <w:tcPr>
            <w:tcW w:w="1680" w:type="dxa"/>
            <w:vAlign w:val="bottom"/>
            <w:tcBorders>
              <w:bottom w:val="single" w:sz="8" w:color="EFE9FC"/>
            </w:tcBorders>
            <w:shd w:val="clear" w:color="auto" w:fill="EFE9FC"/>
          </w:tcPr>
          <w:p>
            <w:pPr>
              <w:jc w:val="right"/>
              <w:ind w:right="65"/>
              <w:spacing w:after="0"/>
              <w:rPr>
                <w:sz w:val="20"/>
                <w:szCs w:val="20"/>
                <w:color w:val="auto"/>
              </w:rPr>
            </w:pPr>
            <w:r>
              <w:rPr>
                <w:rFonts w:ascii="Arial" w:cs="Arial" w:eastAsia="Arial" w:hAnsi="Arial"/>
                <w:sz w:val="15"/>
                <w:szCs w:val="15"/>
                <w:color w:val="auto"/>
              </w:rPr>
              <w:t>–</w:t>
            </w:r>
          </w:p>
        </w:tc>
        <w:tc>
          <w:tcPr>
            <w:tcW w:w="1580" w:type="dxa"/>
            <w:vAlign w:val="bottom"/>
            <w:tcBorders>
              <w:bottom w:val="single" w:sz="8" w:color="EFE9FC"/>
            </w:tcBorders>
            <w:shd w:val="clear" w:color="auto" w:fill="EFE9FC"/>
          </w:tcPr>
          <w:p>
            <w:pPr>
              <w:jc w:val="right"/>
              <w:ind w:right="25"/>
              <w:spacing w:after="0"/>
              <w:rPr>
                <w:sz w:val="20"/>
                <w:szCs w:val="20"/>
                <w:color w:val="auto"/>
              </w:rPr>
            </w:pPr>
            <w:r>
              <w:rPr>
                <w:rFonts w:ascii="Arial" w:cs="Arial" w:eastAsia="Arial" w:hAnsi="Arial"/>
                <w:sz w:val="15"/>
                <w:szCs w:val="15"/>
                <w:color w:val="auto"/>
              </w:rPr>
              <w:t>–</w:t>
            </w:r>
          </w:p>
        </w:tc>
        <w:tc>
          <w:tcPr>
            <w:tcW w:w="1460" w:type="dxa"/>
            <w:vAlign w:val="bottom"/>
            <w:tcBorders>
              <w:bottom w:val="single" w:sz="8" w:color="EFE9FC"/>
            </w:tcBorders>
            <w:shd w:val="clear" w:color="auto" w:fill="EFE9FC"/>
          </w:tcPr>
          <w:p>
            <w:pPr>
              <w:ind w:left="1260"/>
              <w:spacing w:after="0"/>
              <w:rPr>
                <w:sz w:val="20"/>
                <w:szCs w:val="20"/>
                <w:color w:val="auto"/>
              </w:rPr>
            </w:pPr>
            <w:r>
              <w:rPr>
                <w:rFonts w:ascii="Arial" w:cs="Arial" w:eastAsia="Arial" w:hAnsi="Arial"/>
                <w:sz w:val="15"/>
                <w:szCs w:val="15"/>
                <w:color w:val="auto"/>
              </w:rPr>
              <w:t>–</w:t>
            </w:r>
          </w:p>
        </w:tc>
        <w:tc>
          <w:tcPr>
            <w:tcW w:w="660" w:type="dxa"/>
            <w:vAlign w:val="bottom"/>
            <w:tcBorders>
              <w:bottom w:val="single" w:sz="8" w:color="EFE9FC"/>
            </w:tcBorders>
            <w:shd w:val="clear" w:color="auto" w:fill="EFE9FC"/>
          </w:tcPr>
          <w:p>
            <w:pPr>
              <w:spacing w:after="0"/>
              <w:rPr>
                <w:sz w:val="21"/>
                <w:szCs w:val="21"/>
                <w:color w:val="auto"/>
              </w:rPr>
            </w:pPr>
          </w:p>
        </w:tc>
        <w:tc>
          <w:tcPr>
            <w:tcW w:w="800" w:type="dxa"/>
            <w:vAlign w:val="bottom"/>
            <w:tcBorders>
              <w:bottom w:val="single" w:sz="8" w:color="EFE9FC"/>
            </w:tcBorders>
            <w:shd w:val="clear" w:color="auto" w:fill="EFE9FC"/>
          </w:tcPr>
          <w:p>
            <w:pPr>
              <w:jc w:val="right"/>
              <w:ind w:right="25"/>
              <w:spacing w:after="0"/>
              <w:rPr>
                <w:sz w:val="20"/>
                <w:szCs w:val="20"/>
                <w:color w:val="auto"/>
              </w:rPr>
            </w:pPr>
            <w:r>
              <w:rPr>
                <w:rFonts w:ascii="Arial" w:cs="Arial" w:eastAsia="Arial" w:hAnsi="Arial"/>
                <w:sz w:val="15"/>
                <w:szCs w:val="15"/>
                <w:color w:val="auto"/>
              </w:rPr>
              <w:t>–</w:t>
            </w:r>
          </w:p>
        </w:tc>
        <w:tc>
          <w:tcPr>
            <w:tcW w:w="1400" w:type="dxa"/>
            <w:vAlign w:val="bottom"/>
            <w:tcBorders>
              <w:bottom w:val="single" w:sz="8" w:color="EFE9FC"/>
            </w:tcBorders>
            <w:shd w:val="clear" w:color="auto" w:fill="EFE9FC"/>
          </w:tcPr>
          <w:p>
            <w:pPr>
              <w:ind w:left="1260"/>
              <w:spacing w:after="0"/>
              <w:rPr>
                <w:sz w:val="20"/>
                <w:szCs w:val="20"/>
                <w:color w:val="auto"/>
              </w:rPr>
            </w:pPr>
            <w:r>
              <w:rPr>
                <w:rFonts w:ascii="Arial" w:cs="Arial" w:eastAsia="Arial" w:hAnsi="Arial"/>
                <w:sz w:val="15"/>
                <w:szCs w:val="15"/>
                <w:color w:val="auto"/>
              </w:rPr>
              <w:t>–</w:t>
            </w:r>
          </w:p>
        </w:tc>
      </w:tr>
      <w:tr>
        <w:trPr>
          <w:trHeight w:val="221"/>
        </w:trPr>
        <w:tc>
          <w:tcPr>
            <w:tcW w:w="1600" w:type="dxa"/>
            <w:vAlign w:val="bottom"/>
          </w:tcPr>
          <w:p>
            <w:pPr>
              <w:ind w:left="40"/>
              <w:spacing w:after="0"/>
              <w:rPr>
                <w:sz w:val="20"/>
                <w:szCs w:val="20"/>
                <w:color w:val="auto"/>
              </w:rPr>
            </w:pPr>
            <w:r>
              <w:rPr>
                <w:rFonts w:ascii="Arial" w:cs="Arial" w:eastAsia="Arial" w:hAnsi="Arial"/>
                <w:sz w:val="15"/>
                <w:szCs w:val="15"/>
                <w:color w:val="auto"/>
              </w:rPr>
              <w:t>Total</w:t>
            </w:r>
          </w:p>
        </w:tc>
        <w:tc>
          <w:tcPr>
            <w:tcW w:w="1680" w:type="dxa"/>
            <w:vAlign w:val="bottom"/>
          </w:tcPr>
          <w:p>
            <w:pPr>
              <w:jc w:val="right"/>
              <w:ind w:right="65"/>
              <w:spacing w:after="0"/>
              <w:rPr>
                <w:sz w:val="20"/>
                <w:szCs w:val="20"/>
                <w:color w:val="auto"/>
              </w:rPr>
            </w:pPr>
            <w:r>
              <w:rPr>
                <w:rFonts w:ascii="Arial" w:cs="Arial" w:eastAsia="Arial" w:hAnsi="Arial"/>
                <w:sz w:val="15"/>
                <w:szCs w:val="15"/>
                <w:color w:val="auto"/>
              </w:rPr>
              <w:t>$433,751</w:t>
            </w:r>
          </w:p>
        </w:tc>
        <w:tc>
          <w:tcPr>
            <w:tcW w:w="1580" w:type="dxa"/>
            <w:vAlign w:val="bottom"/>
          </w:tcPr>
          <w:p>
            <w:pPr>
              <w:jc w:val="right"/>
              <w:ind w:right="25"/>
              <w:spacing w:after="0"/>
              <w:rPr>
                <w:sz w:val="20"/>
                <w:szCs w:val="20"/>
                <w:color w:val="auto"/>
              </w:rPr>
            </w:pPr>
            <w:r>
              <w:rPr>
                <w:rFonts w:ascii="Arial" w:cs="Arial" w:eastAsia="Arial" w:hAnsi="Arial"/>
                <w:sz w:val="15"/>
                <w:szCs w:val="15"/>
                <w:color w:val="auto"/>
              </w:rPr>
              <w:t>$695,535</w:t>
            </w:r>
          </w:p>
        </w:tc>
        <w:tc>
          <w:tcPr>
            <w:tcW w:w="1460" w:type="dxa"/>
            <w:vAlign w:val="bottom"/>
          </w:tcPr>
          <w:p>
            <w:pPr>
              <w:ind w:left="1260"/>
              <w:spacing w:after="0"/>
              <w:rPr>
                <w:sz w:val="20"/>
                <w:szCs w:val="20"/>
                <w:color w:val="auto"/>
              </w:rPr>
            </w:pPr>
            <w:r>
              <w:rPr>
                <w:rFonts w:ascii="Arial" w:cs="Arial" w:eastAsia="Arial" w:hAnsi="Arial"/>
                <w:sz w:val="15"/>
                <w:szCs w:val="15"/>
                <w:color w:val="auto"/>
              </w:rPr>
              <w:t>–</w:t>
            </w:r>
          </w:p>
        </w:tc>
        <w:tc>
          <w:tcPr>
            <w:tcW w:w="660" w:type="dxa"/>
            <w:vAlign w:val="bottom"/>
          </w:tcPr>
          <w:p>
            <w:pPr>
              <w:jc w:val="right"/>
              <w:spacing w:after="0"/>
              <w:rPr>
                <w:sz w:val="20"/>
                <w:szCs w:val="20"/>
                <w:color w:val="auto"/>
              </w:rPr>
            </w:pPr>
            <w:r>
              <w:rPr>
                <w:rFonts w:ascii="Arial" w:cs="Arial" w:eastAsia="Arial" w:hAnsi="Arial"/>
                <w:sz w:val="15"/>
                <w:szCs w:val="15"/>
                <w:color w:val="auto"/>
              </w:rPr>
              <w:t>$</w:t>
            </w:r>
          </w:p>
        </w:tc>
        <w:tc>
          <w:tcPr>
            <w:tcW w:w="800" w:type="dxa"/>
            <w:vAlign w:val="bottom"/>
          </w:tcPr>
          <w:p>
            <w:pPr>
              <w:jc w:val="right"/>
              <w:ind w:right="25"/>
              <w:spacing w:after="0"/>
              <w:rPr>
                <w:sz w:val="20"/>
                <w:szCs w:val="20"/>
                <w:color w:val="auto"/>
              </w:rPr>
            </w:pPr>
            <w:r>
              <w:rPr>
                <w:rFonts w:ascii="Arial" w:cs="Arial" w:eastAsia="Arial" w:hAnsi="Arial"/>
                <w:sz w:val="15"/>
                <w:szCs w:val="15"/>
                <w:color w:val="auto"/>
              </w:rPr>
              <w:t>1,911,279</w:t>
            </w:r>
          </w:p>
        </w:tc>
        <w:tc>
          <w:tcPr>
            <w:tcW w:w="1400" w:type="dxa"/>
            <w:vAlign w:val="bottom"/>
          </w:tcPr>
          <w:p>
            <w:pPr>
              <w:ind w:left="1260"/>
              <w:spacing w:after="0"/>
              <w:rPr>
                <w:sz w:val="20"/>
                <w:szCs w:val="20"/>
                <w:color w:val="auto"/>
              </w:rPr>
            </w:pPr>
            <w:r>
              <w:rPr>
                <w:rFonts w:ascii="Arial" w:cs="Arial" w:eastAsia="Arial" w:hAnsi="Arial"/>
                <w:sz w:val="15"/>
                <w:szCs w:val="15"/>
                <w:color w:val="auto"/>
              </w:rPr>
              <w: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485140</wp:posOffset>
            </wp:positionH>
            <wp:positionV relativeFrom="paragraph">
              <wp:posOffset>13970</wp:posOffset>
            </wp:positionV>
            <wp:extent cx="5829300" cy="8255"/>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56">
                      <a:extLst>
                        <a:ext uri="{28A0092B-C50C-407E-A947-70E740481C1C}"/>
                      </a:extLst>
                    </a:blip>
                    <a:srcRect/>
                    <a:stretch>
                      <a:fillRect/>
                    </a:stretch>
                  </pic:blipFill>
                  <pic:spPr bwMode="auto">
                    <a:xfrm>
                      <a:off x="0" y="0"/>
                      <a:ext cx="5829300" cy="8255"/>
                    </a:xfrm>
                    <a:prstGeom prst="rect">
                      <a:avLst/>
                    </a:prstGeom>
                    <a:noFill/>
                  </pic:spPr>
                </pic:pic>
              </a:graphicData>
            </a:graphic>
          </wp:anchor>
        </w:drawing>
      </w:r>
    </w:p>
    <w:p>
      <w:pPr>
        <w:spacing w:after="0" w:line="27" w:lineRule="exact"/>
        <w:rPr>
          <w:sz w:val="20"/>
          <w:szCs w:val="20"/>
          <w:color w:val="auto"/>
        </w:rPr>
      </w:pPr>
    </w:p>
    <w:p>
      <w:pPr>
        <w:ind w:left="980" w:right="239" w:hanging="216"/>
        <w:spacing w:after="0" w:line="253" w:lineRule="auto"/>
        <w:tabs>
          <w:tab w:leader="none" w:pos="980" w:val="left"/>
        </w:tabs>
        <w:numPr>
          <w:ilvl w:val="0"/>
          <w:numId w:val="72"/>
        </w:numPr>
        <w:rPr>
          <w:rFonts w:ascii="Arial" w:cs="Arial" w:eastAsia="Arial" w:hAnsi="Arial"/>
          <w:sz w:val="13"/>
          <w:szCs w:val="13"/>
          <w:i w:val="1"/>
          <w:iCs w:val="1"/>
          <w:color w:val="auto"/>
        </w:rPr>
      </w:pPr>
      <w:r>
        <w:rPr>
          <w:rFonts w:ascii="Arial" w:cs="Arial" w:eastAsia="Arial" w:hAnsi="Arial"/>
          <w:sz w:val="13"/>
          <w:szCs w:val="13"/>
          <w:i w:val="1"/>
          <w:iCs w:val="1"/>
          <w:color w:val="auto"/>
        </w:rPr>
        <w:t>The potential payment in case of termination without cause represents 12 months of base salary ($433,571). We may elect to pay this severance amount in installments, and in this case, if Ms. Skeffington secures alternative employment, then the gross installments payable after the date when alternative employment commences will be reduced by a sum equal to the gross amount of her income from the alternative employment.</w:t>
      </w:r>
    </w:p>
    <w:p>
      <w:pPr>
        <w:ind w:left="980" w:right="199" w:hanging="216"/>
        <w:spacing w:after="0" w:line="249" w:lineRule="auto"/>
        <w:tabs>
          <w:tab w:leader="none" w:pos="980" w:val="left"/>
        </w:tabs>
        <w:numPr>
          <w:ilvl w:val="0"/>
          <w:numId w:val="72"/>
        </w:numPr>
        <w:rPr>
          <w:rFonts w:ascii="Arial" w:cs="Arial" w:eastAsia="Arial" w:hAnsi="Arial"/>
          <w:sz w:val="13"/>
          <w:szCs w:val="13"/>
          <w:i w:val="1"/>
          <w:iCs w:val="1"/>
          <w:color w:val="auto"/>
        </w:rPr>
      </w:pPr>
      <w:r>
        <w:rPr>
          <w:rFonts w:ascii="Arial" w:cs="Arial" w:eastAsia="Arial" w:hAnsi="Arial"/>
          <w:sz w:val="13"/>
          <w:szCs w:val="13"/>
          <w:i w:val="1"/>
          <w:iCs w:val="1"/>
          <w:color w:val="auto"/>
        </w:rPr>
        <w:t>The potential payment in case of separation due to change in control is calculated by adding (i) the amount resulting from multiplying the 6,884 RSUs subject to accelerated vesting by the closing market price at December 31, 2019 ($75.43) and (ii) the amount resulting multiplying each SARs award subject to accelerated vesting by the difference between the closing market price at December 31, 2019 ($75.43) and the exercise price for each SAR, as follows (11,402 SARs with an exercise price of $59.97). This does not include SARs where the exercise price exceeds the market price.</w:t>
      </w:r>
    </w:p>
    <w:p>
      <w:pPr>
        <w:ind w:left="980" w:right="219" w:hanging="216"/>
        <w:spacing w:after="0" w:line="247" w:lineRule="auto"/>
        <w:tabs>
          <w:tab w:leader="none" w:pos="980" w:val="left"/>
        </w:tabs>
        <w:numPr>
          <w:ilvl w:val="0"/>
          <w:numId w:val="72"/>
        </w:numPr>
        <w:rPr>
          <w:rFonts w:ascii="Arial" w:cs="Arial" w:eastAsia="Arial" w:hAnsi="Arial"/>
          <w:sz w:val="13"/>
          <w:szCs w:val="13"/>
          <w:i w:val="1"/>
          <w:iCs w:val="1"/>
          <w:color w:val="auto"/>
        </w:rPr>
      </w:pPr>
      <w:r>
        <w:rPr>
          <w:rFonts w:ascii="Arial" w:cs="Arial" w:eastAsia="Arial" w:hAnsi="Arial"/>
          <w:sz w:val="13"/>
          <w:szCs w:val="13"/>
          <w:i w:val="1"/>
          <w:iCs w:val="1"/>
          <w:color w:val="auto"/>
        </w:rPr>
        <w:t>The payment in case of separation due to death represents four times the base salary as a lump sum (payable by a third party insurer under a policy held by the Company for its employees) tax-free amount to the nominated person(s) plus LTIP potential payments calculated by adding the amount resulting from multiplying each SARs award subject to accelerated vesting by the difference between the closing market price at December 31, 2019 ($75.43) and the exercise price for each SAR, as follows (11,402 SARs with an exercise price of $59.97). This does not include SARs where the exercise price exceeds the market price.</w:t>
      </w:r>
    </w:p>
    <w:p>
      <w:pPr>
        <w:ind w:left="980" w:right="639" w:hanging="216"/>
        <w:spacing w:after="0" w:line="258" w:lineRule="auto"/>
        <w:tabs>
          <w:tab w:leader="none" w:pos="980" w:val="left"/>
        </w:tabs>
        <w:numPr>
          <w:ilvl w:val="0"/>
          <w:numId w:val="73"/>
        </w:numPr>
        <w:rPr>
          <w:rFonts w:ascii="Arial" w:cs="Arial" w:eastAsia="Arial" w:hAnsi="Arial"/>
          <w:sz w:val="13"/>
          <w:szCs w:val="13"/>
          <w:i w:val="1"/>
          <w:iCs w:val="1"/>
          <w:color w:val="auto"/>
        </w:rPr>
      </w:pPr>
      <w:r>
        <w:rPr>
          <w:rFonts w:ascii="Arial" w:cs="Arial" w:eastAsia="Arial" w:hAnsi="Arial"/>
          <w:sz w:val="13"/>
          <w:szCs w:val="13"/>
          <w:i w:val="1"/>
          <w:iCs w:val="1"/>
          <w:color w:val="auto"/>
        </w:rPr>
        <w:t>For the amounts on this table, we used an exchange rate of $1.275738014 per British Pound, each of which reflects the applicable period average published rate from our BOPC Accounting System between January 1, 2019 and December 31, 2019.</w:t>
      </w:r>
    </w:p>
    <w:p>
      <w:pPr>
        <w:spacing w:after="0" w:line="151" w:lineRule="exact"/>
        <w:rPr>
          <w:sz w:val="20"/>
          <w:szCs w:val="20"/>
          <w:color w:val="auto"/>
        </w:rPr>
      </w:pPr>
    </w:p>
    <w:p>
      <w:pPr>
        <w:ind w:left="760"/>
        <w:spacing w:after="0"/>
        <w:rPr>
          <w:sz w:val="20"/>
          <w:szCs w:val="20"/>
          <w:color w:val="auto"/>
        </w:rPr>
      </w:pPr>
      <w:r>
        <w:rPr>
          <w:rFonts w:ascii="Arial" w:cs="Arial" w:eastAsia="Arial" w:hAnsi="Arial"/>
          <w:sz w:val="20"/>
          <w:szCs w:val="20"/>
          <w:b w:val="1"/>
          <w:bCs w:val="1"/>
          <w:color w:val="FF4C4C"/>
        </w:rPr>
        <w:t>Edward Andrle</w:t>
      </w:r>
    </w:p>
    <w:p>
      <w:pPr>
        <w:spacing w:after="0" w:line="124" w:lineRule="exact"/>
        <w:rPr>
          <w:sz w:val="20"/>
          <w:szCs w:val="20"/>
          <w:color w:val="auto"/>
        </w:rPr>
      </w:pPr>
    </w:p>
    <w:p>
      <w:pPr>
        <w:jc w:val="both"/>
        <w:ind w:left="760" w:right="399"/>
        <w:spacing w:after="0" w:line="278" w:lineRule="auto"/>
        <w:rPr>
          <w:sz w:val="20"/>
          <w:szCs w:val="20"/>
          <w:color w:val="auto"/>
        </w:rPr>
      </w:pPr>
      <w:r>
        <w:rPr>
          <w:rFonts w:ascii="Arial" w:cs="Arial" w:eastAsia="Arial" w:hAnsi="Arial"/>
          <w:sz w:val="15"/>
          <w:szCs w:val="15"/>
          <w:color w:val="auto"/>
        </w:rPr>
        <w:t>On August 30, 2010, we entered into a service agreement with Mr. Andrle effective September 6, 2010. The agreement provides for an annual base salary in the amount of $333,000, which increased to $440,000 as of April 1, 2019 and an opportunity to earn an annual cash incentive bonus with a target amount equal to 65% of his annual base salary as of April1, 2019.</w:t>
      </w:r>
    </w:p>
    <w:p>
      <w:pPr>
        <w:spacing w:after="0" w:line="49" w:lineRule="exact"/>
        <w:rPr>
          <w:sz w:val="20"/>
          <w:szCs w:val="20"/>
          <w:color w:val="auto"/>
        </w:rPr>
      </w:pPr>
    </w:p>
    <w:p>
      <w:pPr>
        <w:ind w:left="760" w:right="319"/>
        <w:spacing w:after="0" w:line="262" w:lineRule="auto"/>
        <w:rPr>
          <w:sz w:val="20"/>
          <w:szCs w:val="20"/>
          <w:color w:val="auto"/>
        </w:rPr>
      </w:pPr>
      <w:r>
        <w:rPr>
          <w:rFonts w:ascii="Arial" w:cs="Arial" w:eastAsia="Arial" w:hAnsi="Arial"/>
          <w:sz w:val="15"/>
          <w:szCs w:val="15"/>
          <w:color w:val="auto"/>
        </w:rPr>
        <w:t>Effective January 1, 2020, Mr. Andrle resigned from his position as General Manager, Neuromodulation and assumed the position of Senior Advisor, continuing to be employed until June 30, 2020. In connection with Mr. Andrle’s new role as Senior Advisor, the company will pay Mr. Andrle a salary in the amount of $440,000. Mr. Andrle will receive the 2019 STI bonus in April 2020.</w:t>
      </w:r>
    </w:p>
    <w:p>
      <w:pPr>
        <w:spacing w:after="0" w:line="2" w:lineRule="exact"/>
        <w:rPr>
          <w:sz w:val="20"/>
          <w:szCs w:val="20"/>
          <w:color w:val="auto"/>
        </w:rPr>
      </w:pPr>
    </w:p>
    <w:p>
      <w:pPr>
        <w:ind w:left="760" w:right="219"/>
        <w:spacing w:after="0" w:line="250" w:lineRule="auto"/>
        <w:rPr>
          <w:sz w:val="20"/>
          <w:szCs w:val="20"/>
          <w:color w:val="auto"/>
        </w:rPr>
      </w:pPr>
      <w:r>
        <w:rPr>
          <w:rFonts w:ascii="Arial" w:cs="Arial" w:eastAsia="Arial" w:hAnsi="Arial"/>
          <w:sz w:val="16"/>
          <w:szCs w:val="16"/>
          <w:color w:val="auto"/>
        </w:rPr>
        <w:t>Mr. Andrle will receive a severance payment in the gross amount of $440,000 on the first payroll date following June 30, 2020. A payment for Restriction on Competition in the gross amount of $453,750 will be made on the first payroll date following February 15, 2021. Healthcare benefits will be reimbursed for a period of eight months measured from the termination date. Relocation expenses up to $25,000 will be reimbursed for expenses incurred in 2019 and 2020. Attorney fees up to $15,000 will be reimbursed for expenses related to the separation agreement.</w:t>
      </w:r>
    </w:p>
    <w:p>
      <w:pPr>
        <w:spacing w:after="0" w:line="81" w:lineRule="exact"/>
        <w:rPr>
          <w:sz w:val="20"/>
          <w:szCs w:val="20"/>
          <w:color w:val="auto"/>
        </w:rPr>
      </w:pPr>
    </w:p>
    <w:p>
      <w:pPr>
        <w:ind w:left="760" w:right="199"/>
        <w:spacing w:after="0" w:line="260" w:lineRule="auto"/>
        <w:rPr>
          <w:sz w:val="20"/>
          <w:szCs w:val="20"/>
          <w:color w:val="auto"/>
        </w:rPr>
      </w:pPr>
      <w:r>
        <w:rPr>
          <w:rFonts w:ascii="Arial" w:cs="Arial" w:eastAsia="Arial" w:hAnsi="Arial"/>
          <w:sz w:val="16"/>
          <w:szCs w:val="16"/>
          <w:color w:val="auto"/>
        </w:rPr>
        <w:t>The following table quantifies the potential payments that would be made to Mr. Andrle assuming a termination or change-in-control event had occurred on December 31, 2019.</w:t>
      </w:r>
    </w:p>
    <w:p>
      <w:pPr>
        <w:spacing w:after="0" w:line="126" w:lineRule="exact"/>
        <w:rPr>
          <w:sz w:val="20"/>
          <w:szCs w:val="20"/>
          <w:color w:val="auto"/>
        </w:rPr>
      </w:pPr>
    </w:p>
    <w:tbl>
      <w:tblPr>
        <w:tblLayout w:type="fixed"/>
        <w:tblInd w:w="760" w:type="dxa"/>
        <w:tblCellMar>
          <w:top w:w="0" w:type="dxa"/>
          <w:left w:w="0" w:type="dxa"/>
          <w:bottom w:w="0" w:type="dxa"/>
          <w:right w:w="0" w:type="dxa"/>
        </w:tblCellMar>
      </w:tblPr>
      <w:tr>
        <w:trPr>
          <w:trHeight w:val="175"/>
        </w:trPr>
        <w:tc>
          <w:tcPr>
            <w:tcW w:w="1520" w:type="dxa"/>
            <w:vAlign w:val="bottom"/>
          </w:tcPr>
          <w:p>
            <w:pPr>
              <w:ind w:left="40"/>
              <w:spacing w:after="0"/>
              <w:rPr>
                <w:sz w:val="20"/>
                <w:szCs w:val="20"/>
                <w:color w:val="auto"/>
              </w:rPr>
            </w:pPr>
            <w:r>
              <w:rPr>
                <w:rFonts w:ascii="Arial" w:cs="Arial" w:eastAsia="Arial" w:hAnsi="Arial"/>
                <w:sz w:val="14"/>
                <w:szCs w:val="14"/>
                <w:b w:val="1"/>
                <w:bCs w:val="1"/>
                <w:color w:val="4800E6"/>
              </w:rPr>
              <w:t>Type of Payment</w:t>
            </w:r>
          </w:p>
        </w:tc>
        <w:tc>
          <w:tcPr>
            <w:tcW w:w="1780" w:type="dxa"/>
            <w:vAlign w:val="bottom"/>
            <w:gridSpan w:val="2"/>
          </w:tcPr>
          <w:p>
            <w:pPr>
              <w:jc w:val="right"/>
              <w:ind w:right="84"/>
              <w:spacing w:after="0"/>
              <w:rPr>
                <w:sz w:val="20"/>
                <w:szCs w:val="20"/>
                <w:color w:val="auto"/>
              </w:rPr>
            </w:pPr>
            <w:r>
              <w:rPr>
                <w:rFonts w:ascii="Arial" w:cs="Arial" w:eastAsia="Arial" w:hAnsi="Arial"/>
                <w:sz w:val="14"/>
                <w:szCs w:val="14"/>
                <w:b w:val="1"/>
                <w:bCs w:val="1"/>
                <w:color w:val="4800E6"/>
              </w:rPr>
              <w:t>Termination</w:t>
            </w:r>
          </w:p>
        </w:tc>
        <w:tc>
          <w:tcPr>
            <w:tcW w:w="1580" w:type="dxa"/>
            <w:vAlign w:val="bottom"/>
          </w:tcPr>
          <w:p>
            <w:pPr>
              <w:jc w:val="right"/>
              <w:ind w:right="85"/>
              <w:spacing w:after="0"/>
              <w:rPr>
                <w:sz w:val="20"/>
                <w:szCs w:val="20"/>
                <w:color w:val="auto"/>
              </w:rPr>
            </w:pPr>
            <w:r>
              <w:rPr>
                <w:rFonts w:ascii="Arial" w:cs="Arial" w:eastAsia="Arial" w:hAnsi="Arial"/>
                <w:sz w:val="14"/>
                <w:szCs w:val="14"/>
                <w:b w:val="1"/>
                <w:bCs w:val="1"/>
                <w:color w:val="4800E6"/>
              </w:rPr>
              <w:t>Separation due to</w:t>
            </w:r>
          </w:p>
        </w:tc>
        <w:tc>
          <w:tcPr>
            <w:tcW w:w="1440" w:type="dxa"/>
            <w:vAlign w:val="bottom"/>
          </w:tcPr>
          <w:p>
            <w:pPr>
              <w:ind w:left="100"/>
              <w:spacing w:after="0"/>
              <w:rPr>
                <w:sz w:val="20"/>
                <w:szCs w:val="20"/>
                <w:color w:val="auto"/>
              </w:rPr>
            </w:pPr>
            <w:r>
              <w:rPr>
                <w:rFonts w:ascii="Arial" w:cs="Arial" w:eastAsia="Arial" w:hAnsi="Arial"/>
                <w:sz w:val="14"/>
                <w:szCs w:val="14"/>
                <w:b w:val="1"/>
                <w:bCs w:val="1"/>
                <w:color w:val="4800E6"/>
              </w:rPr>
              <w:t>Separation due to</w:t>
            </w:r>
          </w:p>
        </w:tc>
        <w:tc>
          <w:tcPr>
            <w:tcW w:w="1460" w:type="dxa"/>
            <w:vAlign w:val="bottom"/>
          </w:tcPr>
          <w:p>
            <w:pPr>
              <w:jc w:val="right"/>
              <w:ind w:right="85"/>
              <w:spacing w:after="0"/>
              <w:rPr>
                <w:sz w:val="20"/>
                <w:szCs w:val="20"/>
                <w:color w:val="auto"/>
              </w:rPr>
            </w:pPr>
            <w:r>
              <w:rPr>
                <w:rFonts w:ascii="Arial" w:cs="Arial" w:eastAsia="Arial" w:hAnsi="Arial"/>
                <w:sz w:val="14"/>
                <w:szCs w:val="14"/>
                <w:b w:val="1"/>
                <w:bCs w:val="1"/>
                <w:color w:val="4800E6"/>
              </w:rPr>
              <w:t>Separation due to</w:t>
            </w:r>
          </w:p>
        </w:tc>
        <w:tc>
          <w:tcPr>
            <w:tcW w:w="1400" w:type="dxa"/>
            <w:vAlign w:val="bottom"/>
          </w:tcPr>
          <w:p>
            <w:pPr>
              <w:ind w:left="120"/>
              <w:spacing w:after="0"/>
              <w:rPr>
                <w:sz w:val="20"/>
                <w:szCs w:val="20"/>
                <w:color w:val="auto"/>
              </w:rPr>
            </w:pPr>
            <w:r>
              <w:rPr>
                <w:rFonts w:ascii="Arial" w:cs="Arial" w:eastAsia="Arial" w:hAnsi="Arial"/>
                <w:sz w:val="14"/>
                <w:szCs w:val="14"/>
                <w:b w:val="1"/>
                <w:bCs w:val="1"/>
                <w:color w:val="4800E6"/>
              </w:rPr>
              <w:t>Separation due to</w:t>
            </w:r>
          </w:p>
        </w:tc>
      </w:tr>
      <w:tr>
        <w:trPr>
          <w:trHeight w:val="216"/>
        </w:trPr>
        <w:tc>
          <w:tcPr>
            <w:tcW w:w="1520" w:type="dxa"/>
            <w:vAlign w:val="bottom"/>
            <w:tcBorders>
              <w:bottom w:val="single" w:sz="8" w:color="4800E6"/>
            </w:tcBorders>
          </w:tcPr>
          <w:p>
            <w:pPr>
              <w:ind w:left="40"/>
              <w:spacing w:after="0"/>
              <w:rPr>
                <w:sz w:val="20"/>
                <w:szCs w:val="20"/>
                <w:color w:val="auto"/>
              </w:rPr>
            </w:pPr>
            <w:r>
              <w:rPr>
                <w:rFonts w:ascii="Arial" w:cs="Arial" w:eastAsia="Arial" w:hAnsi="Arial"/>
                <w:sz w:val="14"/>
                <w:szCs w:val="14"/>
                <w:b w:val="1"/>
                <w:bCs w:val="1"/>
                <w:color w:val="4800E6"/>
              </w:rPr>
              <w:t>or Benefit</w:t>
            </w:r>
          </w:p>
        </w:tc>
        <w:tc>
          <w:tcPr>
            <w:tcW w:w="1780" w:type="dxa"/>
            <w:vAlign w:val="bottom"/>
            <w:tcBorders>
              <w:bottom w:val="single" w:sz="8" w:color="4800E6"/>
            </w:tcBorders>
            <w:gridSpan w:val="2"/>
          </w:tcPr>
          <w:p>
            <w:pPr>
              <w:jc w:val="right"/>
              <w:ind w:right="64"/>
              <w:spacing w:after="0" w:line="216" w:lineRule="exact"/>
              <w:rPr>
                <w:sz w:val="20"/>
                <w:szCs w:val="20"/>
                <w:color w:val="auto"/>
              </w:rPr>
            </w:pPr>
            <w:r>
              <w:rPr>
                <w:rFonts w:ascii="Arial" w:cs="Arial" w:eastAsia="Arial" w:hAnsi="Arial"/>
                <w:sz w:val="14"/>
                <w:szCs w:val="14"/>
                <w:b w:val="1"/>
                <w:bCs w:val="1"/>
                <w:color w:val="4800E6"/>
              </w:rPr>
              <w:t>without Cause ($)</w:t>
            </w:r>
            <w:r>
              <w:rPr>
                <w:rFonts w:ascii="Arial" w:cs="Arial" w:eastAsia="Arial" w:hAnsi="Arial"/>
                <w:sz w:val="21"/>
                <w:szCs w:val="21"/>
                <w:b w:val="1"/>
                <w:bCs w:val="1"/>
                <w:color w:val="4800E6"/>
                <w:vertAlign w:val="superscript"/>
              </w:rPr>
              <w:t>(1)</w:t>
            </w:r>
          </w:p>
        </w:tc>
        <w:tc>
          <w:tcPr>
            <w:tcW w:w="1580" w:type="dxa"/>
            <w:vAlign w:val="bottom"/>
            <w:tcBorders>
              <w:bottom w:val="single" w:sz="8" w:color="4800E6"/>
            </w:tcBorders>
          </w:tcPr>
          <w:p>
            <w:pPr>
              <w:jc w:val="right"/>
              <w:ind w:right="45"/>
              <w:spacing w:after="0" w:line="216" w:lineRule="exact"/>
              <w:rPr>
                <w:sz w:val="20"/>
                <w:szCs w:val="20"/>
                <w:color w:val="auto"/>
              </w:rPr>
            </w:pPr>
            <w:r>
              <w:rPr>
                <w:rFonts w:ascii="Arial" w:cs="Arial" w:eastAsia="Arial" w:hAnsi="Arial"/>
                <w:sz w:val="14"/>
                <w:szCs w:val="14"/>
                <w:b w:val="1"/>
                <w:bCs w:val="1"/>
                <w:color w:val="4800E6"/>
              </w:rPr>
              <w:t>Change in Control</w:t>
            </w:r>
            <w:r>
              <w:rPr>
                <w:rFonts w:ascii="Arial" w:cs="Arial" w:eastAsia="Arial" w:hAnsi="Arial"/>
                <w:sz w:val="21"/>
                <w:szCs w:val="21"/>
                <w:b w:val="1"/>
                <w:bCs w:val="1"/>
                <w:color w:val="4800E6"/>
                <w:vertAlign w:val="superscript"/>
              </w:rPr>
              <w:t>(2)</w:t>
            </w:r>
          </w:p>
        </w:tc>
        <w:tc>
          <w:tcPr>
            <w:tcW w:w="1440" w:type="dxa"/>
            <w:vAlign w:val="bottom"/>
            <w:tcBorders>
              <w:bottom w:val="single" w:sz="8" w:color="4800E6"/>
            </w:tcBorders>
          </w:tcPr>
          <w:p>
            <w:pPr>
              <w:ind w:left="700"/>
              <w:spacing w:after="0"/>
              <w:rPr>
                <w:sz w:val="20"/>
                <w:szCs w:val="20"/>
                <w:color w:val="auto"/>
              </w:rPr>
            </w:pPr>
            <w:r>
              <w:rPr>
                <w:rFonts w:ascii="Arial" w:cs="Arial" w:eastAsia="Arial" w:hAnsi="Arial"/>
                <w:sz w:val="14"/>
                <w:szCs w:val="14"/>
                <w:b w:val="1"/>
                <w:bCs w:val="1"/>
                <w:color w:val="4800E6"/>
              </w:rPr>
              <w:t>Disability</w:t>
            </w:r>
          </w:p>
        </w:tc>
        <w:tc>
          <w:tcPr>
            <w:tcW w:w="1460" w:type="dxa"/>
            <w:vAlign w:val="bottom"/>
            <w:tcBorders>
              <w:bottom w:val="single" w:sz="8" w:color="4800E6"/>
            </w:tcBorders>
          </w:tcPr>
          <w:p>
            <w:pPr>
              <w:jc w:val="right"/>
              <w:ind w:right="45"/>
              <w:spacing w:after="0" w:line="216" w:lineRule="exact"/>
              <w:rPr>
                <w:sz w:val="20"/>
                <w:szCs w:val="20"/>
                <w:color w:val="auto"/>
              </w:rPr>
            </w:pPr>
            <w:r>
              <w:rPr>
                <w:rFonts w:ascii="Arial" w:cs="Arial" w:eastAsia="Arial" w:hAnsi="Arial"/>
                <w:sz w:val="14"/>
                <w:szCs w:val="14"/>
                <w:b w:val="1"/>
                <w:bCs w:val="1"/>
                <w:color w:val="4800E6"/>
              </w:rPr>
              <w:t>Death</w:t>
            </w:r>
            <w:r>
              <w:rPr>
                <w:rFonts w:ascii="Arial" w:cs="Arial" w:eastAsia="Arial" w:hAnsi="Arial"/>
                <w:sz w:val="21"/>
                <w:szCs w:val="21"/>
                <w:b w:val="1"/>
                <w:bCs w:val="1"/>
                <w:color w:val="4800E6"/>
                <w:vertAlign w:val="superscript"/>
              </w:rPr>
              <w:t>(3)</w:t>
            </w:r>
          </w:p>
        </w:tc>
        <w:tc>
          <w:tcPr>
            <w:tcW w:w="1400" w:type="dxa"/>
            <w:vAlign w:val="bottom"/>
            <w:tcBorders>
              <w:bottom w:val="single" w:sz="8" w:color="4800E6"/>
            </w:tcBorders>
          </w:tcPr>
          <w:p>
            <w:pPr>
              <w:ind w:left="600"/>
              <w:spacing w:after="0"/>
              <w:rPr>
                <w:sz w:val="20"/>
                <w:szCs w:val="20"/>
                <w:color w:val="auto"/>
              </w:rPr>
            </w:pPr>
            <w:r>
              <w:rPr>
                <w:rFonts w:ascii="Arial" w:cs="Arial" w:eastAsia="Arial" w:hAnsi="Arial"/>
                <w:sz w:val="14"/>
                <w:szCs w:val="14"/>
                <w:b w:val="1"/>
                <w:bCs w:val="1"/>
                <w:color w:val="4800E6"/>
              </w:rPr>
              <w:t>Retirement</w:t>
            </w:r>
          </w:p>
        </w:tc>
      </w:tr>
      <w:tr>
        <w:trPr>
          <w:trHeight w:val="215"/>
        </w:trPr>
        <w:tc>
          <w:tcPr>
            <w:tcW w:w="1520" w:type="dxa"/>
            <w:vAlign w:val="bottom"/>
          </w:tcPr>
          <w:p>
            <w:pPr>
              <w:ind w:left="40"/>
              <w:spacing w:after="0"/>
              <w:rPr>
                <w:sz w:val="20"/>
                <w:szCs w:val="20"/>
                <w:color w:val="auto"/>
              </w:rPr>
            </w:pPr>
            <w:r>
              <w:rPr>
                <w:rFonts w:ascii="Arial" w:cs="Arial" w:eastAsia="Arial" w:hAnsi="Arial"/>
                <w:sz w:val="15"/>
                <w:szCs w:val="15"/>
                <w:color w:val="auto"/>
              </w:rPr>
              <w:t>Severance</w:t>
            </w:r>
          </w:p>
        </w:tc>
        <w:tc>
          <w:tcPr>
            <w:tcW w:w="1780" w:type="dxa"/>
            <w:vAlign w:val="bottom"/>
            <w:gridSpan w:val="2"/>
          </w:tcPr>
          <w:p>
            <w:pPr>
              <w:jc w:val="right"/>
              <w:ind w:right="44"/>
              <w:spacing w:after="0"/>
              <w:rPr>
                <w:sz w:val="20"/>
                <w:szCs w:val="20"/>
                <w:color w:val="auto"/>
              </w:rPr>
            </w:pPr>
            <w:r>
              <w:rPr>
                <w:rFonts w:ascii="Arial" w:cs="Arial" w:eastAsia="Arial" w:hAnsi="Arial"/>
                <w:sz w:val="15"/>
                <w:szCs w:val="15"/>
                <w:color w:val="auto"/>
              </w:rPr>
              <w:t>$440,000</w:t>
            </w:r>
          </w:p>
        </w:tc>
        <w:tc>
          <w:tcPr>
            <w:tcW w:w="1580" w:type="dxa"/>
            <w:vAlign w:val="bottom"/>
          </w:tcPr>
          <w:p>
            <w:pPr>
              <w:jc w:val="right"/>
              <w:ind w:right="45"/>
              <w:spacing w:after="0"/>
              <w:rPr>
                <w:sz w:val="20"/>
                <w:szCs w:val="20"/>
                <w:color w:val="auto"/>
              </w:rPr>
            </w:pPr>
            <w:r>
              <w:rPr>
                <w:rFonts w:ascii="Arial" w:cs="Arial" w:eastAsia="Arial" w:hAnsi="Arial"/>
                <w:sz w:val="15"/>
                <w:szCs w:val="15"/>
                <w:color w:val="auto"/>
              </w:rPr>
              <w:t>–</w:t>
            </w:r>
          </w:p>
        </w:tc>
        <w:tc>
          <w:tcPr>
            <w:tcW w:w="1440" w:type="dxa"/>
            <w:vAlign w:val="bottom"/>
          </w:tcPr>
          <w:p>
            <w:pPr>
              <w:ind w:left="1240"/>
              <w:spacing w:after="0"/>
              <w:rPr>
                <w:sz w:val="20"/>
                <w:szCs w:val="20"/>
                <w:color w:val="auto"/>
              </w:rPr>
            </w:pPr>
            <w:r>
              <w:rPr>
                <w:rFonts w:ascii="Arial" w:cs="Arial" w:eastAsia="Arial" w:hAnsi="Arial"/>
                <w:sz w:val="15"/>
                <w:szCs w:val="15"/>
                <w:color w:val="auto"/>
              </w:rPr>
              <w:t>–</w:t>
            </w:r>
          </w:p>
        </w:tc>
        <w:tc>
          <w:tcPr>
            <w:tcW w:w="1460" w:type="dxa"/>
            <w:vAlign w:val="bottom"/>
          </w:tcPr>
          <w:p>
            <w:pPr>
              <w:jc w:val="right"/>
              <w:ind w:right="25"/>
              <w:spacing w:after="0"/>
              <w:rPr>
                <w:sz w:val="20"/>
                <w:szCs w:val="20"/>
                <w:color w:val="auto"/>
              </w:rPr>
            </w:pPr>
            <w:r>
              <w:rPr>
                <w:rFonts w:ascii="Arial" w:cs="Arial" w:eastAsia="Arial" w:hAnsi="Arial"/>
                <w:sz w:val="15"/>
                <w:szCs w:val="15"/>
                <w:color w:val="auto"/>
              </w:rPr>
              <w:t>$500,000</w:t>
            </w:r>
          </w:p>
        </w:tc>
        <w:tc>
          <w:tcPr>
            <w:tcW w:w="1400" w:type="dxa"/>
            <w:vAlign w:val="bottom"/>
          </w:tcPr>
          <w:p>
            <w:pPr>
              <w:ind w:left="1260"/>
              <w:spacing w:after="0"/>
              <w:rPr>
                <w:sz w:val="20"/>
                <w:szCs w:val="20"/>
                <w:color w:val="auto"/>
              </w:rPr>
            </w:pPr>
            <w:r>
              <w:rPr>
                <w:rFonts w:ascii="Arial" w:cs="Arial" w:eastAsia="Arial" w:hAnsi="Arial"/>
                <w:sz w:val="15"/>
                <w:szCs w:val="15"/>
                <w:color w:val="auto"/>
              </w:rPr>
              <w:t>–</w:t>
            </w:r>
          </w:p>
        </w:tc>
      </w:tr>
      <w:tr>
        <w:trPr>
          <w:trHeight w:val="22"/>
        </w:trPr>
        <w:tc>
          <w:tcPr>
            <w:tcW w:w="15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r>
      <w:tr>
        <w:trPr>
          <w:trHeight w:val="250"/>
        </w:trPr>
        <w:tc>
          <w:tcPr>
            <w:tcW w:w="1520" w:type="dxa"/>
            <w:vAlign w:val="bottom"/>
            <w:tcBorders>
              <w:bottom w:val="single" w:sz="8" w:color="EFE9FC"/>
            </w:tcBorders>
            <w:shd w:val="clear" w:color="auto" w:fill="EFE9FC"/>
          </w:tcPr>
          <w:p>
            <w:pPr>
              <w:ind w:left="40"/>
              <w:spacing w:after="0"/>
              <w:rPr>
                <w:sz w:val="20"/>
                <w:szCs w:val="20"/>
                <w:color w:val="auto"/>
              </w:rPr>
            </w:pPr>
            <w:r>
              <w:rPr>
                <w:rFonts w:ascii="Arial" w:cs="Arial" w:eastAsia="Arial" w:hAnsi="Arial"/>
                <w:sz w:val="15"/>
                <w:szCs w:val="15"/>
                <w:color w:val="auto"/>
              </w:rPr>
              <w:t>STIP</w:t>
            </w:r>
          </w:p>
        </w:tc>
        <w:tc>
          <w:tcPr>
            <w:tcW w:w="1100" w:type="dxa"/>
            <w:vAlign w:val="bottom"/>
            <w:tcBorders>
              <w:bottom w:val="single" w:sz="8" w:color="EFE9FC"/>
            </w:tcBorders>
            <w:shd w:val="clear" w:color="auto" w:fill="EFE9FC"/>
          </w:tcPr>
          <w:p>
            <w:pPr>
              <w:jc w:val="right"/>
              <w:spacing w:after="0"/>
              <w:rPr>
                <w:sz w:val="20"/>
                <w:szCs w:val="20"/>
                <w:color w:val="auto"/>
              </w:rPr>
            </w:pPr>
            <w:r>
              <w:rPr>
                <w:rFonts w:ascii="Arial" w:cs="Arial" w:eastAsia="Arial" w:hAnsi="Arial"/>
                <w:sz w:val="15"/>
                <w:szCs w:val="15"/>
                <w:color w:val="auto"/>
              </w:rPr>
              <w:t>$</w:t>
            </w:r>
          </w:p>
        </w:tc>
        <w:tc>
          <w:tcPr>
            <w:tcW w:w="680" w:type="dxa"/>
            <w:vAlign w:val="bottom"/>
            <w:tcBorders>
              <w:bottom w:val="single" w:sz="8" w:color="EFE9FC"/>
            </w:tcBorders>
            <w:shd w:val="clear" w:color="auto" w:fill="EFE9FC"/>
          </w:tcPr>
          <w:p>
            <w:pPr>
              <w:jc w:val="right"/>
              <w:ind w:right="44"/>
              <w:spacing w:after="0"/>
              <w:rPr>
                <w:sz w:val="20"/>
                <w:szCs w:val="20"/>
                <w:color w:val="auto"/>
              </w:rPr>
            </w:pPr>
            <w:r>
              <w:rPr>
                <w:rFonts w:ascii="Arial" w:cs="Arial" w:eastAsia="Arial" w:hAnsi="Arial"/>
                <w:sz w:val="15"/>
                <w:szCs w:val="15"/>
                <w:color w:val="auto"/>
              </w:rPr>
              <w:t>–</w:t>
            </w:r>
          </w:p>
        </w:tc>
        <w:tc>
          <w:tcPr>
            <w:tcW w:w="1580" w:type="dxa"/>
            <w:vAlign w:val="bottom"/>
            <w:tcBorders>
              <w:bottom w:val="single" w:sz="8" w:color="EFE9FC"/>
            </w:tcBorders>
            <w:shd w:val="clear" w:color="auto" w:fill="EFE9FC"/>
          </w:tcPr>
          <w:p>
            <w:pPr>
              <w:jc w:val="right"/>
              <w:ind w:right="45"/>
              <w:spacing w:after="0"/>
              <w:rPr>
                <w:sz w:val="20"/>
                <w:szCs w:val="20"/>
                <w:color w:val="auto"/>
              </w:rPr>
            </w:pPr>
            <w:r>
              <w:rPr>
                <w:rFonts w:ascii="Arial" w:cs="Arial" w:eastAsia="Arial" w:hAnsi="Arial"/>
                <w:sz w:val="15"/>
                <w:szCs w:val="15"/>
                <w:color w:val="auto"/>
              </w:rPr>
              <w:t>–</w:t>
            </w:r>
          </w:p>
        </w:tc>
        <w:tc>
          <w:tcPr>
            <w:tcW w:w="1440" w:type="dxa"/>
            <w:vAlign w:val="bottom"/>
            <w:tcBorders>
              <w:bottom w:val="single" w:sz="8" w:color="EFE9FC"/>
            </w:tcBorders>
            <w:shd w:val="clear" w:color="auto" w:fill="EFE9FC"/>
          </w:tcPr>
          <w:p>
            <w:pPr>
              <w:ind w:left="1240"/>
              <w:spacing w:after="0"/>
              <w:rPr>
                <w:sz w:val="20"/>
                <w:szCs w:val="20"/>
                <w:color w:val="auto"/>
              </w:rPr>
            </w:pPr>
            <w:r>
              <w:rPr>
                <w:rFonts w:ascii="Arial" w:cs="Arial" w:eastAsia="Arial" w:hAnsi="Arial"/>
                <w:sz w:val="15"/>
                <w:szCs w:val="15"/>
                <w:color w:val="auto"/>
              </w:rPr>
              <w:t>–</w:t>
            </w:r>
          </w:p>
        </w:tc>
        <w:tc>
          <w:tcPr>
            <w:tcW w:w="1460" w:type="dxa"/>
            <w:vAlign w:val="bottom"/>
            <w:tcBorders>
              <w:bottom w:val="single" w:sz="8" w:color="EFE9FC"/>
            </w:tcBorders>
            <w:shd w:val="clear" w:color="auto" w:fill="EFE9FC"/>
          </w:tcPr>
          <w:p>
            <w:pPr>
              <w:jc w:val="right"/>
              <w:ind w:right="25"/>
              <w:spacing w:after="0"/>
              <w:rPr>
                <w:sz w:val="20"/>
                <w:szCs w:val="20"/>
                <w:color w:val="auto"/>
              </w:rPr>
            </w:pPr>
            <w:r>
              <w:rPr>
                <w:rFonts w:ascii="Arial" w:cs="Arial" w:eastAsia="Arial" w:hAnsi="Arial"/>
                <w:sz w:val="15"/>
                <w:szCs w:val="15"/>
                <w:color w:val="auto"/>
              </w:rPr>
              <w:t>–</w:t>
            </w:r>
          </w:p>
        </w:tc>
        <w:tc>
          <w:tcPr>
            <w:tcW w:w="1400" w:type="dxa"/>
            <w:vAlign w:val="bottom"/>
            <w:tcBorders>
              <w:bottom w:val="single" w:sz="8" w:color="EFE9FC"/>
            </w:tcBorders>
            <w:shd w:val="clear" w:color="auto" w:fill="EFE9FC"/>
          </w:tcPr>
          <w:p>
            <w:pPr>
              <w:ind w:left="1260"/>
              <w:spacing w:after="0"/>
              <w:rPr>
                <w:sz w:val="20"/>
                <w:szCs w:val="20"/>
                <w:color w:val="auto"/>
              </w:rPr>
            </w:pPr>
            <w:r>
              <w:rPr>
                <w:rFonts w:ascii="Arial" w:cs="Arial" w:eastAsia="Arial" w:hAnsi="Arial"/>
                <w:sz w:val="15"/>
                <w:szCs w:val="15"/>
                <w:color w:val="auto"/>
              </w:rPr>
              <w:t>–</w:t>
            </w:r>
          </w:p>
        </w:tc>
      </w:tr>
      <w:tr>
        <w:trPr>
          <w:trHeight w:val="221"/>
        </w:trPr>
        <w:tc>
          <w:tcPr>
            <w:tcW w:w="1520" w:type="dxa"/>
            <w:vAlign w:val="bottom"/>
          </w:tcPr>
          <w:p>
            <w:pPr>
              <w:ind w:left="40"/>
              <w:spacing w:after="0"/>
              <w:rPr>
                <w:sz w:val="20"/>
                <w:szCs w:val="20"/>
                <w:color w:val="auto"/>
              </w:rPr>
            </w:pPr>
            <w:r>
              <w:rPr>
                <w:rFonts w:ascii="Arial" w:cs="Arial" w:eastAsia="Arial" w:hAnsi="Arial"/>
                <w:sz w:val="15"/>
                <w:szCs w:val="15"/>
                <w:color w:val="auto"/>
              </w:rPr>
              <w:t>LTIP</w:t>
            </w:r>
          </w:p>
        </w:tc>
        <w:tc>
          <w:tcPr>
            <w:tcW w:w="1100" w:type="dxa"/>
            <w:vAlign w:val="bottom"/>
          </w:tcPr>
          <w:p>
            <w:pPr>
              <w:jc w:val="right"/>
              <w:spacing w:after="0"/>
              <w:rPr>
                <w:sz w:val="20"/>
                <w:szCs w:val="20"/>
                <w:color w:val="auto"/>
              </w:rPr>
            </w:pPr>
            <w:r>
              <w:rPr>
                <w:rFonts w:ascii="Arial" w:cs="Arial" w:eastAsia="Arial" w:hAnsi="Arial"/>
                <w:sz w:val="15"/>
                <w:szCs w:val="15"/>
                <w:color w:val="auto"/>
              </w:rPr>
              <w:t>$</w:t>
            </w:r>
          </w:p>
        </w:tc>
        <w:tc>
          <w:tcPr>
            <w:tcW w:w="680" w:type="dxa"/>
            <w:vAlign w:val="bottom"/>
          </w:tcPr>
          <w:p>
            <w:pPr>
              <w:jc w:val="right"/>
              <w:ind w:right="44"/>
              <w:spacing w:after="0"/>
              <w:rPr>
                <w:sz w:val="20"/>
                <w:szCs w:val="20"/>
                <w:color w:val="auto"/>
              </w:rPr>
            </w:pPr>
            <w:r>
              <w:rPr>
                <w:rFonts w:ascii="Arial" w:cs="Arial" w:eastAsia="Arial" w:hAnsi="Arial"/>
                <w:sz w:val="15"/>
                <w:szCs w:val="15"/>
                <w:color w:val="auto"/>
              </w:rPr>
              <w:t>–</w:t>
            </w:r>
          </w:p>
        </w:tc>
        <w:tc>
          <w:tcPr>
            <w:tcW w:w="1580" w:type="dxa"/>
            <w:vAlign w:val="bottom"/>
          </w:tcPr>
          <w:p>
            <w:pPr>
              <w:jc w:val="right"/>
              <w:ind w:right="45"/>
              <w:spacing w:after="0"/>
              <w:rPr>
                <w:sz w:val="20"/>
                <w:szCs w:val="20"/>
                <w:color w:val="auto"/>
              </w:rPr>
            </w:pPr>
            <w:r>
              <w:rPr>
                <w:rFonts w:ascii="Arial" w:cs="Arial" w:eastAsia="Arial" w:hAnsi="Arial"/>
                <w:sz w:val="15"/>
                <w:szCs w:val="15"/>
                <w:color w:val="auto"/>
              </w:rPr>
              <w:t>$1,466,057</w:t>
            </w:r>
          </w:p>
        </w:tc>
        <w:tc>
          <w:tcPr>
            <w:tcW w:w="1440" w:type="dxa"/>
            <w:vAlign w:val="bottom"/>
          </w:tcPr>
          <w:p>
            <w:pPr>
              <w:ind w:left="1240"/>
              <w:spacing w:after="0"/>
              <w:rPr>
                <w:sz w:val="20"/>
                <w:szCs w:val="20"/>
                <w:color w:val="auto"/>
              </w:rPr>
            </w:pPr>
            <w:r>
              <w:rPr>
                <w:rFonts w:ascii="Arial" w:cs="Arial" w:eastAsia="Arial" w:hAnsi="Arial"/>
                <w:sz w:val="15"/>
                <w:szCs w:val="15"/>
                <w:color w:val="auto"/>
              </w:rPr>
              <w:t>–</w:t>
            </w:r>
          </w:p>
        </w:tc>
        <w:tc>
          <w:tcPr>
            <w:tcW w:w="1460" w:type="dxa"/>
            <w:vAlign w:val="bottom"/>
          </w:tcPr>
          <w:p>
            <w:pPr>
              <w:jc w:val="right"/>
              <w:ind w:right="25"/>
              <w:spacing w:after="0"/>
              <w:rPr>
                <w:sz w:val="20"/>
                <w:szCs w:val="20"/>
                <w:color w:val="auto"/>
              </w:rPr>
            </w:pPr>
            <w:r>
              <w:rPr>
                <w:rFonts w:ascii="Arial" w:cs="Arial" w:eastAsia="Arial" w:hAnsi="Arial"/>
                <w:sz w:val="15"/>
                <w:szCs w:val="15"/>
                <w:color w:val="auto"/>
              </w:rPr>
              <w:t>–</w:t>
            </w:r>
          </w:p>
        </w:tc>
        <w:tc>
          <w:tcPr>
            <w:tcW w:w="1400" w:type="dxa"/>
            <w:vAlign w:val="bottom"/>
          </w:tcPr>
          <w:p>
            <w:pPr>
              <w:ind w:left="1260"/>
              <w:spacing w:after="0"/>
              <w:rPr>
                <w:sz w:val="20"/>
                <w:szCs w:val="20"/>
                <w:color w:val="auto"/>
              </w:rPr>
            </w:pPr>
            <w:r>
              <w:rPr>
                <w:rFonts w:ascii="Arial" w:cs="Arial" w:eastAsia="Arial" w:hAnsi="Arial"/>
                <w:sz w:val="15"/>
                <w:szCs w:val="15"/>
                <w:color w:val="auto"/>
              </w:rPr>
              <w:t>–</w:t>
            </w:r>
          </w:p>
        </w:tc>
      </w:tr>
      <w:tr>
        <w:trPr>
          <w:trHeight w:val="22"/>
        </w:trPr>
        <w:tc>
          <w:tcPr>
            <w:tcW w:w="15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r>
      <w:tr>
        <w:trPr>
          <w:trHeight w:val="250"/>
        </w:trPr>
        <w:tc>
          <w:tcPr>
            <w:tcW w:w="1520" w:type="dxa"/>
            <w:vAlign w:val="bottom"/>
            <w:tcBorders>
              <w:bottom w:val="single" w:sz="8" w:color="EFE9FC"/>
            </w:tcBorders>
            <w:shd w:val="clear" w:color="auto" w:fill="EFE9FC"/>
          </w:tcPr>
          <w:p>
            <w:pPr>
              <w:ind w:left="40"/>
              <w:spacing w:after="0"/>
              <w:rPr>
                <w:sz w:val="20"/>
                <w:szCs w:val="20"/>
                <w:color w:val="auto"/>
              </w:rPr>
            </w:pPr>
            <w:r>
              <w:rPr>
                <w:rFonts w:ascii="Arial" w:cs="Arial" w:eastAsia="Arial" w:hAnsi="Arial"/>
                <w:sz w:val="15"/>
                <w:szCs w:val="15"/>
                <w:color w:val="auto"/>
              </w:rPr>
              <w:t>Benefits</w:t>
            </w:r>
          </w:p>
        </w:tc>
        <w:tc>
          <w:tcPr>
            <w:tcW w:w="1100" w:type="dxa"/>
            <w:vAlign w:val="bottom"/>
            <w:tcBorders>
              <w:bottom w:val="single" w:sz="8" w:color="EFE9FC"/>
            </w:tcBorders>
            <w:shd w:val="clear" w:color="auto" w:fill="EFE9FC"/>
          </w:tcPr>
          <w:p>
            <w:pPr>
              <w:spacing w:after="0"/>
              <w:rPr>
                <w:sz w:val="21"/>
                <w:szCs w:val="21"/>
                <w:color w:val="auto"/>
              </w:rPr>
            </w:pPr>
          </w:p>
        </w:tc>
        <w:tc>
          <w:tcPr>
            <w:tcW w:w="680" w:type="dxa"/>
            <w:vAlign w:val="bottom"/>
            <w:tcBorders>
              <w:bottom w:val="single" w:sz="8" w:color="EFE9FC"/>
            </w:tcBorders>
            <w:shd w:val="clear" w:color="auto" w:fill="EFE9FC"/>
          </w:tcPr>
          <w:p>
            <w:pPr>
              <w:jc w:val="right"/>
              <w:ind w:right="44"/>
              <w:spacing w:after="0"/>
              <w:rPr>
                <w:sz w:val="20"/>
                <w:szCs w:val="20"/>
                <w:color w:val="auto"/>
              </w:rPr>
            </w:pPr>
            <w:r>
              <w:rPr>
                <w:rFonts w:ascii="Arial" w:cs="Arial" w:eastAsia="Arial" w:hAnsi="Arial"/>
                <w:sz w:val="15"/>
                <w:szCs w:val="15"/>
                <w:color w:val="auto"/>
              </w:rPr>
              <w:t>–</w:t>
            </w:r>
          </w:p>
        </w:tc>
        <w:tc>
          <w:tcPr>
            <w:tcW w:w="1580" w:type="dxa"/>
            <w:vAlign w:val="bottom"/>
            <w:tcBorders>
              <w:bottom w:val="single" w:sz="8" w:color="EFE9FC"/>
            </w:tcBorders>
            <w:shd w:val="clear" w:color="auto" w:fill="EFE9FC"/>
          </w:tcPr>
          <w:p>
            <w:pPr>
              <w:jc w:val="right"/>
              <w:ind w:right="45"/>
              <w:spacing w:after="0"/>
              <w:rPr>
                <w:sz w:val="20"/>
                <w:szCs w:val="20"/>
                <w:color w:val="auto"/>
              </w:rPr>
            </w:pPr>
            <w:r>
              <w:rPr>
                <w:rFonts w:ascii="Arial" w:cs="Arial" w:eastAsia="Arial" w:hAnsi="Arial"/>
                <w:sz w:val="15"/>
                <w:szCs w:val="15"/>
                <w:color w:val="auto"/>
              </w:rPr>
              <w:t>–</w:t>
            </w:r>
          </w:p>
        </w:tc>
        <w:tc>
          <w:tcPr>
            <w:tcW w:w="1440" w:type="dxa"/>
            <w:vAlign w:val="bottom"/>
            <w:tcBorders>
              <w:bottom w:val="single" w:sz="8" w:color="EFE9FC"/>
            </w:tcBorders>
            <w:shd w:val="clear" w:color="auto" w:fill="EFE9FC"/>
          </w:tcPr>
          <w:p>
            <w:pPr>
              <w:ind w:left="1240"/>
              <w:spacing w:after="0"/>
              <w:rPr>
                <w:sz w:val="20"/>
                <w:szCs w:val="20"/>
                <w:color w:val="auto"/>
              </w:rPr>
            </w:pPr>
            <w:r>
              <w:rPr>
                <w:rFonts w:ascii="Arial" w:cs="Arial" w:eastAsia="Arial" w:hAnsi="Arial"/>
                <w:sz w:val="15"/>
                <w:szCs w:val="15"/>
                <w:color w:val="auto"/>
              </w:rPr>
              <w:t>–</w:t>
            </w:r>
          </w:p>
        </w:tc>
        <w:tc>
          <w:tcPr>
            <w:tcW w:w="1460" w:type="dxa"/>
            <w:vAlign w:val="bottom"/>
            <w:tcBorders>
              <w:bottom w:val="single" w:sz="8" w:color="EFE9FC"/>
            </w:tcBorders>
            <w:shd w:val="clear" w:color="auto" w:fill="EFE9FC"/>
          </w:tcPr>
          <w:p>
            <w:pPr>
              <w:jc w:val="right"/>
              <w:ind w:right="25"/>
              <w:spacing w:after="0"/>
              <w:rPr>
                <w:sz w:val="20"/>
                <w:szCs w:val="20"/>
                <w:color w:val="auto"/>
              </w:rPr>
            </w:pPr>
            <w:r>
              <w:rPr>
                <w:rFonts w:ascii="Arial" w:cs="Arial" w:eastAsia="Arial" w:hAnsi="Arial"/>
                <w:sz w:val="15"/>
                <w:szCs w:val="15"/>
                <w:color w:val="auto"/>
              </w:rPr>
              <w:t>–</w:t>
            </w:r>
          </w:p>
        </w:tc>
        <w:tc>
          <w:tcPr>
            <w:tcW w:w="1400" w:type="dxa"/>
            <w:vAlign w:val="bottom"/>
            <w:tcBorders>
              <w:bottom w:val="single" w:sz="8" w:color="EFE9FC"/>
            </w:tcBorders>
            <w:shd w:val="clear" w:color="auto" w:fill="EFE9FC"/>
          </w:tcPr>
          <w:p>
            <w:pPr>
              <w:ind w:left="1260"/>
              <w:spacing w:after="0"/>
              <w:rPr>
                <w:sz w:val="20"/>
                <w:szCs w:val="20"/>
                <w:color w:val="auto"/>
              </w:rPr>
            </w:pPr>
            <w:r>
              <w:rPr>
                <w:rFonts w:ascii="Arial" w:cs="Arial" w:eastAsia="Arial" w:hAnsi="Arial"/>
                <w:sz w:val="15"/>
                <w:szCs w:val="15"/>
                <w:color w:val="auto"/>
              </w:rPr>
              <w:t>–</w:t>
            </w:r>
          </w:p>
        </w:tc>
      </w:tr>
      <w:tr>
        <w:trPr>
          <w:trHeight w:val="222"/>
        </w:trPr>
        <w:tc>
          <w:tcPr>
            <w:tcW w:w="1520" w:type="dxa"/>
            <w:vAlign w:val="bottom"/>
          </w:tcPr>
          <w:p>
            <w:pPr>
              <w:ind w:left="40"/>
              <w:spacing w:after="0"/>
              <w:rPr>
                <w:sz w:val="20"/>
                <w:szCs w:val="20"/>
                <w:color w:val="auto"/>
              </w:rPr>
            </w:pPr>
            <w:r>
              <w:rPr>
                <w:rFonts w:ascii="Arial" w:cs="Arial" w:eastAsia="Arial" w:hAnsi="Arial"/>
                <w:sz w:val="15"/>
                <w:szCs w:val="15"/>
                <w:color w:val="auto"/>
              </w:rPr>
              <w:t>Total</w:t>
            </w:r>
          </w:p>
        </w:tc>
        <w:tc>
          <w:tcPr>
            <w:tcW w:w="1100" w:type="dxa"/>
            <w:vAlign w:val="bottom"/>
          </w:tcPr>
          <w:p>
            <w:pPr>
              <w:spacing w:after="0"/>
              <w:rPr>
                <w:sz w:val="19"/>
                <w:szCs w:val="19"/>
                <w:color w:val="auto"/>
              </w:rPr>
            </w:pPr>
          </w:p>
        </w:tc>
        <w:tc>
          <w:tcPr>
            <w:tcW w:w="680" w:type="dxa"/>
            <w:vAlign w:val="bottom"/>
          </w:tcPr>
          <w:p>
            <w:pPr>
              <w:jc w:val="right"/>
              <w:ind w:right="44"/>
              <w:spacing w:after="0"/>
              <w:rPr>
                <w:sz w:val="20"/>
                <w:szCs w:val="20"/>
                <w:color w:val="auto"/>
              </w:rPr>
            </w:pPr>
            <w:r>
              <w:rPr>
                <w:rFonts w:ascii="Arial" w:cs="Arial" w:eastAsia="Arial" w:hAnsi="Arial"/>
                <w:sz w:val="15"/>
                <w:szCs w:val="15"/>
                <w:color w:val="auto"/>
                <w:w w:val="99"/>
              </w:rPr>
              <w:t>440,000</w:t>
            </w:r>
          </w:p>
        </w:tc>
        <w:tc>
          <w:tcPr>
            <w:tcW w:w="1580" w:type="dxa"/>
            <w:vAlign w:val="bottom"/>
          </w:tcPr>
          <w:p>
            <w:pPr>
              <w:jc w:val="right"/>
              <w:ind w:right="45"/>
              <w:spacing w:after="0"/>
              <w:rPr>
                <w:sz w:val="20"/>
                <w:szCs w:val="20"/>
                <w:color w:val="auto"/>
              </w:rPr>
            </w:pPr>
            <w:r>
              <w:rPr>
                <w:rFonts w:ascii="Arial" w:cs="Arial" w:eastAsia="Arial" w:hAnsi="Arial"/>
                <w:sz w:val="15"/>
                <w:szCs w:val="15"/>
                <w:color w:val="auto"/>
              </w:rPr>
              <w:t>$1,466,057</w:t>
            </w:r>
          </w:p>
        </w:tc>
        <w:tc>
          <w:tcPr>
            <w:tcW w:w="1440" w:type="dxa"/>
            <w:vAlign w:val="bottom"/>
          </w:tcPr>
          <w:p>
            <w:pPr>
              <w:ind w:left="1240"/>
              <w:spacing w:after="0"/>
              <w:rPr>
                <w:sz w:val="20"/>
                <w:szCs w:val="20"/>
                <w:color w:val="auto"/>
              </w:rPr>
            </w:pPr>
            <w:r>
              <w:rPr>
                <w:rFonts w:ascii="Arial" w:cs="Arial" w:eastAsia="Arial" w:hAnsi="Arial"/>
                <w:sz w:val="15"/>
                <w:szCs w:val="15"/>
                <w:color w:val="auto"/>
              </w:rPr>
              <w:t>–</w:t>
            </w:r>
          </w:p>
        </w:tc>
        <w:tc>
          <w:tcPr>
            <w:tcW w:w="1460" w:type="dxa"/>
            <w:vAlign w:val="bottom"/>
          </w:tcPr>
          <w:p>
            <w:pPr>
              <w:jc w:val="right"/>
              <w:ind w:right="25"/>
              <w:spacing w:after="0"/>
              <w:rPr>
                <w:sz w:val="20"/>
                <w:szCs w:val="20"/>
                <w:color w:val="auto"/>
              </w:rPr>
            </w:pPr>
            <w:r>
              <w:rPr>
                <w:rFonts w:ascii="Arial" w:cs="Arial" w:eastAsia="Arial" w:hAnsi="Arial"/>
                <w:sz w:val="15"/>
                <w:szCs w:val="15"/>
                <w:color w:val="auto"/>
              </w:rPr>
              <w:t>$500,000</w:t>
            </w:r>
          </w:p>
        </w:tc>
        <w:tc>
          <w:tcPr>
            <w:tcW w:w="1400" w:type="dxa"/>
            <w:vAlign w:val="bottom"/>
          </w:tcPr>
          <w:p>
            <w:pPr>
              <w:ind w:left="1260"/>
              <w:spacing w:after="0"/>
              <w:rPr>
                <w:sz w:val="20"/>
                <w:szCs w:val="20"/>
                <w:color w:val="auto"/>
              </w:rPr>
            </w:pPr>
            <w:r>
              <w:rPr>
                <w:rFonts w:ascii="Arial" w:cs="Arial" w:eastAsia="Arial" w:hAnsi="Arial"/>
                <w:sz w:val="15"/>
                <w:szCs w:val="15"/>
                <w:color w:val="auto"/>
              </w:rPr>
              <w: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485140</wp:posOffset>
            </wp:positionH>
            <wp:positionV relativeFrom="paragraph">
              <wp:posOffset>13970</wp:posOffset>
            </wp:positionV>
            <wp:extent cx="5829300" cy="8255"/>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257">
                      <a:extLst>
                        <a:ext uri="{28A0092B-C50C-407E-A947-70E740481C1C}"/>
                      </a:extLst>
                    </a:blip>
                    <a:srcRect/>
                    <a:stretch>
                      <a:fillRect/>
                    </a:stretch>
                  </pic:blipFill>
                  <pic:spPr bwMode="auto">
                    <a:xfrm>
                      <a:off x="0" y="0"/>
                      <a:ext cx="5829300" cy="8255"/>
                    </a:xfrm>
                    <a:prstGeom prst="rect">
                      <a:avLst/>
                    </a:prstGeom>
                    <a:noFill/>
                  </pic:spPr>
                </pic:pic>
              </a:graphicData>
            </a:graphic>
          </wp:anchor>
        </w:drawing>
      </w:r>
    </w:p>
    <w:p>
      <w:pPr>
        <w:spacing w:after="0" w:line="54" w:lineRule="exact"/>
        <w:rPr>
          <w:sz w:val="20"/>
          <w:szCs w:val="20"/>
          <w:color w:val="auto"/>
        </w:rPr>
      </w:pPr>
    </w:p>
    <w:p>
      <w:pPr>
        <w:ind w:left="980" w:hanging="216"/>
        <w:spacing w:after="0"/>
        <w:tabs>
          <w:tab w:leader="none" w:pos="980" w:val="left"/>
        </w:tabs>
        <w:numPr>
          <w:ilvl w:val="0"/>
          <w:numId w:val="74"/>
        </w:numPr>
        <w:rPr>
          <w:rFonts w:ascii="Arial" w:cs="Arial" w:eastAsia="Arial" w:hAnsi="Arial"/>
          <w:sz w:val="13"/>
          <w:szCs w:val="13"/>
          <w:i w:val="1"/>
          <w:iCs w:val="1"/>
          <w:color w:val="auto"/>
        </w:rPr>
      </w:pPr>
      <w:r>
        <w:rPr>
          <w:rFonts w:ascii="Arial" w:cs="Arial" w:eastAsia="Arial" w:hAnsi="Arial"/>
          <w:sz w:val="13"/>
          <w:szCs w:val="13"/>
          <w:i w:val="1"/>
          <w:iCs w:val="1"/>
          <w:color w:val="auto"/>
        </w:rPr>
        <w:t>The potential payment in case of termination without cause represents 12 months of base salary ($440,000).</w:t>
      </w:r>
    </w:p>
    <w:p>
      <w:pPr>
        <w:spacing w:after="0" w:line="26" w:lineRule="exact"/>
        <w:rPr>
          <w:rFonts w:ascii="Arial" w:cs="Arial" w:eastAsia="Arial" w:hAnsi="Arial"/>
          <w:sz w:val="13"/>
          <w:szCs w:val="13"/>
          <w:i w:val="1"/>
          <w:iCs w:val="1"/>
          <w:color w:val="auto"/>
        </w:rPr>
      </w:pPr>
    </w:p>
    <w:p>
      <w:pPr>
        <w:jc w:val="both"/>
        <w:ind w:left="980" w:right="359" w:hanging="216"/>
        <w:spacing w:after="0" w:line="245" w:lineRule="auto"/>
        <w:tabs>
          <w:tab w:leader="none" w:pos="980" w:val="left"/>
        </w:tabs>
        <w:numPr>
          <w:ilvl w:val="0"/>
          <w:numId w:val="74"/>
        </w:numPr>
        <w:rPr>
          <w:rFonts w:ascii="Arial" w:cs="Arial" w:eastAsia="Arial" w:hAnsi="Arial"/>
          <w:sz w:val="13"/>
          <w:szCs w:val="13"/>
          <w:i w:val="1"/>
          <w:iCs w:val="1"/>
          <w:color w:val="auto"/>
        </w:rPr>
      </w:pPr>
      <w:r>
        <w:rPr>
          <w:rFonts w:ascii="Arial" w:cs="Arial" w:eastAsia="Arial" w:hAnsi="Arial"/>
          <w:sz w:val="13"/>
          <w:szCs w:val="13"/>
          <w:i w:val="1"/>
          <w:iCs w:val="1"/>
          <w:color w:val="auto"/>
        </w:rPr>
        <w:t>The potential payment in case of separation due to change in control is calculated by adding (i) the amount resulting from multiplying the 19,436 RSUs subject to accelerated vesting by the closing market price at December 31, 2019 ($75.43). The SARs that were underwater were not part of this payout calculation.</w:t>
      </w:r>
    </w:p>
    <w:p>
      <w:pPr>
        <w:spacing w:after="0" w:line="1" w:lineRule="exact"/>
        <w:rPr>
          <w:rFonts w:ascii="Arial" w:cs="Arial" w:eastAsia="Arial" w:hAnsi="Arial"/>
          <w:sz w:val="13"/>
          <w:szCs w:val="13"/>
          <w:i w:val="1"/>
          <w:iCs w:val="1"/>
          <w:color w:val="auto"/>
        </w:rPr>
      </w:pPr>
    </w:p>
    <w:p>
      <w:pPr>
        <w:ind w:left="980" w:right="379" w:hanging="216"/>
        <w:spacing w:after="0" w:line="280" w:lineRule="auto"/>
        <w:tabs>
          <w:tab w:leader="none" w:pos="980" w:val="left"/>
        </w:tabs>
        <w:numPr>
          <w:ilvl w:val="0"/>
          <w:numId w:val="74"/>
        </w:numPr>
        <w:rPr>
          <w:rFonts w:ascii="Arial" w:cs="Arial" w:eastAsia="Arial" w:hAnsi="Arial"/>
          <w:sz w:val="13"/>
          <w:szCs w:val="13"/>
          <w:i w:val="1"/>
          <w:iCs w:val="1"/>
          <w:color w:val="auto"/>
        </w:rPr>
      </w:pPr>
      <w:r>
        <w:rPr>
          <w:rFonts w:ascii="Arial" w:cs="Arial" w:eastAsia="Arial" w:hAnsi="Arial"/>
          <w:sz w:val="13"/>
          <w:szCs w:val="13"/>
          <w:i w:val="1"/>
          <w:iCs w:val="1"/>
          <w:color w:val="auto"/>
        </w:rPr>
        <w:t>The payment in case of separation due to death represents a payment equal to 1.5 times base salary up to a maximum of $500,000 under a Company group life insurance policy.</w:t>
      </w:r>
    </w:p>
    <w:p>
      <w:pPr>
        <w:spacing w:after="0" w:line="137" w:lineRule="exact"/>
        <w:rPr>
          <w:sz w:val="20"/>
          <w:szCs w:val="20"/>
          <w:color w:val="auto"/>
        </w:rPr>
      </w:pPr>
    </w:p>
    <w:p>
      <w:pPr>
        <w:ind w:left="760"/>
        <w:spacing w:after="0"/>
        <w:rPr>
          <w:sz w:val="20"/>
          <w:szCs w:val="20"/>
          <w:color w:val="auto"/>
        </w:rPr>
      </w:pPr>
      <w:r>
        <w:rPr>
          <w:rFonts w:ascii="Arial" w:cs="Arial" w:eastAsia="Arial" w:hAnsi="Arial"/>
          <w:sz w:val="20"/>
          <w:szCs w:val="20"/>
          <w:b w:val="1"/>
          <w:bCs w:val="1"/>
          <w:color w:val="FF4C4C"/>
        </w:rPr>
        <w:t>Alistair Simpson</w:t>
      </w:r>
    </w:p>
    <w:p>
      <w:pPr>
        <w:spacing w:after="0" w:line="110" w:lineRule="exact"/>
        <w:rPr>
          <w:sz w:val="20"/>
          <w:szCs w:val="20"/>
          <w:color w:val="auto"/>
        </w:rPr>
      </w:pPr>
    </w:p>
    <w:p>
      <w:pPr>
        <w:ind w:left="760" w:right="199"/>
        <w:spacing w:after="0" w:line="253" w:lineRule="auto"/>
        <w:rPr>
          <w:sz w:val="20"/>
          <w:szCs w:val="20"/>
          <w:color w:val="auto"/>
        </w:rPr>
      </w:pPr>
      <w:r>
        <w:rPr>
          <w:rFonts w:ascii="Arial" w:cs="Arial" w:eastAsia="Arial" w:hAnsi="Arial"/>
          <w:sz w:val="16"/>
          <w:szCs w:val="16"/>
          <w:color w:val="auto"/>
        </w:rPr>
        <w:t>In February 2017, we entered into a service agreement with Mr. Simpson. The agreement provides for an annual base salary in the amount of £280,000, which increased to £340,000 as of April 1, 2019 and an opportunity to earn an annual cash incentive bonus with a target amount equal to 60% of his annual base salary as of April1, 2019.</w:t>
      </w:r>
    </w:p>
    <w:p>
      <w:pPr>
        <w:spacing w:after="0" w:line="80" w:lineRule="exact"/>
        <w:rPr>
          <w:sz w:val="20"/>
          <w:szCs w:val="20"/>
          <w:color w:val="auto"/>
        </w:rPr>
      </w:pPr>
    </w:p>
    <w:p>
      <w:pPr>
        <w:ind w:left="760" w:right="299"/>
        <w:spacing w:after="0" w:line="270" w:lineRule="auto"/>
        <w:rPr>
          <w:sz w:val="20"/>
          <w:szCs w:val="20"/>
          <w:color w:val="auto"/>
        </w:rPr>
      </w:pPr>
      <w:r>
        <w:rPr>
          <w:rFonts w:ascii="Arial" w:cs="Arial" w:eastAsia="Arial" w:hAnsi="Arial"/>
          <w:sz w:val="15"/>
          <w:szCs w:val="15"/>
          <w:color w:val="auto"/>
        </w:rPr>
        <w:t>Effective January 1, 2020, Mr. Simpson entered into a separation agreement with LivaNova as a transition into a new position and for eventual separation from the company. He resigned his position as General Manager, Cardiac Surgery and assumed the position of Vice President, Special Projects, continuing to be employed until June 30, 2021. His salary as Vice President, Special Projects is £340,000 ($433,751). Mr. Simpson will receive the 2019 STI bonus on April 2020. Mr. Simpson will receive a termination payment in the gross amount of £30,000 ($38,272). Relocation expenses up to £40,000 ($51,030) will be reimbursed</w:t>
      </w:r>
    </w:p>
    <w:p>
      <w:pPr>
        <w:sectPr>
          <w:pgSz w:w="11900" w:h="16838" w:orient="portrait"/>
          <w:cols w:equalWidth="0" w:num="1">
            <w:col w:w="10139"/>
          </w:cols>
          <w:pgMar w:left="320" w:top="132" w:right="1440" w:bottom="1440" w:gutter="0" w:footer="0" w:header="0"/>
        </w:sectPr>
      </w:pPr>
    </w:p>
    <w:p>
      <w:pPr>
        <w:ind w:left="480"/>
        <w:spacing w:after="0"/>
        <w:tabs>
          <w:tab w:leader="none" w:pos="4400" w:val="left"/>
          <w:tab w:leader="none" w:pos="8760" w:val="left"/>
        </w:tabs>
        <w:rPr>
          <w:sz w:val="20"/>
          <w:szCs w:val="20"/>
          <w:color w:val="auto"/>
        </w:rPr>
      </w:pPr>
      <w:r>
        <w:rPr>
          <w:rFonts w:ascii="Arial" w:cs="Arial" w:eastAsia="Arial" w:hAnsi="Arial"/>
          <w:sz w:val="29"/>
          <w:szCs w:val="29"/>
          <w:b w:val="1"/>
          <w:bCs w:val="1"/>
          <w:color w:val="auto"/>
          <w:vertAlign w:val="subscript"/>
        </w:rPr>
        <w:t>47</w:t>
      </w:r>
      <w:r>
        <w:rPr>
          <w:sz w:val="20"/>
          <w:szCs w:val="20"/>
          <w:color w:val="auto"/>
        </w:rPr>
        <w:tab/>
      </w:r>
      <w:r>
        <w:rPr>
          <w:rFonts w:ascii="Arial" w:cs="Arial" w:eastAsia="Arial" w:hAnsi="Arial"/>
          <w:sz w:val="13"/>
          <w:szCs w:val="13"/>
          <w:b w:val="1"/>
          <w:bCs w:val="1"/>
          <w:color w:val="4800E6"/>
        </w:rPr>
        <w:t xml:space="preserve">LIVANOVA </w:t>
      </w:r>
      <w:r>
        <w:rPr>
          <w:rFonts w:ascii="Arial" w:cs="Arial" w:eastAsia="Arial" w:hAnsi="Arial"/>
          <w:sz w:val="13"/>
          <w:szCs w:val="13"/>
          <w:color w:val="000000"/>
        </w:rPr>
        <w:t>|</w:t>
      </w:r>
      <w:r>
        <w:rPr>
          <w:rFonts w:ascii="Arial" w:cs="Arial" w:eastAsia="Arial" w:hAnsi="Arial"/>
          <w:sz w:val="13"/>
          <w:szCs w:val="13"/>
          <w:b w:val="1"/>
          <w:bCs w:val="1"/>
          <w:color w:val="4800E6"/>
        </w:rPr>
        <w:t xml:space="preserve"> </w:t>
      </w:r>
      <w:r>
        <w:rPr>
          <w:rFonts w:ascii="Arial" w:cs="Arial" w:eastAsia="Arial" w:hAnsi="Arial"/>
          <w:sz w:val="13"/>
          <w:szCs w:val="13"/>
          <w:color w:val="4800E6"/>
        </w:rPr>
        <w:t>2020</w:t>
      </w:r>
      <w:r>
        <w:rPr>
          <w:rFonts w:ascii="Arial" w:cs="Arial" w:eastAsia="Arial" w:hAnsi="Arial"/>
          <w:sz w:val="13"/>
          <w:szCs w:val="13"/>
          <w:b w:val="1"/>
          <w:bCs w:val="1"/>
          <w:color w:val="4800E6"/>
        </w:rPr>
        <w:t xml:space="preserve"> </w:t>
      </w:r>
      <w:r>
        <w:rPr>
          <w:rFonts w:ascii="Arial" w:cs="Arial" w:eastAsia="Arial" w:hAnsi="Arial"/>
          <w:sz w:val="13"/>
          <w:szCs w:val="13"/>
          <w:color w:val="000000"/>
        </w:rPr>
        <w:t>Proxy Statement</w:t>
      </w:r>
      <w:r>
        <w:rPr>
          <w:sz w:val="20"/>
          <w:szCs w:val="20"/>
          <w:color w:val="auto"/>
        </w:rPr>
        <w:tab/>
      </w:r>
      <w:r>
        <w:rPr>
          <w:rFonts w:ascii="Arial" w:cs="Arial" w:eastAsia="Arial" w:hAnsi="Arial"/>
          <w:sz w:val="12"/>
          <w:szCs w:val="12"/>
          <w:b w:val="1"/>
          <w:bCs w:val="1"/>
          <w:color w:val="4800E6"/>
        </w:rPr>
        <w:t>www.livanova.com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561975</wp:posOffset>
            </wp:positionH>
            <wp:positionV relativeFrom="paragraph">
              <wp:posOffset>94615</wp:posOffset>
            </wp:positionV>
            <wp:extent cx="1954530" cy="8890"/>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258">
                      <a:extLst>
                        <a:ext uri="{28A0092B-C50C-407E-A947-70E740481C1C}"/>
                      </a:extLst>
                    </a:blip>
                    <a:srcRect/>
                    <a:stretch>
                      <a:fillRect/>
                    </a:stretch>
                  </pic:blipFill>
                  <pic:spPr bwMode="auto">
                    <a:xfrm>
                      <a:off x="0" y="0"/>
                      <a:ext cx="1954530" cy="8890"/>
                    </a:xfrm>
                    <a:prstGeom prst="rect">
                      <a:avLst/>
                    </a:prstGeom>
                    <a:noFill/>
                  </pic:spPr>
                </pic:pic>
              </a:graphicData>
            </a:graphic>
          </wp:anchor>
        </w:drawing>
        <w:drawing>
          <wp:anchor simplePos="0" relativeHeight="251657728" behindDoc="1" locked="0" layoutInCell="0" allowOverlap="1">
            <wp:simplePos x="0" y="0"/>
            <wp:positionH relativeFrom="column">
              <wp:posOffset>4316730</wp:posOffset>
            </wp:positionH>
            <wp:positionV relativeFrom="paragraph">
              <wp:posOffset>94615</wp:posOffset>
            </wp:positionV>
            <wp:extent cx="1028700" cy="8890"/>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259">
                      <a:extLst>
                        <a:ext uri="{28A0092B-C50C-407E-A947-70E740481C1C}"/>
                      </a:extLst>
                    </a:blip>
                    <a:srcRect/>
                    <a:stretch>
                      <a:fillRect/>
                    </a:stretch>
                  </pic:blipFill>
                  <pic:spPr bwMode="auto">
                    <a:xfrm>
                      <a:off x="0" y="0"/>
                      <a:ext cx="102870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223520</wp:posOffset>
            </wp:positionV>
            <wp:extent cx="6806565" cy="17145"/>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260">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10139"/>
          </w:cols>
          <w:pgMar w:left="320" w:top="132" w:right="1440" w:bottom="1440" w:gutter="0" w:footer="0" w:header="0"/>
          <w:type w:val="continuous"/>
        </w:sectPr>
      </w:pPr>
    </w:p>
    <w:bookmarkStart w:id="51" w:name="page52"/>
    <w:bookmarkEnd w:id="51"/>
    <w:p>
      <w:pPr>
        <w:spacing w:after="0"/>
        <w:rPr>
          <w:rFonts w:ascii="Arial" w:cs="Arial" w:eastAsia="Arial" w:hAnsi="Arial"/>
          <w:sz w:val="14"/>
          <w:szCs w:val="14"/>
          <w:color w:val="003366"/>
        </w:rPr>
      </w:pPr>
      <w:hyperlink w:anchor="page5">
        <w:r>
          <w:rPr>
            <w:rFonts w:ascii="Arial" w:cs="Arial" w:eastAsia="Arial" w:hAnsi="Arial"/>
            <w:sz w:val="14"/>
            <w:szCs w:val="14"/>
            <w:color w:val="003366"/>
          </w:rPr>
          <w:t>TABLE OF CONTENTS</w:t>
        </w:r>
      </w:hyperlink>
    </w:p>
    <w:p>
      <w:pPr>
        <w:spacing w:after="0" w:line="338" w:lineRule="exact"/>
        <w:rPr>
          <w:sz w:val="20"/>
          <w:szCs w:val="20"/>
          <w:color w:val="auto"/>
        </w:rPr>
      </w:pPr>
    </w:p>
    <w:p>
      <w:pPr>
        <w:jc w:val="right"/>
        <w:ind w:right="780"/>
        <w:spacing w:after="0"/>
        <w:rPr>
          <w:sz w:val="20"/>
          <w:szCs w:val="20"/>
          <w:color w:val="auto"/>
        </w:rPr>
      </w:pPr>
      <w:r>
        <w:rPr>
          <w:rFonts w:ascii="Arial" w:cs="Arial" w:eastAsia="Arial" w:hAnsi="Arial"/>
          <w:sz w:val="13"/>
          <w:szCs w:val="13"/>
          <w:b w:val="1"/>
          <w:bCs w:val="1"/>
          <w:color w:val="auto"/>
        </w:rPr>
        <w:t xml:space="preserve">Executive </w:t>
      </w:r>
      <w:r>
        <w:rPr>
          <w:rFonts w:ascii="Arial" w:cs="Arial" w:eastAsia="Arial" w:hAnsi="Arial"/>
          <w:sz w:val="13"/>
          <w:szCs w:val="13"/>
          <w:b w:val="1"/>
          <w:bCs w:val="1"/>
          <w:color w:val="666666"/>
        </w:rPr>
        <w:t>Compensation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485140</wp:posOffset>
            </wp:positionH>
            <wp:positionV relativeFrom="paragraph">
              <wp:posOffset>30480</wp:posOffset>
            </wp:positionV>
            <wp:extent cx="5829300" cy="8255"/>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261">
                      <a:extLst>
                        <a:ext uri="{28A0092B-C50C-407E-A947-70E740481C1C}"/>
                      </a:extLst>
                    </a:blip>
                    <a:srcRect/>
                    <a:stretch>
                      <a:fillRect/>
                    </a:stretch>
                  </pic:blipFill>
                  <pic:spPr bwMode="auto">
                    <a:xfrm>
                      <a:off x="0" y="0"/>
                      <a:ext cx="5829300" cy="8255"/>
                    </a:xfrm>
                    <a:prstGeom prst="rect">
                      <a:avLst/>
                    </a:prstGeom>
                    <a:noFill/>
                  </pic:spPr>
                </pic:pic>
              </a:graphicData>
            </a:graphic>
          </wp:anchor>
        </w:drawing>
      </w:r>
    </w:p>
    <w:p>
      <w:pPr>
        <w:spacing w:after="0" w:line="60" w:lineRule="exact"/>
        <w:rPr>
          <w:sz w:val="20"/>
          <w:szCs w:val="20"/>
          <w:color w:val="auto"/>
        </w:rPr>
      </w:pPr>
    </w:p>
    <w:p>
      <w:pPr>
        <w:jc w:val="right"/>
        <w:ind w:right="780"/>
        <w:spacing w:after="0"/>
        <w:rPr>
          <w:sz w:val="20"/>
          <w:szCs w:val="20"/>
          <w:color w:val="auto"/>
        </w:rPr>
      </w:pPr>
      <w:r>
        <w:rPr>
          <w:rFonts w:ascii="Arial" w:cs="Arial" w:eastAsia="Arial" w:hAnsi="Arial"/>
          <w:sz w:val="13"/>
          <w:szCs w:val="13"/>
          <w:b w:val="1"/>
          <w:bCs w:val="1"/>
          <w:color w:val="4800E6"/>
        </w:rPr>
        <w:t>Compensation of Executive Officers and Directors</w:t>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ind w:left="760" w:right="1340"/>
        <w:spacing w:after="0" w:line="293" w:lineRule="auto"/>
        <w:rPr>
          <w:sz w:val="20"/>
          <w:szCs w:val="20"/>
          <w:color w:val="auto"/>
        </w:rPr>
      </w:pPr>
      <w:r>
        <w:rPr>
          <w:rFonts w:ascii="Arial" w:cs="Arial" w:eastAsia="Arial" w:hAnsi="Arial"/>
          <w:sz w:val="15"/>
          <w:szCs w:val="15"/>
          <w:color w:val="auto"/>
        </w:rPr>
        <w:t>for expenses incurred in 2019 and 2020. Attorney fees up to £5,000 ($6,379) will be reimbursed for expenses related to the separation agreement. Fees related to tax support or assistance for one year form the termination date will be reimbursed.</w:t>
      </w:r>
    </w:p>
    <w:p>
      <w:pPr>
        <w:spacing w:after="0" w:line="51" w:lineRule="exact"/>
        <w:rPr>
          <w:sz w:val="20"/>
          <w:szCs w:val="20"/>
          <w:color w:val="auto"/>
        </w:rPr>
      </w:pPr>
    </w:p>
    <w:p>
      <w:pPr>
        <w:ind w:left="760" w:right="1080"/>
        <w:spacing w:after="0" w:line="260" w:lineRule="auto"/>
        <w:rPr>
          <w:sz w:val="20"/>
          <w:szCs w:val="20"/>
          <w:color w:val="auto"/>
        </w:rPr>
      </w:pPr>
      <w:r>
        <w:rPr>
          <w:rFonts w:ascii="Arial" w:cs="Arial" w:eastAsia="Arial" w:hAnsi="Arial"/>
          <w:sz w:val="16"/>
          <w:szCs w:val="16"/>
          <w:color w:val="auto"/>
        </w:rPr>
        <w:t>The following table quantifies the potential payments that would be made to Mr. Simpson assuming a termination or change-in-control event had occurred on December 31, 2019.</w:t>
      </w:r>
    </w:p>
    <w:p>
      <w:pPr>
        <w:spacing w:after="0" w:line="126" w:lineRule="exact"/>
        <w:rPr>
          <w:sz w:val="20"/>
          <w:szCs w:val="20"/>
          <w:color w:val="auto"/>
        </w:rPr>
      </w:pPr>
    </w:p>
    <w:tbl>
      <w:tblPr>
        <w:tblLayout w:type="fixed"/>
        <w:tblInd w:w="760" w:type="dxa"/>
        <w:tblCellMar>
          <w:top w:w="0" w:type="dxa"/>
          <w:left w:w="0" w:type="dxa"/>
          <w:bottom w:w="0" w:type="dxa"/>
          <w:right w:w="0" w:type="dxa"/>
        </w:tblCellMar>
      </w:tblPr>
      <w:tr>
        <w:trPr>
          <w:trHeight w:val="175"/>
        </w:trPr>
        <w:tc>
          <w:tcPr>
            <w:tcW w:w="1520" w:type="dxa"/>
            <w:vAlign w:val="bottom"/>
          </w:tcPr>
          <w:p>
            <w:pPr>
              <w:ind w:left="40"/>
              <w:spacing w:after="0"/>
              <w:rPr>
                <w:sz w:val="20"/>
                <w:szCs w:val="20"/>
                <w:color w:val="auto"/>
              </w:rPr>
            </w:pPr>
            <w:r>
              <w:rPr>
                <w:rFonts w:ascii="Arial" w:cs="Arial" w:eastAsia="Arial" w:hAnsi="Arial"/>
                <w:sz w:val="14"/>
                <w:szCs w:val="14"/>
                <w:b w:val="1"/>
                <w:bCs w:val="1"/>
                <w:color w:val="4800E6"/>
              </w:rPr>
              <w:t>Type of Payment</w:t>
            </w:r>
          </w:p>
        </w:tc>
        <w:tc>
          <w:tcPr>
            <w:tcW w:w="1760" w:type="dxa"/>
            <w:vAlign w:val="bottom"/>
          </w:tcPr>
          <w:p>
            <w:pPr>
              <w:jc w:val="right"/>
              <w:ind w:right="65"/>
              <w:spacing w:after="0"/>
              <w:rPr>
                <w:sz w:val="20"/>
                <w:szCs w:val="20"/>
                <w:color w:val="auto"/>
              </w:rPr>
            </w:pPr>
            <w:r>
              <w:rPr>
                <w:rFonts w:ascii="Arial" w:cs="Arial" w:eastAsia="Arial" w:hAnsi="Arial"/>
                <w:sz w:val="14"/>
                <w:szCs w:val="14"/>
                <w:b w:val="1"/>
                <w:bCs w:val="1"/>
                <w:color w:val="4800E6"/>
              </w:rPr>
              <w:t>Termination</w:t>
            </w:r>
          </w:p>
        </w:tc>
        <w:tc>
          <w:tcPr>
            <w:tcW w:w="1580" w:type="dxa"/>
            <w:vAlign w:val="bottom"/>
          </w:tcPr>
          <w:p>
            <w:pPr>
              <w:jc w:val="right"/>
              <w:ind w:right="65"/>
              <w:spacing w:after="0"/>
              <w:rPr>
                <w:sz w:val="20"/>
                <w:szCs w:val="20"/>
                <w:color w:val="auto"/>
              </w:rPr>
            </w:pPr>
            <w:r>
              <w:rPr>
                <w:rFonts w:ascii="Arial" w:cs="Arial" w:eastAsia="Arial" w:hAnsi="Arial"/>
                <w:sz w:val="14"/>
                <w:szCs w:val="14"/>
                <w:b w:val="1"/>
                <w:bCs w:val="1"/>
                <w:color w:val="4800E6"/>
              </w:rPr>
              <w:t>Separation due to</w:t>
            </w:r>
          </w:p>
        </w:tc>
        <w:tc>
          <w:tcPr>
            <w:tcW w:w="1460" w:type="dxa"/>
            <w:vAlign w:val="bottom"/>
          </w:tcPr>
          <w:p>
            <w:pPr>
              <w:jc w:val="right"/>
              <w:ind w:right="85"/>
              <w:spacing w:after="0"/>
              <w:rPr>
                <w:sz w:val="20"/>
                <w:szCs w:val="20"/>
                <w:color w:val="auto"/>
              </w:rPr>
            </w:pPr>
            <w:r>
              <w:rPr>
                <w:rFonts w:ascii="Arial" w:cs="Arial" w:eastAsia="Arial" w:hAnsi="Arial"/>
                <w:sz w:val="14"/>
                <w:szCs w:val="14"/>
                <w:b w:val="1"/>
                <w:bCs w:val="1"/>
                <w:color w:val="4800E6"/>
              </w:rPr>
              <w:t>Separation due to</w:t>
            </w:r>
          </w:p>
        </w:tc>
        <w:tc>
          <w:tcPr>
            <w:tcW w:w="1460" w:type="dxa"/>
            <w:vAlign w:val="bottom"/>
            <w:gridSpan w:val="2"/>
          </w:tcPr>
          <w:p>
            <w:pPr>
              <w:jc w:val="right"/>
              <w:ind w:right="84"/>
              <w:spacing w:after="0"/>
              <w:rPr>
                <w:sz w:val="20"/>
                <w:szCs w:val="20"/>
                <w:color w:val="auto"/>
              </w:rPr>
            </w:pPr>
            <w:r>
              <w:rPr>
                <w:rFonts w:ascii="Arial" w:cs="Arial" w:eastAsia="Arial" w:hAnsi="Arial"/>
                <w:sz w:val="14"/>
                <w:szCs w:val="14"/>
                <w:b w:val="1"/>
                <w:bCs w:val="1"/>
                <w:color w:val="4800E6"/>
              </w:rPr>
              <w:t>Separation due to</w:t>
            </w:r>
          </w:p>
        </w:tc>
        <w:tc>
          <w:tcPr>
            <w:tcW w:w="1400" w:type="dxa"/>
            <w:vAlign w:val="bottom"/>
          </w:tcPr>
          <w:p>
            <w:pPr>
              <w:ind w:left="120"/>
              <w:spacing w:after="0"/>
              <w:rPr>
                <w:sz w:val="20"/>
                <w:szCs w:val="20"/>
                <w:color w:val="auto"/>
              </w:rPr>
            </w:pPr>
            <w:r>
              <w:rPr>
                <w:rFonts w:ascii="Arial" w:cs="Arial" w:eastAsia="Arial" w:hAnsi="Arial"/>
                <w:sz w:val="14"/>
                <w:szCs w:val="14"/>
                <w:b w:val="1"/>
                <w:bCs w:val="1"/>
                <w:color w:val="4800E6"/>
              </w:rPr>
              <w:t>Separation due to</w:t>
            </w:r>
          </w:p>
        </w:tc>
      </w:tr>
      <w:tr>
        <w:trPr>
          <w:trHeight w:val="216"/>
        </w:trPr>
        <w:tc>
          <w:tcPr>
            <w:tcW w:w="1520" w:type="dxa"/>
            <w:vAlign w:val="bottom"/>
            <w:tcBorders>
              <w:bottom w:val="single" w:sz="8" w:color="4800E6"/>
            </w:tcBorders>
          </w:tcPr>
          <w:p>
            <w:pPr>
              <w:ind w:left="40"/>
              <w:spacing w:after="0"/>
              <w:rPr>
                <w:sz w:val="20"/>
                <w:szCs w:val="20"/>
                <w:color w:val="auto"/>
              </w:rPr>
            </w:pPr>
            <w:r>
              <w:rPr>
                <w:rFonts w:ascii="Arial" w:cs="Arial" w:eastAsia="Arial" w:hAnsi="Arial"/>
                <w:sz w:val="14"/>
                <w:szCs w:val="14"/>
                <w:b w:val="1"/>
                <w:bCs w:val="1"/>
                <w:color w:val="4800E6"/>
              </w:rPr>
              <w:t>or Benefit</w:t>
            </w:r>
          </w:p>
        </w:tc>
        <w:tc>
          <w:tcPr>
            <w:tcW w:w="1760" w:type="dxa"/>
            <w:vAlign w:val="bottom"/>
            <w:tcBorders>
              <w:bottom w:val="single" w:sz="8" w:color="4800E6"/>
            </w:tcBorders>
          </w:tcPr>
          <w:p>
            <w:pPr>
              <w:jc w:val="right"/>
              <w:ind w:right="45"/>
              <w:spacing w:after="0" w:line="216" w:lineRule="exact"/>
              <w:rPr>
                <w:sz w:val="20"/>
                <w:szCs w:val="20"/>
                <w:color w:val="auto"/>
              </w:rPr>
            </w:pPr>
            <w:r>
              <w:rPr>
                <w:rFonts w:ascii="Arial" w:cs="Arial" w:eastAsia="Arial" w:hAnsi="Arial"/>
                <w:sz w:val="14"/>
                <w:szCs w:val="14"/>
                <w:b w:val="1"/>
                <w:bCs w:val="1"/>
                <w:color w:val="4800E6"/>
              </w:rPr>
              <w:t>without Cause ($)</w:t>
            </w:r>
            <w:r>
              <w:rPr>
                <w:rFonts w:ascii="Arial" w:cs="Arial" w:eastAsia="Arial" w:hAnsi="Arial"/>
                <w:sz w:val="21"/>
                <w:szCs w:val="21"/>
                <w:b w:val="1"/>
                <w:bCs w:val="1"/>
                <w:color w:val="4800E6"/>
                <w:vertAlign w:val="superscript"/>
              </w:rPr>
              <w:t>(1)</w:t>
            </w:r>
          </w:p>
        </w:tc>
        <w:tc>
          <w:tcPr>
            <w:tcW w:w="1580" w:type="dxa"/>
            <w:vAlign w:val="bottom"/>
            <w:tcBorders>
              <w:bottom w:val="single" w:sz="8" w:color="4800E6"/>
            </w:tcBorders>
          </w:tcPr>
          <w:p>
            <w:pPr>
              <w:jc w:val="right"/>
              <w:ind w:right="45"/>
              <w:spacing w:after="0" w:line="216" w:lineRule="exact"/>
              <w:rPr>
                <w:sz w:val="20"/>
                <w:szCs w:val="20"/>
                <w:color w:val="auto"/>
              </w:rPr>
            </w:pPr>
            <w:r>
              <w:rPr>
                <w:rFonts w:ascii="Arial" w:cs="Arial" w:eastAsia="Arial" w:hAnsi="Arial"/>
                <w:sz w:val="14"/>
                <w:szCs w:val="14"/>
                <w:b w:val="1"/>
                <w:bCs w:val="1"/>
                <w:color w:val="4800E6"/>
              </w:rPr>
              <w:t>Change in Control</w:t>
            </w:r>
            <w:r>
              <w:rPr>
                <w:rFonts w:ascii="Arial" w:cs="Arial" w:eastAsia="Arial" w:hAnsi="Arial"/>
                <w:sz w:val="21"/>
                <w:szCs w:val="21"/>
                <w:b w:val="1"/>
                <w:bCs w:val="1"/>
                <w:color w:val="4800E6"/>
                <w:vertAlign w:val="superscript"/>
              </w:rPr>
              <w:t>(2)</w:t>
            </w:r>
          </w:p>
        </w:tc>
        <w:tc>
          <w:tcPr>
            <w:tcW w:w="1460" w:type="dxa"/>
            <w:vAlign w:val="bottom"/>
            <w:tcBorders>
              <w:bottom w:val="single" w:sz="8" w:color="4800E6"/>
            </w:tcBorders>
          </w:tcPr>
          <w:p>
            <w:pPr>
              <w:jc w:val="right"/>
              <w:ind w:right="45"/>
              <w:spacing w:after="0" w:line="216" w:lineRule="exact"/>
              <w:rPr>
                <w:sz w:val="20"/>
                <w:szCs w:val="20"/>
                <w:color w:val="auto"/>
              </w:rPr>
            </w:pPr>
            <w:r>
              <w:rPr>
                <w:rFonts w:ascii="Arial" w:cs="Arial" w:eastAsia="Arial" w:hAnsi="Arial"/>
                <w:sz w:val="14"/>
                <w:szCs w:val="14"/>
                <w:b w:val="1"/>
                <w:bCs w:val="1"/>
                <w:color w:val="4800E6"/>
              </w:rPr>
              <w:t>Disability</w:t>
            </w:r>
            <w:r>
              <w:rPr>
                <w:rFonts w:ascii="Arial" w:cs="Arial" w:eastAsia="Arial" w:hAnsi="Arial"/>
                <w:sz w:val="21"/>
                <w:szCs w:val="21"/>
                <w:b w:val="1"/>
                <w:bCs w:val="1"/>
                <w:color w:val="4800E6"/>
                <w:vertAlign w:val="superscript"/>
              </w:rPr>
              <w:t>(3)</w:t>
            </w:r>
          </w:p>
        </w:tc>
        <w:tc>
          <w:tcPr>
            <w:tcW w:w="660" w:type="dxa"/>
            <w:vAlign w:val="bottom"/>
            <w:tcBorders>
              <w:bottom w:val="single" w:sz="8" w:color="4800E6"/>
            </w:tcBorders>
          </w:tcPr>
          <w:p>
            <w:pPr>
              <w:spacing w:after="0"/>
              <w:rPr>
                <w:sz w:val="18"/>
                <w:szCs w:val="18"/>
                <w:color w:val="auto"/>
              </w:rPr>
            </w:pPr>
          </w:p>
        </w:tc>
        <w:tc>
          <w:tcPr>
            <w:tcW w:w="800" w:type="dxa"/>
            <w:vAlign w:val="bottom"/>
            <w:tcBorders>
              <w:bottom w:val="single" w:sz="8" w:color="4800E6"/>
            </w:tcBorders>
          </w:tcPr>
          <w:p>
            <w:pPr>
              <w:jc w:val="right"/>
              <w:ind w:right="44"/>
              <w:spacing w:after="0" w:line="216" w:lineRule="exact"/>
              <w:rPr>
                <w:sz w:val="20"/>
                <w:szCs w:val="20"/>
                <w:color w:val="auto"/>
              </w:rPr>
            </w:pPr>
            <w:r>
              <w:rPr>
                <w:rFonts w:ascii="Arial" w:cs="Arial" w:eastAsia="Arial" w:hAnsi="Arial"/>
                <w:sz w:val="14"/>
                <w:szCs w:val="14"/>
                <w:b w:val="1"/>
                <w:bCs w:val="1"/>
                <w:color w:val="4800E6"/>
              </w:rPr>
              <w:t>Death</w:t>
            </w:r>
            <w:r>
              <w:rPr>
                <w:rFonts w:ascii="Arial" w:cs="Arial" w:eastAsia="Arial" w:hAnsi="Arial"/>
                <w:sz w:val="21"/>
                <w:szCs w:val="21"/>
                <w:b w:val="1"/>
                <w:bCs w:val="1"/>
                <w:color w:val="4800E6"/>
                <w:vertAlign w:val="superscript"/>
              </w:rPr>
              <w:t>(4)</w:t>
            </w:r>
          </w:p>
        </w:tc>
        <w:tc>
          <w:tcPr>
            <w:tcW w:w="1400" w:type="dxa"/>
            <w:vAlign w:val="bottom"/>
            <w:tcBorders>
              <w:bottom w:val="single" w:sz="8" w:color="4800E6"/>
            </w:tcBorders>
          </w:tcPr>
          <w:p>
            <w:pPr>
              <w:ind w:left="600"/>
              <w:spacing w:after="0"/>
              <w:rPr>
                <w:sz w:val="20"/>
                <w:szCs w:val="20"/>
                <w:color w:val="auto"/>
              </w:rPr>
            </w:pPr>
            <w:r>
              <w:rPr>
                <w:rFonts w:ascii="Arial" w:cs="Arial" w:eastAsia="Arial" w:hAnsi="Arial"/>
                <w:sz w:val="14"/>
                <w:szCs w:val="14"/>
                <w:b w:val="1"/>
                <w:bCs w:val="1"/>
                <w:color w:val="4800E6"/>
              </w:rPr>
              <w:t>Retirement</w:t>
            </w:r>
          </w:p>
        </w:tc>
      </w:tr>
      <w:tr>
        <w:trPr>
          <w:trHeight w:val="215"/>
        </w:trPr>
        <w:tc>
          <w:tcPr>
            <w:tcW w:w="1520" w:type="dxa"/>
            <w:vAlign w:val="bottom"/>
          </w:tcPr>
          <w:p>
            <w:pPr>
              <w:ind w:left="40"/>
              <w:spacing w:after="0"/>
              <w:rPr>
                <w:sz w:val="20"/>
                <w:szCs w:val="20"/>
                <w:color w:val="auto"/>
              </w:rPr>
            </w:pPr>
            <w:r>
              <w:rPr>
                <w:rFonts w:ascii="Arial" w:cs="Arial" w:eastAsia="Arial" w:hAnsi="Arial"/>
                <w:sz w:val="15"/>
                <w:szCs w:val="15"/>
                <w:color w:val="auto"/>
              </w:rPr>
              <w:t>Severance</w:t>
            </w:r>
          </w:p>
        </w:tc>
        <w:tc>
          <w:tcPr>
            <w:tcW w:w="1760" w:type="dxa"/>
            <w:vAlign w:val="bottom"/>
          </w:tcPr>
          <w:p>
            <w:pPr>
              <w:jc w:val="right"/>
              <w:ind w:right="25"/>
              <w:spacing w:after="0"/>
              <w:rPr>
                <w:sz w:val="20"/>
                <w:szCs w:val="20"/>
                <w:color w:val="auto"/>
              </w:rPr>
            </w:pPr>
            <w:r>
              <w:rPr>
                <w:rFonts w:ascii="Arial" w:cs="Arial" w:eastAsia="Arial" w:hAnsi="Arial"/>
                <w:sz w:val="15"/>
                <w:szCs w:val="15"/>
                <w:color w:val="auto"/>
              </w:rPr>
              <w:t>$433,751</w:t>
            </w:r>
          </w:p>
        </w:tc>
        <w:tc>
          <w:tcPr>
            <w:tcW w:w="1580" w:type="dxa"/>
            <w:vAlign w:val="bottom"/>
          </w:tcPr>
          <w:p>
            <w:pPr>
              <w:jc w:val="right"/>
              <w:ind w:right="25"/>
              <w:spacing w:after="0"/>
              <w:rPr>
                <w:sz w:val="20"/>
                <w:szCs w:val="20"/>
                <w:color w:val="auto"/>
              </w:rPr>
            </w:pPr>
            <w:r>
              <w:rPr>
                <w:rFonts w:ascii="Arial" w:cs="Arial" w:eastAsia="Arial" w:hAnsi="Arial"/>
                <w:sz w:val="15"/>
                <w:szCs w:val="15"/>
                <w:color w:val="auto"/>
              </w:rPr>
              <w:t>–</w:t>
            </w:r>
          </w:p>
        </w:tc>
        <w:tc>
          <w:tcPr>
            <w:tcW w:w="1460" w:type="dxa"/>
            <w:vAlign w:val="bottom"/>
          </w:tcPr>
          <w:p>
            <w:pPr>
              <w:jc w:val="right"/>
              <w:ind w:right="25"/>
              <w:spacing w:after="0"/>
              <w:rPr>
                <w:sz w:val="20"/>
                <w:szCs w:val="20"/>
                <w:color w:val="auto"/>
              </w:rPr>
            </w:pPr>
            <w:r>
              <w:rPr>
                <w:rFonts w:ascii="Arial" w:cs="Arial" w:eastAsia="Arial" w:hAnsi="Arial"/>
                <w:sz w:val="15"/>
                <w:szCs w:val="15"/>
                <w:color w:val="auto"/>
              </w:rPr>
              <w:t>–</w:t>
            </w:r>
          </w:p>
        </w:tc>
        <w:tc>
          <w:tcPr>
            <w:tcW w:w="660" w:type="dxa"/>
            <w:vAlign w:val="bottom"/>
          </w:tcPr>
          <w:p>
            <w:pPr>
              <w:jc w:val="right"/>
              <w:spacing w:after="0"/>
              <w:rPr>
                <w:sz w:val="20"/>
                <w:szCs w:val="20"/>
                <w:color w:val="auto"/>
              </w:rPr>
            </w:pPr>
            <w:r>
              <w:rPr>
                <w:rFonts w:ascii="Arial" w:cs="Arial" w:eastAsia="Arial" w:hAnsi="Arial"/>
                <w:sz w:val="15"/>
                <w:szCs w:val="15"/>
                <w:color w:val="auto"/>
              </w:rPr>
              <w:t>$</w:t>
            </w:r>
          </w:p>
        </w:tc>
        <w:tc>
          <w:tcPr>
            <w:tcW w:w="800" w:type="dxa"/>
            <w:vAlign w:val="bottom"/>
          </w:tcPr>
          <w:p>
            <w:pPr>
              <w:jc w:val="right"/>
              <w:ind w:right="24"/>
              <w:spacing w:after="0"/>
              <w:rPr>
                <w:sz w:val="20"/>
                <w:szCs w:val="20"/>
                <w:color w:val="auto"/>
              </w:rPr>
            </w:pPr>
            <w:r>
              <w:rPr>
                <w:rFonts w:ascii="Arial" w:cs="Arial" w:eastAsia="Arial" w:hAnsi="Arial"/>
                <w:sz w:val="15"/>
                <w:szCs w:val="15"/>
                <w:color w:val="auto"/>
              </w:rPr>
              <w:t>1,735,004</w:t>
            </w:r>
          </w:p>
        </w:tc>
        <w:tc>
          <w:tcPr>
            <w:tcW w:w="1400" w:type="dxa"/>
            <w:vAlign w:val="bottom"/>
          </w:tcPr>
          <w:p>
            <w:pPr>
              <w:ind w:left="1260"/>
              <w:spacing w:after="0"/>
              <w:rPr>
                <w:sz w:val="20"/>
                <w:szCs w:val="20"/>
                <w:color w:val="auto"/>
              </w:rPr>
            </w:pPr>
            <w:r>
              <w:rPr>
                <w:rFonts w:ascii="Arial" w:cs="Arial" w:eastAsia="Arial" w:hAnsi="Arial"/>
                <w:sz w:val="15"/>
                <w:szCs w:val="15"/>
                <w:color w:val="auto"/>
              </w:rPr>
              <w:t>–</w:t>
            </w:r>
          </w:p>
        </w:tc>
      </w:tr>
      <w:tr>
        <w:trPr>
          <w:trHeight w:val="22"/>
        </w:trPr>
        <w:tc>
          <w:tcPr>
            <w:tcW w:w="1520" w:type="dxa"/>
            <w:vAlign w:val="bottom"/>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r>
      <w:tr>
        <w:trPr>
          <w:trHeight w:val="250"/>
        </w:trPr>
        <w:tc>
          <w:tcPr>
            <w:tcW w:w="1520" w:type="dxa"/>
            <w:vAlign w:val="bottom"/>
            <w:tcBorders>
              <w:bottom w:val="single" w:sz="8" w:color="EFE9FC"/>
            </w:tcBorders>
            <w:shd w:val="clear" w:color="auto" w:fill="EFE9FC"/>
          </w:tcPr>
          <w:p>
            <w:pPr>
              <w:ind w:left="40"/>
              <w:spacing w:after="0"/>
              <w:rPr>
                <w:sz w:val="20"/>
                <w:szCs w:val="20"/>
                <w:color w:val="auto"/>
              </w:rPr>
            </w:pPr>
            <w:r>
              <w:rPr>
                <w:rFonts w:ascii="Arial" w:cs="Arial" w:eastAsia="Arial" w:hAnsi="Arial"/>
                <w:sz w:val="15"/>
                <w:szCs w:val="15"/>
                <w:color w:val="auto"/>
              </w:rPr>
              <w:t>STIP</w:t>
            </w:r>
          </w:p>
        </w:tc>
        <w:tc>
          <w:tcPr>
            <w:tcW w:w="1760" w:type="dxa"/>
            <w:vAlign w:val="bottom"/>
            <w:tcBorders>
              <w:bottom w:val="single" w:sz="8" w:color="EFE9FC"/>
            </w:tcBorders>
            <w:shd w:val="clear" w:color="auto" w:fill="EFE9FC"/>
          </w:tcPr>
          <w:p>
            <w:pPr>
              <w:jc w:val="right"/>
              <w:ind w:right="25"/>
              <w:spacing w:after="0"/>
              <w:rPr>
                <w:sz w:val="20"/>
                <w:szCs w:val="20"/>
                <w:color w:val="auto"/>
              </w:rPr>
            </w:pPr>
            <w:r>
              <w:rPr>
                <w:rFonts w:ascii="Arial" w:cs="Arial" w:eastAsia="Arial" w:hAnsi="Arial"/>
                <w:sz w:val="15"/>
                <w:szCs w:val="15"/>
                <w:color w:val="auto"/>
              </w:rPr>
              <w:t>–</w:t>
            </w:r>
          </w:p>
        </w:tc>
        <w:tc>
          <w:tcPr>
            <w:tcW w:w="1580" w:type="dxa"/>
            <w:vAlign w:val="bottom"/>
            <w:tcBorders>
              <w:bottom w:val="single" w:sz="8" w:color="EFE9FC"/>
            </w:tcBorders>
            <w:shd w:val="clear" w:color="auto" w:fill="EFE9FC"/>
          </w:tcPr>
          <w:p>
            <w:pPr>
              <w:jc w:val="right"/>
              <w:ind w:right="25"/>
              <w:spacing w:after="0"/>
              <w:rPr>
                <w:sz w:val="20"/>
                <w:szCs w:val="20"/>
                <w:color w:val="auto"/>
              </w:rPr>
            </w:pPr>
            <w:r>
              <w:rPr>
                <w:rFonts w:ascii="Arial" w:cs="Arial" w:eastAsia="Arial" w:hAnsi="Arial"/>
                <w:sz w:val="15"/>
                <w:szCs w:val="15"/>
                <w:color w:val="auto"/>
              </w:rPr>
              <w:t>–</w:t>
            </w:r>
          </w:p>
        </w:tc>
        <w:tc>
          <w:tcPr>
            <w:tcW w:w="1460" w:type="dxa"/>
            <w:vAlign w:val="bottom"/>
            <w:tcBorders>
              <w:bottom w:val="single" w:sz="8" w:color="EFE9FC"/>
            </w:tcBorders>
            <w:shd w:val="clear" w:color="auto" w:fill="EFE9FC"/>
          </w:tcPr>
          <w:p>
            <w:pPr>
              <w:jc w:val="right"/>
              <w:ind w:right="25"/>
              <w:spacing w:after="0"/>
              <w:rPr>
                <w:sz w:val="20"/>
                <w:szCs w:val="20"/>
                <w:color w:val="auto"/>
              </w:rPr>
            </w:pPr>
            <w:r>
              <w:rPr>
                <w:rFonts w:ascii="Arial" w:cs="Arial" w:eastAsia="Arial" w:hAnsi="Arial"/>
                <w:sz w:val="15"/>
                <w:szCs w:val="15"/>
                <w:color w:val="auto"/>
              </w:rPr>
              <w:t>–</w:t>
            </w:r>
          </w:p>
        </w:tc>
        <w:tc>
          <w:tcPr>
            <w:tcW w:w="660" w:type="dxa"/>
            <w:vAlign w:val="bottom"/>
            <w:tcBorders>
              <w:bottom w:val="single" w:sz="8" w:color="EFE9FC"/>
            </w:tcBorders>
            <w:shd w:val="clear" w:color="auto" w:fill="EFE9FC"/>
          </w:tcPr>
          <w:p>
            <w:pPr>
              <w:spacing w:after="0"/>
              <w:rPr>
                <w:sz w:val="21"/>
                <w:szCs w:val="21"/>
                <w:color w:val="auto"/>
              </w:rPr>
            </w:pPr>
          </w:p>
        </w:tc>
        <w:tc>
          <w:tcPr>
            <w:tcW w:w="800" w:type="dxa"/>
            <w:vAlign w:val="bottom"/>
            <w:tcBorders>
              <w:bottom w:val="single" w:sz="8" w:color="EFE9FC"/>
            </w:tcBorders>
            <w:shd w:val="clear" w:color="auto" w:fill="EFE9FC"/>
          </w:tcPr>
          <w:p>
            <w:pPr>
              <w:jc w:val="right"/>
              <w:ind w:right="24"/>
              <w:spacing w:after="0"/>
              <w:rPr>
                <w:sz w:val="20"/>
                <w:szCs w:val="20"/>
                <w:color w:val="auto"/>
              </w:rPr>
            </w:pPr>
            <w:r>
              <w:rPr>
                <w:rFonts w:ascii="Arial" w:cs="Arial" w:eastAsia="Arial" w:hAnsi="Arial"/>
                <w:sz w:val="15"/>
                <w:szCs w:val="15"/>
                <w:color w:val="auto"/>
              </w:rPr>
              <w:t>–</w:t>
            </w:r>
          </w:p>
        </w:tc>
        <w:tc>
          <w:tcPr>
            <w:tcW w:w="1400" w:type="dxa"/>
            <w:vAlign w:val="bottom"/>
            <w:tcBorders>
              <w:bottom w:val="single" w:sz="8" w:color="EFE9FC"/>
            </w:tcBorders>
            <w:shd w:val="clear" w:color="auto" w:fill="EFE9FC"/>
          </w:tcPr>
          <w:p>
            <w:pPr>
              <w:ind w:left="1260"/>
              <w:spacing w:after="0"/>
              <w:rPr>
                <w:sz w:val="20"/>
                <w:szCs w:val="20"/>
                <w:color w:val="auto"/>
              </w:rPr>
            </w:pPr>
            <w:r>
              <w:rPr>
                <w:rFonts w:ascii="Arial" w:cs="Arial" w:eastAsia="Arial" w:hAnsi="Arial"/>
                <w:sz w:val="15"/>
                <w:szCs w:val="15"/>
                <w:color w:val="auto"/>
              </w:rPr>
              <w:t>–</w:t>
            </w:r>
          </w:p>
        </w:tc>
      </w:tr>
      <w:tr>
        <w:trPr>
          <w:trHeight w:val="257"/>
        </w:trPr>
        <w:tc>
          <w:tcPr>
            <w:tcW w:w="1520" w:type="dxa"/>
            <w:vAlign w:val="bottom"/>
          </w:tcPr>
          <w:p>
            <w:pPr>
              <w:ind w:left="40"/>
              <w:spacing w:after="0" w:line="256" w:lineRule="exact"/>
              <w:rPr>
                <w:sz w:val="20"/>
                <w:szCs w:val="20"/>
                <w:color w:val="auto"/>
              </w:rPr>
            </w:pPr>
            <w:r>
              <w:rPr>
                <w:rFonts w:ascii="Arial" w:cs="Arial" w:eastAsia="Arial" w:hAnsi="Arial"/>
                <w:sz w:val="15"/>
                <w:szCs w:val="15"/>
                <w:color w:val="auto"/>
              </w:rPr>
              <w:t>LTIP</w:t>
            </w:r>
            <w:r>
              <w:rPr>
                <w:rFonts w:ascii="Arial" w:cs="Arial" w:eastAsia="Arial" w:hAnsi="Arial"/>
                <w:sz w:val="23"/>
                <w:szCs w:val="23"/>
                <w:color w:val="auto"/>
                <w:vertAlign w:val="superscript"/>
              </w:rPr>
              <w:t>(1)</w:t>
            </w:r>
          </w:p>
        </w:tc>
        <w:tc>
          <w:tcPr>
            <w:tcW w:w="1760" w:type="dxa"/>
            <w:vAlign w:val="bottom"/>
          </w:tcPr>
          <w:p>
            <w:pPr>
              <w:jc w:val="right"/>
              <w:ind w:right="25"/>
              <w:spacing w:after="0"/>
              <w:rPr>
                <w:sz w:val="20"/>
                <w:szCs w:val="20"/>
                <w:color w:val="auto"/>
              </w:rPr>
            </w:pPr>
            <w:r>
              <w:rPr>
                <w:rFonts w:ascii="Arial" w:cs="Arial" w:eastAsia="Arial" w:hAnsi="Arial"/>
                <w:sz w:val="15"/>
                <w:szCs w:val="15"/>
                <w:color w:val="auto"/>
              </w:rPr>
              <w:t>–</w:t>
            </w:r>
          </w:p>
        </w:tc>
        <w:tc>
          <w:tcPr>
            <w:tcW w:w="1580" w:type="dxa"/>
            <w:vAlign w:val="bottom"/>
          </w:tcPr>
          <w:p>
            <w:pPr>
              <w:jc w:val="right"/>
              <w:ind w:right="25"/>
              <w:spacing w:after="0"/>
              <w:rPr>
                <w:sz w:val="20"/>
                <w:szCs w:val="20"/>
                <w:color w:val="auto"/>
              </w:rPr>
            </w:pPr>
            <w:r>
              <w:rPr>
                <w:rFonts w:ascii="Arial" w:cs="Arial" w:eastAsia="Arial" w:hAnsi="Arial"/>
                <w:sz w:val="15"/>
                <w:szCs w:val="15"/>
                <w:color w:val="auto"/>
              </w:rPr>
              <w:t>$850,122</w:t>
            </w:r>
          </w:p>
        </w:tc>
        <w:tc>
          <w:tcPr>
            <w:tcW w:w="1460" w:type="dxa"/>
            <w:vAlign w:val="bottom"/>
          </w:tcPr>
          <w:p>
            <w:pPr>
              <w:jc w:val="right"/>
              <w:ind w:right="25"/>
              <w:spacing w:after="0"/>
              <w:rPr>
                <w:sz w:val="20"/>
                <w:szCs w:val="20"/>
                <w:color w:val="auto"/>
              </w:rPr>
            </w:pPr>
            <w:r>
              <w:rPr>
                <w:rFonts w:ascii="Arial" w:cs="Arial" w:eastAsia="Arial" w:hAnsi="Arial"/>
                <w:sz w:val="15"/>
                <w:szCs w:val="15"/>
                <w:color w:val="auto"/>
              </w:rPr>
              <w:t>$220,281</w:t>
            </w:r>
          </w:p>
        </w:tc>
        <w:tc>
          <w:tcPr>
            <w:tcW w:w="660" w:type="dxa"/>
            <w:vAlign w:val="bottom"/>
          </w:tcPr>
          <w:p>
            <w:pPr>
              <w:jc w:val="right"/>
              <w:spacing w:after="0"/>
              <w:rPr>
                <w:sz w:val="20"/>
                <w:szCs w:val="20"/>
                <w:color w:val="auto"/>
              </w:rPr>
            </w:pPr>
            <w:r>
              <w:rPr>
                <w:rFonts w:ascii="Arial" w:cs="Arial" w:eastAsia="Arial" w:hAnsi="Arial"/>
                <w:sz w:val="15"/>
                <w:szCs w:val="15"/>
                <w:color w:val="auto"/>
              </w:rPr>
              <w:t>$</w:t>
            </w:r>
          </w:p>
        </w:tc>
        <w:tc>
          <w:tcPr>
            <w:tcW w:w="800" w:type="dxa"/>
            <w:vAlign w:val="bottom"/>
          </w:tcPr>
          <w:p>
            <w:pPr>
              <w:jc w:val="right"/>
              <w:ind w:right="24"/>
              <w:spacing w:after="0"/>
              <w:rPr>
                <w:sz w:val="20"/>
                <w:szCs w:val="20"/>
                <w:color w:val="auto"/>
              </w:rPr>
            </w:pPr>
            <w:r>
              <w:rPr>
                <w:rFonts w:ascii="Arial" w:cs="Arial" w:eastAsia="Arial" w:hAnsi="Arial"/>
                <w:sz w:val="15"/>
                <w:szCs w:val="15"/>
                <w:color w:val="auto"/>
              </w:rPr>
              <w:t>220,281</w:t>
            </w:r>
          </w:p>
        </w:tc>
        <w:tc>
          <w:tcPr>
            <w:tcW w:w="1400" w:type="dxa"/>
            <w:vAlign w:val="bottom"/>
          </w:tcPr>
          <w:p>
            <w:pPr>
              <w:ind w:left="1260"/>
              <w:spacing w:after="0"/>
              <w:rPr>
                <w:sz w:val="20"/>
                <w:szCs w:val="20"/>
                <w:color w:val="auto"/>
              </w:rPr>
            </w:pPr>
            <w:r>
              <w:rPr>
                <w:rFonts w:ascii="Arial" w:cs="Arial" w:eastAsia="Arial" w:hAnsi="Arial"/>
                <w:sz w:val="15"/>
                <w:szCs w:val="15"/>
                <w:color w:val="auto"/>
              </w:rPr>
              <w:t>–</w:t>
            </w:r>
          </w:p>
        </w:tc>
      </w:tr>
      <w:tr>
        <w:trPr>
          <w:trHeight w:val="250"/>
        </w:trPr>
        <w:tc>
          <w:tcPr>
            <w:tcW w:w="1520" w:type="dxa"/>
            <w:vAlign w:val="bottom"/>
            <w:tcBorders>
              <w:bottom w:val="single" w:sz="8" w:color="EFE9FC"/>
            </w:tcBorders>
            <w:shd w:val="clear" w:color="auto" w:fill="EFE9FC"/>
          </w:tcPr>
          <w:p>
            <w:pPr>
              <w:ind w:left="40"/>
              <w:spacing w:after="0"/>
              <w:rPr>
                <w:sz w:val="20"/>
                <w:szCs w:val="20"/>
                <w:color w:val="auto"/>
              </w:rPr>
            </w:pPr>
            <w:r>
              <w:rPr>
                <w:rFonts w:ascii="Arial" w:cs="Arial" w:eastAsia="Arial" w:hAnsi="Arial"/>
                <w:sz w:val="15"/>
                <w:szCs w:val="15"/>
                <w:color w:val="auto"/>
              </w:rPr>
              <w:t>Benefits</w:t>
            </w:r>
          </w:p>
        </w:tc>
        <w:tc>
          <w:tcPr>
            <w:tcW w:w="1760" w:type="dxa"/>
            <w:vAlign w:val="bottom"/>
            <w:tcBorders>
              <w:bottom w:val="single" w:sz="8" w:color="EFE9FC"/>
            </w:tcBorders>
            <w:shd w:val="clear" w:color="auto" w:fill="EFE9FC"/>
          </w:tcPr>
          <w:p>
            <w:pPr>
              <w:jc w:val="right"/>
              <w:ind w:right="25"/>
              <w:spacing w:after="0"/>
              <w:rPr>
                <w:sz w:val="20"/>
                <w:szCs w:val="20"/>
                <w:color w:val="auto"/>
              </w:rPr>
            </w:pPr>
            <w:r>
              <w:rPr>
                <w:rFonts w:ascii="Arial" w:cs="Arial" w:eastAsia="Arial" w:hAnsi="Arial"/>
                <w:sz w:val="15"/>
                <w:szCs w:val="15"/>
                <w:color w:val="auto"/>
              </w:rPr>
              <w:t>–</w:t>
            </w:r>
          </w:p>
        </w:tc>
        <w:tc>
          <w:tcPr>
            <w:tcW w:w="1580" w:type="dxa"/>
            <w:vAlign w:val="bottom"/>
            <w:tcBorders>
              <w:bottom w:val="single" w:sz="8" w:color="EFE9FC"/>
            </w:tcBorders>
            <w:shd w:val="clear" w:color="auto" w:fill="EFE9FC"/>
          </w:tcPr>
          <w:p>
            <w:pPr>
              <w:jc w:val="right"/>
              <w:ind w:right="25"/>
              <w:spacing w:after="0"/>
              <w:rPr>
                <w:sz w:val="20"/>
                <w:szCs w:val="20"/>
                <w:color w:val="auto"/>
              </w:rPr>
            </w:pPr>
            <w:r>
              <w:rPr>
                <w:rFonts w:ascii="Arial" w:cs="Arial" w:eastAsia="Arial" w:hAnsi="Arial"/>
                <w:sz w:val="15"/>
                <w:szCs w:val="15"/>
                <w:color w:val="auto"/>
              </w:rPr>
              <w:t>–</w:t>
            </w:r>
          </w:p>
        </w:tc>
        <w:tc>
          <w:tcPr>
            <w:tcW w:w="1460" w:type="dxa"/>
            <w:vAlign w:val="bottom"/>
            <w:tcBorders>
              <w:bottom w:val="single" w:sz="8" w:color="EFE9FC"/>
            </w:tcBorders>
            <w:shd w:val="clear" w:color="auto" w:fill="EFE9FC"/>
          </w:tcPr>
          <w:p>
            <w:pPr>
              <w:jc w:val="right"/>
              <w:ind w:right="25"/>
              <w:spacing w:after="0"/>
              <w:rPr>
                <w:sz w:val="20"/>
                <w:szCs w:val="20"/>
                <w:color w:val="auto"/>
              </w:rPr>
            </w:pPr>
            <w:r>
              <w:rPr>
                <w:rFonts w:ascii="Arial" w:cs="Arial" w:eastAsia="Arial" w:hAnsi="Arial"/>
                <w:sz w:val="15"/>
                <w:szCs w:val="15"/>
                <w:color w:val="auto"/>
              </w:rPr>
              <w:t>–</w:t>
            </w:r>
          </w:p>
        </w:tc>
        <w:tc>
          <w:tcPr>
            <w:tcW w:w="660" w:type="dxa"/>
            <w:vAlign w:val="bottom"/>
            <w:tcBorders>
              <w:bottom w:val="single" w:sz="8" w:color="EFE9FC"/>
            </w:tcBorders>
            <w:shd w:val="clear" w:color="auto" w:fill="EFE9FC"/>
          </w:tcPr>
          <w:p>
            <w:pPr>
              <w:spacing w:after="0"/>
              <w:rPr>
                <w:sz w:val="21"/>
                <w:szCs w:val="21"/>
                <w:color w:val="auto"/>
              </w:rPr>
            </w:pPr>
          </w:p>
        </w:tc>
        <w:tc>
          <w:tcPr>
            <w:tcW w:w="800" w:type="dxa"/>
            <w:vAlign w:val="bottom"/>
            <w:tcBorders>
              <w:bottom w:val="single" w:sz="8" w:color="EFE9FC"/>
            </w:tcBorders>
            <w:shd w:val="clear" w:color="auto" w:fill="EFE9FC"/>
          </w:tcPr>
          <w:p>
            <w:pPr>
              <w:jc w:val="right"/>
              <w:ind w:right="24"/>
              <w:spacing w:after="0"/>
              <w:rPr>
                <w:sz w:val="20"/>
                <w:szCs w:val="20"/>
                <w:color w:val="auto"/>
              </w:rPr>
            </w:pPr>
            <w:r>
              <w:rPr>
                <w:rFonts w:ascii="Arial" w:cs="Arial" w:eastAsia="Arial" w:hAnsi="Arial"/>
                <w:sz w:val="15"/>
                <w:szCs w:val="15"/>
                <w:color w:val="auto"/>
              </w:rPr>
              <w:t>–</w:t>
            </w:r>
          </w:p>
        </w:tc>
        <w:tc>
          <w:tcPr>
            <w:tcW w:w="1400" w:type="dxa"/>
            <w:vAlign w:val="bottom"/>
            <w:tcBorders>
              <w:bottom w:val="single" w:sz="8" w:color="EFE9FC"/>
            </w:tcBorders>
            <w:shd w:val="clear" w:color="auto" w:fill="EFE9FC"/>
          </w:tcPr>
          <w:p>
            <w:pPr>
              <w:ind w:left="1260"/>
              <w:spacing w:after="0"/>
              <w:rPr>
                <w:sz w:val="20"/>
                <w:szCs w:val="20"/>
                <w:color w:val="auto"/>
              </w:rPr>
            </w:pPr>
            <w:r>
              <w:rPr>
                <w:rFonts w:ascii="Arial" w:cs="Arial" w:eastAsia="Arial" w:hAnsi="Arial"/>
                <w:sz w:val="15"/>
                <w:szCs w:val="15"/>
                <w:color w:val="auto"/>
              </w:rPr>
              <w:t>–</w:t>
            </w:r>
          </w:p>
        </w:tc>
      </w:tr>
      <w:tr>
        <w:trPr>
          <w:trHeight w:val="221"/>
        </w:trPr>
        <w:tc>
          <w:tcPr>
            <w:tcW w:w="1520" w:type="dxa"/>
            <w:vAlign w:val="bottom"/>
          </w:tcPr>
          <w:p>
            <w:pPr>
              <w:ind w:left="40"/>
              <w:spacing w:after="0"/>
              <w:rPr>
                <w:sz w:val="20"/>
                <w:szCs w:val="20"/>
                <w:color w:val="auto"/>
              </w:rPr>
            </w:pPr>
            <w:r>
              <w:rPr>
                <w:rFonts w:ascii="Arial" w:cs="Arial" w:eastAsia="Arial" w:hAnsi="Arial"/>
                <w:sz w:val="15"/>
                <w:szCs w:val="15"/>
                <w:color w:val="auto"/>
              </w:rPr>
              <w:t>Total</w:t>
            </w:r>
          </w:p>
        </w:tc>
        <w:tc>
          <w:tcPr>
            <w:tcW w:w="1760" w:type="dxa"/>
            <w:vAlign w:val="bottom"/>
          </w:tcPr>
          <w:p>
            <w:pPr>
              <w:jc w:val="right"/>
              <w:ind w:right="25"/>
              <w:spacing w:after="0"/>
              <w:rPr>
                <w:sz w:val="20"/>
                <w:szCs w:val="20"/>
                <w:color w:val="auto"/>
              </w:rPr>
            </w:pPr>
            <w:r>
              <w:rPr>
                <w:rFonts w:ascii="Arial" w:cs="Arial" w:eastAsia="Arial" w:hAnsi="Arial"/>
                <w:sz w:val="15"/>
                <w:szCs w:val="15"/>
                <w:color w:val="auto"/>
              </w:rPr>
              <w:t>$433,751</w:t>
            </w:r>
          </w:p>
        </w:tc>
        <w:tc>
          <w:tcPr>
            <w:tcW w:w="1580" w:type="dxa"/>
            <w:vAlign w:val="bottom"/>
          </w:tcPr>
          <w:p>
            <w:pPr>
              <w:jc w:val="right"/>
              <w:ind w:right="25"/>
              <w:spacing w:after="0"/>
              <w:rPr>
                <w:sz w:val="20"/>
                <w:szCs w:val="20"/>
                <w:color w:val="auto"/>
              </w:rPr>
            </w:pPr>
            <w:r>
              <w:rPr>
                <w:rFonts w:ascii="Arial" w:cs="Arial" w:eastAsia="Arial" w:hAnsi="Arial"/>
                <w:sz w:val="15"/>
                <w:szCs w:val="15"/>
                <w:color w:val="auto"/>
              </w:rPr>
              <w:t>$850,122</w:t>
            </w:r>
          </w:p>
        </w:tc>
        <w:tc>
          <w:tcPr>
            <w:tcW w:w="1460" w:type="dxa"/>
            <w:vAlign w:val="bottom"/>
          </w:tcPr>
          <w:p>
            <w:pPr>
              <w:jc w:val="right"/>
              <w:ind w:right="25"/>
              <w:spacing w:after="0"/>
              <w:rPr>
                <w:sz w:val="20"/>
                <w:szCs w:val="20"/>
                <w:color w:val="auto"/>
              </w:rPr>
            </w:pPr>
            <w:r>
              <w:rPr>
                <w:rFonts w:ascii="Arial" w:cs="Arial" w:eastAsia="Arial" w:hAnsi="Arial"/>
                <w:sz w:val="15"/>
                <w:szCs w:val="15"/>
                <w:color w:val="auto"/>
              </w:rPr>
              <w:t>$220,281</w:t>
            </w:r>
          </w:p>
        </w:tc>
        <w:tc>
          <w:tcPr>
            <w:tcW w:w="660" w:type="dxa"/>
            <w:vAlign w:val="bottom"/>
          </w:tcPr>
          <w:p>
            <w:pPr>
              <w:jc w:val="right"/>
              <w:spacing w:after="0"/>
              <w:rPr>
                <w:sz w:val="20"/>
                <w:szCs w:val="20"/>
                <w:color w:val="auto"/>
              </w:rPr>
            </w:pPr>
            <w:r>
              <w:rPr>
                <w:rFonts w:ascii="Arial" w:cs="Arial" w:eastAsia="Arial" w:hAnsi="Arial"/>
                <w:sz w:val="15"/>
                <w:szCs w:val="15"/>
                <w:color w:val="auto"/>
              </w:rPr>
              <w:t>$</w:t>
            </w:r>
          </w:p>
        </w:tc>
        <w:tc>
          <w:tcPr>
            <w:tcW w:w="800" w:type="dxa"/>
            <w:vAlign w:val="bottom"/>
          </w:tcPr>
          <w:p>
            <w:pPr>
              <w:jc w:val="right"/>
              <w:ind w:right="24"/>
              <w:spacing w:after="0"/>
              <w:rPr>
                <w:sz w:val="20"/>
                <w:szCs w:val="20"/>
                <w:color w:val="auto"/>
              </w:rPr>
            </w:pPr>
            <w:r>
              <w:rPr>
                <w:rFonts w:ascii="Arial" w:cs="Arial" w:eastAsia="Arial" w:hAnsi="Arial"/>
                <w:sz w:val="15"/>
                <w:szCs w:val="15"/>
                <w:color w:val="auto"/>
              </w:rPr>
              <w:t>1,955,285</w:t>
            </w:r>
          </w:p>
        </w:tc>
        <w:tc>
          <w:tcPr>
            <w:tcW w:w="1400" w:type="dxa"/>
            <w:vAlign w:val="bottom"/>
          </w:tcPr>
          <w:p>
            <w:pPr>
              <w:ind w:left="1260"/>
              <w:spacing w:after="0"/>
              <w:rPr>
                <w:sz w:val="20"/>
                <w:szCs w:val="20"/>
                <w:color w:val="auto"/>
              </w:rPr>
            </w:pPr>
            <w:r>
              <w:rPr>
                <w:rFonts w:ascii="Arial" w:cs="Arial" w:eastAsia="Arial" w:hAnsi="Arial"/>
                <w:sz w:val="15"/>
                <w:szCs w:val="15"/>
                <w:color w:val="auto"/>
              </w:rPr>
              <w: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485140</wp:posOffset>
            </wp:positionH>
            <wp:positionV relativeFrom="paragraph">
              <wp:posOffset>13970</wp:posOffset>
            </wp:positionV>
            <wp:extent cx="5829300" cy="8255"/>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262">
                      <a:extLst>
                        <a:ext uri="{28A0092B-C50C-407E-A947-70E740481C1C}"/>
                      </a:extLst>
                    </a:blip>
                    <a:srcRect/>
                    <a:stretch>
                      <a:fillRect/>
                    </a:stretch>
                  </pic:blipFill>
                  <pic:spPr bwMode="auto">
                    <a:xfrm>
                      <a:off x="0" y="0"/>
                      <a:ext cx="5829300" cy="8255"/>
                    </a:xfrm>
                    <a:prstGeom prst="rect">
                      <a:avLst/>
                    </a:prstGeom>
                    <a:noFill/>
                  </pic:spPr>
                </pic:pic>
              </a:graphicData>
            </a:graphic>
          </wp:anchor>
        </w:drawing>
      </w:r>
    </w:p>
    <w:p>
      <w:pPr>
        <w:spacing w:after="0" w:line="27" w:lineRule="exact"/>
        <w:rPr>
          <w:sz w:val="20"/>
          <w:szCs w:val="20"/>
          <w:color w:val="auto"/>
        </w:rPr>
      </w:pPr>
    </w:p>
    <w:p>
      <w:pPr>
        <w:ind w:left="980" w:right="820" w:hanging="216"/>
        <w:spacing w:after="0" w:line="253" w:lineRule="auto"/>
        <w:tabs>
          <w:tab w:leader="none" w:pos="980" w:val="left"/>
        </w:tabs>
        <w:numPr>
          <w:ilvl w:val="0"/>
          <w:numId w:val="75"/>
        </w:numPr>
        <w:rPr>
          <w:rFonts w:ascii="Arial" w:cs="Arial" w:eastAsia="Arial" w:hAnsi="Arial"/>
          <w:sz w:val="13"/>
          <w:szCs w:val="13"/>
          <w:i w:val="1"/>
          <w:iCs w:val="1"/>
          <w:color w:val="auto"/>
        </w:rPr>
      </w:pPr>
      <w:r>
        <w:rPr>
          <w:rFonts w:ascii="Arial" w:cs="Arial" w:eastAsia="Arial" w:hAnsi="Arial"/>
          <w:sz w:val="13"/>
          <w:szCs w:val="13"/>
          <w:i w:val="1"/>
          <w:iCs w:val="1"/>
          <w:color w:val="auto"/>
        </w:rPr>
        <w:t>The potential payment in case of termination without cause represents 12 months of base salary ($433,751). We may elect to pay this severance amount in installments, and in this case, if Mr. Simpson secures alternative employment, then the gross installments payable after the date when alternative employment commences will be reduced by a sum equal to the gross amount of her income from the alternative employment.</w:t>
      </w:r>
    </w:p>
    <w:p>
      <w:pPr>
        <w:ind w:left="980" w:right="780" w:hanging="216"/>
        <w:spacing w:after="0" w:line="247" w:lineRule="auto"/>
        <w:tabs>
          <w:tab w:leader="none" w:pos="980" w:val="left"/>
        </w:tabs>
        <w:numPr>
          <w:ilvl w:val="0"/>
          <w:numId w:val="75"/>
        </w:numPr>
        <w:rPr>
          <w:rFonts w:ascii="Arial" w:cs="Arial" w:eastAsia="Arial" w:hAnsi="Arial"/>
          <w:sz w:val="13"/>
          <w:szCs w:val="13"/>
          <w:i w:val="1"/>
          <w:iCs w:val="1"/>
          <w:color w:val="auto"/>
        </w:rPr>
      </w:pPr>
      <w:r>
        <w:rPr>
          <w:rFonts w:ascii="Arial" w:cs="Arial" w:eastAsia="Arial" w:hAnsi="Arial"/>
          <w:sz w:val="13"/>
          <w:szCs w:val="13"/>
          <w:i w:val="1"/>
          <w:iCs w:val="1"/>
          <w:color w:val="auto"/>
        </w:rPr>
        <w:t>The potential payment in case of separation due to change in control is calculated by adding (i) the amount resulting from multiplying the 8,350 RSUs subject to accelerated vesting by the closing market price at December 31, 2019 ($75.43) and (ii) the amount resulting multiplying each SARs award subject to accelerated vesting by the difference between the closing market price at December 31, 2019 ($75.43) and the exercise price for each SAR, as follows (7,829 SARs with an exercise price of $56.17 and 4,816 SARs with an exercise price of $61). This does not include SARs where the exercise price exceeds the market price.</w:t>
      </w:r>
    </w:p>
    <w:p>
      <w:pPr>
        <w:ind w:left="980" w:right="800" w:hanging="216"/>
        <w:spacing w:after="0" w:line="252" w:lineRule="auto"/>
        <w:tabs>
          <w:tab w:leader="none" w:pos="980" w:val="left"/>
        </w:tabs>
        <w:numPr>
          <w:ilvl w:val="0"/>
          <w:numId w:val="75"/>
        </w:numPr>
        <w:rPr>
          <w:rFonts w:ascii="Arial" w:cs="Arial" w:eastAsia="Arial" w:hAnsi="Arial"/>
          <w:sz w:val="13"/>
          <w:szCs w:val="13"/>
          <w:i w:val="1"/>
          <w:iCs w:val="1"/>
          <w:color w:val="auto"/>
        </w:rPr>
      </w:pPr>
      <w:r>
        <w:rPr>
          <w:rFonts w:ascii="Arial" w:cs="Arial" w:eastAsia="Arial" w:hAnsi="Arial"/>
          <w:sz w:val="13"/>
          <w:szCs w:val="13"/>
          <w:i w:val="1"/>
          <w:iCs w:val="1"/>
          <w:color w:val="auto"/>
        </w:rPr>
        <w:t>The potential payment in case of disability is calculated adding the amounts resulting from multiplying each SARs award subject to accelerated vesting by the difference between the closing market price at December 31, 2019 ($75.43) and the exercise price for each SAR, as follows (7,829 SARs with an exercise price of $56.17 and 4,816 SARs with an exercise price of $61). This does not include SARs where the exercise price exceeds the market price.</w:t>
      </w:r>
    </w:p>
    <w:p>
      <w:pPr>
        <w:spacing w:after="0" w:line="1" w:lineRule="exact"/>
        <w:rPr>
          <w:rFonts w:ascii="Arial" w:cs="Arial" w:eastAsia="Arial" w:hAnsi="Arial"/>
          <w:sz w:val="13"/>
          <w:szCs w:val="13"/>
          <w:i w:val="1"/>
          <w:iCs w:val="1"/>
          <w:color w:val="auto"/>
        </w:rPr>
      </w:pPr>
    </w:p>
    <w:p>
      <w:pPr>
        <w:ind w:left="980" w:right="800" w:hanging="216"/>
        <w:spacing w:after="0" w:line="247" w:lineRule="auto"/>
        <w:tabs>
          <w:tab w:leader="none" w:pos="980" w:val="left"/>
        </w:tabs>
        <w:numPr>
          <w:ilvl w:val="0"/>
          <w:numId w:val="75"/>
        </w:numPr>
        <w:rPr>
          <w:rFonts w:ascii="Arial" w:cs="Arial" w:eastAsia="Arial" w:hAnsi="Arial"/>
          <w:sz w:val="13"/>
          <w:szCs w:val="13"/>
          <w:i w:val="1"/>
          <w:iCs w:val="1"/>
          <w:color w:val="auto"/>
        </w:rPr>
      </w:pPr>
      <w:r>
        <w:rPr>
          <w:rFonts w:ascii="Arial" w:cs="Arial" w:eastAsia="Arial" w:hAnsi="Arial"/>
          <w:sz w:val="13"/>
          <w:szCs w:val="13"/>
          <w:i w:val="1"/>
          <w:iCs w:val="1"/>
          <w:color w:val="auto"/>
        </w:rPr>
        <w:t>The payment in case of separation due to death represents four times the base salary as a lump sum (payable by a third party insurer under a policy held by the Company for its employees) tax-free amount to the nominated person(s) plus LTIP potential payments calculated by adding the amount resulting from multiplying each SARs award subject to accelerated vesting by the difference between the closing market price at December 31, 2019 ($75.43) and the exercise price for each SAR, as follows (7,829 SARs with an exercise price of $56.17 and 4,816 SARs with an exercise price of $61). This does not include SARs where the exercise price exceeds the market price.</w:t>
      </w:r>
    </w:p>
    <w:p>
      <w:pPr>
        <w:ind w:left="980" w:right="1220" w:hanging="216"/>
        <w:spacing w:after="0" w:line="280" w:lineRule="auto"/>
        <w:tabs>
          <w:tab w:leader="none" w:pos="980" w:val="left"/>
        </w:tabs>
        <w:numPr>
          <w:ilvl w:val="0"/>
          <w:numId w:val="75"/>
        </w:numPr>
        <w:rPr>
          <w:rFonts w:ascii="Arial" w:cs="Arial" w:eastAsia="Arial" w:hAnsi="Arial"/>
          <w:sz w:val="13"/>
          <w:szCs w:val="13"/>
          <w:i w:val="1"/>
          <w:iCs w:val="1"/>
          <w:color w:val="auto"/>
        </w:rPr>
      </w:pPr>
      <w:r>
        <w:rPr>
          <w:rFonts w:ascii="Arial" w:cs="Arial" w:eastAsia="Arial" w:hAnsi="Arial"/>
          <w:sz w:val="13"/>
          <w:szCs w:val="13"/>
          <w:i w:val="1"/>
          <w:iCs w:val="1"/>
          <w:color w:val="auto"/>
        </w:rPr>
        <w:t>For the amounts on this table, we used an exchange rate of $1.275738014 per British Pound, each of which reflects the applicable period average published rate from our BOPC Accounting System between January 1, 2019 and December 31, 2019.</w:t>
      </w:r>
    </w:p>
    <w:p>
      <w:pPr>
        <w:spacing w:after="0" w:line="222" w:lineRule="exact"/>
        <w:rPr>
          <w:sz w:val="20"/>
          <w:szCs w:val="20"/>
          <w:color w:val="auto"/>
        </w:rPr>
      </w:pPr>
    </w:p>
    <w:p>
      <w:pPr>
        <w:ind w:left="760"/>
        <w:spacing w:after="0"/>
        <w:rPr>
          <w:sz w:val="20"/>
          <w:szCs w:val="20"/>
          <w:color w:val="auto"/>
        </w:rPr>
      </w:pPr>
      <w:r>
        <w:rPr>
          <w:rFonts w:ascii="Arial" w:cs="Arial" w:eastAsia="Arial" w:hAnsi="Arial"/>
          <w:sz w:val="23"/>
          <w:szCs w:val="23"/>
          <w:b w:val="1"/>
          <w:bCs w:val="1"/>
          <w:color w:val="auto"/>
        </w:rPr>
        <w:t>CEO Pay Ratio</w:t>
      </w:r>
    </w:p>
    <w:p>
      <w:pPr>
        <w:spacing w:after="0" w:line="139" w:lineRule="exact"/>
        <w:rPr>
          <w:sz w:val="20"/>
          <w:szCs w:val="20"/>
          <w:color w:val="auto"/>
        </w:rPr>
      </w:pPr>
    </w:p>
    <w:p>
      <w:pPr>
        <w:ind w:left="760"/>
        <w:spacing w:after="0"/>
        <w:rPr>
          <w:sz w:val="20"/>
          <w:szCs w:val="20"/>
          <w:color w:val="auto"/>
        </w:rPr>
      </w:pPr>
      <w:r>
        <w:rPr>
          <w:rFonts w:ascii="Arial" w:cs="Arial" w:eastAsia="Arial" w:hAnsi="Arial"/>
          <w:sz w:val="16"/>
          <w:szCs w:val="16"/>
          <w:color w:val="auto"/>
        </w:rPr>
        <w:t>As required by Item 402(u) of Regulation S-K, we are providing the following information:</w:t>
      </w:r>
    </w:p>
    <w:p>
      <w:pPr>
        <w:spacing w:after="0" w:line="86" w:lineRule="exact"/>
        <w:rPr>
          <w:sz w:val="20"/>
          <w:szCs w:val="20"/>
          <w:color w:val="auto"/>
        </w:rPr>
      </w:pPr>
    </w:p>
    <w:p>
      <w:pPr>
        <w:ind w:left="760"/>
        <w:spacing w:after="0"/>
        <w:rPr>
          <w:sz w:val="20"/>
          <w:szCs w:val="20"/>
          <w:color w:val="auto"/>
        </w:rPr>
      </w:pPr>
      <w:r>
        <w:rPr>
          <w:rFonts w:ascii="Arial" w:cs="Arial" w:eastAsia="Arial" w:hAnsi="Arial"/>
          <w:sz w:val="16"/>
          <w:szCs w:val="16"/>
          <w:color w:val="auto"/>
        </w:rPr>
        <w:t>For the year ended December 31, 2019:</w:t>
      </w:r>
    </w:p>
    <w:p>
      <w:pPr>
        <w:spacing w:after="0" w:line="100" w:lineRule="exact"/>
        <w:rPr>
          <w:sz w:val="20"/>
          <w:szCs w:val="20"/>
          <w:color w:val="auto"/>
        </w:rPr>
      </w:pPr>
    </w:p>
    <w:p>
      <w:pPr>
        <w:ind w:left="760"/>
        <w:spacing w:after="0"/>
        <w:rPr>
          <w:sz w:val="20"/>
          <w:szCs w:val="20"/>
          <w:color w:val="auto"/>
        </w:rPr>
      </w:pPr>
      <w:r>
        <w:rPr>
          <w:rFonts w:ascii="Arial" w:cs="Arial" w:eastAsia="Arial" w:hAnsi="Arial"/>
          <w:sz w:val="16"/>
          <w:szCs w:val="16"/>
          <w:color w:val="auto"/>
        </w:rPr>
        <w:t>–  the median of the annual total compensation of all employees of our company (other than the CEO), was $60,298; and</w:t>
      </w:r>
    </w:p>
    <w:p>
      <w:pPr>
        <w:spacing w:after="0" w:line="86" w:lineRule="exact"/>
        <w:rPr>
          <w:sz w:val="20"/>
          <w:szCs w:val="20"/>
          <w:color w:val="auto"/>
        </w:rPr>
      </w:pPr>
    </w:p>
    <w:p>
      <w:pPr>
        <w:ind w:left="760"/>
        <w:spacing w:after="0"/>
        <w:rPr>
          <w:sz w:val="20"/>
          <w:szCs w:val="20"/>
          <w:color w:val="auto"/>
        </w:rPr>
      </w:pPr>
      <w:r>
        <w:rPr>
          <w:rFonts w:ascii="Arial" w:cs="Arial" w:eastAsia="Arial" w:hAnsi="Arial"/>
          <w:sz w:val="16"/>
          <w:szCs w:val="16"/>
          <w:color w:val="auto"/>
        </w:rPr>
        <w:t>–  the annual total compensation of Mr. McDonald, our CEO, was $7,131,927.</w:t>
      </w:r>
    </w:p>
    <w:p>
      <w:pPr>
        <w:spacing w:after="0" w:line="100" w:lineRule="exact"/>
        <w:rPr>
          <w:sz w:val="20"/>
          <w:szCs w:val="20"/>
          <w:color w:val="auto"/>
        </w:rPr>
      </w:pPr>
    </w:p>
    <w:p>
      <w:pPr>
        <w:ind w:left="760" w:right="820"/>
        <w:spacing w:after="0" w:line="260" w:lineRule="auto"/>
        <w:rPr>
          <w:sz w:val="20"/>
          <w:szCs w:val="20"/>
          <w:color w:val="auto"/>
        </w:rPr>
      </w:pPr>
      <w:r>
        <w:rPr>
          <w:rFonts w:ascii="Arial" w:cs="Arial" w:eastAsia="Arial" w:hAnsi="Arial"/>
          <w:sz w:val="16"/>
          <w:szCs w:val="16"/>
          <w:color w:val="auto"/>
        </w:rPr>
        <w:t>Based on this information, the ratio of our annual total compensation of our CEO to the median of the annual total compensation of all employees is 118 to 1.</w:t>
      </w:r>
    </w:p>
    <w:p>
      <w:pPr>
        <w:spacing w:after="0" w:line="74" w:lineRule="exact"/>
        <w:rPr>
          <w:sz w:val="20"/>
          <w:szCs w:val="20"/>
          <w:color w:val="auto"/>
        </w:rPr>
      </w:pPr>
    </w:p>
    <w:p>
      <w:pPr>
        <w:ind w:left="760" w:right="1060"/>
        <w:spacing w:after="0" w:line="253" w:lineRule="auto"/>
        <w:rPr>
          <w:sz w:val="20"/>
          <w:szCs w:val="20"/>
          <w:color w:val="auto"/>
        </w:rPr>
      </w:pPr>
      <w:r>
        <w:rPr>
          <w:rFonts w:ascii="Arial" w:cs="Arial" w:eastAsia="Arial" w:hAnsi="Arial"/>
          <w:sz w:val="16"/>
          <w:szCs w:val="16"/>
          <w:color w:val="auto"/>
        </w:rPr>
        <w:t>The methodology and material assumptions, adjustments, and estimates that we used to identify the median of the annual total compensation of all our employees, as well as to determine the annual total compensation of our median employee were as follows:</w:t>
      </w:r>
    </w:p>
    <w:p>
      <w:pPr>
        <w:spacing w:after="0" w:line="66" w:lineRule="exact"/>
        <w:rPr>
          <w:sz w:val="20"/>
          <w:szCs w:val="20"/>
          <w:color w:val="auto"/>
        </w:rPr>
      </w:pPr>
    </w:p>
    <w:p>
      <w:pPr>
        <w:ind w:left="1200" w:right="940" w:hanging="220"/>
        <w:spacing w:after="0" w:line="253" w:lineRule="auto"/>
        <w:tabs>
          <w:tab w:leader="none" w:pos="1200" w:val="left"/>
        </w:tabs>
        <w:numPr>
          <w:ilvl w:val="0"/>
          <w:numId w:val="77"/>
        </w:numPr>
        <w:rPr>
          <w:rFonts w:ascii="Arial" w:cs="Arial" w:eastAsia="Arial" w:hAnsi="Arial"/>
          <w:sz w:val="16"/>
          <w:szCs w:val="16"/>
          <w:color w:val="auto"/>
        </w:rPr>
      </w:pPr>
      <w:r>
        <w:rPr>
          <w:rFonts w:ascii="Arial" w:cs="Arial" w:eastAsia="Arial" w:hAnsi="Arial"/>
          <w:sz w:val="16"/>
          <w:szCs w:val="16"/>
          <w:color w:val="auto"/>
        </w:rPr>
        <w:t>As of October 1, 2019, our employee population consisted of 4,035 individuals working at our parent company and consolidated subsidiaries, with approximately 32% of these individuals located in the United States, 6% located in Canada, 52% located in Europe, and 10% located in various countries in Southeast Asia and South America.</w:t>
      </w:r>
    </w:p>
    <w:p>
      <w:pPr>
        <w:spacing w:after="0" w:line="25" w:lineRule="exact"/>
        <w:rPr>
          <w:rFonts w:ascii="Arial" w:cs="Arial" w:eastAsia="Arial" w:hAnsi="Arial"/>
          <w:sz w:val="16"/>
          <w:szCs w:val="16"/>
          <w:color w:val="auto"/>
        </w:rPr>
      </w:pPr>
    </w:p>
    <w:p>
      <w:pPr>
        <w:ind w:left="1360" w:right="1380" w:hanging="164"/>
        <w:spacing w:after="0" w:line="260" w:lineRule="auto"/>
        <w:tabs>
          <w:tab w:leader="none" w:pos="1360" w:val="left"/>
        </w:tabs>
        <w:numPr>
          <w:ilvl w:val="1"/>
          <w:numId w:val="77"/>
        </w:numPr>
        <w:rPr>
          <w:rFonts w:ascii="Arial" w:cs="Arial" w:eastAsia="Arial" w:hAnsi="Arial"/>
          <w:sz w:val="16"/>
          <w:szCs w:val="16"/>
          <w:color w:val="4800E6"/>
        </w:rPr>
      </w:pPr>
      <w:r>
        <w:rPr>
          <w:rFonts w:ascii="Arial" w:cs="Arial" w:eastAsia="Arial" w:hAnsi="Arial"/>
          <w:sz w:val="16"/>
          <w:szCs w:val="16"/>
          <w:color w:val="auto"/>
        </w:rPr>
        <w:t>We selected October 1, 2019 to allow sufficient time to identify the median employee given the global scope of our operations.</w:t>
      </w:r>
    </w:p>
    <w:p>
      <w:pPr>
        <w:spacing w:after="0" w:line="60" w:lineRule="exact"/>
        <w:rPr>
          <w:rFonts w:ascii="Arial" w:cs="Arial" w:eastAsia="Arial" w:hAnsi="Arial"/>
          <w:sz w:val="16"/>
          <w:szCs w:val="16"/>
          <w:color w:val="4800E6"/>
        </w:rPr>
      </w:pPr>
    </w:p>
    <w:p>
      <w:pPr>
        <w:ind w:left="1200" w:right="1220" w:hanging="220"/>
        <w:spacing w:after="0" w:line="260" w:lineRule="auto"/>
        <w:tabs>
          <w:tab w:leader="none" w:pos="1200" w:val="left"/>
        </w:tabs>
        <w:numPr>
          <w:ilvl w:val="0"/>
          <w:numId w:val="77"/>
        </w:numPr>
        <w:rPr>
          <w:rFonts w:ascii="Arial" w:cs="Arial" w:eastAsia="Arial" w:hAnsi="Arial"/>
          <w:sz w:val="16"/>
          <w:szCs w:val="16"/>
          <w:color w:val="auto"/>
        </w:rPr>
      </w:pPr>
      <w:r>
        <w:rPr>
          <w:rFonts w:ascii="Arial" w:cs="Arial" w:eastAsia="Arial" w:hAnsi="Arial"/>
          <w:sz w:val="16"/>
          <w:szCs w:val="16"/>
          <w:color w:val="auto"/>
        </w:rPr>
        <w:t>Our employee population, after taking into consideration the adjustments permitted by SEC rules (as described below), consisted of 3,810 individuals.</w:t>
      </w:r>
    </w:p>
    <w:p>
      <w:pPr>
        <w:spacing w:after="0" w:line="3" w:lineRule="exact"/>
        <w:rPr>
          <w:rFonts w:ascii="Arial" w:cs="Arial" w:eastAsia="Arial" w:hAnsi="Arial"/>
          <w:sz w:val="16"/>
          <w:szCs w:val="16"/>
          <w:color w:val="auto"/>
        </w:rPr>
      </w:pPr>
    </w:p>
    <w:p>
      <w:pPr>
        <w:ind w:left="1360" w:right="1180" w:hanging="164"/>
        <w:spacing w:after="0" w:line="274" w:lineRule="auto"/>
        <w:tabs>
          <w:tab w:leader="none" w:pos="1360" w:val="left"/>
        </w:tabs>
        <w:numPr>
          <w:ilvl w:val="1"/>
          <w:numId w:val="77"/>
        </w:numPr>
        <w:rPr>
          <w:rFonts w:ascii="Arial" w:cs="Arial" w:eastAsia="Arial" w:hAnsi="Arial"/>
          <w:sz w:val="16"/>
          <w:szCs w:val="16"/>
          <w:color w:val="4800E6"/>
        </w:rPr>
      </w:pPr>
      <w:r>
        <w:rPr>
          <w:rFonts w:ascii="Arial" w:cs="Arial" w:eastAsia="Arial" w:hAnsi="Arial"/>
          <w:sz w:val="16"/>
          <w:szCs w:val="16"/>
          <w:color w:val="auto"/>
        </w:rPr>
        <w:t xml:space="preserve">Using the </w:t>
      </w:r>
      <w:r>
        <w:rPr>
          <w:rFonts w:ascii="Arial" w:cs="Arial" w:eastAsia="Arial" w:hAnsi="Arial"/>
          <w:sz w:val="16"/>
          <w:szCs w:val="16"/>
          <w:i w:val="1"/>
          <w:iCs w:val="1"/>
          <w:color w:val="auto"/>
        </w:rPr>
        <w:t>de minimis</w:t>
      </w:r>
      <w:r>
        <w:rPr>
          <w:rFonts w:ascii="Arial" w:cs="Arial" w:eastAsia="Arial" w:hAnsi="Arial"/>
          <w:sz w:val="16"/>
          <w:szCs w:val="16"/>
          <w:color w:val="auto"/>
        </w:rPr>
        <w:t xml:space="preserve"> exception, we limited our employee population to individuals residing in Europe, North America, Japan and Australia.</w:t>
      </w:r>
    </w:p>
    <w:p>
      <w:pPr>
        <w:ind w:left="1360" w:right="1020" w:hanging="164"/>
        <w:spacing w:after="0" w:line="270" w:lineRule="auto"/>
        <w:tabs>
          <w:tab w:leader="none" w:pos="1360" w:val="left"/>
        </w:tabs>
        <w:numPr>
          <w:ilvl w:val="1"/>
          <w:numId w:val="77"/>
        </w:numPr>
        <w:rPr>
          <w:rFonts w:ascii="Arial" w:cs="Arial" w:eastAsia="Arial" w:hAnsi="Arial"/>
          <w:sz w:val="15"/>
          <w:szCs w:val="15"/>
          <w:color w:val="4800E6"/>
        </w:rPr>
      </w:pPr>
      <w:r>
        <w:rPr>
          <w:rFonts w:ascii="Arial" w:cs="Arial" w:eastAsia="Arial" w:hAnsi="Arial"/>
          <w:sz w:val="15"/>
          <w:szCs w:val="15"/>
          <w:color w:val="auto"/>
        </w:rPr>
        <w:t>Given the global distribution of our employee population, we have a variety of pay elements in the compensation arrangements of our employees. For example, while most of our employees participate in our short-term incentive plan, the incentive compensation element for some of our employees residing in the US, Japan and Europe is based on commissions. They do not participate in our short-incentive plan. Consequently, we selected base salary or wages plus overtime pay as the most appropriate consistently applied compensation measure to identify the median employee.</w:t>
      </w:r>
    </w:p>
    <w:p>
      <w:pPr>
        <w:spacing w:after="0" w:line="275" w:lineRule="exact"/>
        <w:rPr>
          <w:sz w:val="20"/>
          <w:szCs w:val="20"/>
          <w:color w:val="auto"/>
        </w:rPr>
      </w:pPr>
    </w:p>
    <w:tbl>
      <w:tblPr>
        <w:tblLayout w:type="fixed"/>
        <w:tblInd w:w="0" w:type="dxa"/>
        <w:tblCellMar>
          <w:top w:w="0" w:type="dxa"/>
          <w:left w:w="0" w:type="dxa"/>
          <w:bottom w:w="0" w:type="dxa"/>
          <w:right w:w="0" w:type="dxa"/>
        </w:tblCellMar>
      </w:tblPr>
      <w:tr>
        <w:trPr>
          <w:trHeight w:val="130"/>
        </w:trPr>
        <w:tc>
          <w:tcPr>
            <w:tcW w:w="820" w:type="dxa"/>
            <w:vAlign w:val="bottom"/>
            <w:vMerge w:val="restart"/>
          </w:tcPr>
          <w:p>
            <w:pPr>
              <w:spacing w:after="0"/>
              <w:rPr>
                <w:sz w:val="11"/>
                <w:szCs w:val="11"/>
                <w:color w:val="auto"/>
              </w:rPr>
            </w:pPr>
          </w:p>
        </w:tc>
        <w:tc>
          <w:tcPr>
            <w:tcW w:w="3080" w:type="dxa"/>
            <w:vAlign w:val="bottom"/>
            <w:tcBorders>
              <w:bottom w:val="single" w:sz="8" w:color="auto"/>
            </w:tcBorders>
          </w:tcPr>
          <w:p>
            <w:pPr>
              <w:spacing w:after="0"/>
              <w:rPr>
                <w:sz w:val="11"/>
                <w:szCs w:val="11"/>
                <w:color w:val="auto"/>
              </w:rPr>
            </w:pPr>
          </w:p>
        </w:tc>
        <w:tc>
          <w:tcPr>
            <w:tcW w:w="2800" w:type="dxa"/>
            <w:vAlign w:val="bottom"/>
            <w:vMerge w:val="restart"/>
          </w:tcPr>
          <w:p>
            <w:pPr>
              <w:ind w:left="440"/>
              <w:spacing w:after="0"/>
              <w:rPr>
                <w:sz w:val="20"/>
                <w:szCs w:val="20"/>
                <w:color w:val="auto"/>
              </w:rPr>
            </w:pPr>
            <w:r>
              <w:rPr>
                <w:rFonts w:ascii="Arial" w:cs="Arial" w:eastAsia="Arial" w:hAnsi="Arial"/>
                <w:sz w:val="13"/>
                <w:szCs w:val="13"/>
                <w:b w:val="1"/>
                <w:bCs w:val="1"/>
                <w:color w:val="4800E6"/>
              </w:rPr>
              <w:t xml:space="preserve">LIVANOVA </w:t>
            </w:r>
            <w:r>
              <w:rPr>
                <w:rFonts w:ascii="Arial" w:cs="Arial" w:eastAsia="Arial" w:hAnsi="Arial"/>
                <w:sz w:val="13"/>
                <w:szCs w:val="13"/>
                <w:color w:val="000000"/>
              </w:rPr>
              <w:t>|</w:t>
            </w:r>
            <w:r>
              <w:rPr>
                <w:rFonts w:ascii="Arial" w:cs="Arial" w:eastAsia="Arial" w:hAnsi="Arial"/>
                <w:sz w:val="13"/>
                <w:szCs w:val="13"/>
                <w:b w:val="1"/>
                <w:bCs w:val="1"/>
                <w:color w:val="4800E6"/>
              </w:rPr>
              <w:t xml:space="preserve"> </w:t>
            </w:r>
            <w:r>
              <w:rPr>
                <w:rFonts w:ascii="Arial" w:cs="Arial" w:eastAsia="Arial" w:hAnsi="Arial"/>
                <w:sz w:val="13"/>
                <w:szCs w:val="13"/>
                <w:color w:val="4800E6"/>
              </w:rPr>
              <w:t>2020</w:t>
            </w:r>
            <w:r>
              <w:rPr>
                <w:rFonts w:ascii="Arial" w:cs="Arial" w:eastAsia="Arial" w:hAnsi="Arial"/>
                <w:sz w:val="13"/>
                <w:szCs w:val="13"/>
                <w:b w:val="1"/>
                <w:bCs w:val="1"/>
                <w:color w:val="4800E6"/>
              </w:rPr>
              <w:t xml:space="preserve"> </w:t>
            </w:r>
            <w:r>
              <w:rPr>
                <w:rFonts w:ascii="Arial" w:cs="Arial" w:eastAsia="Arial" w:hAnsi="Arial"/>
                <w:sz w:val="13"/>
                <w:szCs w:val="13"/>
                <w:color w:val="000000"/>
              </w:rPr>
              <w:t>Proxy Statement</w:t>
            </w:r>
          </w:p>
        </w:tc>
        <w:tc>
          <w:tcPr>
            <w:tcW w:w="3080" w:type="dxa"/>
            <w:vAlign w:val="bottom"/>
            <w:tcBorders>
              <w:bottom w:val="single" w:sz="8" w:color="auto"/>
            </w:tcBorders>
          </w:tcPr>
          <w:p>
            <w:pPr>
              <w:spacing w:after="0"/>
              <w:rPr>
                <w:sz w:val="11"/>
                <w:szCs w:val="11"/>
                <w:color w:val="auto"/>
              </w:rPr>
            </w:pPr>
          </w:p>
        </w:tc>
        <w:tc>
          <w:tcPr>
            <w:tcW w:w="940" w:type="dxa"/>
            <w:vAlign w:val="bottom"/>
            <w:vMerge w:val="restart"/>
          </w:tcPr>
          <w:p>
            <w:pPr>
              <w:jc w:val="right"/>
              <w:ind w:right="468"/>
              <w:spacing w:after="0"/>
              <w:rPr>
                <w:sz w:val="20"/>
                <w:szCs w:val="20"/>
                <w:color w:val="auto"/>
              </w:rPr>
            </w:pPr>
            <w:r>
              <w:rPr>
                <w:rFonts w:ascii="Arial" w:cs="Arial" w:eastAsia="Arial" w:hAnsi="Arial"/>
                <w:sz w:val="14"/>
                <w:szCs w:val="14"/>
                <w:b w:val="1"/>
                <w:bCs w:val="1"/>
                <w:color w:val="auto"/>
              </w:rPr>
              <w:t>48</w:t>
            </w:r>
          </w:p>
        </w:tc>
        <w:tc>
          <w:tcPr>
            <w:tcW w:w="0" w:type="dxa"/>
            <w:vAlign w:val="bottom"/>
          </w:tcPr>
          <w:p>
            <w:pPr>
              <w:spacing w:after="0"/>
              <w:rPr>
                <w:sz w:val="1"/>
                <w:szCs w:val="1"/>
                <w:color w:val="auto"/>
              </w:rPr>
            </w:pPr>
          </w:p>
        </w:tc>
      </w:tr>
      <w:tr>
        <w:trPr>
          <w:trHeight w:val="49"/>
        </w:trPr>
        <w:tc>
          <w:tcPr>
            <w:tcW w:w="820" w:type="dxa"/>
            <w:vAlign w:val="bottom"/>
            <w:vMerge w:val="continue"/>
          </w:tcPr>
          <w:p>
            <w:pPr>
              <w:spacing w:after="0"/>
              <w:rPr>
                <w:sz w:val="4"/>
                <w:szCs w:val="4"/>
                <w:color w:val="auto"/>
              </w:rPr>
            </w:pPr>
          </w:p>
        </w:tc>
        <w:tc>
          <w:tcPr>
            <w:tcW w:w="3080" w:type="dxa"/>
            <w:vAlign w:val="bottom"/>
          </w:tcPr>
          <w:p>
            <w:pPr>
              <w:spacing w:after="0"/>
              <w:rPr>
                <w:sz w:val="4"/>
                <w:szCs w:val="4"/>
                <w:color w:val="auto"/>
              </w:rPr>
            </w:pPr>
          </w:p>
        </w:tc>
        <w:tc>
          <w:tcPr>
            <w:tcW w:w="2800" w:type="dxa"/>
            <w:vAlign w:val="bottom"/>
            <w:vMerge w:val="continue"/>
          </w:tcPr>
          <w:p>
            <w:pPr>
              <w:spacing w:after="0"/>
              <w:rPr>
                <w:sz w:val="4"/>
                <w:szCs w:val="4"/>
                <w:color w:val="auto"/>
              </w:rPr>
            </w:pPr>
          </w:p>
        </w:tc>
        <w:tc>
          <w:tcPr>
            <w:tcW w:w="3080" w:type="dxa"/>
            <w:vAlign w:val="bottom"/>
          </w:tcPr>
          <w:p>
            <w:pPr>
              <w:spacing w:after="0"/>
              <w:rPr>
                <w:sz w:val="4"/>
                <w:szCs w:val="4"/>
                <w:color w:val="auto"/>
              </w:rPr>
            </w:pPr>
          </w:p>
        </w:tc>
        <w:tc>
          <w:tcPr>
            <w:tcW w:w="94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54"/>
        </w:trPr>
        <w:tc>
          <w:tcPr>
            <w:tcW w:w="820" w:type="dxa"/>
            <w:vAlign w:val="bottom"/>
            <w:tcBorders>
              <w:bottom w:val="single" w:sz="8" w:color="9A9A9A"/>
            </w:tcBorders>
          </w:tcPr>
          <w:p>
            <w:pPr>
              <w:spacing w:after="0"/>
              <w:rPr>
                <w:sz w:val="13"/>
                <w:szCs w:val="13"/>
                <w:color w:val="auto"/>
              </w:rPr>
            </w:pPr>
          </w:p>
        </w:tc>
        <w:tc>
          <w:tcPr>
            <w:tcW w:w="3080" w:type="dxa"/>
            <w:vAlign w:val="bottom"/>
            <w:tcBorders>
              <w:bottom w:val="single" w:sz="8" w:color="9A9A9A"/>
            </w:tcBorders>
          </w:tcPr>
          <w:p>
            <w:pPr>
              <w:spacing w:after="0"/>
              <w:rPr>
                <w:sz w:val="13"/>
                <w:szCs w:val="13"/>
                <w:color w:val="auto"/>
              </w:rPr>
            </w:pPr>
          </w:p>
        </w:tc>
        <w:tc>
          <w:tcPr>
            <w:tcW w:w="2800" w:type="dxa"/>
            <w:vAlign w:val="bottom"/>
            <w:tcBorders>
              <w:bottom w:val="single" w:sz="8" w:color="9A9A9A"/>
            </w:tcBorders>
          </w:tcPr>
          <w:p>
            <w:pPr>
              <w:spacing w:after="0"/>
              <w:rPr>
                <w:sz w:val="13"/>
                <w:szCs w:val="13"/>
                <w:color w:val="auto"/>
              </w:rPr>
            </w:pPr>
          </w:p>
        </w:tc>
        <w:tc>
          <w:tcPr>
            <w:tcW w:w="3080" w:type="dxa"/>
            <w:vAlign w:val="bottom"/>
            <w:tcBorders>
              <w:bottom w:val="single" w:sz="8" w:color="9A9A9A"/>
            </w:tcBorders>
          </w:tcPr>
          <w:p>
            <w:pPr>
              <w:spacing w:after="0"/>
              <w:rPr>
                <w:sz w:val="13"/>
                <w:szCs w:val="13"/>
                <w:color w:val="auto"/>
              </w:rPr>
            </w:pPr>
          </w:p>
        </w:tc>
        <w:tc>
          <w:tcPr>
            <w:tcW w:w="940" w:type="dxa"/>
            <w:vAlign w:val="bottom"/>
            <w:tcBorders>
              <w:bottom w:val="single" w:sz="8" w:color="9A9A9A"/>
            </w:tcBorders>
          </w:tcPr>
          <w:p>
            <w:pPr>
              <w:spacing w:after="0"/>
              <w:rPr>
                <w:sz w:val="13"/>
                <w:szCs w:val="1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6802755</wp:posOffset>
            </wp:positionH>
            <wp:positionV relativeFrom="paragraph">
              <wp:posOffset>-8255</wp:posOffset>
            </wp:positionV>
            <wp:extent cx="8255" cy="8890"/>
            <wp:wrapNone/>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263">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wp:posOffset>
            </wp:positionV>
            <wp:extent cx="8890" cy="17145"/>
            <wp:wrapNone/>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264">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sectPr>
          <w:pgSz w:w="11900" w:h="16838" w:orient="portrait"/>
          <w:cols w:equalWidth="0" w:num="1">
            <w:col w:w="10720"/>
          </w:cols>
          <w:pgMar w:left="320" w:top="132" w:right="859" w:bottom="1440" w:gutter="0" w:footer="0" w:header="0"/>
        </w:sectPr>
      </w:pPr>
    </w:p>
    <w:bookmarkStart w:id="52" w:name="page53"/>
    <w:bookmarkEnd w:id="52"/>
    <w:p>
      <w:pPr>
        <w:spacing w:after="0"/>
        <w:rPr>
          <w:rFonts w:ascii="Arial" w:cs="Arial" w:eastAsia="Arial" w:hAnsi="Arial"/>
          <w:sz w:val="14"/>
          <w:szCs w:val="14"/>
          <w:color w:val="003366"/>
        </w:rPr>
      </w:pPr>
      <w:hyperlink w:anchor="page5">
        <w:r>
          <w:rPr>
            <w:rFonts w:ascii="Arial" w:cs="Arial" w:eastAsia="Arial" w:hAnsi="Arial"/>
            <w:sz w:val="14"/>
            <w:szCs w:val="14"/>
            <w:color w:val="003366"/>
          </w:rPr>
          <w:t>TABLE OF CONTENTS</w:t>
        </w:r>
      </w:hyperlink>
    </w:p>
    <w:p>
      <w:pPr>
        <w:spacing w:after="0" w:line="338" w:lineRule="exact"/>
        <w:rPr>
          <w:sz w:val="20"/>
          <w:szCs w:val="20"/>
          <w:color w:val="auto"/>
        </w:rPr>
      </w:pPr>
    </w:p>
    <w:p>
      <w:pPr>
        <w:ind w:left="760"/>
        <w:spacing w:after="0"/>
        <w:rPr>
          <w:sz w:val="20"/>
          <w:szCs w:val="20"/>
          <w:color w:val="auto"/>
        </w:rPr>
      </w:pPr>
      <w:r>
        <w:rPr>
          <w:rFonts w:ascii="Arial" w:cs="Arial" w:eastAsia="Arial" w:hAnsi="Arial"/>
          <w:sz w:val="13"/>
          <w:szCs w:val="13"/>
          <w:b w:val="1"/>
          <w:bCs w:val="1"/>
          <w:color w:val="auto"/>
        </w:rPr>
        <w:t xml:space="preserve">Executive </w:t>
      </w:r>
      <w:r>
        <w:rPr>
          <w:rFonts w:ascii="Arial" w:cs="Arial" w:eastAsia="Arial" w:hAnsi="Arial"/>
          <w:sz w:val="13"/>
          <w:szCs w:val="13"/>
          <w:b w:val="1"/>
          <w:bCs w:val="1"/>
          <w:color w:val="666666"/>
        </w:rPr>
        <w:t>Compensation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485140</wp:posOffset>
            </wp:positionH>
            <wp:positionV relativeFrom="paragraph">
              <wp:posOffset>30480</wp:posOffset>
            </wp:positionV>
            <wp:extent cx="5829300" cy="8255"/>
            <wp:wrapNone/>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265">
                      <a:extLst>
                        <a:ext uri="{28A0092B-C50C-407E-A947-70E740481C1C}"/>
                      </a:extLst>
                    </a:blip>
                    <a:srcRect/>
                    <a:stretch>
                      <a:fillRect/>
                    </a:stretch>
                  </pic:blipFill>
                  <pic:spPr bwMode="auto">
                    <a:xfrm>
                      <a:off x="0" y="0"/>
                      <a:ext cx="5829300" cy="8255"/>
                    </a:xfrm>
                    <a:prstGeom prst="rect">
                      <a:avLst/>
                    </a:prstGeom>
                    <a:noFill/>
                  </pic:spPr>
                </pic:pic>
              </a:graphicData>
            </a:graphic>
          </wp:anchor>
        </w:drawing>
      </w:r>
    </w:p>
    <w:p>
      <w:pPr>
        <w:spacing w:after="0" w:line="60" w:lineRule="exact"/>
        <w:rPr>
          <w:sz w:val="20"/>
          <w:szCs w:val="20"/>
          <w:color w:val="auto"/>
        </w:rPr>
      </w:pPr>
    </w:p>
    <w:p>
      <w:pPr>
        <w:ind w:left="760"/>
        <w:spacing w:after="0"/>
        <w:rPr>
          <w:sz w:val="20"/>
          <w:szCs w:val="20"/>
          <w:color w:val="auto"/>
        </w:rPr>
      </w:pPr>
      <w:r>
        <w:rPr>
          <w:rFonts w:ascii="Arial" w:cs="Arial" w:eastAsia="Arial" w:hAnsi="Arial"/>
          <w:sz w:val="13"/>
          <w:szCs w:val="13"/>
          <w:b w:val="1"/>
          <w:bCs w:val="1"/>
          <w:color w:val="4800E6"/>
        </w:rPr>
        <w:t>Compensation of Executive Officers and Directors</w:t>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ind w:left="1360" w:right="299" w:hanging="164"/>
        <w:spacing w:after="0" w:line="260" w:lineRule="auto"/>
        <w:tabs>
          <w:tab w:leader="none" w:pos="1360" w:val="left"/>
        </w:tabs>
        <w:numPr>
          <w:ilvl w:val="1"/>
          <w:numId w:val="78"/>
        </w:numPr>
        <w:rPr>
          <w:rFonts w:ascii="Arial" w:cs="Arial" w:eastAsia="Arial" w:hAnsi="Arial"/>
          <w:sz w:val="16"/>
          <w:szCs w:val="16"/>
          <w:color w:val="4800E6"/>
        </w:rPr>
      </w:pPr>
      <w:r>
        <w:rPr>
          <w:rFonts w:ascii="Arial" w:cs="Arial" w:eastAsia="Arial" w:hAnsi="Arial"/>
          <w:sz w:val="16"/>
          <w:szCs w:val="16"/>
          <w:color w:val="auto"/>
        </w:rPr>
        <w:t>We annualized the compensation of all permanent employees who were hired in fiscal 2019 but did not work for us or our consolidated subsidiaries for the entire fiscal year.</w:t>
      </w:r>
    </w:p>
    <w:p>
      <w:pPr>
        <w:spacing w:after="0" w:line="19" w:lineRule="exact"/>
        <w:rPr>
          <w:rFonts w:ascii="Arial" w:cs="Arial" w:eastAsia="Arial" w:hAnsi="Arial"/>
          <w:sz w:val="16"/>
          <w:szCs w:val="16"/>
          <w:color w:val="4800E6"/>
        </w:rPr>
      </w:pPr>
    </w:p>
    <w:p>
      <w:pPr>
        <w:ind w:left="1360" w:hanging="164"/>
        <w:spacing w:after="0"/>
        <w:tabs>
          <w:tab w:leader="none" w:pos="1360" w:val="left"/>
        </w:tabs>
        <w:numPr>
          <w:ilvl w:val="1"/>
          <w:numId w:val="78"/>
        </w:numPr>
        <w:rPr>
          <w:rFonts w:ascii="Arial" w:cs="Arial" w:eastAsia="Arial" w:hAnsi="Arial"/>
          <w:sz w:val="16"/>
          <w:szCs w:val="16"/>
          <w:color w:val="4800E6"/>
        </w:rPr>
      </w:pPr>
      <w:r>
        <w:rPr>
          <w:rFonts w:ascii="Arial" w:cs="Arial" w:eastAsia="Arial" w:hAnsi="Arial"/>
          <w:sz w:val="16"/>
          <w:szCs w:val="16"/>
          <w:color w:val="auto"/>
        </w:rPr>
        <w:t>We did not make any cost-of-living adjustments in identifying the median employee.</w:t>
      </w:r>
    </w:p>
    <w:p>
      <w:pPr>
        <w:spacing w:after="0" w:line="99" w:lineRule="exact"/>
        <w:rPr>
          <w:rFonts w:ascii="Arial" w:cs="Arial" w:eastAsia="Arial" w:hAnsi="Arial"/>
          <w:sz w:val="16"/>
          <w:szCs w:val="16"/>
          <w:color w:val="4800E6"/>
        </w:rPr>
      </w:pPr>
    </w:p>
    <w:p>
      <w:pPr>
        <w:ind w:left="1200" w:right="419" w:hanging="220"/>
        <w:spacing w:after="0" w:line="253" w:lineRule="auto"/>
        <w:tabs>
          <w:tab w:leader="none" w:pos="1200" w:val="left"/>
        </w:tabs>
        <w:numPr>
          <w:ilvl w:val="0"/>
          <w:numId w:val="78"/>
        </w:numPr>
        <w:rPr>
          <w:rFonts w:ascii="Arial" w:cs="Arial" w:eastAsia="Arial" w:hAnsi="Arial"/>
          <w:sz w:val="16"/>
          <w:szCs w:val="16"/>
          <w:color w:val="auto"/>
        </w:rPr>
      </w:pPr>
      <w:r>
        <w:rPr>
          <w:rFonts w:ascii="Arial" w:cs="Arial" w:eastAsia="Arial" w:hAnsi="Arial"/>
          <w:sz w:val="16"/>
          <w:szCs w:val="16"/>
          <w:color w:val="auto"/>
        </w:rPr>
        <w:t>With respect to the annual total compensation of our CEO, we used the amount reported in the “Total” column of our 2019 Summary Compensation Table included in this proxy statement. We applied the same approach to determine the annual total compensation of the identified median employee.</w:t>
      </w:r>
    </w:p>
    <w:p>
      <w:pPr>
        <w:spacing w:after="0" w:line="135" w:lineRule="exact"/>
        <w:rPr>
          <w:sz w:val="20"/>
          <w:szCs w:val="20"/>
          <w:color w:val="auto"/>
        </w:rPr>
      </w:pPr>
    </w:p>
    <w:p>
      <w:pPr>
        <w:ind w:left="760"/>
        <w:spacing w:after="0"/>
        <w:rPr>
          <w:sz w:val="20"/>
          <w:szCs w:val="20"/>
          <w:color w:val="auto"/>
        </w:rPr>
      </w:pPr>
      <w:r>
        <w:rPr>
          <w:rFonts w:ascii="Arial" w:cs="Arial" w:eastAsia="Arial" w:hAnsi="Arial"/>
          <w:sz w:val="23"/>
          <w:szCs w:val="23"/>
          <w:b w:val="1"/>
          <w:bCs w:val="1"/>
          <w:color w:val="auto"/>
        </w:rPr>
        <w:t>2019 Director Compensation Table</w:t>
      </w:r>
    </w:p>
    <w:p>
      <w:pPr>
        <w:spacing w:after="0" w:line="139" w:lineRule="exact"/>
        <w:rPr>
          <w:sz w:val="20"/>
          <w:szCs w:val="20"/>
          <w:color w:val="auto"/>
        </w:rPr>
      </w:pPr>
    </w:p>
    <w:p>
      <w:pPr>
        <w:ind w:left="760" w:right="199"/>
        <w:spacing w:after="0" w:line="247" w:lineRule="auto"/>
        <w:rPr>
          <w:sz w:val="20"/>
          <w:szCs w:val="20"/>
          <w:color w:val="auto"/>
        </w:rPr>
      </w:pPr>
      <w:r>
        <w:rPr>
          <w:rFonts w:ascii="Arial" w:cs="Arial" w:eastAsia="Arial" w:hAnsi="Arial"/>
          <w:sz w:val="16"/>
          <w:szCs w:val="16"/>
          <w:color w:val="auto"/>
        </w:rPr>
        <w:t>The Compensation Committee reviews the total compensation paid to our non-employee directors and non-executive chairman of our Board. The purpose of the review is to ensure that the level of compensation is appropriate to attract and retain a diverse group of directors with the breadth of experience necessary to perform our Board’s duties and to compensate our directors fairly for their services. The review includes the consideration of qualitative and comparative factors. To ensure directors are compensated relative to the scope of their responsibilities, the Compensation Committee considers the factors set out in the Company’s remuneration policy which governs payments to all directors, including non-executive directors. Some of the factors considered include: the time and effort involved in preparing for Board and committee meetings and the additional duties assumed by committee chairs and the chairman of our Board; the level of continuing education required to remain informed of broad corporate governance trends and material developments relevant to strategic initiatives within our company; and the compensation paid to directors at a peer group of companies as determined by the Compensation Committee with advice from its compensation consultant.</w:t>
      </w:r>
    </w:p>
    <w:p>
      <w:pPr>
        <w:spacing w:after="0" w:line="77" w:lineRule="exact"/>
        <w:rPr>
          <w:sz w:val="20"/>
          <w:szCs w:val="20"/>
          <w:color w:val="auto"/>
        </w:rPr>
      </w:pPr>
    </w:p>
    <w:p>
      <w:pPr>
        <w:ind w:left="760" w:right="319"/>
        <w:spacing w:after="0" w:line="260" w:lineRule="auto"/>
        <w:rPr>
          <w:sz w:val="20"/>
          <w:szCs w:val="20"/>
          <w:color w:val="auto"/>
        </w:rPr>
      </w:pPr>
      <w:r>
        <w:rPr>
          <w:rFonts w:ascii="Arial" w:cs="Arial" w:eastAsia="Arial" w:hAnsi="Arial"/>
          <w:sz w:val="16"/>
          <w:szCs w:val="16"/>
          <w:color w:val="auto"/>
        </w:rPr>
        <w:t>In 2019, non-employee directors who served on the Company’s Board received the following fees paid in cash for their service on the Board:</w:t>
      </w:r>
    </w:p>
    <w:p>
      <w:pPr>
        <w:spacing w:after="0" w:line="20" w:lineRule="exact"/>
        <w:rPr>
          <w:sz w:val="20"/>
          <w:szCs w:val="20"/>
          <w:color w:val="auto"/>
        </w:rPr>
      </w:pPr>
    </w:p>
    <w:p>
      <w:pPr>
        <w:ind w:left="920" w:hanging="156"/>
        <w:spacing w:after="0"/>
        <w:tabs>
          <w:tab w:leader="none" w:pos="920" w:val="left"/>
        </w:tabs>
        <w:numPr>
          <w:ilvl w:val="0"/>
          <w:numId w:val="79"/>
        </w:numPr>
        <w:rPr>
          <w:rFonts w:ascii="Arial" w:cs="Arial" w:eastAsia="Arial" w:hAnsi="Arial"/>
          <w:sz w:val="16"/>
          <w:szCs w:val="16"/>
          <w:color w:val="4800E6"/>
        </w:rPr>
      </w:pPr>
      <w:r>
        <w:rPr>
          <w:rFonts w:ascii="Arial" w:cs="Arial" w:eastAsia="Arial" w:hAnsi="Arial"/>
          <w:sz w:val="16"/>
          <w:szCs w:val="16"/>
          <w:color w:val="auto"/>
        </w:rPr>
        <w:t>annual board retainer fee of $110,000 ($185,000 for the Board Chair)</w:t>
      </w:r>
    </w:p>
    <w:p>
      <w:pPr>
        <w:spacing w:after="0" w:line="45" w:lineRule="exact"/>
        <w:rPr>
          <w:rFonts w:ascii="Arial" w:cs="Arial" w:eastAsia="Arial" w:hAnsi="Arial"/>
          <w:sz w:val="16"/>
          <w:szCs w:val="16"/>
          <w:color w:val="4800E6"/>
        </w:rPr>
      </w:pPr>
    </w:p>
    <w:p>
      <w:pPr>
        <w:ind w:left="920" w:hanging="156"/>
        <w:spacing w:after="0"/>
        <w:tabs>
          <w:tab w:leader="none" w:pos="920" w:val="left"/>
        </w:tabs>
        <w:numPr>
          <w:ilvl w:val="0"/>
          <w:numId w:val="79"/>
        </w:numPr>
        <w:rPr>
          <w:rFonts w:ascii="Arial" w:cs="Arial" w:eastAsia="Arial" w:hAnsi="Arial"/>
          <w:sz w:val="16"/>
          <w:szCs w:val="16"/>
          <w:color w:val="4800E6"/>
        </w:rPr>
      </w:pPr>
      <w:r>
        <w:rPr>
          <w:rFonts w:ascii="Arial" w:cs="Arial" w:eastAsia="Arial" w:hAnsi="Arial"/>
          <w:sz w:val="16"/>
          <w:szCs w:val="16"/>
          <w:color w:val="auto"/>
        </w:rPr>
        <w:t>committee chair fees:</w:t>
      </w:r>
    </w:p>
    <w:p>
      <w:pPr>
        <w:spacing w:after="0" w:line="32" w:lineRule="exact"/>
        <w:rPr>
          <w:rFonts w:ascii="Arial" w:cs="Arial" w:eastAsia="Arial" w:hAnsi="Arial"/>
          <w:sz w:val="16"/>
          <w:szCs w:val="16"/>
          <w:color w:val="4800E6"/>
        </w:rPr>
      </w:pPr>
    </w:p>
    <w:p>
      <w:pPr>
        <w:ind w:left="1140" w:hanging="160"/>
        <w:spacing w:after="0"/>
        <w:tabs>
          <w:tab w:leader="none" w:pos="1140" w:val="left"/>
        </w:tabs>
        <w:numPr>
          <w:ilvl w:val="1"/>
          <w:numId w:val="79"/>
        </w:numPr>
        <w:rPr>
          <w:rFonts w:ascii="Arial" w:cs="Arial" w:eastAsia="Arial" w:hAnsi="Arial"/>
          <w:sz w:val="16"/>
          <w:szCs w:val="16"/>
          <w:color w:val="4800E6"/>
        </w:rPr>
      </w:pPr>
      <w:r>
        <w:rPr>
          <w:rFonts w:ascii="Arial" w:cs="Arial" w:eastAsia="Arial" w:hAnsi="Arial"/>
          <w:sz w:val="16"/>
          <w:szCs w:val="16"/>
          <w:color w:val="auto"/>
        </w:rPr>
        <w:t>$15,000 (Nominating and Corporate Governance Committee)</w:t>
      </w:r>
    </w:p>
    <w:p>
      <w:pPr>
        <w:spacing w:after="0" w:line="45" w:lineRule="exact"/>
        <w:rPr>
          <w:rFonts w:ascii="Arial" w:cs="Arial" w:eastAsia="Arial" w:hAnsi="Arial"/>
          <w:sz w:val="16"/>
          <w:szCs w:val="16"/>
          <w:color w:val="4800E6"/>
        </w:rPr>
      </w:pPr>
    </w:p>
    <w:p>
      <w:pPr>
        <w:ind w:left="1140" w:hanging="160"/>
        <w:spacing w:after="0"/>
        <w:tabs>
          <w:tab w:leader="none" w:pos="1140" w:val="left"/>
        </w:tabs>
        <w:numPr>
          <w:ilvl w:val="1"/>
          <w:numId w:val="79"/>
        </w:numPr>
        <w:rPr>
          <w:rFonts w:ascii="Arial" w:cs="Arial" w:eastAsia="Arial" w:hAnsi="Arial"/>
          <w:sz w:val="16"/>
          <w:szCs w:val="16"/>
          <w:color w:val="4800E6"/>
        </w:rPr>
      </w:pPr>
      <w:r>
        <w:rPr>
          <w:rFonts w:ascii="Arial" w:cs="Arial" w:eastAsia="Arial" w:hAnsi="Arial"/>
          <w:sz w:val="16"/>
          <w:szCs w:val="16"/>
          <w:color w:val="auto"/>
        </w:rPr>
        <w:t>$20,000 (Compensation Committee)</w:t>
      </w:r>
    </w:p>
    <w:p>
      <w:pPr>
        <w:spacing w:after="0" w:line="45" w:lineRule="exact"/>
        <w:rPr>
          <w:rFonts w:ascii="Arial" w:cs="Arial" w:eastAsia="Arial" w:hAnsi="Arial"/>
          <w:sz w:val="16"/>
          <w:szCs w:val="16"/>
          <w:color w:val="4800E6"/>
        </w:rPr>
      </w:pPr>
    </w:p>
    <w:p>
      <w:pPr>
        <w:ind w:left="1140" w:hanging="160"/>
        <w:spacing w:after="0"/>
        <w:tabs>
          <w:tab w:leader="none" w:pos="1140" w:val="left"/>
        </w:tabs>
        <w:numPr>
          <w:ilvl w:val="1"/>
          <w:numId w:val="79"/>
        </w:numPr>
        <w:rPr>
          <w:rFonts w:ascii="Arial" w:cs="Arial" w:eastAsia="Arial" w:hAnsi="Arial"/>
          <w:sz w:val="16"/>
          <w:szCs w:val="16"/>
          <w:color w:val="4800E6"/>
        </w:rPr>
      </w:pPr>
      <w:r>
        <w:rPr>
          <w:rFonts w:ascii="Arial" w:cs="Arial" w:eastAsia="Arial" w:hAnsi="Arial"/>
          <w:sz w:val="16"/>
          <w:szCs w:val="16"/>
          <w:color w:val="auto"/>
        </w:rPr>
        <w:t>$30,000 (Audit and Compliance Committee)</w:t>
      </w:r>
    </w:p>
    <w:p>
      <w:pPr>
        <w:spacing w:after="0" w:line="32" w:lineRule="exact"/>
        <w:rPr>
          <w:rFonts w:ascii="Arial" w:cs="Arial" w:eastAsia="Arial" w:hAnsi="Arial"/>
          <w:sz w:val="16"/>
          <w:szCs w:val="16"/>
          <w:color w:val="4800E6"/>
        </w:rPr>
      </w:pPr>
    </w:p>
    <w:p>
      <w:pPr>
        <w:ind w:left="920" w:hanging="156"/>
        <w:spacing w:after="0"/>
        <w:tabs>
          <w:tab w:leader="none" w:pos="920" w:val="left"/>
        </w:tabs>
        <w:numPr>
          <w:ilvl w:val="0"/>
          <w:numId w:val="79"/>
        </w:numPr>
        <w:rPr>
          <w:rFonts w:ascii="Arial" w:cs="Arial" w:eastAsia="Arial" w:hAnsi="Arial"/>
          <w:sz w:val="16"/>
          <w:szCs w:val="16"/>
          <w:color w:val="4800E6"/>
        </w:rPr>
      </w:pPr>
      <w:r>
        <w:rPr>
          <w:rFonts w:ascii="Arial" w:cs="Arial" w:eastAsia="Arial" w:hAnsi="Arial"/>
          <w:sz w:val="16"/>
          <w:szCs w:val="16"/>
          <w:color w:val="auto"/>
        </w:rPr>
        <w:t>committee member fees (for members other than the committee chairs):</w:t>
      </w:r>
    </w:p>
    <w:p>
      <w:pPr>
        <w:spacing w:after="0" w:line="45" w:lineRule="exact"/>
        <w:rPr>
          <w:rFonts w:ascii="Arial" w:cs="Arial" w:eastAsia="Arial" w:hAnsi="Arial"/>
          <w:sz w:val="16"/>
          <w:szCs w:val="16"/>
          <w:color w:val="4800E6"/>
        </w:rPr>
      </w:pPr>
    </w:p>
    <w:p>
      <w:pPr>
        <w:ind w:left="1140" w:hanging="160"/>
        <w:spacing w:after="0"/>
        <w:tabs>
          <w:tab w:leader="none" w:pos="1140" w:val="left"/>
        </w:tabs>
        <w:numPr>
          <w:ilvl w:val="1"/>
          <w:numId w:val="79"/>
        </w:numPr>
        <w:rPr>
          <w:rFonts w:ascii="Arial" w:cs="Arial" w:eastAsia="Arial" w:hAnsi="Arial"/>
          <w:sz w:val="16"/>
          <w:szCs w:val="16"/>
          <w:color w:val="4800E6"/>
        </w:rPr>
      </w:pPr>
      <w:r>
        <w:rPr>
          <w:rFonts w:ascii="Arial" w:cs="Arial" w:eastAsia="Arial" w:hAnsi="Arial"/>
          <w:sz w:val="16"/>
          <w:szCs w:val="16"/>
          <w:color w:val="auto"/>
        </w:rPr>
        <w:t>$6,000 (Nominating and Corporate Governance Committee)</w:t>
      </w:r>
    </w:p>
    <w:p>
      <w:pPr>
        <w:spacing w:after="0" w:line="45" w:lineRule="exact"/>
        <w:rPr>
          <w:rFonts w:ascii="Arial" w:cs="Arial" w:eastAsia="Arial" w:hAnsi="Arial"/>
          <w:sz w:val="16"/>
          <w:szCs w:val="16"/>
          <w:color w:val="4800E6"/>
        </w:rPr>
      </w:pPr>
    </w:p>
    <w:p>
      <w:pPr>
        <w:ind w:left="1140" w:hanging="160"/>
        <w:spacing w:after="0"/>
        <w:tabs>
          <w:tab w:leader="none" w:pos="1140" w:val="left"/>
        </w:tabs>
        <w:numPr>
          <w:ilvl w:val="1"/>
          <w:numId w:val="79"/>
        </w:numPr>
        <w:rPr>
          <w:rFonts w:ascii="Arial" w:cs="Arial" w:eastAsia="Arial" w:hAnsi="Arial"/>
          <w:sz w:val="16"/>
          <w:szCs w:val="16"/>
          <w:color w:val="4800E6"/>
        </w:rPr>
      </w:pPr>
      <w:r>
        <w:rPr>
          <w:rFonts w:ascii="Arial" w:cs="Arial" w:eastAsia="Arial" w:hAnsi="Arial"/>
          <w:sz w:val="16"/>
          <w:szCs w:val="16"/>
          <w:color w:val="auto"/>
        </w:rPr>
        <w:t>$8,000 (Compensation Committee)</w:t>
      </w:r>
    </w:p>
    <w:p>
      <w:pPr>
        <w:spacing w:after="0" w:line="32" w:lineRule="exact"/>
        <w:rPr>
          <w:rFonts w:ascii="Arial" w:cs="Arial" w:eastAsia="Arial" w:hAnsi="Arial"/>
          <w:sz w:val="16"/>
          <w:szCs w:val="16"/>
          <w:color w:val="4800E6"/>
        </w:rPr>
      </w:pPr>
    </w:p>
    <w:p>
      <w:pPr>
        <w:ind w:left="1140" w:hanging="160"/>
        <w:spacing w:after="0"/>
        <w:tabs>
          <w:tab w:leader="none" w:pos="1140" w:val="left"/>
        </w:tabs>
        <w:numPr>
          <w:ilvl w:val="1"/>
          <w:numId w:val="79"/>
        </w:numPr>
        <w:rPr>
          <w:rFonts w:ascii="Arial" w:cs="Arial" w:eastAsia="Arial" w:hAnsi="Arial"/>
          <w:sz w:val="16"/>
          <w:szCs w:val="16"/>
          <w:color w:val="4800E6"/>
        </w:rPr>
      </w:pPr>
      <w:r>
        <w:rPr>
          <w:rFonts w:ascii="Arial" w:cs="Arial" w:eastAsia="Arial" w:hAnsi="Arial"/>
          <w:sz w:val="16"/>
          <w:szCs w:val="16"/>
          <w:color w:val="auto"/>
        </w:rPr>
        <w:t>$15,000 (Audit and Compliance Committee)</w:t>
      </w:r>
    </w:p>
    <w:p>
      <w:pPr>
        <w:spacing w:after="0" w:line="100" w:lineRule="exact"/>
        <w:rPr>
          <w:sz w:val="20"/>
          <w:szCs w:val="20"/>
          <w:color w:val="auto"/>
        </w:rPr>
      </w:pPr>
    </w:p>
    <w:p>
      <w:pPr>
        <w:jc w:val="both"/>
        <w:ind w:left="760" w:right="679"/>
        <w:spacing w:after="0" w:line="253" w:lineRule="auto"/>
        <w:rPr>
          <w:sz w:val="20"/>
          <w:szCs w:val="20"/>
          <w:color w:val="auto"/>
        </w:rPr>
      </w:pPr>
      <w:r>
        <w:rPr>
          <w:rFonts w:ascii="Arial" w:cs="Arial" w:eastAsia="Arial" w:hAnsi="Arial"/>
          <w:sz w:val="16"/>
          <w:szCs w:val="16"/>
          <w:color w:val="auto"/>
        </w:rPr>
        <w:t>The non-executive directors, in 2019, were also granted RSUs with a grant date fair market value of $110,000 for each non-executive director ($185,000 for the Board Chair.) These are service-based awards that vest after one year. In the event of a termination prior to the end of a director’s term, these RSUs are prorated.</w:t>
      </w:r>
    </w:p>
    <w:p>
      <w:pPr>
        <w:spacing w:after="0" w:line="80" w:lineRule="exact"/>
        <w:rPr>
          <w:sz w:val="20"/>
          <w:szCs w:val="20"/>
          <w:color w:val="auto"/>
        </w:rPr>
      </w:pPr>
    </w:p>
    <w:p>
      <w:pPr>
        <w:ind w:left="760"/>
        <w:spacing w:after="0"/>
        <w:rPr>
          <w:sz w:val="20"/>
          <w:szCs w:val="20"/>
          <w:color w:val="auto"/>
        </w:rPr>
      </w:pPr>
      <w:r>
        <w:rPr>
          <w:rFonts w:ascii="Arial" w:cs="Arial" w:eastAsia="Arial" w:hAnsi="Arial"/>
          <w:sz w:val="16"/>
          <w:szCs w:val="16"/>
          <w:color w:val="auto"/>
        </w:rPr>
        <w:t>The following table sets forth a summary of the compensation we paid to our non-employee directors in the year ended</w:t>
      </w:r>
    </w:p>
    <w:p>
      <w:pPr>
        <w:spacing w:after="0" w:line="5" w:lineRule="exact"/>
        <w:rPr>
          <w:sz w:val="20"/>
          <w:szCs w:val="20"/>
          <w:color w:val="auto"/>
        </w:rPr>
      </w:pPr>
    </w:p>
    <w:p>
      <w:pPr>
        <w:ind w:left="760"/>
        <w:spacing w:after="0"/>
        <w:rPr>
          <w:sz w:val="20"/>
          <w:szCs w:val="20"/>
          <w:color w:val="auto"/>
        </w:rPr>
      </w:pPr>
      <w:r>
        <w:rPr>
          <w:rFonts w:ascii="Arial" w:cs="Arial" w:eastAsia="Arial" w:hAnsi="Arial"/>
          <w:sz w:val="16"/>
          <w:szCs w:val="16"/>
          <w:color w:val="auto"/>
        </w:rPr>
        <w:t>December 31, 2019:</w:t>
      </w:r>
    </w:p>
    <w:p>
      <w:pPr>
        <w:spacing w:after="0" w:line="152" w:lineRule="exact"/>
        <w:rPr>
          <w:sz w:val="20"/>
          <w:szCs w:val="20"/>
          <w:color w:val="auto"/>
        </w:rPr>
      </w:pPr>
    </w:p>
    <w:tbl>
      <w:tblPr>
        <w:tblLayout w:type="fixed"/>
        <w:tblInd w:w="760" w:type="dxa"/>
        <w:tblCellMar>
          <w:top w:w="0" w:type="dxa"/>
          <w:left w:w="0" w:type="dxa"/>
          <w:bottom w:w="0" w:type="dxa"/>
          <w:right w:w="0" w:type="dxa"/>
        </w:tblCellMar>
      </w:tblPr>
      <w:tr>
        <w:trPr>
          <w:trHeight w:val="175"/>
        </w:trPr>
        <w:tc>
          <w:tcPr>
            <w:tcW w:w="3820" w:type="dxa"/>
            <w:vAlign w:val="bottom"/>
          </w:tcPr>
          <w:p>
            <w:pPr>
              <w:spacing w:after="0"/>
              <w:rPr>
                <w:sz w:val="15"/>
                <w:szCs w:val="15"/>
                <w:color w:val="auto"/>
              </w:rPr>
            </w:pPr>
          </w:p>
        </w:tc>
        <w:tc>
          <w:tcPr>
            <w:tcW w:w="3560" w:type="dxa"/>
            <w:vAlign w:val="bottom"/>
          </w:tcPr>
          <w:p>
            <w:pPr>
              <w:ind w:left="2360"/>
              <w:spacing w:after="0"/>
              <w:rPr>
                <w:sz w:val="20"/>
                <w:szCs w:val="20"/>
                <w:color w:val="auto"/>
              </w:rPr>
            </w:pPr>
            <w:r>
              <w:rPr>
                <w:rFonts w:ascii="Arial" w:cs="Arial" w:eastAsia="Arial" w:hAnsi="Arial"/>
                <w:sz w:val="14"/>
                <w:szCs w:val="14"/>
                <w:b w:val="1"/>
                <w:bCs w:val="1"/>
                <w:color w:val="4800E6"/>
              </w:rPr>
              <w:t>Fees Earned or</w:t>
            </w:r>
          </w:p>
        </w:tc>
        <w:tc>
          <w:tcPr>
            <w:tcW w:w="1080" w:type="dxa"/>
            <w:vAlign w:val="bottom"/>
          </w:tcPr>
          <w:p>
            <w:pPr>
              <w:jc w:val="right"/>
              <w:ind w:right="84"/>
              <w:spacing w:after="0"/>
              <w:rPr>
                <w:sz w:val="20"/>
                <w:szCs w:val="20"/>
                <w:color w:val="auto"/>
              </w:rPr>
            </w:pPr>
            <w:r>
              <w:rPr>
                <w:rFonts w:ascii="Arial" w:cs="Arial" w:eastAsia="Arial" w:hAnsi="Arial"/>
                <w:sz w:val="14"/>
                <w:szCs w:val="14"/>
                <w:b w:val="1"/>
                <w:bCs w:val="1"/>
                <w:color w:val="4800E6"/>
              </w:rPr>
              <w:t>Stock</w:t>
            </w:r>
          </w:p>
        </w:tc>
        <w:tc>
          <w:tcPr>
            <w:tcW w:w="720" w:type="dxa"/>
            <w:vAlign w:val="bottom"/>
          </w:tcPr>
          <w:p>
            <w:pPr>
              <w:spacing w:after="0"/>
              <w:rPr>
                <w:sz w:val="15"/>
                <w:szCs w:val="15"/>
                <w:color w:val="auto"/>
              </w:rPr>
            </w:pPr>
          </w:p>
        </w:tc>
      </w:tr>
      <w:tr>
        <w:trPr>
          <w:trHeight w:val="203"/>
        </w:trPr>
        <w:tc>
          <w:tcPr>
            <w:tcW w:w="3820" w:type="dxa"/>
            <w:vAlign w:val="bottom"/>
            <w:tcBorders>
              <w:bottom w:val="single" w:sz="8" w:color="4800E6"/>
            </w:tcBorders>
          </w:tcPr>
          <w:p>
            <w:pPr>
              <w:ind w:left="40"/>
              <w:spacing w:after="0"/>
              <w:rPr>
                <w:sz w:val="20"/>
                <w:szCs w:val="20"/>
                <w:color w:val="auto"/>
              </w:rPr>
            </w:pPr>
            <w:r>
              <w:rPr>
                <w:rFonts w:ascii="Arial" w:cs="Arial" w:eastAsia="Arial" w:hAnsi="Arial"/>
                <w:sz w:val="14"/>
                <w:szCs w:val="14"/>
                <w:b w:val="1"/>
                <w:bCs w:val="1"/>
                <w:color w:val="4800E6"/>
              </w:rPr>
              <w:t>Name</w:t>
            </w:r>
          </w:p>
        </w:tc>
        <w:tc>
          <w:tcPr>
            <w:tcW w:w="3560" w:type="dxa"/>
            <w:vAlign w:val="bottom"/>
            <w:tcBorders>
              <w:bottom w:val="single" w:sz="8" w:color="4800E6"/>
            </w:tcBorders>
          </w:tcPr>
          <w:p>
            <w:pPr>
              <w:ind w:left="2360"/>
              <w:spacing w:after="0"/>
              <w:rPr>
                <w:sz w:val="20"/>
                <w:szCs w:val="20"/>
                <w:color w:val="auto"/>
              </w:rPr>
            </w:pPr>
            <w:r>
              <w:rPr>
                <w:rFonts w:ascii="Arial" w:cs="Arial" w:eastAsia="Arial" w:hAnsi="Arial"/>
                <w:sz w:val="14"/>
                <w:szCs w:val="14"/>
                <w:b w:val="1"/>
                <w:bCs w:val="1"/>
                <w:color w:val="4800E6"/>
              </w:rPr>
              <w:t>Paid in Cash ($)</w:t>
            </w:r>
          </w:p>
        </w:tc>
        <w:tc>
          <w:tcPr>
            <w:tcW w:w="1080" w:type="dxa"/>
            <w:vAlign w:val="bottom"/>
            <w:tcBorders>
              <w:bottom w:val="single" w:sz="8" w:color="4800E6"/>
            </w:tcBorders>
          </w:tcPr>
          <w:p>
            <w:pPr>
              <w:jc w:val="right"/>
              <w:ind w:right="44"/>
              <w:spacing w:after="0" w:line="203" w:lineRule="exact"/>
              <w:rPr>
                <w:sz w:val="20"/>
                <w:szCs w:val="20"/>
                <w:color w:val="auto"/>
              </w:rPr>
            </w:pPr>
            <w:r>
              <w:rPr>
                <w:rFonts w:ascii="Arial" w:cs="Arial" w:eastAsia="Arial" w:hAnsi="Arial"/>
                <w:sz w:val="14"/>
                <w:szCs w:val="14"/>
                <w:b w:val="1"/>
                <w:bCs w:val="1"/>
                <w:color w:val="4800E6"/>
              </w:rPr>
              <w:t>Awards ($)</w:t>
            </w:r>
            <w:r>
              <w:rPr>
                <w:rFonts w:ascii="Arial" w:cs="Arial" w:eastAsia="Arial" w:hAnsi="Arial"/>
                <w:sz w:val="21"/>
                <w:szCs w:val="21"/>
                <w:b w:val="1"/>
                <w:bCs w:val="1"/>
                <w:color w:val="4800E6"/>
                <w:vertAlign w:val="superscript"/>
              </w:rPr>
              <w:t>(1)</w:t>
            </w:r>
          </w:p>
        </w:tc>
        <w:tc>
          <w:tcPr>
            <w:tcW w:w="720" w:type="dxa"/>
            <w:vAlign w:val="bottom"/>
            <w:tcBorders>
              <w:bottom w:val="single" w:sz="8" w:color="4800E6"/>
            </w:tcBorders>
          </w:tcPr>
          <w:p>
            <w:pPr>
              <w:ind w:left="120"/>
              <w:spacing w:after="0"/>
              <w:rPr>
                <w:sz w:val="20"/>
                <w:szCs w:val="20"/>
                <w:color w:val="auto"/>
              </w:rPr>
            </w:pPr>
            <w:r>
              <w:rPr>
                <w:rFonts w:ascii="Arial" w:cs="Arial" w:eastAsia="Arial" w:hAnsi="Arial"/>
                <w:sz w:val="14"/>
                <w:szCs w:val="14"/>
                <w:b w:val="1"/>
                <w:bCs w:val="1"/>
                <w:color w:val="4800E6"/>
              </w:rPr>
              <w:t>Total ($)</w:t>
            </w:r>
          </w:p>
        </w:tc>
      </w:tr>
      <w:tr>
        <w:trPr>
          <w:trHeight w:val="205"/>
        </w:trPr>
        <w:tc>
          <w:tcPr>
            <w:tcW w:w="3820" w:type="dxa"/>
            <w:vAlign w:val="bottom"/>
          </w:tcPr>
          <w:p>
            <w:pPr>
              <w:ind w:left="40"/>
              <w:spacing w:after="0"/>
              <w:rPr>
                <w:sz w:val="20"/>
                <w:szCs w:val="20"/>
                <w:color w:val="auto"/>
              </w:rPr>
            </w:pPr>
            <w:r>
              <w:rPr>
                <w:rFonts w:ascii="Arial" w:cs="Arial" w:eastAsia="Arial" w:hAnsi="Arial"/>
                <w:sz w:val="15"/>
                <w:szCs w:val="15"/>
                <w:color w:val="auto"/>
              </w:rPr>
              <w:t>Francesco Bianchi</w:t>
            </w:r>
          </w:p>
        </w:tc>
        <w:tc>
          <w:tcPr>
            <w:tcW w:w="3560" w:type="dxa"/>
            <w:vAlign w:val="bottom"/>
          </w:tcPr>
          <w:p>
            <w:pPr>
              <w:jc w:val="right"/>
              <w:ind w:right="44"/>
              <w:spacing w:after="0"/>
              <w:rPr>
                <w:sz w:val="20"/>
                <w:szCs w:val="20"/>
                <w:color w:val="auto"/>
              </w:rPr>
            </w:pPr>
            <w:r>
              <w:rPr>
                <w:rFonts w:ascii="Arial" w:cs="Arial" w:eastAsia="Arial" w:hAnsi="Arial"/>
                <w:sz w:val="15"/>
                <w:szCs w:val="15"/>
                <w:color w:val="auto"/>
              </w:rPr>
              <w:t>133,000</w:t>
            </w:r>
          </w:p>
        </w:tc>
        <w:tc>
          <w:tcPr>
            <w:tcW w:w="1080" w:type="dxa"/>
            <w:vAlign w:val="bottom"/>
          </w:tcPr>
          <w:p>
            <w:pPr>
              <w:jc w:val="right"/>
              <w:ind w:right="44"/>
              <w:spacing w:after="0"/>
              <w:rPr>
                <w:sz w:val="20"/>
                <w:szCs w:val="20"/>
                <w:color w:val="auto"/>
              </w:rPr>
            </w:pPr>
            <w:r>
              <w:rPr>
                <w:rFonts w:ascii="Arial" w:cs="Arial" w:eastAsia="Arial" w:hAnsi="Arial"/>
                <w:sz w:val="15"/>
                <w:szCs w:val="15"/>
                <w:color w:val="auto"/>
              </w:rPr>
              <w:t>109,890</w:t>
            </w:r>
          </w:p>
        </w:tc>
        <w:tc>
          <w:tcPr>
            <w:tcW w:w="720" w:type="dxa"/>
            <w:vAlign w:val="bottom"/>
          </w:tcPr>
          <w:p>
            <w:pPr>
              <w:ind w:left="120"/>
              <w:spacing w:after="0"/>
              <w:rPr>
                <w:sz w:val="20"/>
                <w:szCs w:val="20"/>
                <w:color w:val="auto"/>
              </w:rPr>
            </w:pPr>
            <w:r>
              <w:rPr>
                <w:rFonts w:ascii="Arial" w:cs="Arial" w:eastAsia="Arial" w:hAnsi="Arial"/>
                <w:sz w:val="15"/>
                <w:szCs w:val="15"/>
                <w:color w:val="auto"/>
              </w:rPr>
              <w:t>242,890</w:t>
            </w:r>
          </w:p>
        </w:tc>
      </w:tr>
      <w:tr>
        <w:trPr>
          <w:trHeight w:val="247"/>
        </w:trPr>
        <w:tc>
          <w:tcPr>
            <w:tcW w:w="3820" w:type="dxa"/>
            <w:vAlign w:val="bottom"/>
            <w:shd w:val="clear" w:color="auto" w:fill="EFE9FC"/>
          </w:tcPr>
          <w:p>
            <w:pPr>
              <w:ind w:left="40"/>
              <w:spacing w:after="0"/>
              <w:rPr>
                <w:sz w:val="20"/>
                <w:szCs w:val="20"/>
                <w:color w:val="auto"/>
              </w:rPr>
            </w:pPr>
            <w:r>
              <w:rPr>
                <w:rFonts w:ascii="Arial" w:cs="Arial" w:eastAsia="Arial" w:hAnsi="Arial"/>
                <w:sz w:val="15"/>
                <w:szCs w:val="15"/>
                <w:color w:val="auto"/>
              </w:rPr>
              <w:t>William Kozy</w:t>
            </w:r>
          </w:p>
        </w:tc>
        <w:tc>
          <w:tcPr>
            <w:tcW w:w="3560" w:type="dxa"/>
            <w:vAlign w:val="bottom"/>
            <w:shd w:val="clear" w:color="auto" w:fill="EFE9FC"/>
          </w:tcPr>
          <w:p>
            <w:pPr>
              <w:jc w:val="right"/>
              <w:ind w:right="44"/>
              <w:spacing w:after="0"/>
              <w:rPr>
                <w:sz w:val="20"/>
                <w:szCs w:val="20"/>
                <w:color w:val="auto"/>
              </w:rPr>
            </w:pPr>
            <w:r>
              <w:rPr>
                <w:rFonts w:ascii="Arial" w:cs="Arial" w:eastAsia="Arial" w:hAnsi="Arial"/>
                <w:sz w:val="15"/>
                <w:szCs w:val="15"/>
                <w:color w:val="auto"/>
              </w:rPr>
              <w:t>116,000</w:t>
            </w:r>
          </w:p>
        </w:tc>
        <w:tc>
          <w:tcPr>
            <w:tcW w:w="1080" w:type="dxa"/>
            <w:vAlign w:val="bottom"/>
            <w:shd w:val="clear" w:color="auto" w:fill="EFE9FC"/>
          </w:tcPr>
          <w:p>
            <w:pPr>
              <w:jc w:val="right"/>
              <w:ind w:right="44"/>
              <w:spacing w:after="0"/>
              <w:rPr>
                <w:sz w:val="20"/>
                <w:szCs w:val="20"/>
                <w:color w:val="auto"/>
              </w:rPr>
            </w:pPr>
            <w:r>
              <w:rPr>
                <w:rFonts w:ascii="Arial" w:cs="Arial" w:eastAsia="Arial" w:hAnsi="Arial"/>
                <w:sz w:val="15"/>
                <w:szCs w:val="15"/>
                <w:color w:val="auto"/>
              </w:rPr>
              <w:t>109,890</w:t>
            </w:r>
          </w:p>
        </w:tc>
        <w:tc>
          <w:tcPr>
            <w:tcW w:w="720" w:type="dxa"/>
            <w:vAlign w:val="bottom"/>
            <w:shd w:val="clear" w:color="auto" w:fill="EFE9FC"/>
          </w:tcPr>
          <w:p>
            <w:pPr>
              <w:ind w:left="120"/>
              <w:spacing w:after="0"/>
              <w:rPr>
                <w:sz w:val="20"/>
                <w:szCs w:val="20"/>
                <w:color w:val="auto"/>
              </w:rPr>
            </w:pPr>
            <w:r>
              <w:rPr>
                <w:rFonts w:ascii="Arial" w:cs="Arial" w:eastAsia="Arial" w:hAnsi="Arial"/>
                <w:sz w:val="15"/>
                <w:szCs w:val="15"/>
                <w:color w:val="auto"/>
              </w:rPr>
              <w:t>225,890</w:t>
            </w:r>
          </w:p>
        </w:tc>
      </w:tr>
      <w:tr>
        <w:trPr>
          <w:trHeight w:val="212"/>
        </w:trPr>
        <w:tc>
          <w:tcPr>
            <w:tcW w:w="3820" w:type="dxa"/>
            <w:vAlign w:val="bottom"/>
          </w:tcPr>
          <w:p>
            <w:pPr>
              <w:ind w:left="40"/>
              <w:spacing w:after="0"/>
              <w:rPr>
                <w:sz w:val="20"/>
                <w:szCs w:val="20"/>
                <w:color w:val="auto"/>
              </w:rPr>
            </w:pPr>
            <w:r>
              <w:rPr>
                <w:rFonts w:ascii="Arial" w:cs="Arial" w:eastAsia="Arial" w:hAnsi="Arial"/>
                <w:sz w:val="15"/>
                <w:szCs w:val="15"/>
                <w:color w:val="auto"/>
              </w:rPr>
              <w:t>Daniel Moore</w:t>
            </w:r>
          </w:p>
        </w:tc>
        <w:tc>
          <w:tcPr>
            <w:tcW w:w="3560" w:type="dxa"/>
            <w:vAlign w:val="bottom"/>
          </w:tcPr>
          <w:p>
            <w:pPr>
              <w:jc w:val="right"/>
              <w:ind w:right="44"/>
              <w:spacing w:after="0"/>
              <w:rPr>
                <w:sz w:val="20"/>
                <w:szCs w:val="20"/>
                <w:color w:val="auto"/>
              </w:rPr>
            </w:pPr>
            <w:r>
              <w:rPr>
                <w:rFonts w:ascii="Arial" w:cs="Arial" w:eastAsia="Arial" w:hAnsi="Arial"/>
                <w:sz w:val="15"/>
                <w:szCs w:val="15"/>
                <w:color w:val="auto"/>
              </w:rPr>
              <w:t>185,000</w:t>
            </w:r>
          </w:p>
        </w:tc>
        <w:tc>
          <w:tcPr>
            <w:tcW w:w="1080" w:type="dxa"/>
            <w:vAlign w:val="bottom"/>
          </w:tcPr>
          <w:p>
            <w:pPr>
              <w:jc w:val="right"/>
              <w:ind w:right="44"/>
              <w:spacing w:after="0"/>
              <w:rPr>
                <w:sz w:val="20"/>
                <w:szCs w:val="20"/>
                <w:color w:val="auto"/>
              </w:rPr>
            </w:pPr>
            <w:r>
              <w:rPr>
                <w:rFonts w:ascii="Arial" w:cs="Arial" w:eastAsia="Arial" w:hAnsi="Arial"/>
                <w:sz w:val="15"/>
                <w:szCs w:val="15"/>
                <w:color w:val="auto"/>
              </w:rPr>
              <w:t>184,908</w:t>
            </w:r>
          </w:p>
        </w:tc>
        <w:tc>
          <w:tcPr>
            <w:tcW w:w="720" w:type="dxa"/>
            <w:vAlign w:val="bottom"/>
          </w:tcPr>
          <w:p>
            <w:pPr>
              <w:ind w:left="120"/>
              <w:spacing w:after="0"/>
              <w:rPr>
                <w:sz w:val="20"/>
                <w:szCs w:val="20"/>
                <w:color w:val="auto"/>
              </w:rPr>
            </w:pPr>
            <w:r>
              <w:rPr>
                <w:rFonts w:ascii="Arial" w:cs="Arial" w:eastAsia="Arial" w:hAnsi="Arial"/>
                <w:sz w:val="15"/>
                <w:szCs w:val="15"/>
                <w:color w:val="auto"/>
              </w:rPr>
              <w:t>369,908</w:t>
            </w:r>
          </w:p>
        </w:tc>
      </w:tr>
      <w:tr>
        <w:trPr>
          <w:trHeight w:val="247"/>
        </w:trPr>
        <w:tc>
          <w:tcPr>
            <w:tcW w:w="3820" w:type="dxa"/>
            <w:vAlign w:val="bottom"/>
            <w:shd w:val="clear" w:color="auto" w:fill="EFE9FC"/>
          </w:tcPr>
          <w:p>
            <w:pPr>
              <w:ind w:left="40"/>
              <w:spacing w:after="0"/>
              <w:rPr>
                <w:sz w:val="20"/>
                <w:szCs w:val="20"/>
                <w:color w:val="auto"/>
              </w:rPr>
            </w:pPr>
            <w:r>
              <w:rPr>
                <w:rFonts w:ascii="Arial" w:cs="Arial" w:eastAsia="Arial" w:hAnsi="Arial"/>
                <w:sz w:val="15"/>
                <w:szCs w:val="15"/>
                <w:color w:val="auto"/>
              </w:rPr>
              <w:t>Hugh Morrison</w:t>
            </w:r>
          </w:p>
        </w:tc>
        <w:tc>
          <w:tcPr>
            <w:tcW w:w="3560" w:type="dxa"/>
            <w:vAlign w:val="bottom"/>
            <w:shd w:val="clear" w:color="auto" w:fill="EFE9FC"/>
          </w:tcPr>
          <w:p>
            <w:pPr>
              <w:jc w:val="right"/>
              <w:ind w:right="44"/>
              <w:spacing w:after="0"/>
              <w:rPr>
                <w:sz w:val="20"/>
                <w:szCs w:val="20"/>
                <w:color w:val="auto"/>
              </w:rPr>
            </w:pPr>
            <w:r>
              <w:rPr>
                <w:rFonts w:ascii="Arial" w:cs="Arial" w:eastAsia="Arial" w:hAnsi="Arial"/>
                <w:sz w:val="15"/>
                <w:szCs w:val="15"/>
                <w:color w:val="auto"/>
              </w:rPr>
              <w:t>146,000</w:t>
            </w:r>
          </w:p>
        </w:tc>
        <w:tc>
          <w:tcPr>
            <w:tcW w:w="1080" w:type="dxa"/>
            <w:vAlign w:val="bottom"/>
            <w:shd w:val="clear" w:color="auto" w:fill="EFE9FC"/>
          </w:tcPr>
          <w:p>
            <w:pPr>
              <w:jc w:val="right"/>
              <w:ind w:right="44"/>
              <w:spacing w:after="0"/>
              <w:rPr>
                <w:sz w:val="20"/>
                <w:szCs w:val="20"/>
                <w:color w:val="auto"/>
              </w:rPr>
            </w:pPr>
            <w:r>
              <w:rPr>
                <w:rFonts w:ascii="Arial" w:cs="Arial" w:eastAsia="Arial" w:hAnsi="Arial"/>
                <w:sz w:val="15"/>
                <w:szCs w:val="15"/>
                <w:color w:val="auto"/>
              </w:rPr>
              <w:t>109,890</w:t>
            </w:r>
          </w:p>
        </w:tc>
        <w:tc>
          <w:tcPr>
            <w:tcW w:w="720" w:type="dxa"/>
            <w:vAlign w:val="bottom"/>
            <w:shd w:val="clear" w:color="auto" w:fill="EFE9FC"/>
          </w:tcPr>
          <w:p>
            <w:pPr>
              <w:ind w:left="120"/>
              <w:spacing w:after="0"/>
              <w:rPr>
                <w:sz w:val="20"/>
                <w:szCs w:val="20"/>
                <w:color w:val="auto"/>
              </w:rPr>
            </w:pPr>
            <w:r>
              <w:rPr>
                <w:rFonts w:ascii="Arial" w:cs="Arial" w:eastAsia="Arial" w:hAnsi="Arial"/>
                <w:sz w:val="15"/>
                <w:szCs w:val="15"/>
                <w:color w:val="auto"/>
              </w:rPr>
              <w:t>255,890</w:t>
            </w:r>
          </w:p>
        </w:tc>
      </w:tr>
      <w:tr>
        <w:trPr>
          <w:trHeight w:val="212"/>
        </w:trPr>
        <w:tc>
          <w:tcPr>
            <w:tcW w:w="3820" w:type="dxa"/>
            <w:vAlign w:val="bottom"/>
          </w:tcPr>
          <w:p>
            <w:pPr>
              <w:ind w:left="40"/>
              <w:spacing w:after="0"/>
              <w:rPr>
                <w:sz w:val="20"/>
                <w:szCs w:val="20"/>
                <w:color w:val="auto"/>
              </w:rPr>
            </w:pPr>
            <w:r>
              <w:rPr>
                <w:rFonts w:ascii="Arial" w:cs="Arial" w:eastAsia="Arial" w:hAnsi="Arial"/>
                <w:sz w:val="15"/>
                <w:szCs w:val="15"/>
                <w:color w:val="auto"/>
              </w:rPr>
              <w:t>Alfred Novak</w:t>
            </w:r>
          </w:p>
        </w:tc>
        <w:tc>
          <w:tcPr>
            <w:tcW w:w="3560" w:type="dxa"/>
            <w:vAlign w:val="bottom"/>
          </w:tcPr>
          <w:p>
            <w:pPr>
              <w:jc w:val="right"/>
              <w:ind w:right="44"/>
              <w:spacing w:after="0"/>
              <w:rPr>
                <w:sz w:val="20"/>
                <w:szCs w:val="20"/>
                <w:color w:val="auto"/>
              </w:rPr>
            </w:pPr>
            <w:r>
              <w:rPr>
                <w:rFonts w:ascii="Arial" w:cs="Arial" w:eastAsia="Arial" w:hAnsi="Arial"/>
                <w:sz w:val="15"/>
                <w:szCs w:val="15"/>
                <w:color w:val="auto"/>
              </w:rPr>
              <w:t>133,000</w:t>
            </w:r>
          </w:p>
        </w:tc>
        <w:tc>
          <w:tcPr>
            <w:tcW w:w="1080" w:type="dxa"/>
            <w:vAlign w:val="bottom"/>
          </w:tcPr>
          <w:p>
            <w:pPr>
              <w:jc w:val="right"/>
              <w:ind w:right="44"/>
              <w:spacing w:after="0"/>
              <w:rPr>
                <w:sz w:val="20"/>
                <w:szCs w:val="20"/>
                <w:color w:val="auto"/>
              </w:rPr>
            </w:pPr>
            <w:r>
              <w:rPr>
                <w:rFonts w:ascii="Arial" w:cs="Arial" w:eastAsia="Arial" w:hAnsi="Arial"/>
                <w:sz w:val="15"/>
                <w:szCs w:val="15"/>
                <w:color w:val="auto"/>
              </w:rPr>
              <w:t>109,890</w:t>
            </w:r>
          </w:p>
        </w:tc>
        <w:tc>
          <w:tcPr>
            <w:tcW w:w="720" w:type="dxa"/>
            <w:vAlign w:val="bottom"/>
          </w:tcPr>
          <w:p>
            <w:pPr>
              <w:ind w:left="120"/>
              <w:spacing w:after="0"/>
              <w:rPr>
                <w:sz w:val="20"/>
                <w:szCs w:val="20"/>
                <w:color w:val="auto"/>
              </w:rPr>
            </w:pPr>
            <w:r>
              <w:rPr>
                <w:rFonts w:ascii="Arial" w:cs="Arial" w:eastAsia="Arial" w:hAnsi="Arial"/>
                <w:sz w:val="15"/>
                <w:szCs w:val="15"/>
                <w:color w:val="auto"/>
              </w:rPr>
              <w:t>242,890</w:t>
            </w:r>
          </w:p>
        </w:tc>
      </w:tr>
      <w:tr>
        <w:trPr>
          <w:trHeight w:val="247"/>
        </w:trPr>
        <w:tc>
          <w:tcPr>
            <w:tcW w:w="3820" w:type="dxa"/>
            <w:vAlign w:val="bottom"/>
            <w:shd w:val="clear" w:color="auto" w:fill="EFE9FC"/>
          </w:tcPr>
          <w:p>
            <w:pPr>
              <w:ind w:left="40"/>
              <w:spacing w:after="0"/>
              <w:rPr>
                <w:sz w:val="20"/>
                <w:szCs w:val="20"/>
                <w:color w:val="auto"/>
              </w:rPr>
            </w:pPr>
            <w:r>
              <w:rPr>
                <w:rFonts w:ascii="Arial" w:cs="Arial" w:eastAsia="Arial" w:hAnsi="Arial"/>
                <w:sz w:val="15"/>
                <w:szCs w:val="15"/>
                <w:color w:val="auto"/>
              </w:rPr>
              <w:t>Sharon O’Kane</w:t>
            </w:r>
          </w:p>
        </w:tc>
        <w:tc>
          <w:tcPr>
            <w:tcW w:w="3560" w:type="dxa"/>
            <w:vAlign w:val="bottom"/>
            <w:shd w:val="clear" w:color="auto" w:fill="EFE9FC"/>
          </w:tcPr>
          <w:p>
            <w:pPr>
              <w:jc w:val="right"/>
              <w:ind w:right="44"/>
              <w:spacing w:after="0"/>
              <w:rPr>
                <w:sz w:val="20"/>
                <w:szCs w:val="20"/>
                <w:color w:val="auto"/>
              </w:rPr>
            </w:pPr>
            <w:r>
              <w:rPr>
                <w:rFonts w:ascii="Arial" w:cs="Arial" w:eastAsia="Arial" w:hAnsi="Arial"/>
                <w:sz w:val="15"/>
                <w:szCs w:val="15"/>
                <w:color w:val="auto"/>
              </w:rPr>
              <w:t>125,000</w:t>
            </w:r>
          </w:p>
        </w:tc>
        <w:tc>
          <w:tcPr>
            <w:tcW w:w="1080" w:type="dxa"/>
            <w:vAlign w:val="bottom"/>
            <w:shd w:val="clear" w:color="auto" w:fill="EFE9FC"/>
          </w:tcPr>
          <w:p>
            <w:pPr>
              <w:jc w:val="right"/>
              <w:ind w:right="44"/>
              <w:spacing w:after="0"/>
              <w:rPr>
                <w:sz w:val="20"/>
                <w:szCs w:val="20"/>
                <w:color w:val="auto"/>
              </w:rPr>
            </w:pPr>
            <w:r>
              <w:rPr>
                <w:rFonts w:ascii="Arial" w:cs="Arial" w:eastAsia="Arial" w:hAnsi="Arial"/>
                <w:sz w:val="15"/>
                <w:szCs w:val="15"/>
                <w:color w:val="auto"/>
              </w:rPr>
              <w:t>109,890</w:t>
            </w:r>
          </w:p>
        </w:tc>
        <w:tc>
          <w:tcPr>
            <w:tcW w:w="720" w:type="dxa"/>
            <w:vAlign w:val="bottom"/>
            <w:shd w:val="clear" w:color="auto" w:fill="EFE9FC"/>
          </w:tcPr>
          <w:p>
            <w:pPr>
              <w:ind w:left="120"/>
              <w:spacing w:after="0"/>
              <w:rPr>
                <w:sz w:val="20"/>
                <w:szCs w:val="20"/>
                <w:color w:val="auto"/>
              </w:rPr>
            </w:pPr>
            <w:r>
              <w:rPr>
                <w:rFonts w:ascii="Arial" w:cs="Arial" w:eastAsia="Arial" w:hAnsi="Arial"/>
                <w:sz w:val="15"/>
                <w:szCs w:val="15"/>
                <w:color w:val="auto"/>
              </w:rPr>
              <w:t>234,890</w:t>
            </w:r>
          </w:p>
        </w:tc>
      </w:tr>
      <w:tr>
        <w:trPr>
          <w:trHeight w:val="212"/>
        </w:trPr>
        <w:tc>
          <w:tcPr>
            <w:tcW w:w="3820" w:type="dxa"/>
            <w:vAlign w:val="bottom"/>
          </w:tcPr>
          <w:p>
            <w:pPr>
              <w:ind w:left="40"/>
              <w:spacing w:after="0"/>
              <w:rPr>
                <w:sz w:val="20"/>
                <w:szCs w:val="20"/>
                <w:color w:val="auto"/>
              </w:rPr>
            </w:pPr>
            <w:r>
              <w:rPr>
                <w:rFonts w:ascii="Arial" w:cs="Arial" w:eastAsia="Arial" w:hAnsi="Arial"/>
                <w:sz w:val="15"/>
                <w:szCs w:val="15"/>
                <w:color w:val="auto"/>
              </w:rPr>
              <w:t>Arthur Rosenthal</w:t>
            </w:r>
          </w:p>
        </w:tc>
        <w:tc>
          <w:tcPr>
            <w:tcW w:w="3560" w:type="dxa"/>
            <w:vAlign w:val="bottom"/>
          </w:tcPr>
          <w:p>
            <w:pPr>
              <w:jc w:val="right"/>
              <w:ind w:right="44"/>
              <w:spacing w:after="0"/>
              <w:rPr>
                <w:sz w:val="20"/>
                <w:szCs w:val="20"/>
                <w:color w:val="auto"/>
              </w:rPr>
            </w:pPr>
            <w:r>
              <w:rPr>
                <w:rFonts w:ascii="Arial" w:cs="Arial" w:eastAsia="Arial" w:hAnsi="Arial"/>
                <w:sz w:val="15"/>
                <w:szCs w:val="15"/>
                <w:color w:val="auto"/>
              </w:rPr>
              <w:t>130,000</w:t>
            </w:r>
          </w:p>
        </w:tc>
        <w:tc>
          <w:tcPr>
            <w:tcW w:w="1080" w:type="dxa"/>
            <w:vAlign w:val="bottom"/>
          </w:tcPr>
          <w:p>
            <w:pPr>
              <w:jc w:val="right"/>
              <w:ind w:right="44"/>
              <w:spacing w:after="0"/>
              <w:rPr>
                <w:sz w:val="20"/>
                <w:szCs w:val="20"/>
                <w:color w:val="auto"/>
              </w:rPr>
            </w:pPr>
            <w:r>
              <w:rPr>
                <w:rFonts w:ascii="Arial" w:cs="Arial" w:eastAsia="Arial" w:hAnsi="Arial"/>
                <w:sz w:val="15"/>
                <w:szCs w:val="15"/>
                <w:color w:val="auto"/>
              </w:rPr>
              <w:t>109,890</w:t>
            </w:r>
          </w:p>
        </w:tc>
        <w:tc>
          <w:tcPr>
            <w:tcW w:w="720" w:type="dxa"/>
            <w:vAlign w:val="bottom"/>
          </w:tcPr>
          <w:p>
            <w:pPr>
              <w:ind w:left="120"/>
              <w:spacing w:after="0"/>
              <w:rPr>
                <w:sz w:val="20"/>
                <w:szCs w:val="20"/>
                <w:color w:val="auto"/>
              </w:rPr>
            </w:pPr>
            <w:r>
              <w:rPr>
                <w:rFonts w:ascii="Arial" w:cs="Arial" w:eastAsia="Arial" w:hAnsi="Arial"/>
                <w:sz w:val="15"/>
                <w:szCs w:val="15"/>
                <w:color w:val="auto"/>
              </w:rPr>
              <w:t>239,890</w:t>
            </w:r>
          </w:p>
        </w:tc>
      </w:tr>
      <w:tr>
        <w:trPr>
          <w:trHeight w:val="247"/>
        </w:trPr>
        <w:tc>
          <w:tcPr>
            <w:tcW w:w="3820" w:type="dxa"/>
            <w:vAlign w:val="bottom"/>
            <w:shd w:val="clear" w:color="auto" w:fill="EFE9FC"/>
          </w:tcPr>
          <w:p>
            <w:pPr>
              <w:ind w:left="40"/>
              <w:spacing w:after="0"/>
              <w:rPr>
                <w:sz w:val="20"/>
                <w:szCs w:val="20"/>
                <w:color w:val="auto"/>
              </w:rPr>
            </w:pPr>
            <w:r>
              <w:rPr>
                <w:rFonts w:ascii="Arial" w:cs="Arial" w:eastAsia="Arial" w:hAnsi="Arial"/>
                <w:sz w:val="15"/>
                <w:szCs w:val="15"/>
                <w:color w:val="auto"/>
              </w:rPr>
              <w:t>Andrea Saia</w:t>
            </w:r>
          </w:p>
        </w:tc>
        <w:tc>
          <w:tcPr>
            <w:tcW w:w="3560" w:type="dxa"/>
            <w:vAlign w:val="bottom"/>
            <w:shd w:val="clear" w:color="auto" w:fill="EFE9FC"/>
          </w:tcPr>
          <w:p>
            <w:pPr>
              <w:jc w:val="right"/>
              <w:ind w:right="44"/>
              <w:spacing w:after="0"/>
              <w:rPr>
                <w:sz w:val="20"/>
                <w:szCs w:val="20"/>
                <w:color w:val="auto"/>
              </w:rPr>
            </w:pPr>
            <w:r>
              <w:rPr>
                <w:rFonts w:ascii="Arial" w:cs="Arial" w:eastAsia="Arial" w:hAnsi="Arial"/>
                <w:sz w:val="15"/>
                <w:szCs w:val="15"/>
                <w:color w:val="auto"/>
              </w:rPr>
              <w:t>125,000</w:t>
            </w:r>
          </w:p>
        </w:tc>
        <w:tc>
          <w:tcPr>
            <w:tcW w:w="1080" w:type="dxa"/>
            <w:vAlign w:val="bottom"/>
            <w:shd w:val="clear" w:color="auto" w:fill="EFE9FC"/>
          </w:tcPr>
          <w:p>
            <w:pPr>
              <w:jc w:val="right"/>
              <w:ind w:right="44"/>
              <w:spacing w:after="0"/>
              <w:rPr>
                <w:sz w:val="20"/>
                <w:szCs w:val="20"/>
                <w:color w:val="auto"/>
              </w:rPr>
            </w:pPr>
            <w:r>
              <w:rPr>
                <w:rFonts w:ascii="Arial" w:cs="Arial" w:eastAsia="Arial" w:hAnsi="Arial"/>
                <w:sz w:val="15"/>
                <w:szCs w:val="15"/>
                <w:color w:val="auto"/>
              </w:rPr>
              <w:t>109,890</w:t>
            </w:r>
          </w:p>
        </w:tc>
        <w:tc>
          <w:tcPr>
            <w:tcW w:w="720" w:type="dxa"/>
            <w:vAlign w:val="bottom"/>
            <w:shd w:val="clear" w:color="auto" w:fill="EFE9FC"/>
          </w:tcPr>
          <w:p>
            <w:pPr>
              <w:ind w:left="120"/>
              <w:spacing w:after="0"/>
              <w:rPr>
                <w:sz w:val="20"/>
                <w:szCs w:val="20"/>
                <w:color w:val="auto"/>
              </w:rPr>
            </w:pPr>
            <w:r>
              <w:rPr>
                <w:rFonts w:ascii="Arial" w:cs="Arial" w:eastAsia="Arial" w:hAnsi="Arial"/>
                <w:sz w:val="15"/>
                <w:szCs w:val="15"/>
                <w:color w:val="auto"/>
              </w:rPr>
              <w:t>234,890</w:t>
            </w:r>
          </w:p>
        </w:tc>
      </w:tr>
      <w:tr>
        <w:trPr>
          <w:trHeight w:val="269"/>
        </w:trPr>
        <w:tc>
          <w:tcPr>
            <w:tcW w:w="3820" w:type="dxa"/>
            <w:vAlign w:val="bottom"/>
          </w:tcPr>
          <w:p>
            <w:pPr>
              <w:ind w:left="40"/>
              <w:spacing w:after="0"/>
              <w:rPr>
                <w:sz w:val="20"/>
                <w:szCs w:val="20"/>
                <w:color w:val="auto"/>
              </w:rPr>
            </w:pPr>
            <w:r>
              <w:rPr>
                <w:rFonts w:ascii="Arial" w:cs="Arial" w:eastAsia="Arial" w:hAnsi="Arial"/>
                <w:sz w:val="15"/>
                <w:szCs w:val="15"/>
                <w:color w:val="auto"/>
              </w:rPr>
              <w:t>Stacy Enxing Seng</w:t>
            </w:r>
            <w:r>
              <w:rPr>
                <w:rFonts w:ascii="Arial" w:cs="Arial" w:eastAsia="Arial" w:hAnsi="Arial"/>
                <w:sz w:val="23"/>
                <w:szCs w:val="23"/>
                <w:color w:val="auto"/>
                <w:vertAlign w:val="superscript"/>
              </w:rPr>
              <w:t>(2)</w:t>
            </w:r>
          </w:p>
        </w:tc>
        <w:tc>
          <w:tcPr>
            <w:tcW w:w="3560" w:type="dxa"/>
            <w:vAlign w:val="bottom"/>
          </w:tcPr>
          <w:p>
            <w:pPr>
              <w:jc w:val="right"/>
              <w:ind w:right="44"/>
              <w:spacing w:after="0"/>
              <w:rPr>
                <w:sz w:val="20"/>
                <w:szCs w:val="20"/>
                <w:color w:val="auto"/>
              </w:rPr>
            </w:pPr>
            <w:r>
              <w:rPr>
                <w:rFonts w:ascii="Arial" w:cs="Arial" w:eastAsia="Arial" w:hAnsi="Arial"/>
                <w:sz w:val="15"/>
                <w:szCs w:val="15"/>
                <w:color w:val="auto"/>
              </w:rPr>
              <w:t>62,890</w:t>
            </w:r>
          </w:p>
        </w:tc>
        <w:tc>
          <w:tcPr>
            <w:tcW w:w="1080" w:type="dxa"/>
            <w:vAlign w:val="bottom"/>
          </w:tcPr>
          <w:p>
            <w:pPr>
              <w:jc w:val="right"/>
              <w:ind w:right="44"/>
              <w:spacing w:after="0"/>
              <w:rPr>
                <w:sz w:val="20"/>
                <w:szCs w:val="20"/>
                <w:color w:val="auto"/>
              </w:rPr>
            </w:pPr>
            <w:r>
              <w:rPr>
                <w:rFonts w:ascii="Arial" w:cs="Arial" w:eastAsia="Arial" w:hAnsi="Arial"/>
                <w:sz w:val="15"/>
                <w:szCs w:val="15"/>
                <w:color w:val="auto"/>
              </w:rPr>
              <w:t>109,890</w:t>
            </w:r>
          </w:p>
        </w:tc>
        <w:tc>
          <w:tcPr>
            <w:tcW w:w="720" w:type="dxa"/>
            <w:vAlign w:val="bottom"/>
          </w:tcPr>
          <w:p>
            <w:pPr>
              <w:ind w:left="120"/>
              <w:spacing w:after="0"/>
              <w:rPr>
                <w:sz w:val="20"/>
                <w:szCs w:val="20"/>
                <w:color w:val="auto"/>
              </w:rPr>
            </w:pPr>
            <w:r>
              <w:rPr>
                <w:rFonts w:ascii="Arial" w:cs="Arial" w:eastAsia="Arial" w:hAnsi="Arial"/>
                <w:sz w:val="15"/>
                <w:szCs w:val="15"/>
                <w:color w:val="auto"/>
              </w:rPr>
              <w:t>172,780</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485140</wp:posOffset>
            </wp:positionH>
            <wp:positionV relativeFrom="paragraph">
              <wp:posOffset>-24765</wp:posOffset>
            </wp:positionV>
            <wp:extent cx="5829300" cy="8890"/>
            <wp:wrapNone/>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pic:cNvPicPr>
                      <a:picLocks noChangeAspect="1" noChangeArrowheads="1"/>
                    </pic:cNvPicPr>
                  </pic:nvPicPr>
                  <pic:blipFill>
                    <a:blip r:embed="rId266">
                      <a:extLst>
                        <a:ext uri="{28A0092B-C50C-407E-A947-70E740481C1C}"/>
                      </a:extLst>
                    </a:blip>
                    <a:srcRect/>
                    <a:stretch>
                      <a:fillRect/>
                    </a:stretch>
                  </pic:blipFill>
                  <pic:spPr bwMode="auto">
                    <a:xfrm>
                      <a:off x="0" y="0"/>
                      <a:ext cx="5829300" cy="8890"/>
                    </a:xfrm>
                    <a:prstGeom prst="rect">
                      <a:avLst/>
                    </a:prstGeom>
                    <a:noFill/>
                  </pic:spPr>
                </pic:pic>
              </a:graphicData>
            </a:graphic>
          </wp:anchor>
        </w:drawing>
      </w:r>
    </w:p>
    <w:p>
      <w:pPr>
        <w:ind w:left="980" w:right="199" w:hanging="216"/>
        <w:spacing w:after="0" w:line="242" w:lineRule="auto"/>
        <w:tabs>
          <w:tab w:leader="none" w:pos="980" w:val="left"/>
        </w:tabs>
        <w:numPr>
          <w:ilvl w:val="0"/>
          <w:numId w:val="80"/>
        </w:numPr>
        <w:rPr>
          <w:rFonts w:ascii="Arial" w:cs="Arial" w:eastAsia="Arial" w:hAnsi="Arial"/>
          <w:sz w:val="13"/>
          <w:szCs w:val="13"/>
          <w:i w:val="1"/>
          <w:iCs w:val="1"/>
          <w:color w:val="auto"/>
        </w:rPr>
      </w:pPr>
      <w:r>
        <w:rPr>
          <w:rFonts w:ascii="Arial" w:cs="Arial" w:eastAsia="Arial" w:hAnsi="Arial"/>
          <w:sz w:val="13"/>
          <w:szCs w:val="13"/>
          <w:i w:val="1"/>
          <w:iCs w:val="1"/>
          <w:color w:val="auto"/>
        </w:rPr>
        <w:t>Amounts reflect the full grant-date fair value of RSUs granted in 2019 computed in accordance with FASB ASC Topic 718, rather than the amounts paid to or realized by the named individual. We provide information regarding the assumptions used to calculate the value of all stock awards and option awards made to our directors in “Note 2. Basis of Presentation, Use of Accounting Estimates and Significant Accounting Policies in the Company’s US Annual Report on Form 10-K for the year ended December 31, 2019. The RSUs shown in the table will vest on the earlier of (i) June 18, 2020 and (ii) the date of a Change in Control. As of December 31, 2019, all RSU awards were unvested. The stock award values shown above correspond to the following number of RSUs: for Mr. Moore 2,524 RSUs; and for all other directors listed above, 1,500 RSUs.</w:t>
      </w:r>
    </w:p>
    <w:p>
      <w:pPr>
        <w:ind w:left="980" w:hanging="216"/>
        <w:spacing w:after="0"/>
        <w:tabs>
          <w:tab w:leader="none" w:pos="980" w:val="left"/>
        </w:tabs>
        <w:numPr>
          <w:ilvl w:val="0"/>
          <w:numId w:val="80"/>
        </w:numPr>
        <w:rPr>
          <w:rFonts w:ascii="Arial" w:cs="Arial" w:eastAsia="Arial" w:hAnsi="Arial"/>
          <w:sz w:val="13"/>
          <w:szCs w:val="13"/>
          <w:i w:val="1"/>
          <w:iCs w:val="1"/>
          <w:color w:val="auto"/>
        </w:rPr>
      </w:pPr>
      <w:r>
        <w:rPr>
          <w:rFonts w:ascii="Arial" w:cs="Arial" w:eastAsia="Arial" w:hAnsi="Arial"/>
          <w:sz w:val="13"/>
          <w:szCs w:val="13"/>
          <w:i w:val="1"/>
          <w:iCs w:val="1"/>
          <w:color w:val="auto"/>
        </w:rPr>
        <w:t>Ms. Stacy Enxing Seng was elected to the Board at the 2019 AGM and was paid a pro rated cash retainer fee for 2019.</w:t>
      </w:r>
    </w:p>
    <w:p>
      <w:pPr>
        <w:ind w:left="480"/>
        <w:spacing w:after="0"/>
        <w:tabs>
          <w:tab w:leader="none" w:pos="4400" w:val="left"/>
          <w:tab w:leader="none" w:pos="8760" w:val="left"/>
        </w:tabs>
        <w:rPr>
          <w:sz w:val="20"/>
          <w:szCs w:val="20"/>
          <w:color w:val="auto"/>
        </w:rPr>
      </w:pPr>
      <w:r>
        <w:rPr>
          <w:rFonts w:ascii="Arial" w:cs="Arial" w:eastAsia="Arial" w:hAnsi="Arial"/>
          <w:sz w:val="29"/>
          <w:szCs w:val="29"/>
          <w:b w:val="1"/>
          <w:bCs w:val="1"/>
          <w:color w:val="auto"/>
          <w:vertAlign w:val="subscript"/>
        </w:rPr>
        <w:t>49</w:t>
      </w:r>
      <w:r>
        <w:rPr>
          <w:sz w:val="20"/>
          <w:szCs w:val="20"/>
          <w:color w:val="auto"/>
        </w:rPr>
        <w:tab/>
      </w:r>
      <w:r>
        <w:rPr>
          <w:rFonts w:ascii="Arial" w:cs="Arial" w:eastAsia="Arial" w:hAnsi="Arial"/>
          <w:sz w:val="13"/>
          <w:szCs w:val="13"/>
          <w:b w:val="1"/>
          <w:bCs w:val="1"/>
          <w:color w:val="4800E6"/>
        </w:rPr>
        <w:t xml:space="preserve">LIVANOVA </w:t>
      </w:r>
      <w:r>
        <w:rPr>
          <w:rFonts w:ascii="Arial" w:cs="Arial" w:eastAsia="Arial" w:hAnsi="Arial"/>
          <w:sz w:val="13"/>
          <w:szCs w:val="13"/>
          <w:color w:val="000000"/>
        </w:rPr>
        <w:t>|</w:t>
      </w:r>
      <w:r>
        <w:rPr>
          <w:rFonts w:ascii="Arial" w:cs="Arial" w:eastAsia="Arial" w:hAnsi="Arial"/>
          <w:sz w:val="13"/>
          <w:szCs w:val="13"/>
          <w:b w:val="1"/>
          <w:bCs w:val="1"/>
          <w:color w:val="4800E6"/>
        </w:rPr>
        <w:t xml:space="preserve"> </w:t>
      </w:r>
      <w:r>
        <w:rPr>
          <w:rFonts w:ascii="Arial" w:cs="Arial" w:eastAsia="Arial" w:hAnsi="Arial"/>
          <w:sz w:val="13"/>
          <w:szCs w:val="13"/>
          <w:color w:val="4800E6"/>
        </w:rPr>
        <w:t>2020</w:t>
      </w:r>
      <w:r>
        <w:rPr>
          <w:rFonts w:ascii="Arial" w:cs="Arial" w:eastAsia="Arial" w:hAnsi="Arial"/>
          <w:sz w:val="13"/>
          <w:szCs w:val="13"/>
          <w:b w:val="1"/>
          <w:bCs w:val="1"/>
          <w:color w:val="4800E6"/>
        </w:rPr>
        <w:t xml:space="preserve"> </w:t>
      </w:r>
      <w:r>
        <w:rPr>
          <w:rFonts w:ascii="Arial" w:cs="Arial" w:eastAsia="Arial" w:hAnsi="Arial"/>
          <w:sz w:val="13"/>
          <w:szCs w:val="13"/>
          <w:color w:val="000000"/>
        </w:rPr>
        <w:t>Proxy Statement</w:t>
      </w:r>
      <w:r>
        <w:rPr>
          <w:sz w:val="20"/>
          <w:szCs w:val="20"/>
          <w:color w:val="auto"/>
        </w:rPr>
        <w:tab/>
      </w:r>
      <w:r>
        <w:rPr>
          <w:rFonts w:ascii="Arial" w:cs="Arial" w:eastAsia="Arial" w:hAnsi="Arial"/>
          <w:sz w:val="12"/>
          <w:szCs w:val="12"/>
          <w:b w:val="1"/>
          <w:bCs w:val="1"/>
          <w:color w:val="4800E6"/>
        </w:rPr>
        <w:t>www.livanova.com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561975</wp:posOffset>
            </wp:positionH>
            <wp:positionV relativeFrom="paragraph">
              <wp:posOffset>86360</wp:posOffset>
            </wp:positionV>
            <wp:extent cx="1954530" cy="8255"/>
            <wp:wrapNone/>
            <wp:docPr id="260"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pic:cNvPicPr>
                      <a:picLocks noChangeAspect="1" noChangeArrowheads="1"/>
                    </pic:cNvPicPr>
                  </pic:nvPicPr>
                  <pic:blipFill>
                    <a:blip r:embed="rId267">
                      <a:extLst>
                        <a:ext uri="{28A0092B-C50C-407E-A947-70E740481C1C}"/>
                      </a:extLst>
                    </a:blip>
                    <a:srcRect/>
                    <a:stretch>
                      <a:fillRect/>
                    </a:stretch>
                  </pic:blipFill>
                  <pic:spPr bwMode="auto">
                    <a:xfrm>
                      <a:off x="0" y="0"/>
                      <a:ext cx="1954530" cy="8255"/>
                    </a:xfrm>
                    <a:prstGeom prst="rect">
                      <a:avLst/>
                    </a:prstGeom>
                    <a:noFill/>
                  </pic:spPr>
                </pic:pic>
              </a:graphicData>
            </a:graphic>
          </wp:anchor>
        </w:drawing>
        <w:drawing>
          <wp:anchor simplePos="0" relativeHeight="251657728" behindDoc="1" locked="0" layoutInCell="0" allowOverlap="1">
            <wp:simplePos x="0" y="0"/>
            <wp:positionH relativeFrom="column">
              <wp:posOffset>4316730</wp:posOffset>
            </wp:positionH>
            <wp:positionV relativeFrom="paragraph">
              <wp:posOffset>86360</wp:posOffset>
            </wp:positionV>
            <wp:extent cx="1028700" cy="8255"/>
            <wp:wrapNone/>
            <wp:docPr id="261" name="Picture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
                    <pic:cNvPicPr>
                      <a:picLocks noChangeAspect="1" noChangeArrowheads="1"/>
                    </pic:cNvPicPr>
                  </pic:nvPicPr>
                  <pic:blipFill>
                    <a:blip r:embed="rId268">
                      <a:extLst>
                        <a:ext uri="{28A0092B-C50C-407E-A947-70E740481C1C}"/>
                      </a:extLst>
                    </a:blip>
                    <a:srcRect/>
                    <a:stretch>
                      <a:fillRect/>
                    </a:stretch>
                  </pic:blipFill>
                  <pic:spPr bwMode="auto">
                    <a:xfrm>
                      <a:off x="0" y="0"/>
                      <a:ext cx="102870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223520</wp:posOffset>
            </wp:positionV>
            <wp:extent cx="6806565" cy="17145"/>
            <wp:wrapNone/>
            <wp:docPr id="262" name="Picture 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
                    <pic:cNvPicPr>
                      <a:picLocks noChangeAspect="1" noChangeArrowheads="1"/>
                    </pic:cNvPicPr>
                  </pic:nvPicPr>
                  <pic:blipFill>
                    <a:blip r:embed="rId269">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10139"/>
          </w:cols>
          <w:pgMar w:left="320" w:top="132" w:right="1440" w:bottom="1440" w:gutter="0" w:footer="0" w:header="0"/>
        </w:sectPr>
      </w:pPr>
    </w:p>
    <w:bookmarkStart w:id="53" w:name="page54"/>
    <w:bookmarkEnd w:id="53"/>
    <w:p>
      <w:pPr>
        <w:spacing w:after="0"/>
        <w:rPr>
          <w:rFonts w:ascii="Arial" w:cs="Arial" w:eastAsia="Arial" w:hAnsi="Arial"/>
          <w:sz w:val="14"/>
          <w:szCs w:val="14"/>
          <w:color w:val="003366"/>
        </w:rPr>
      </w:pPr>
      <w:hyperlink w:anchor="page5">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ind w:left="760" w:right="320"/>
        <w:spacing w:after="0" w:line="263" w:lineRule="auto"/>
        <w:rPr>
          <w:sz w:val="20"/>
          <w:szCs w:val="20"/>
          <w:color w:val="auto"/>
        </w:rPr>
      </w:pPr>
      <w:r>
        <w:rPr>
          <w:rFonts w:ascii="Arial" w:cs="Arial" w:eastAsia="Arial" w:hAnsi="Arial"/>
          <w:sz w:val="47"/>
          <w:szCs w:val="47"/>
          <w:b w:val="1"/>
          <w:bCs w:val="1"/>
          <w:color w:val="4800E6"/>
        </w:rPr>
        <w:t xml:space="preserve">Proposal No. 2 </w:t>
      </w:r>
      <w:r>
        <w:rPr>
          <w:rFonts w:ascii="Arial" w:cs="Arial" w:eastAsia="Arial" w:hAnsi="Arial"/>
          <w:sz w:val="47"/>
          <w:szCs w:val="47"/>
          <w:b w:val="1"/>
          <w:bCs w:val="1"/>
          <w:color w:val="666666"/>
        </w:rPr>
        <w:t>Advisory (Non-Binding)</w:t>
      </w:r>
      <w:r>
        <w:rPr>
          <w:rFonts w:ascii="Arial" w:cs="Arial" w:eastAsia="Arial" w:hAnsi="Arial"/>
          <w:sz w:val="47"/>
          <w:szCs w:val="47"/>
          <w:b w:val="1"/>
          <w:bCs w:val="1"/>
          <w:color w:val="4800E6"/>
        </w:rPr>
        <w:t xml:space="preserve"> </w:t>
      </w:r>
      <w:r>
        <w:rPr>
          <w:rFonts w:ascii="Arial" w:cs="Arial" w:eastAsia="Arial" w:hAnsi="Arial"/>
          <w:sz w:val="47"/>
          <w:szCs w:val="47"/>
          <w:b w:val="1"/>
          <w:bCs w:val="1"/>
          <w:color w:val="666666"/>
        </w:rPr>
        <w:t>Vote to Approve Executive Compensation (Say on Pay)</w:t>
      </w:r>
    </w:p>
    <w:p>
      <w:pPr>
        <w:spacing w:after="0" w:line="30" w:lineRule="exact"/>
        <w:rPr>
          <w:sz w:val="20"/>
          <w:szCs w:val="20"/>
          <w:color w:val="auto"/>
        </w:rPr>
      </w:pPr>
    </w:p>
    <w:p>
      <w:pPr>
        <w:ind w:left="760" w:right="400"/>
        <w:spacing w:after="0" w:line="253" w:lineRule="auto"/>
        <w:rPr>
          <w:sz w:val="20"/>
          <w:szCs w:val="20"/>
          <w:color w:val="auto"/>
        </w:rPr>
      </w:pPr>
      <w:r>
        <w:rPr>
          <w:rFonts w:ascii="Arial" w:cs="Arial" w:eastAsia="Arial" w:hAnsi="Arial"/>
          <w:sz w:val="16"/>
          <w:szCs w:val="16"/>
          <w:color w:val="auto"/>
        </w:rPr>
        <w:t>Our shareholders are entitled to cast an advisory vote at the AGM to approve the compensation of our NEOs, as disclosed in this proxy statement. The shareholder vote is an advisory vote only and is not binding on us, the Board, or the Compensation Committee but is required by Section 14A of the Exchange Act.</w:t>
      </w:r>
    </w:p>
    <w:p>
      <w:pPr>
        <w:spacing w:after="0" w:line="80" w:lineRule="exact"/>
        <w:rPr>
          <w:sz w:val="20"/>
          <w:szCs w:val="20"/>
          <w:color w:val="auto"/>
        </w:rPr>
      </w:pPr>
    </w:p>
    <w:p>
      <w:pPr>
        <w:ind w:left="760" w:right="340"/>
        <w:spacing w:after="0" w:line="270" w:lineRule="auto"/>
        <w:rPr>
          <w:sz w:val="20"/>
          <w:szCs w:val="20"/>
          <w:color w:val="auto"/>
        </w:rPr>
      </w:pPr>
      <w:r>
        <w:rPr>
          <w:rFonts w:ascii="Arial" w:cs="Arial" w:eastAsia="Arial" w:hAnsi="Arial"/>
          <w:sz w:val="15"/>
          <w:szCs w:val="15"/>
          <w:color w:val="auto"/>
        </w:rPr>
        <w:t>Although the vote is non-binding, the Compensation Committee and the Board value your opinions and will consider the outcome of the vote in establishing compensation philosophy and making future compensation decisions. As described more fully in the “Compensation Discussion and Analysis” and “Executive Compensation” sections of the proxy statement, our NEOs are compensated in a manner consistent with our business strategy, competitive practice, sound compensation governance principles and shareholder interests and concerns. Our compensation policies and decisions are focused on pay-for-performance.</w:t>
      </w:r>
    </w:p>
    <w:p>
      <w:pPr>
        <w:spacing w:after="0" w:line="56" w:lineRule="exact"/>
        <w:rPr>
          <w:sz w:val="20"/>
          <w:szCs w:val="20"/>
          <w:color w:val="auto"/>
        </w:rPr>
      </w:pPr>
    </w:p>
    <w:p>
      <w:pPr>
        <w:ind w:left="760" w:right="420"/>
        <w:spacing w:after="0" w:line="253" w:lineRule="auto"/>
        <w:rPr>
          <w:sz w:val="20"/>
          <w:szCs w:val="20"/>
          <w:color w:val="auto"/>
        </w:rPr>
      </w:pPr>
      <w:r>
        <w:rPr>
          <w:rFonts w:ascii="Arial" w:cs="Arial" w:eastAsia="Arial" w:hAnsi="Arial"/>
          <w:sz w:val="16"/>
          <w:szCs w:val="16"/>
          <w:color w:val="auto"/>
        </w:rPr>
        <w:t>We are requesting your non-binding vote to approve the compensation of our NEOs as disclosed pursuant to Item 402 of Regulation S-K, and as described in the “Compensation Discussion and Analysis” and “Executive Compensation” sections of the proxy statement.</w:t>
      </w:r>
    </w:p>
    <w:p>
      <w:pPr>
        <w:spacing w:after="0" w:line="374" w:lineRule="exact"/>
        <w:rPr>
          <w:sz w:val="20"/>
          <w:szCs w:val="20"/>
          <w:color w:val="auto"/>
        </w:rPr>
      </w:pPr>
    </w:p>
    <w:p>
      <w:pPr>
        <w:ind w:left="760"/>
        <w:spacing w:after="0"/>
        <w:rPr>
          <w:sz w:val="20"/>
          <w:szCs w:val="20"/>
          <w:color w:val="auto"/>
        </w:rPr>
      </w:pPr>
      <w:r>
        <w:rPr>
          <w:rFonts w:ascii="Arial" w:cs="Arial" w:eastAsia="Arial" w:hAnsi="Arial"/>
          <w:sz w:val="31"/>
          <w:szCs w:val="31"/>
          <w:b w:val="1"/>
          <w:bCs w:val="1"/>
          <w:color w:val="4800E6"/>
        </w:rPr>
        <w:t>Vote Required</w:t>
      </w:r>
    </w:p>
    <w:p>
      <w:pPr>
        <w:spacing w:after="0" w:line="146" w:lineRule="exact"/>
        <w:rPr>
          <w:sz w:val="20"/>
          <w:szCs w:val="20"/>
          <w:color w:val="auto"/>
        </w:rPr>
      </w:pPr>
    </w:p>
    <w:p>
      <w:pPr>
        <w:ind w:left="760" w:right="240"/>
        <w:spacing w:after="0" w:line="260" w:lineRule="auto"/>
        <w:rPr>
          <w:sz w:val="20"/>
          <w:szCs w:val="20"/>
          <w:color w:val="auto"/>
        </w:rPr>
      </w:pPr>
      <w:r>
        <w:rPr>
          <w:rFonts w:ascii="Arial" w:cs="Arial" w:eastAsia="Arial" w:hAnsi="Arial"/>
          <w:sz w:val="16"/>
          <w:szCs w:val="16"/>
          <w:color w:val="auto"/>
        </w:rPr>
        <w:t>The advisory vote regarding approval of the compensation of our NEOs requires the affirmative vote of a majority of shares present at the annual meeting, in person or by proxy, and entitled to vote on the proposal.</w:t>
      </w:r>
    </w:p>
    <w:p>
      <w:pPr>
        <w:spacing w:after="0" w:line="368" w:lineRule="exact"/>
        <w:rPr>
          <w:sz w:val="20"/>
          <w:szCs w:val="20"/>
          <w:color w:val="auto"/>
        </w:rPr>
      </w:pPr>
    </w:p>
    <w:p>
      <w:pPr>
        <w:ind w:left="760"/>
        <w:spacing w:after="0"/>
        <w:rPr>
          <w:sz w:val="20"/>
          <w:szCs w:val="20"/>
          <w:color w:val="auto"/>
        </w:rPr>
      </w:pPr>
      <w:r>
        <w:rPr>
          <w:rFonts w:ascii="Arial" w:cs="Arial" w:eastAsia="Arial" w:hAnsi="Arial"/>
          <w:sz w:val="31"/>
          <w:szCs w:val="31"/>
          <w:b w:val="1"/>
          <w:bCs w:val="1"/>
          <w:color w:val="4800E6"/>
        </w:rPr>
        <w:t>Board Recommendation</w:t>
      </w:r>
    </w:p>
    <w:p>
      <w:pPr>
        <w:spacing w:after="0" w:line="99" w:lineRule="exact"/>
        <w:rPr>
          <w:sz w:val="20"/>
          <w:szCs w:val="20"/>
          <w:color w:val="auto"/>
        </w:rPr>
      </w:pPr>
    </w:p>
    <w:p>
      <w:pPr>
        <w:ind w:left="1080" w:right="340"/>
        <w:spacing w:after="0" w:line="301" w:lineRule="auto"/>
        <w:rPr>
          <w:sz w:val="20"/>
          <w:szCs w:val="20"/>
          <w:color w:val="auto"/>
        </w:rPr>
      </w:pPr>
      <w:r>
        <w:rPr>
          <w:rFonts w:ascii="Arial" w:cs="Arial" w:eastAsia="Arial" w:hAnsi="Arial"/>
          <w:sz w:val="16"/>
          <w:szCs w:val="16"/>
          <w:color w:val="auto"/>
        </w:rPr>
        <w:t xml:space="preserve">THE BOARD RECOMMENDS A </w:t>
      </w:r>
      <w:r>
        <w:rPr>
          <w:rFonts w:ascii="Arial" w:cs="Arial" w:eastAsia="Arial" w:hAnsi="Arial"/>
          <w:sz w:val="16"/>
          <w:szCs w:val="16"/>
          <w:b w:val="1"/>
          <w:bCs w:val="1"/>
          <w:color w:val="FF4C4C"/>
        </w:rPr>
        <w:t>VOTE FOR</w:t>
      </w:r>
      <w:r>
        <w:rPr>
          <w:rFonts w:ascii="Arial" w:cs="Arial" w:eastAsia="Arial" w:hAnsi="Arial"/>
          <w:sz w:val="16"/>
          <w:szCs w:val="16"/>
          <w:color w:val="auto"/>
        </w:rPr>
        <w:t xml:space="preserve"> THE APPROVAL OF THE COMPENSATION OF OUR NEOS AS DISCLOSED IN THIS PROXY STATEMENT, INCLUDING THE COMPENSATION DISCUSSION AND ANALYSIS, COMPENSATION TABLES, AND NARRATIVE DISCUSSION.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485140</wp:posOffset>
            </wp:positionH>
            <wp:positionV relativeFrom="paragraph">
              <wp:posOffset>-436245</wp:posOffset>
            </wp:positionV>
            <wp:extent cx="137160" cy="137160"/>
            <wp:wrapNone/>
            <wp:docPr id="263" name="Picture 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
                    <pic:cNvPicPr>
                      <a:picLocks noChangeAspect="1" noChangeArrowheads="1"/>
                    </pic:cNvPicPr>
                  </pic:nvPicPr>
                  <pic:blipFill>
                    <a:blip r:embed="rId270">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ectPr>
          <w:pgSz w:w="11900" w:h="16838" w:orient="portrait"/>
          <w:cols w:equalWidth="0" w:num="1">
            <w:col w:w="10180"/>
          </w:cols>
          <w:pgMar w:left="320" w:top="132" w:right="139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ind w:left="4340"/>
        <w:spacing w:after="0"/>
        <w:tabs>
          <w:tab w:leader="none" w:pos="10000" w:val="left"/>
        </w:tabs>
        <w:rPr>
          <w:sz w:val="20"/>
          <w:szCs w:val="20"/>
          <w:color w:val="auto"/>
        </w:rPr>
      </w:pPr>
      <w:r>
        <w:rPr>
          <w:rFonts w:ascii="Arial" w:cs="Arial" w:eastAsia="Arial" w:hAnsi="Arial"/>
          <w:sz w:val="13"/>
          <w:szCs w:val="13"/>
          <w:b w:val="1"/>
          <w:bCs w:val="1"/>
          <w:color w:val="4800E6"/>
        </w:rPr>
        <w:t xml:space="preserve">LIVANOVA </w:t>
      </w:r>
      <w:r>
        <w:rPr>
          <w:rFonts w:ascii="Arial" w:cs="Arial" w:eastAsia="Arial" w:hAnsi="Arial"/>
          <w:sz w:val="13"/>
          <w:szCs w:val="13"/>
          <w:color w:val="000000"/>
        </w:rPr>
        <w:t>|</w:t>
      </w:r>
      <w:r>
        <w:rPr>
          <w:rFonts w:ascii="Arial" w:cs="Arial" w:eastAsia="Arial" w:hAnsi="Arial"/>
          <w:sz w:val="13"/>
          <w:szCs w:val="13"/>
          <w:b w:val="1"/>
          <w:bCs w:val="1"/>
          <w:color w:val="4800E6"/>
        </w:rPr>
        <w:t xml:space="preserve"> </w:t>
      </w:r>
      <w:r>
        <w:rPr>
          <w:rFonts w:ascii="Arial" w:cs="Arial" w:eastAsia="Arial" w:hAnsi="Arial"/>
          <w:sz w:val="13"/>
          <w:szCs w:val="13"/>
          <w:color w:val="4800E6"/>
        </w:rPr>
        <w:t>2020</w:t>
      </w:r>
      <w:r>
        <w:rPr>
          <w:rFonts w:ascii="Arial" w:cs="Arial" w:eastAsia="Arial" w:hAnsi="Arial"/>
          <w:sz w:val="13"/>
          <w:szCs w:val="13"/>
          <w:b w:val="1"/>
          <w:bCs w:val="1"/>
          <w:color w:val="4800E6"/>
        </w:rPr>
        <w:t xml:space="preserve"> </w:t>
      </w:r>
      <w:r>
        <w:rPr>
          <w:rFonts w:ascii="Arial" w:cs="Arial" w:eastAsia="Arial" w:hAnsi="Arial"/>
          <w:sz w:val="13"/>
          <w:szCs w:val="13"/>
          <w:color w:val="000000"/>
        </w:rPr>
        <w:t>Proxy Statement</w:t>
      </w:r>
      <w:r>
        <w:rPr>
          <w:sz w:val="20"/>
          <w:szCs w:val="20"/>
          <w:color w:val="auto"/>
        </w:rPr>
        <w:tab/>
      </w:r>
      <w:r>
        <w:rPr>
          <w:rFonts w:ascii="Arial" w:cs="Arial" w:eastAsia="Arial" w:hAnsi="Arial"/>
          <w:sz w:val="21"/>
          <w:szCs w:val="21"/>
          <w:b w:val="1"/>
          <w:bCs w:val="1"/>
          <w:color w:val="auto"/>
          <w:vertAlign w:val="subscript"/>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519430</wp:posOffset>
            </wp:positionH>
            <wp:positionV relativeFrom="paragraph">
              <wp:posOffset>47625</wp:posOffset>
            </wp:positionV>
            <wp:extent cx="1954530" cy="8255"/>
            <wp:wrapNone/>
            <wp:docPr id="264" name="Picture 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
                    <pic:cNvPicPr>
                      <a:picLocks noChangeAspect="1" noChangeArrowheads="1"/>
                    </pic:cNvPicPr>
                  </pic:nvPicPr>
                  <pic:blipFill>
                    <a:blip r:embed="rId271">
                      <a:extLst>
                        <a:ext uri="{28A0092B-C50C-407E-A947-70E740481C1C}"/>
                      </a:extLst>
                    </a:blip>
                    <a:srcRect/>
                    <a:stretch>
                      <a:fillRect/>
                    </a:stretch>
                  </pic:blipFill>
                  <pic:spPr bwMode="auto">
                    <a:xfrm>
                      <a:off x="0" y="0"/>
                      <a:ext cx="1954530" cy="8255"/>
                    </a:xfrm>
                    <a:prstGeom prst="rect">
                      <a:avLst/>
                    </a:prstGeom>
                    <a:noFill/>
                  </pic:spPr>
                </pic:pic>
              </a:graphicData>
            </a:graphic>
          </wp:anchor>
        </w:drawing>
        <w:drawing>
          <wp:anchor simplePos="0" relativeHeight="251657728" behindDoc="1" locked="0" layoutInCell="0" allowOverlap="1">
            <wp:simplePos x="0" y="0"/>
            <wp:positionH relativeFrom="column">
              <wp:posOffset>4257040</wp:posOffset>
            </wp:positionH>
            <wp:positionV relativeFrom="paragraph">
              <wp:posOffset>47625</wp:posOffset>
            </wp:positionV>
            <wp:extent cx="1954530" cy="8255"/>
            <wp:wrapNone/>
            <wp:docPr id="265" name="Picture 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
                    <pic:cNvPicPr>
                      <a:picLocks noChangeAspect="1" noChangeArrowheads="1"/>
                    </pic:cNvPicPr>
                  </pic:nvPicPr>
                  <pic:blipFill>
                    <a:blip r:embed="rId272">
                      <a:extLst>
                        <a:ext uri="{28A0092B-C50C-407E-A947-70E740481C1C}"/>
                      </a:extLst>
                    </a:blip>
                    <a:srcRect/>
                    <a:stretch>
                      <a:fillRect/>
                    </a:stretch>
                  </pic:blipFill>
                  <pic:spPr bwMode="auto">
                    <a:xfrm>
                      <a:off x="0" y="0"/>
                      <a:ext cx="195453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184785</wp:posOffset>
            </wp:positionV>
            <wp:extent cx="6806565" cy="17145"/>
            <wp:wrapNone/>
            <wp:docPr id="266" name="Picture 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
                    <pic:cNvPicPr>
                      <a:picLocks noChangeAspect="1" noChangeArrowheads="1"/>
                    </pic:cNvPicPr>
                  </pic:nvPicPr>
                  <pic:blipFill>
                    <a:blip r:embed="rId273">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10180"/>
          </w:cols>
          <w:pgMar w:left="320" w:top="132" w:right="1399" w:bottom="1440" w:gutter="0" w:footer="0" w:header="0"/>
          <w:type w:val="continuous"/>
        </w:sectPr>
      </w:pPr>
    </w:p>
    <w:bookmarkStart w:id="54" w:name="page55"/>
    <w:bookmarkEnd w:id="54"/>
    <w:p>
      <w:pPr>
        <w:spacing w:after="0"/>
        <w:rPr>
          <w:rFonts w:ascii="Arial" w:cs="Arial" w:eastAsia="Arial" w:hAnsi="Arial"/>
          <w:sz w:val="14"/>
          <w:szCs w:val="14"/>
          <w:color w:val="003366"/>
        </w:rPr>
      </w:pPr>
      <w:hyperlink w:anchor="page5">
        <w:r>
          <w:rPr>
            <w:rFonts w:ascii="Arial" w:cs="Arial" w:eastAsia="Arial" w:hAnsi="Arial"/>
            <w:sz w:val="14"/>
            <w:szCs w:val="14"/>
            <w:color w:val="003366"/>
          </w:rPr>
          <w:t>TABLE OF CONTENTS</w:t>
        </w:r>
      </w:hyperlink>
    </w:p>
    <w:p>
      <w:pPr>
        <w:spacing w:after="0" w:line="338" w:lineRule="exact"/>
        <w:rPr>
          <w:sz w:val="20"/>
          <w:szCs w:val="20"/>
          <w:color w:val="auto"/>
        </w:rPr>
      </w:pPr>
    </w:p>
    <w:p>
      <w:pPr>
        <w:ind w:left="760"/>
        <w:spacing w:after="0"/>
        <w:rPr>
          <w:sz w:val="20"/>
          <w:szCs w:val="20"/>
          <w:color w:val="auto"/>
        </w:rPr>
      </w:pPr>
      <w:r>
        <w:rPr>
          <w:rFonts w:ascii="Arial" w:cs="Arial" w:eastAsia="Arial" w:hAnsi="Arial"/>
          <w:sz w:val="13"/>
          <w:szCs w:val="13"/>
          <w:b w:val="1"/>
          <w:bCs w:val="1"/>
          <w:color w:val="auto"/>
        </w:rPr>
        <w:t>Audit Matters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485140</wp:posOffset>
            </wp:positionH>
            <wp:positionV relativeFrom="paragraph">
              <wp:posOffset>30480</wp:posOffset>
            </wp:positionV>
            <wp:extent cx="5829300" cy="8255"/>
            <wp:wrapNone/>
            <wp:docPr id="267" name="Picture 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
                    <pic:cNvPicPr>
                      <a:picLocks noChangeAspect="1" noChangeArrowheads="1"/>
                    </pic:cNvPicPr>
                  </pic:nvPicPr>
                  <pic:blipFill>
                    <a:blip r:embed="rId274">
                      <a:extLst>
                        <a:ext uri="{28A0092B-C50C-407E-A947-70E740481C1C}"/>
                      </a:extLst>
                    </a:blip>
                    <a:srcRect/>
                    <a:stretch>
                      <a:fillRect/>
                    </a:stretch>
                  </pic:blipFill>
                  <pic:spPr bwMode="auto">
                    <a:xfrm>
                      <a:off x="0" y="0"/>
                      <a:ext cx="5829300" cy="8255"/>
                    </a:xfrm>
                    <a:prstGeom prst="rect">
                      <a:avLst/>
                    </a:prstGeom>
                    <a:noFill/>
                  </pic:spPr>
                </pic:pic>
              </a:graphicData>
            </a:graphic>
          </wp:anchor>
        </w:drawing>
      </w:r>
    </w:p>
    <w:p>
      <w:pPr>
        <w:spacing w:after="0" w:line="60" w:lineRule="exact"/>
        <w:rPr>
          <w:sz w:val="20"/>
          <w:szCs w:val="20"/>
          <w:color w:val="auto"/>
        </w:rPr>
      </w:pPr>
    </w:p>
    <w:p>
      <w:pPr>
        <w:ind w:left="760"/>
        <w:spacing w:after="0"/>
        <w:rPr>
          <w:sz w:val="20"/>
          <w:szCs w:val="20"/>
          <w:color w:val="auto"/>
        </w:rPr>
      </w:pPr>
      <w:r>
        <w:rPr>
          <w:rFonts w:ascii="Arial" w:cs="Arial" w:eastAsia="Arial" w:hAnsi="Arial"/>
          <w:sz w:val="13"/>
          <w:szCs w:val="13"/>
          <w:b w:val="1"/>
          <w:bCs w:val="1"/>
          <w:color w:val="4800E6"/>
        </w:rPr>
        <w:t>Audit and Compliance Committee Report</w:t>
      </w:r>
    </w:p>
    <w:p>
      <w:pPr>
        <w:spacing w:after="0" w:line="200" w:lineRule="exact"/>
        <w:rPr>
          <w:sz w:val="20"/>
          <w:szCs w:val="20"/>
          <w:color w:val="auto"/>
        </w:rPr>
      </w:pPr>
    </w:p>
    <w:p>
      <w:pPr>
        <w:spacing w:after="0" w:line="379" w:lineRule="exact"/>
        <w:rPr>
          <w:sz w:val="20"/>
          <w:szCs w:val="20"/>
          <w:color w:val="auto"/>
        </w:rPr>
      </w:pPr>
    </w:p>
    <w:p>
      <w:pPr>
        <w:ind w:left="760"/>
        <w:spacing w:after="0"/>
        <w:rPr>
          <w:sz w:val="20"/>
          <w:szCs w:val="20"/>
          <w:color w:val="auto"/>
        </w:rPr>
      </w:pPr>
      <w:r>
        <w:rPr>
          <w:rFonts w:ascii="Arial" w:cs="Arial" w:eastAsia="Arial" w:hAnsi="Arial"/>
          <w:sz w:val="47"/>
          <w:szCs w:val="47"/>
          <w:b w:val="1"/>
          <w:bCs w:val="1"/>
          <w:color w:val="4800E6"/>
        </w:rPr>
        <w:t>Audit Matters</w:t>
      </w:r>
    </w:p>
    <w:p>
      <w:pPr>
        <w:spacing w:after="0" w:line="200" w:lineRule="exact"/>
        <w:rPr>
          <w:sz w:val="20"/>
          <w:szCs w:val="20"/>
          <w:color w:val="auto"/>
        </w:rPr>
      </w:pPr>
    </w:p>
    <w:p>
      <w:pPr>
        <w:spacing w:after="0" w:line="253" w:lineRule="exact"/>
        <w:rPr>
          <w:sz w:val="20"/>
          <w:szCs w:val="20"/>
          <w:color w:val="auto"/>
        </w:rPr>
      </w:pPr>
    </w:p>
    <w:p>
      <w:pPr>
        <w:ind w:left="760"/>
        <w:spacing w:after="0"/>
        <w:rPr>
          <w:sz w:val="20"/>
          <w:szCs w:val="20"/>
          <w:color w:val="auto"/>
        </w:rPr>
      </w:pPr>
      <w:r>
        <w:rPr>
          <w:rFonts w:ascii="Arial" w:cs="Arial" w:eastAsia="Arial" w:hAnsi="Arial"/>
          <w:sz w:val="31"/>
          <w:szCs w:val="31"/>
          <w:b w:val="1"/>
          <w:bCs w:val="1"/>
          <w:color w:val="4800E6"/>
        </w:rPr>
        <w:t>Audit and Compliance Committee Report</w:t>
      </w:r>
    </w:p>
    <w:p>
      <w:pPr>
        <w:spacing w:after="0" w:line="146" w:lineRule="exact"/>
        <w:rPr>
          <w:sz w:val="20"/>
          <w:szCs w:val="20"/>
          <w:color w:val="auto"/>
        </w:rPr>
      </w:pPr>
    </w:p>
    <w:p>
      <w:pPr>
        <w:jc w:val="both"/>
        <w:ind w:left="760" w:right="679"/>
        <w:spacing w:after="0" w:line="253" w:lineRule="auto"/>
        <w:rPr>
          <w:sz w:val="20"/>
          <w:szCs w:val="20"/>
          <w:color w:val="auto"/>
        </w:rPr>
      </w:pPr>
      <w:r>
        <w:rPr>
          <w:rFonts w:ascii="Arial" w:cs="Arial" w:eastAsia="Arial" w:hAnsi="Arial"/>
          <w:sz w:val="16"/>
          <w:szCs w:val="16"/>
          <w:color w:val="auto"/>
        </w:rPr>
        <w:t>The Audit and Compliance Committee is comprised of four non-employee directors, all of whom are “independent” under the applicable Nasdaq rules and the applicable rules of the SEC. The Audit and Compliance Committee is governed by a written charter which has been adopted by the Board.</w:t>
      </w:r>
    </w:p>
    <w:p>
      <w:pPr>
        <w:spacing w:after="0" w:line="80" w:lineRule="exact"/>
        <w:rPr>
          <w:sz w:val="20"/>
          <w:szCs w:val="20"/>
          <w:color w:val="auto"/>
        </w:rPr>
      </w:pPr>
    </w:p>
    <w:p>
      <w:pPr>
        <w:ind w:left="760" w:right="259"/>
        <w:spacing w:after="0" w:line="266" w:lineRule="auto"/>
        <w:rPr>
          <w:sz w:val="20"/>
          <w:szCs w:val="20"/>
          <w:color w:val="auto"/>
        </w:rPr>
      </w:pPr>
      <w:r>
        <w:rPr>
          <w:rFonts w:ascii="Arial" w:cs="Arial" w:eastAsia="Arial" w:hAnsi="Arial"/>
          <w:sz w:val="15"/>
          <w:szCs w:val="15"/>
          <w:color w:val="auto"/>
        </w:rPr>
        <w:t>Our management team is responsible for the preparation, presentation, and integrity of the consolidated financial statements, maintaining a system of internal controls and having appropriate accounting and financial reporting principles and policies. The independent registered public accounting firm is responsible for planning and carrying out an audit of the consolidated financial statements and an audit of internal control over financial reporting in accordance with the rules of the Public Company Accounting Oversight Board (United States) and expressing an opinion as to the consolidated financial statements’ conformity with US generally accepted accounting principles (“GAAP”) and as to internal control over financial reporting. The Audit and Compliance Committee monitors and oversees these processes and is responsible for selecting and overseeing our independent registered public accounting firm. As part of the oversight process, the Audit and Compliance Committee met ten times in 2019 and acted via written resolutions on one occasion. Throughout the year, the Audit and Compliance Committee met with our independent registered public accounting firm, management and internal auditor, both together and separately in closed sessions. In the course of fulfilling its responsibilities, the Audit and Compliance Committee did, among other things, the following:</w:t>
      </w:r>
    </w:p>
    <w:p>
      <w:pPr>
        <w:spacing w:after="0" w:line="3" w:lineRule="exact"/>
        <w:rPr>
          <w:sz w:val="20"/>
          <w:szCs w:val="20"/>
          <w:color w:val="auto"/>
        </w:rPr>
      </w:pPr>
    </w:p>
    <w:p>
      <w:pPr>
        <w:ind w:left="920" w:right="359" w:hanging="156"/>
        <w:spacing w:after="0" w:line="253" w:lineRule="auto"/>
        <w:tabs>
          <w:tab w:leader="none" w:pos="920" w:val="left"/>
        </w:tabs>
        <w:numPr>
          <w:ilvl w:val="0"/>
          <w:numId w:val="81"/>
        </w:numPr>
        <w:rPr>
          <w:rFonts w:ascii="Arial" w:cs="Arial" w:eastAsia="Arial" w:hAnsi="Arial"/>
          <w:sz w:val="16"/>
          <w:szCs w:val="16"/>
          <w:color w:val="4800E6"/>
        </w:rPr>
      </w:pPr>
      <w:r>
        <w:rPr>
          <w:rFonts w:ascii="Arial" w:cs="Arial" w:eastAsia="Arial" w:hAnsi="Arial"/>
          <w:sz w:val="16"/>
          <w:szCs w:val="16"/>
          <w:color w:val="auto"/>
        </w:rPr>
        <w:t>reviewed and discussed with management and the independent registered public accounting firm our consolidated financial statements for the year ended December 31, 2019 and the quarters ended March 31, 2019, June 30, 2019 and September 30, 2019;</w:t>
      </w:r>
    </w:p>
    <w:p>
      <w:pPr>
        <w:spacing w:after="0" w:line="25" w:lineRule="exact"/>
        <w:rPr>
          <w:rFonts w:ascii="Arial" w:cs="Arial" w:eastAsia="Arial" w:hAnsi="Arial"/>
          <w:sz w:val="16"/>
          <w:szCs w:val="16"/>
          <w:color w:val="4800E6"/>
        </w:rPr>
      </w:pPr>
    </w:p>
    <w:p>
      <w:pPr>
        <w:ind w:left="920" w:hanging="156"/>
        <w:spacing w:after="0"/>
        <w:tabs>
          <w:tab w:leader="none" w:pos="920" w:val="left"/>
        </w:tabs>
        <w:numPr>
          <w:ilvl w:val="0"/>
          <w:numId w:val="81"/>
        </w:numPr>
        <w:rPr>
          <w:rFonts w:ascii="Arial" w:cs="Arial" w:eastAsia="Arial" w:hAnsi="Arial"/>
          <w:sz w:val="16"/>
          <w:szCs w:val="16"/>
          <w:color w:val="4800E6"/>
        </w:rPr>
      </w:pPr>
      <w:r>
        <w:rPr>
          <w:rFonts w:ascii="Arial" w:cs="Arial" w:eastAsia="Arial" w:hAnsi="Arial"/>
          <w:sz w:val="16"/>
          <w:szCs w:val="16"/>
          <w:color w:val="auto"/>
        </w:rPr>
        <w:t>oversaw and discussed with management the review of internal control over our financial reporting;</w:t>
      </w:r>
    </w:p>
    <w:p>
      <w:pPr>
        <w:spacing w:after="0" w:line="45" w:lineRule="exact"/>
        <w:rPr>
          <w:rFonts w:ascii="Arial" w:cs="Arial" w:eastAsia="Arial" w:hAnsi="Arial"/>
          <w:sz w:val="16"/>
          <w:szCs w:val="16"/>
          <w:color w:val="4800E6"/>
        </w:rPr>
      </w:pPr>
    </w:p>
    <w:p>
      <w:pPr>
        <w:ind w:left="920" w:right="499" w:hanging="156"/>
        <w:spacing w:after="0" w:line="260" w:lineRule="auto"/>
        <w:tabs>
          <w:tab w:leader="none" w:pos="920" w:val="left"/>
        </w:tabs>
        <w:numPr>
          <w:ilvl w:val="0"/>
          <w:numId w:val="81"/>
        </w:numPr>
        <w:rPr>
          <w:rFonts w:ascii="Arial" w:cs="Arial" w:eastAsia="Arial" w:hAnsi="Arial"/>
          <w:sz w:val="16"/>
          <w:szCs w:val="16"/>
          <w:color w:val="4800E6"/>
        </w:rPr>
      </w:pPr>
      <w:r>
        <w:rPr>
          <w:rFonts w:ascii="Arial" w:cs="Arial" w:eastAsia="Arial" w:hAnsi="Arial"/>
          <w:sz w:val="16"/>
          <w:szCs w:val="16"/>
          <w:color w:val="auto"/>
        </w:rPr>
        <w:t>reviewed management’s representations that our consolidated financial statements were prepared in accordance with GAAP and present fairly our results of operations and financial position;</w:t>
      </w:r>
    </w:p>
    <w:p>
      <w:pPr>
        <w:spacing w:after="0" w:line="6" w:lineRule="exact"/>
        <w:rPr>
          <w:rFonts w:ascii="Arial" w:cs="Arial" w:eastAsia="Arial" w:hAnsi="Arial"/>
          <w:sz w:val="16"/>
          <w:szCs w:val="16"/>
          <w:color w:val="4800E6"/>
        </w:rPr>
      </w:pPr>
    </w:p>
    <w:p>
      <w:pPr>
        <w:ind w:left="920" w:right="259" w:hanging="156"/>
        <w:spacing w:after="0" w:line="260" w:lineRule="auto"/>
        <w:tabs>
          <w:tab w:leader="none" w:pos="920" w:val="left"/>
        </w:tabs>
        <w:numPr>
          <w:ilvl w:val="0"/>
          <w:numId w:val="81"/>
        </w:numPr>
        <w:rPr>
          <w:rFonts w:ascii="Arial" w:cs="Arial" w:eastAsia="Arial" w:hAnsi="Arial"/>
          <w:sz w:val="16"/>
          <w:szCs w:val="16"/>
          <w:color w:val="4800E6"/>
        </w:rPr>
      </w:pPr>
      <w:r>
        <w:rPr>
          <w:rFonts w:ascii="Arial" w:cs="Arial" w:eastAsia="Arial" w:hAnsi="Arial"/>
          <w:sz w:val="16"/>
          <w:szCs w:val="16"/>
          <w:color w:val="auto"/>
        </w:rPr>
        <w:t>discussed with the independent registered public accounting firm the matters required to be discussed by Auditing Standard No. 1301, Communications with Audit Committee;</w:t>
      </w:r>
    </w:p>
    <w:p>
      <w:pPr>
        <w:spacing w:after="0" w:line="19" w:lineRule="exact"/>
        <w:rPr>
          <w:rFonts w:ascii="Arial" w:cs="Arial" w:eastAsia="Arial" w:hAnsi="Arial"/>
          <w:sz w:val="16"/>
          <w:szCs w:val="16"/>
          <w:color w:val="4800E6"/>
        </w:rPr>
      </w:pPr>
    </w:p>
    <w:p>
      <w:pPr>
        <w:ind w:left="920" w:right="299" w:hanging="156"/>
        <w:spacing w:after="0" w:line="251" w:lineRule="auto"/>
        <w:tabs>
          <w:tab w:leader="none" w:pos="920" w:val="left"/>
        </w:tabs>
        <w:numPr>
          <w:ilvl w:val="0"/>
          <w:numId w:val="81"/>
        </w:numPr>
        <w:rPr>
          <w:rFonts w:ascii="Arial" w:cs="Arial" w:eastAsia="Arial" w:hAnsi="Arial"/>
          <w:sz w:val="16"/>
          <w:szCs w:val="16"/>
          <w:color w:val="4800E6"/>
        </w:rPr>
      </w:pPr>
      <w:r>
        <w:rPr>
          <w:rFonts w:ascii="Arial" w:cs="Arial" w:eastAsia="Arial" w:hAnsi="Arial"/>
          <w:sz w:val="16"/>
          <w:szCs w:val="16"/>
          <w:color w:val="auto"/>
        </w:rPr>
        <w:t>received the written disclosures and letter from the independent registered public accounting firm required by the applicable requirements of the Public Company Accounting Oversight Board regarding the independent registered public accounting firm’s communication with the Audit and Compliance Committee concerning independence, and discussed with the independent registered public accounting firm its independence;</w:t>
      </w:r>
    </w:p>
    <w:p>
      <w:pPr>
        <w:spacing w:after="0" w:line="26" w:lineRule="exact"/>
        <w:rPr>
          <w:rFonts w:ascii="Arial" w:cs="Arial" w:eastAsia="Arial" w:hAnsi="Arial"/>
          <w:sz w:val="16"/>
          <w:szCs w:val="16"/>
          <w:color w:val="4800E6"/>
        </w:rPr>
      </w:pPr>
    </w:p>
    <w:p>
      <w:pPr>
        <w:ind w:left="920" w:right="619" w:hanging="156"/>
        <w:spacing w:after="0" w:line="251" w:lineRule="auto"/>
        <w:tabs>
          <w:tab w:leader="none" w:pos="920" w:val="left"/>
        </w:tabs>
        <w:numPr>
          <w:ilvl w:val="0"/>
          <w:numId w:val="81"/>
        </w:numPr>
        <w:rPr>
          <w:rFonts w:ascii="Arial" w:cs="Arial" w:eastAsia="Arial" w:hAnsi="Arial"/>
          <w:sz w:val="16"/>
          <w:szCs w:val="16"/>
          <w:color w:val="4800E6"/>
        </w:rPr>
      </w:pPr>
      <w:r>
        <w:rPr>
          <w:rFonts w:ascii="Arial" w:cs="Arial" w:eastAsia="Arial" w:hAnsi="Arial"/>
          <w:sz w:val="16"/>
          <w:szCs w:val="16"/>
          <w:color w:val="auto"/>
        </w:rPr>
        <w:t>reviewed and evaluated the performance and quality of the independent registered public accounting firm and its lead audit partner in its determination to recommend the retention of the independent registered public accounting firm, including by assessing the performance of the independent registered public accounting firm from within the Audit and Compliance Committee and from the perspective of senior management and the internal auditor;</w:t>
      </w:r>
    </w:p>
    <w:p>
      <w:pPr>
        <w:spacing w:after="0" w:line="13" w:lineRule="exact"/>
        <w:rPr>
          <w:rFonts w:ascii="Arial" w:cs="Arial" w:eastAsia="Arial" w:hAnsi="Arial"/>
          <w:sz w:val="16"/>
          <w:szCs w:val="16"/>
          <w:color w:val="4800E6"/>
        </w:rPr>
      </w:pPr>
    </w:p>
    <w:p>
      <w:pPr>
        <w:ind w:left="920" w:right="419" w:hanging="156"/>
        <w:spacing w:after="0" w:line="260" w:lineRule="auto"/>
        <w:tabs>
          <w:tab w:leader="none" w:pos="920" w:val="left"/>
        </w:tabs>
        <w:numPr>
          <w:ilvl w:val="0"/>
          <w:numId w:val="81"/>
        </w:numPr>
        <w:rPr>
          <w:rFonts w:ascii="Arial" w:cs="Arial" w:eastAsia="Arial" w:hAnsi="Arial"/>
          <w:sz w:val="16"/>
          <w:szCs w:val="16"/>
          <w:color w:val="4800E6"/>
        </w:rPr>
      </w:pPr>
      <w:r>
        <w:rPr>
          <w:rFonts w:ascii="Arial" w:cs="Arial" w:eastAsia="Arial" w:hAnsi="Arial"/>
          <w:sz w:val="16"/>
          <w:szCs w:val="16"/>
          <w:color w:val="auto"/>
        </w:rPr>
        <w:t>considered whether the provision of non-audit services by our registered public accounting firm is compatible with maintaining the registered public accounting firm’s independence;</w:t>
      </w:r>
    </w:p>
    <w:p>
      <w:pPr>
        <w:spacing w:after="0" w:line="19" w:lineRule="exact"/>
        <w:rPr>
          <w:rFonts w:ascii="Arial" w:cs="Arial" w:eastAsia="Arial" w:hAnsi="Arial"/>
          <w:sz w:val="16"/>
          <w:szCs w:val="16"/>
          <w:color w:val="4800E6"/>
        </w:rPr>
      </w:pPr>
    </w:p>
    <w:p>
      <w:pPr>
        <w:ind w:left="920" w:hanging="156"/>
        <w:spacing w:after="0"/>
        <w:tabs>
          <w:tab w:leader="none" w:pos="920" w:val="left"/>
        </w:tabs>
        <w:numPr>
          <w:ilvl w:val="0"/>
          <w:numId w:val="81"/>
        </w:numPr>
        <w:rPr>
          <w:rFonts w:ascii="Arial" w:cs="Arial" w:eastAsia="Arial" w:hAnsi="Arial"/>
          <w:sz w:val="16"/>
          <w:szCs w:val="16"/>
          <w:color w:val="4800E6"/>
        </w:rPr>
      </w:pPr>
      <w:r>
        <w:rPr>
          <w:rFonts w:ascii="Arial" w:cs="Arial" w:eastAsia="Arial" w:hAnsi="Arial"/>
          <w:sz w:val="16"/>
          <w:szCs w:val="16"/>
          <w:color w:val="auto"/>
        </w:rPr>
        <w:t>reviewed the scope of and overall plans for the annual audit and the internal audit program;</w:t>
      </w:r>
    </w:p>
    <w:p>
      <w:pPr>
        <w:spacing w:after="0" w:line="45" w:lineRule="exact"/>
        <w:rPr>
          <w:rFonts w:ascii="Arial" w:cs="Arial" w:eastAsia="Arial" w:hAnsi="Arial"/>
          <w:sz w:val="16"/>
          <w:szCs w:val="16"/>
          <w:color w:val="4800E6"/>
        </w:rPr>
      </w:pPr>
    </w:p>
    <w:p>
      <w:pPr>
        <w:ind w:left="920" w:hanging="156"/>
        <w:spacing w:after="0"/>
        <w:tabs>
          <w:tab w:leader="none" w:pos="920" w:val="left"/>
        </w:tabs>
        <w:numPr>
          <w:ilvl w:val="0"/>
          <w:numId w:val="81"/>
        </w:numPr>
        <w:rPr>
          <w:rFonts w:ascii="Arial" w:cs="Arial" w:eastAsia="Arial" w:hAnsi="Arial"/>
          <w:sz w:val="16"/>
          <w:szCs w:val="16"/>
          <w:color w:val="4800E6"/>
        </w:rPr>
      </w:pPr>
      <w:r>
        <w:rPr>
          <w:rFonts w:ascii="Arial" w:cs="Arial" w:eastAsia="Arial" w:hAnsi="Arial"/>
          <w:sz w:val="16"/>
          <w:szCs w:val="16"/>
          <w:color w:val="auto"/>
        </w:rPr>
        <w:t>reviewed new accounting standards applicable with our CFO, internal audit department and our external auditors;</w:t>
      </w:r>
    </w:p>
    <w:p>
      <w:pPr>
        <w:spacing w:after="0" w:line="32" w:lineRule="exact"/>
        <w:rPr>
          <w:rFonts w:ascii="Arial" w:cs="Arial" w:eastAsia="Arial" w:hAnsi="Arial"/>
          <w:sz w:val="16"/>
          <w:szCs w:val="16"/>
          <w:color w:val="4800E6"/>
        </w:rPr>
      </w:pPr>
    </w:p>
    <w:p>
      <w:pPr>
        <w:ind w:left="920" w:hanging="156"/>
        <w:spacing w:after="0"/>
        <w:tabs>
          <w:tab w:leader="none" w:pos="920" w:val="left"/>
        </w:tabs>
        <w:numPr>
          <w:ilvl w:val="0"/>
          <w:numId w:val="81"/>
        </w:numPr>
        <w:rPr>
          <w:rFonts w:ascii="Arial" w:cs="Arial" w:eastAsia="Arial" w:hAnsi="Arial"/>
          <w:sz w:val="16"/>
          <w:szCs w:val="16"/>
          <w:color w:val="4800E6"/>
        </w:rPr>
      </w:pPr>
      <w:r>
        <w:rPr>
          <w:rFonts w:ascii="Arial" w:cs="Arial" w:eastAsia="Arial" w:hAnsi="Arial"/>
          <w:sz w:val="16"/>
          <w:szCs w:val="16"/>
          <w:color w:val="auto"/>
        </w:rPr>
        <w:t>consulted with management with respect to our processes for risk assessment and risk mitigation;</w:t>
      </w:r>
    </w:p>
    <w:p>
      <w:pPr>
        <w:spacing w:after="0" w:line="45" w:lineRule="exact"/>
        <w:rPr>
          <w:rFonts w:ascii="Arial" w:cs="Arial" w:eastAsia="Arial" w:hAnsi="Arial"/>
          <w:sz w:val="16"/>
          <w:szCs w:val="16"/>
          <w:color w:val="4800E6"/>
        </w:rPr>
      </w:pPr>
    </w:p>
    <w:p>
      <w:pPr>
        <w:ind w:left="920" w:right="659" w:hanging="156"/>
        <w:spacing w:after="0" w:line="260" w:lineRule="auto"/>
        <w:tabs>
          <w:tab w:leader="none" w:pos="920" w:val="left"/>
        </w:tabs>
        <w:numPr>
          <w:ilvl w:val="0"/>
          <w:numId w:val="81"/>
        </w:numPr>
        <w:rPr>
          <w:rFonts w:ascii="Arial" w:cs="Arial" w:eastAsia="Arial" w:hAnsi="Arial"/>
          <w:sz w:val="16"/>
          <w:szCs w:val="16"/>
          <w:color w:val="4800E6"/>
        </w:rPr>
      </w:pPr>
      <w:r>
        <w:rPr>
          <w:rFonts w:ascii="Arial" w:cs="Arial" w:eastAsia="Arial" w:hAnsi="Arial"/>
          <w:sz w:val="16"/>
          <w:szCs w:val="16"/>
          <w:color w:val="auto"/>
        </w:rPr>
        <w:t>reviewed our processes for monitoring compliance with the law and Company policies and Code of Business Conduct and Ethics; and</w:t>
      </w:r>
    </w:p>
    <w:p>
      <w:pPr>
        <w:spacing w:after="0" w:line="19" w:lineRule="exact"/>
        <w:rPr>
          <w:rFonts w:ascii="Arial" w:cs="Arial" w:eastAsia="Arial" w:hAnsi="Arial"/>
          <w:sz w:val="16"/>
          <w:szCs w:val="16"/>
          <w:color w:val="4800E6"/>
        </w:rPr>
      </w:pPr>
    </w:p>
    <w:p>
      <w:pPr>
        <w:ind w:left="920" w:right="419" w:hanging="156"/>
        <w:spacing w:after="0" w:line="260" w:lineRule="auto"/>
        <w:tabs>
          <w:tab w:leader="none" w:pos="920" w:val="left"/>
        </w:tabs>
        <w:numPr>
          <w:ilvl w:val="0"/>
          <w:numId w:val="81"/>
        </w:numPr>
        <w:rPr>
          <w:rFonts w:ascii="Arial" w:cs="Arial" w:eastAsia="Arial" w:hAnsi="Arial"/>
          <w:sz w:val="16"/>
          <w:szCs w:val="16"/>
          <w:color w:val="4800E6"/>
        </w:rPr>
      </w:pPr>
      <w:r>
        <w:rPr>
          <w:rFonts w:ascii="Arial" w:cs="Arial" w:eastAsia="Arial" w:hAnsi="Arial"/>
          <w:sz w:val="16"/>
          <w:szCs w:val="16"/>
          <w:color w:val="auto"/>
        </w:rPr>
        <w:t>reviewed and discussed with management its assessment and report on the effectiveness of our internal control over financial reporting as of December 31, 2019.</w:t>
      </w:r>
    </w:p>
    <w:p>
      <w:pPr>
        <w:spacing w:after="0" w:line="60" w:lineRule="exact"/>
        <w:rPr>
          <w:sz w:val="20"/>
          <w:szCs w:val="20"/>
          <w:color w:val="auto"/>
        </w:rPr>
      </w:pPr>
    </w:p>
    <w:p>
      <w:pPr>
        <w:ind w:left="760" w:right="339"/>
        <w:spacing w:after="0" w:line="253" w:lineRule="auto"/>
        <w:rPr>
          <w:sz w:val="20"/>
          <w:szCs w:val="20"/>
          <w:color w:val="auto"/>
        </w:rPr>
      </w:pPr>
      <w:r>
        <w:rPr>
          <w:rFonts w:ascii="Arial" w:cs="Arial" w:eastAsia="Arial" w:hAnsi="Arial"/>
          <w:sz w:val="16"/>
          <w:szCs w:val="16"/>
          <w:color w:val="auto"/>
        </w:rPr>
        <w:t>Based on its review and report on the Company’s internal control over financial reporting as of December 31, 2019, the Audit and Compliance Committee recommended to the Board that the audited consolidated financial statements be included in the Company’s US Annual Report on Form 10-K for the year ended December 31, 2019.</w:t>
      </w:r>
    </w:p>
    <w:p>
      <w:pPr>
        <w:spacing w:after="0" w:line="60" w:lineRule="exact"/>
        <w:rPr>
          <w:sz w:val="20"/>
          <w:szCs w:val="20"/>
          <w:color w:val="auto"/>
        </w:rPr>
      </w:pPr>
    </w:p>
    <w:p>
      <w:pPr>
        <w:ind w:left="760"/>
        <w:spacing w:after="0"/>
        <w:rPr>
          <w:sz w:val="20"/>
          <w:szCs w:val="20"/>
          <w:color w:val="auto"/>
        </w:rPr>
      </w:pPr>
      <w:r>
        <w:rPr>
          <w:rFonts w:ascii="Arial" w:cs="Arial" w:eastAsia="Arial" w:hAnsi="Arial"/>
          <w:sz w:val="16"/>
          <w:szCs w:val="16"/>
          <w:b w:val="1"/>
          <w:bCs w:val="1"/>
          <w:color w:val="auto"/>
        </w:rPr>
        <w:t>Francesco Bianchi</w:t>
      </w:r>
    </w:p>
    <w:p>
      <w:pPr>
        <w:spacing w:after="0" w:line="25" w:lineRule="exact"/>
        <w:rPr>
          <w:sz w:val="20"/>
          <w:szCs w:val="20"/>
          <w:color w:val="auto"/>
        </w:rPr>
      </w:pPr>
    </w:p>
    <w:p>
      <w:pPr>
        <w:ind w:left="760"/>
        <w:spacing w:after="0"/>
        <w:rPr>
          <w:sz w:val="20"/>
          <w:szCs w:val="20"/>
          <w:color w:val="auto"/>
        </w:rPr>
      </w:pPr>
      <w:r>
        <w:rPr>
          <w:rFonts w:ascii="Arial" w:cs="Arial" w:eastAsia="Arial" w:hAnsi="Arial"/>
          <w:sz w:val="16"/>
          <w:szCs w:val="16"/>
          <w:b w:val="1"/>
          <w:bCs w:val="1"/>
          <w:color w:val="auto"/>
        </w:rPr>
        <w:t>Hugh Morrison (Chairman)</w:t>
      </w:r>
    </w:p>
    <w:p>
      <w:pPr>
        <w:spacing w:after="0" w:line="5" w:lineRule="exact"/>
        <w:rPr>
          <w:sz w:val="20"/>
          <w:szCs w:val="20"/>
          <w:color w:val="auto"/>
        </w:rPr>
      </w:pPr>
    </w:p>
    <w:p>
      <w:pPr>
        <w:ind w:left="760"/>
        <w:spacing w:after="0"/>
        <w:rPr>
          <w:sz w:val="20"/>
          <w:szCs w:val="20"/>
          <w:color w:val="auto"/>
        </w:rPr>
      </w:pPr>
      <w:r>
        <w:rPr>
          <w:rFonts w:ascii="Arial" w:cs="Arial" w:eastAsia="Arial" w:hAnsi="Arial"/>
          <w:sz w:val="16"/>
          <w:szCs w:val="16"/>
          <w:b w:val="1"/>
          <w:bCs w:val="1"/>
          <w:color w:val="auto"/>
        </w:rPr>
        <w:t>Alfred Novak</w:t>
      </w:r>
    </w:p>
    <w:p>
      <w:pPr>
        <w:spacing w:after="0" w:line="5" w:lineRule="exact"/>
        <w:rPr>
          <w:sz w:val="20"/>
          <w:szCs w:val="20"/>
          <w:color w:val="auto"/>
        </w:rPr>
      </w:pPr>
    </w:p>
    <w:p>
      <w:pPr>
        <w:ind w:left="760"/>
        <w:spacing w:after="0"/>
        <w:rPr>
          <w:sz w:val="20"/>
          <w:szCs w:val="20"/>
          <w:color w:val="auto"/>
        </w:rPr>
      </w:pPr>
      <w:r>
        <w:rPr>
          <w:rFonts w:ascii="Arial" w:cs="Arial" w:eastAsia="Arial" w:hAnsi="Arial"/>
          <w:sz w:val="16"/>
          <w:szCs w:val="16"/>
          <w:b w:val="1"/>
          <w:bCs w:val="1"/>
          <w:color w:val="auto"/>
        </w:rPr>
        <w:t>Andrea Saia</w:t>
      </w:r>
    </w:p>
    <w:p>
      <w:pPr>
        <w:ind w:left="480"/>
        <w:spacing w:after="0"/>
        <w:tabs>
          <w:tab w:leader="none" w:pos="4400" w:val="left"/>
          <w:tab w:leader="none" w:pos="8760" w:val="left"/>
        </w:tabs>
        <w:rPr>
          <w:sz w:val="20"/>
          <w:szCs w:val="20"/>
          <w:color w:val="auto"/>
        </w:rPr>
      </w:pPr>
      <w:r>
        <w:rPr>
          <w:rFonts w:ascii="Arial" w:cs="Arial" w:eastAsia="Arial" w:hAnsi="Arial"/>
          <w:sz w:val="29"/>
          <w:szCs w:val="29"/>
          <w:b w:val="1"/>
          <w:bCs w:val="1"/>
          <w:color w:val="auto"/>
          <w:vertAlign w:val="subscript"/>
        </w:rPr>
        <w:t>51</w:t>
      </w:r>
      <w:r>
        <w:rPr>
          <w:sz w:val="20"/>
          <w:szCs w:val="20"/>
          <w:color w:val="auto"/>
        </w:rPr>
        <w:tab/>
      </w:r>
      <w:r>
        <w:rPr>
          <w:rFonts w:ascii="Arial" w:cs="Arial" w:eastAsia="Arial" w:hAnsi="Arial"/>
          <w:sz w:val="13"/>
          <w:szCs w:val="13"/>
          <w:b w:val="1"/>
          <w:bCs w:val="1"/>
          <w:color w:val="4800E6"/>
        </w:rPr>
        <w:t xml:space="preserve">LIVANOVA </w:t>
      </w:r>
      <w:r>
        <w:rPr>
          <w:rFonts w:ascii="Arial" w:cs="Arial" w:eastAsia="Arial" w:hAnsi="Arial"/>
          <w:sz w:val="13"/>
          <w:szCs w:val="13"/>
          <w:color w:val="000000"/>
        </w:rPr>
        <w:t>|</w:t>
      </w:r>
      <w:r>
        <w:rPr>
          <w:rFonts w:ascii="Arial" w:cs="Arial" w:eastAsia="Arial" w:hAnsi="Arial"/>
          <w:sz w:val="13"/>
          <w:szCs w:val="13"/>
          <w:b w:val="1"/>
          <w:bCs w:val="1"/>
          <w:color w:val="4800E6"/>
        </w:rPr>
        <w:t xml:space="preserve"> </w:t>
      </w:r>
      <w:r>
        <w:rPr>
          <w:rFonts w:ascii="Arial" w:cs="Arial" w:eastAsia="Arial" w:hAnsi="Arial"/>
          <w:sz w:val="13"/>
          <w:szCs w:val="13"/>
          <w:color w:val="4800E6"/>
        </w:rPr>
        <w:t>2020</w:t>
      </w:r>
      <w:r>
        <w:rPr>
          <w:rFonts w:ascii="Arial" w:cs="Arial" w:eastAsia="Arial" w:hAnsi="Arial"/>
          <w:sz w:val="13"/>
          <w:szCs w:val="13"/>
          <w:b w:val="1"/>
          <w:bCs w:val="1"/>
          <w:color w:val="4800E6"/>
        </w:rPr>
        <w:t xml:space="preserve"> </w:t>
      </w:r>
      <w:r>
        <w:rPr>
          <w:rFonts w:ascii="Arial" w:cs="Arial" w:eastAsia="Arial" w:hAnsi="Arial"/>
          <w:sz w:val="13"/>
          <w:szCs w:val="13"/>
          <w:color w:val="000000"/>
        </w:rPr>
        <w:t>Proxy Statement</w:t>
      </w:r>
      <w:r>
        <w:rPr>
          <w:sz w:val="20"/>
          <w:szCs w:val="20"/>
          <w:color w:val="auto"/>
        </w:rPr>
        <w:tab/>
      </w:r>
      <w:r>
        <w:rPr>
          <w:rFonts w:ascii="Arial" w:cs="Arial" w:eastAsia="Arial" w:hAnsi="Arial"/>
          <w:sz w:val="12"/>
          <w:szCs w:val="12"/>
          <w:b w:val="1"/>
          <w:bCs w:val="1"/>
          <w:color w:val="4800E6"/>
        </w:rPr>
        <w:t>www.livanova.com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561975</wp:posOffset>
            </wp:positionH>
            <wp:positionV relativeFrom="paragraph">
              <wp:posOffset>94615</wp:posOffset>
            </wp:positionV>
            <wp:extent cx="1954530" cy="8255"/>
            <wp:wrapNone/>
            <wp:docPr id="268" name="Picture 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
                    <pic:cNvPicPr>
                      <a:picLocks noChangeAspect="1" noChangeArrowheads="1"/>
                    </pic:cNvPicPr>
                  </pic:nvPicPr>
                  <pic:blipFill>
                    <a:blip r:embed="rId275">
                      <a:extLst>
                        <a:ext uri="{28A0092B-C50C-407E-A947-70E740481C1C}"/>
                      </a:extLst>
                    </a:blip>
                    <a:srcRect/>
                    <a:stretch>
                      <a:fillRect/>
                    </a:stretch>
                  </pic:blipFill>
                  <pic:spPr bwMode="auto">
                    <a:xfrm>
                      <a:off x="0" y="0"/>
                      <a:ext cx="1954530" cy="8255"/>
                    </a:xfrm>
                    <a:prstGeom prst="rect">
                      <a:avLst/>
                    </a:prstGeom>
                    <a:noFill/>
                  </pic:spPr>
                </pic:pic>
              </a:graphicData>
            </a:graphic>
          </wp:anchor>
        </w:drawing>
        <w:drawing>
          <wp:anchor simplePos="0" relativeHeight="251657728" behindDoc="1" locked="0" layoutInCell="0" allowOverlap="1">
            <wp:simplePos x="0" y="0"/>
            <wp:positionH relativeFrom="column">
              <wp:posOffset>4316730</wp:posOffset>
            </wp:positionH>
            <wp:positionV relativeFrom="paragraph">
              <wp:posOffset>94615</wp:posOffset>
            </wp:positionV>
            <wp:extent cx="1028700" cy="8255"/>
            <wp:wrapNone/>
            <wp:docPr id="269" name="Picture 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
                    <pic:cNvPicPr>
                      <a:picLocks noChangeAspect="1" noChangeArrowheads="1"/>
                    </pic:cNvPicPr>
                  </pic:nvPicPr>
                  <pic:blipFill>
                    <a:blip r:embed="rId276">
                      <a:extLst>
                        <a:ext uri="{28A0092B-C50C-407E-A947-70E740481C1C}"/>
                      </a:extLst>
                    </a:blip>
                    <a:srcRect/>
                    <a:stretch>
                      <a:fillRect/>
                    </a:stretch>
                  </pic:blipFill>
                  <pic:spPr bwMode="auto">
                    <a:xfrm>
                      <a:off x="0" y="0"/>
                      <a:ext cx="102870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231775</wp:posOffset>
            </wp:positionV>
            <wp:extent cx="6806565" cy="17145"/>
            <wp:wrapNone/>
            <wp:docPr id="270" name="Picture 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
                    <pic:cNvPicPr>
                      <a:picLocks noChangeAspect="1" noChangeArrowheads="1"/>
                    </pic:cNvPicPr>
                  </pic:nvPicPr>
                  <pic:blipFill>
                    <a:blip r:embed="rId277">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10139"/>
          </w:cols>
          <w:pgMar w:left="320" w:top="132" w:right="1440" w:bottom="1440" w:gutter="0" w:footer="0" w:header="0"/>
        </w:sectPr>
      </w:pPr>
    </w:p>
    <w:bookmarkStart w:id="55" w:name="page56"/>
    <w:bookmarkEnd w:id="55"/>
    <w:p>
      <w:pPr>
        <w:spacing w:after="0"/>
        <w:rPr>
          <w:rFonts w:ascii="Arial" w:cs="Arial" w:eastAsia="Arial" w:hAnsi="Arial"/>
          <w:sz w:val="14"/>
          <w:szCs w:val="14"/>
          <w:color w:val="003366"/>
        </w:rPr>
      </w:pPr>
      <w:hyperlink w:anchor="page5">
        <w:r>
          <w:rPr>
            <w:rFonts w:ascii="Arial" w:cs="Arial" w:eastAsia="Arial" w:hAnsi="Arial"/>
            <w:sz w:val="14"/>
            <w:szCs w:val="14"/>
            <w:color w:val="003366"/>
          </w:rPr>
          <w:t>TABLE OF CONTENTS</w:t>
        </w:r>
      </w:hyperlink>
    </w:p>
    <w:p>
      <w:pPr>
        <w:spacing w:after="0" w:line="338" w:lineRule="exact"/>
        <w:rPr>
          <w:sz w:val="20"/>
          <w:szCs w:val="20"/>
          <w:color w:val="auto"/>
        </w:rPr>
      </w:pPr>
    </w:p>
    <w:p>
      <w:pPr>
        <w:jc w:val="right"/>
        <w:ind w:right="240"/>
        <w:spacing w:after="0"/>
        <w:rPr>
          <w:sz w:val="20"/>
          <w:szCs w:val="20"/>
          <w:color w:val="auto"/>
        </w:rPr>
      </w:pPr>
      <w:r>
        <w:rPr>
          <w:rFonts w:ascii="Arial" w:cs="Arial" w:eastAsia="Arial" w:hAnsi="Arial"/>
          <w:sz w:val="13"/>
          <w:szCs w:val="13"/>
          <w:b w:val="1"/>
          <w:bCs w:val="1"/>
          <w:color w:val="auto"/>
        </w:rPr>
        <w:t>Audit Matters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485140</wp:posOffset>
            </wp:positionH>
            <wp:positionV relativeFrom="paragraph">
              <wp:posOffset>30480</wp:posOffset>
            </wp:positionV>
            <wp:extent cx="5829300" cy="8255"/>
            <wp:wrapNone/>
            <wp:docPr id="271" name="Picture 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
                    <pic:cNvPicPr>
                      <a:picLocks noChangeAspect="1" noChangeArrowheads="1"/>
                    </pic:cNvPicPr>
                  </pic:nvPicPr>
                  <pic:blipFill>
                    <a:blip r:embed="rId278">
                      <a:extLst>
                        <a:ext uri="{28A0092B-C50C-407E-A947-70E740481C1C}"/>
                      </a:extLst>
                    </a:blip>
                    <a:srcRect/>
                    <a:stretch>
                      <a:fillRect/>
                    </a:stretch>
                  </pic:blipFill>
                  <pic:spPr bwMode="auto">
                    <a:xfrm>
                      <a:off x="0" y="0"/>
                      <a:ext cx="5829300" cy="8255"/>
                    </a:xfrm>
                    <a:prstGeom prst="rect">
                      <a:avLst/>
                    </a:prstGeom>
                    <a:noFill/>
                  </pic:spPr>
                </pic:pic>
              </a:graphicData>
            </a:graphic>
          </wp:anchor>
        </w:drawing>
      </w:r>
    </w:p>
    <w:p>
      <w:pPr>
        <w:spacing w:after="0" w:line="60" w:lineRule="exact"/>
        <w:rPr>
          <w:sz w:val="20"/>
          <w:szCs w:val="20"/>
          <w:color w:val="auto"/>
        </w:rPr>
      </w:pPr>
    </w:p>
    <w:p>
      <w:pPr>
        <w:jc w:val="right"/>
        <w:ind w:right="240"/>
        <w:spacing w:after="0"/>
        <w:rPr>
          <w:sz w:val="20"/>
          <w:szCs w:val="20"/>
          <w:color w:val="auto"/>
        </w:rPr>
      </w:pPr>
      <w:r>
        <w:rPr>
          <w:rFonts w:ascii="Arial" w:cs="Arial" w:eastAsia="Arial" w:hAnsi="Arial"/>
          <w:sz w:val="13"/>
          <w:szCs w:val="13"/>
          <w:b w:val="1"/>
          <w:bCs w:val="1"/>
          <w:color w:val="4800E6"/>
        </w:rPr>
        <w:t>Fees Paid to PricewaterhouseCoopers</w:t>
      </w:r>
    </w:p>
    <w:p>
      <w:pPr>
        <w:spacing w:after="0" w:line="200" w:lineRule="exact"/>
        <w:rPr>
          <w:sz w:val="20"/>
          <w:szCs w:val="20"/>
          <w:color w:val="auto"/>
        </w:rPr>
      </w:pPr>
    </w:p>
    <w:p>
      <w:pPr>
        <w:spacing w:after="0" w:line="387" w:lineRule="exact"/>
        <w:rPr>
          <w:sz w:val="20"/>
          <w:szCs w:val="20"/>
          <w:color w:val="auto"/>
        </w:rPr>
      </w:pPr>
    </w:p>
    <w:p>
      <w:pPr>
        <w:ind w:left="760"/>
        <w:spacing w:after="0"/>
        <w:rPr>
          <w:sz w:val="20"/>
          <w:szCs w:val="20"/>
          <w:color w:val="auto"/>
        </w:rPr>
      </w:pPr>
      <w:r>
        <w:rPr>
          <w:rFonts w:ascii="Arial" w:cs="Arial" w:eastAsia="Arial" w:hAnsi="Arial"/>
          <w:sz w:val="31"/>
          <w:szCs w:val="31"/>
          <w:b w:val="1"/>
          <w:bCs w:val="1"/>
          <w:color w:val="4800E6"/>
        </w:rPr>
        <w:t>Changes in Independent Auditor</w:t>
      </w:r>
    </w:p>
    <w:p>
      <w:pPr>
        <w:spacing w:after="0" w:line="323" w:lineRule="exact"/>
        <w:rPr>
          <w:sz w:val="20"/>
          <w:szCs w:val="20"/>
          <w:color w:val="auto"/>
        </w:rPr>
      </w:pPr>
    </w:p>
    <w:p>
      <w:pPr>
        <w:ind w:left="760"/>
        <w:spacing w:after="0"/>
        <w:rPr>
          <w:sz w:val="20"/>
          <w:szCs w:val="20"/>
          <w:color w:val="auto"/>
        </w:rPr>
      </w:pPr>
      <w:r>
        <w:rPr>
          <w:rFonts w:ascii="Arial" w:cs="Arial" w:eastAsia="Arial" w:hAnsi="Arial"/>
          <w:sz w:val="23"/>
          <w:szCs w:val="23"/>
          <w:b w:val="1"/>
          <w:bCs w:val="1"/>
          <w:color w:val="auto"/>
        </w:rPr>
        <w:t>PricewaterhouseCoopers S.p.A.</w:t>
      </w:r>
    </w:p>
    <w:p>
      <w:pPr>
        <w:spacing w:after="0" w:line="126" w:lineRule="exact"/>
        <w:rPr>
          <w:sz w:val="20"/>
          <w:szCs w:val="20"/>
          <w:color w:val="auto"/>
        </w:rPr>
      </w:pPr>
    </w:p>
    <w:p>
      <w:pPr>
        <w:ind w:left="760" w:right="320"/>
        <w:spacing w:after="0" w:line="249" w:lineRule="auto"/>
        <w:rPr>
          <w:sz w:val="20"/>
          <w:szCs w:val="20"/>
          <w:color w:val="auto"/>
        </w:rPr>
      </w:pPr>
      <w:r>
        <w:rPr>
          <w:rFonts w:ascii="Arial" w:cs="Arial" w:eastAsia="Arial" w:hAnsi="Arial"/>
          <w:sz w:val="16"/>
          <w:szCs w:val="16"/>
          <w:color w:val="auto"/>
        </w:rPr>
        <w:t>On March 23, 2018, the Audit and Compliance Committee formally dismissed PricewaterhouseCoopers S.p.A. (“PwC S.p.A.” or the “Independent Auditor”), an Italian entity, as our independent registered public accounting firm and separately approved the engagement with that firm’s US affiliate, PricewaterhouseCoopers LLP (“PwC USA”). This decision was made by the committee to better align with our restructuring and centralization of our accounting function in our Houston office, and we now believe it is most efficient to have an accounting firm local to that function. PwC S.p.A. was the auditor of one of our legacy companies, Sorin, which was based in Italy.</w:t>
      </w:r>
    </w:p>
    <w:p>
      <w:pPr>
        <w:spacing w:after="0" w:line="83" w:lineRule="exact"/>
        <w:rPr>
          <w:sz w:val="20"/>
          <w:szCs w:val="20"/>
          <w:color w:val="auto"/>
        </w:rPr>
      </w:pPr>
    </w:p>
    <w:p>
      <w:pPr>
        <w:ind w:left="760" w:right="360"/>
        <w:spacing w:after="0" w:line="250" w:lineRule="auto"/>
        <w:rPr>
          <w:sz w:val="20"/>
          <w:szCs w:val="20"/>
          <w:color w:val="auto"/>
        </w:rPr>
      </w:pPr>
      <w:r>
        <w:rPr>
          <w:rFonts w:ascii="Arial" w:cs="Arial" w:eastAsia="Arial" w:hAnsi="Arial"/>
          <w:sz w:val="16"/>
          <w:szCs w:val="16"/>
          <w:color w:val="auto"/>
        </w:rPr>
        <w:t>The reports of PwC S.p.A on our financial statements for the transitional period from April 25, 2015 to December 31, 2015 and for each of the years ended December 31, 2016 and December 31, 2017 did not contain an adverse opinion or a disclaimer of opinion, nor were they qualified or modified as to uncertainty, audit scope or accounting principles. During the transitional period from April 25 2015 to December 31, 2015 and during each of the years ended December 31, 2016 and 2017 and during the subsequent interim periods through the date of our Current Report on Form 8-K filed with the SEC on March 26, 2018:</w:t>
      </w:r>
    </w:p>
    <w:p>
      <w:pPr>
        <w:spacing w:after="0" w:line="27" w:lineRule="exact"/>
        <w:rPr>
          <w:sz w:val="20"/>
          <w:szCs w:val="20"/>
          <w:color w:val="auto"/>
        </w:rPr>
      </w:pPr>
    </w:p>
    <w:p>
      <w:pPr>
        <w:ind w:left="920" w:right="320" w:hanging="156"/>
        <w:spacing w:after="0" w:line="251" w:lineRule="auto"/>
        <w:tabs>
          <w:tab w:leader="none" w:pos="920" w:val="left"/>
        </w:tabs>
        <w:numPr>
          <w:ilvl w:val="0"/>
          <w:numId w:val="82"/>
        </w:numPr>
        <w:rPr>
          <w:rFonts w:ascii="Arial" w:cs="Arial" w:eastAsia="Arial" w:hAnsi="Arial"/>
          <w:sz w:val="16"/>
          <w:szCs w:val="16"/>
          <w:color w:val="4800E6"/>
        </w:rPr>
      </w:pPr>
      <w:r>
        <w:rPr>
          <w:rFonts w:ascii="Arial" w:cs="Arial" w:eastAsia="Arial" w:hAnsi="Arial"/>
          <w:sz w:val="16"/>
          <w:szCs w:val="16"/>
          <w:color w:val="auto"/>
        </w:rPr>
        <w:t>there were no “disagreements” (as that term is defined in Item 304(a)(1)(iv) of SEC Regulation S-K and the instructions to Item 304) between us and PwC S.p.A. on any matters of accounting principles or practices, financial statement disclosure, or auditing scope or procedures, which disagreements, if not resolved to PwC S.p.A.’s satisfaction would have caused PwC S.p.A. to make reference to the subject matter of the disagreement(s) in connection with this report;</w:t>
      </w:r>
    </w:p>
    <w:p>
      <w:pPr>
        <w:spacing w:after="0" w:line="13" w:lineRule="exact"/>
        <w:rPr>
          <w:rFonts w:ascii="Arial" w:cs="Arial" w:eastAsia="Arial" w:hAnsi="Arial"/>
          <w:sz w:val="16"/>
          <w:szCs w:val="16"/>
          <w:color w:val="4800E6"/>
        </w:rPr>
      </w:pPr>
    </w:p>
    <w:p>
      <w:pPr>
        <w:ind w:left="920" w:hanging="156"/>
        <w:spacing w:after="0"/>
        <w:tabs>
          <w:tab w:leader="none" w:pos="920" w:val="left"/>
        </w:tabs>
        <w:numPr>
          <w:ilvl w:val="0"/>
          <w:numId w:val="82"/>
        </w:numPr>
        <w:rPr>
          <w:rFonts w:ascii="Arial" w:cs="Arial" w:eastAsia="Arial" w:hAnsi="Arial"/>
          <w:sz w:val="16"/>
          <w:szCs w:val="16"/>
          <w:color w:val="4800E6"/>
        </w:rPr>
      </w:pPr>
      <w:r>
        <w:rPr>
          <w:rFonts w:ascii="Arial" w:cs="Arial" w:eastAsia="Arial" w:hAnsi="Arial"/>
          <w:sz w:val="16"/>
          <w:szCs w:val="16"/>
          <w:color w:val="auto"/>
        </w:rPr>
        <w:t>there were no “reportable events” (as that term is defined in Item 304(a)(1)(v) of SEC Regulation S-K); and</w:t>
      </w:r>
    </w:p>
    <w:p>
      <w:pPr>
        <w:spacing w:after="0" w:line="45" w:lineRule="exact"/>
        <w:rPr>
          <w:rFonts w:ascii="Arial" w:cs="Arial" w:eastAsia="Arial" w:hAnsi="Arial"/>
          <w:sz w:val="16"/>
          <w:szCs w:val="16"/>
          <w:color w:val="4800E6"/>
        </w:rPr>
      </w:pPr>
    </w:p>
    <w:p>
      <w:pPr>
        <w:ind w:left="920" w:right="300" w:hanging="156"/>
        <w:spacing w:after="0" w:line="248" w:lineRule="auto"/>
        <w:tabs>
          <w:tab w:leader="none" w:pos="920" w:val="left"/>
        </w:tabs>
        <w:numPr>
          <w:ilvl w:val="0"/>
          <w:numId w:val="82"/>
        </w:numPr>
        <w:rPr>
          <w:rFonts w:ascii="Arial" w:cs="Arial" w:eastAsia="Arial" w:hAnsi="Arial"/>
          <w:sz w:val="16"/>
          <w:szCs w:val="16"/>
          <w:color w:val="4800E6"/>
        </w:rPr>
      </w:pPr>
      <w:r>
        <w:rPr>
          <w:rFonts w:ascii="Arial" w:cs="Arial" w:eastAsia="Arial" w:hAnsi="Arial"/>
          <w:sz w:val="16"/>
          <w:szCs w:val="16"/>
          <w:color w:val="auto"/>
        </w:rPr>
        <w:t>neither we nor anyone on our behalf consulted with PwC US regarding (i) the application of accounting principles to a specified transaction, either completed or proposed, or the type of audit opinion that might be rendered on our consolidated financial statement, and neither a written report was provided to us nor oral advice was provided that PwC USA concluded was an important factor considered by us in reaching a decision as to the accounting, auditing or financial reporting issues, or (ii) any matter that was either the subject of a disagreement (as that term is defined in Item 304(a)(1)(iv) of SEC Regulation S-K and the instructions to Item 304) or a reportable event (as defined in Item 304(a)(1)(v) of SEC Regulation S-K). We provided the disclosure required by Item 304 to PwC S.p.A. The letter received from PwC S.p.A. was filed as Exhibit 16.1 to the Current Report on Form 8-K that we filed with the SEC on March 26, 2018.</w:t>
      </w:r>
    </w:p>
    <w:p>
      <w:pPr>
        <w:spacing w:after="0" w:line="380" w:lineRule="exact"/>
        <w:rPr>
          <w:sz w:val="20"/>
          <w:szCs w:val="20"/>
          <w:color w:val="auto"/>
        </w:rPr>
      </w:pPr>
    </w:p>
    <w:p>
      <w:pPr>
        <w:ind w:left="760"/>
        <w:spacing w:after="0"/>
        <w:rPr>
          <w:sz w:val="20"/>
          <w:szCs w:val="20"/>
          <w:color w:val="auto"/>
        </w:rPr>
      </w:pPr>
      <w:r>
        <w:rPr>
          <w:rFonts w:ascii="Arial" w:cs="Arial" w:eastAsia="Arial" w:hAnsi="Arial"/>
          <w:sz w:val="31"/>
          <w:szCs w:val="31"/>
          <w:b w:val="1"/>
          <w:bCs w:val="1"/>
          <w:color w:val="4800E6"/>
        </w:rPr>
        <w:t>Fees Paid to PricewaterhouseCoopers</w:t>
      </w:r>
    </w:p>
    <w:p>
      <w:pPr>
        <w:spacing w:after="0" w:line="146" w:lineRule="exact"/>
        <w:rPr>
          <w:sz w:val="20"/>
          <w:szCs w:val="20"/>
          <w:color w:val="auto"/>
        </w:rPr>
      </w:pPr>
    </w:p>
    <w:p>
      <w:pPr>
        <w:ind w:left="760" w:right="420"/>
        <w:spacing w:after="0" w:line="278" w:lineRule="auto"/>
        <w:rPr>
          <w:sz w:val="20"/>
          <w:szCs w:val="20"/>
          <w:color w:val="auto"/>
        </w:rPr>
      </w:pPr>
      <w:r>
        <w:rPr>
          <w:rFonts w:ascii="Arial" w:cs="Arial" w:eastAsia="Arial" w:hAnsi="Arial"/>
          <w:sz w:val="15"/>
          <w:szCs w:val="15"/>
          <w:color w:val="auto"/>
        </w:rPr>
        <w:t>The following table summarizes the aggregate fees billed to us by PwC USA and its respective network member firms including PwC S.p.A. and the PricewaterhouseCoopers entity in the UK that acts as our UK statutory auditor (together, “PwC”) for services performed in connection with the financial year ended December 31, 2019 and the financial year ended December 31, 2018:</w:t>
      </w:r>
    </w:p>
    <w:p>
      <w:pPr>
        <w:spacing w:after="0" w:line="114" w:lineRule="exact"/>
        <w:rPr>
          <w:sz w:val="20"/>
          <w:szCs w:val="20"/>
          <w:color w:val="auto"/>
        </w:rPr>
      </w:pPr>
    </w:p>
    <w:tbl>
      <w:tblPr>
        <w:tblLayout w:type="fixed"/>
        <w:tblInd w:w="760" w:type="dxa"/>
        <w:tblCellMar>
          <w:top w:w="0" w:type="dxa"/>
          <w:left w:w="0" w:type="dxa"/>
          <w:bottom w:w="0" w:type="dxa"/>
          <w:right w:w="0" w:type="dxa"/>
        </w:tblCellMar>
      </w:tblPr>
      <w:tr>
        <w:trPr>
          <w:trHeight w:val="162"/>
        </w:trPr>
        <w:tc>
          <w:tcPr>
            <w:tcW w:w="3900" w:type="dxa"/>
            <w:vAlign w:val="bottom"/>
          </w:tcPr>
          <w:p>
            <w:pPr>
              <w:spacing w:after="0"/>
              <w:rPr>
                <w:sz w:val="14"/>
                <w:szCs w:val="14"/>
                <w:color w:val="auto"/>
              </w:rPr>
            </w:pPr>
          </w:p>
        </w:tc>
        <w:tc>
          <w:tcPr>
            <w:tcW w:w="3820" w:type="dxa"/>
            <w:vAlign w:val="bottom"/>
            <w:gridSpan w:val="2"/>
          </w:tcPr>
          <w:p>
            <w:pPr>
              <w:jc w:val="right"/>
              <w:ind w:right="84"/>
              <w:spacing w:after="0"/>
              <w:rPr>
                <w:sz w:val="20"/>
                <w:szCs w:val="20"/>
                <w:color w:val="auto"/>
              </w:rPr>
            </w:pPr>
            <w:r>
              <w:rPr>
                <w:rFonts w:ascii="Arial" w:cs="Arial" w:eastAsia="Arial" w:hAnsi="Arial"/>
                <w:sz w:val="14"/>
                <w:szCs w:val="14"/>
                <w:b w:val="1"/>
                <w:bCs w:val="1"/>
                <w:color w:val="4800E6"/>
              </w:rPr>
              <w:t>Year Ended</w:t>
            </w:r>
          </w:p>
        </w:tc>
        <w:tc>
          <w:tcPr>
            <w:tcW w:w="1460" w:type="dxa"/>
            <w:vAlign w:val="bottom"/>
            <w:gridSpan w:val="2"/>
          </w:tcPr>
          <w:p>
            <w:pPr>
              <w:jc w:val="right"/>
              <w:ind w:right="24"/>
              <w:spacing w:after="0"/>
              <w:rPr>
                <w:sz w:val="20"/>
                <w:szCs w:val="20"/>
                <w:color w:val="auto"/>
              </w:rPr>
            </w:pPr>
            <w:r>
              <w:rPr>
                <w:rFonts w:ascii="Arial" w:cs="Arial" w:eastAsia="Arial" w:hAnsi="Arial"/>
                <w:sz w:val="14"/>
                <w:szCs w:val="14"/>
                <w:b w:val="1"/>
                <w:bCs w:val="1"/>
                <w:color w:val="4800E6"/>
              </w:rPr>
              <w:t>Year Ended</w:t>
            </w:r>
          </w:p>
        </w:tc>
      </w:tr>
      <w:tr>
        <w:trPr>
          <w:trHeight w:val="196"/>
        </w:trPr>
        <w:tc>
          <w:tcPr>
            <w:tcW w:w="3900" w:type="dxa"/>
            <w:vAlign w:val="bottom"/>
            <w:tcBorders>
              <w:bottom w:val="single" w:sz="8" w:color="4800E6"/>
            </w:tcBorders>
          </w:tcPr>
          <w:p>
            <w:pPr>
              <w:spacing w:after="0"/>
              <w:rPr>
                <w:sz w:val="17"/>
                <w:szCs w:val="17"/>
                <w:color w:val="auto"/>
              </w:rPr>
            </w:pPr>
          </w:p>
        </w:tc>
        <w:tc>
          <w:tcPr>
            <w:tcW w:w="3820" w:type="dxa"/>
            <w:vAlign w:val="bottom"/>
            <w:tcBorders>
              <w:bottom w:val="single" w:sz="8" w:color="4800E6"/>
            </w:tcBorders>
            <w:gridSpan w:val="2"/>
          </w:tcPr>
          <w:p>
            <w:pPr>
              <w:jc w:val="right"/>
              <w:ind w:right="44"/>
              <w:spacing w:after="0"/>
              <w:rPr>
                <w:sz w:val="20"/>
                <w:szCs w:val="20"/>
                <w:color w:val="auto"/>
              </w:rPr>
            </w:pPr>
            <w:r>
              <w:rPr>
                <w:rFonts w:ascii="Arial" w:cs="Arial" w:eastAsia="Arial" w:hAnsi="Arial"/>
                <w:sz w:val="14"/>
                <w:szCs w:val="14"/>
                <w:b w:val="1"/>
                <w:bCs w:val="1"/>
                <w:color w:val="4800E6"/>
              </w:rPr>
              <w:t>December 31, 2019</w:t>
            </w:r>
          </w:p>
        </w:tc>
        <w:tc>
          <w:tcPr>
            <w:tcW w:w="1460" w:type="dxa"/>
            <w:vAlign w:val="bottom"/>
            <w:tcBorders>
              <w:bottom w:val="single" w:sz="8" w:color="4800E6"/>
            </w:tcBorders>
            <w:gridSpan w:val="2"/>
          </w:tcPr>
          <w:p>
            <w:pPr>
              <w:jc w:val="right"/>
              <w:spacing w:after="0"/>
              <w:rPr>
                <w:sz w:val="20"/>
                <w:szCs w:val="20"/>
                <w:color w:val="auto"/>
              </w:rPr>
            </w:pPr>
            <w:r>
              <w:rPr>
                <w:rFonts w:ascii="Arial" w:cs="Arial" w:eastAsia="Arial" w:hAnsi="Arial"/>
                <w:sz w:val="14"/>
                <w:szCs w:val="14"/>
                <w:b w:val="1"/>
                <w:bCs w:val="1"/>
                <w:color w:val="4800E6"/>
              </w:rPr>
              <w:t>December 31, 2018</w:t>
            </w:r>
          </w:p>
        </w:tc>
      </w:tr>
      <w:tr>
        <w:trPr>
          <w:trHeight w:val="223"/>
        </w:trPr>
        <w:tc>
          <w:tcPr>
            <w:tcW w:w="3900" w:type="dxa"/>
            <w:vAlign w:val="bottom"/>
            <w:tcBorders>
              <w:bottom w:val="single" w:sz="8" w:color="4800E6"/>
            </w:tcBorders>
          </w:tcPr>
          <w:p>
            <w:pPr>
              <w:spacing w:after="0"/>
              <w:rPr>
                <w:sz w:val="19"/>
                <w:szCs w:val="19"/>
                <w:color w:val="auto"/>
              </w:rPr>
            </w:pPr>
          </w:p>
        </w:tc>
        <w:tc>
          <w:tcPr>
            <w:tcW w:w="3180" w:type="dxa"/>
            <w:vAlign w:val="bottom"/>
            <w:tcBorders>
              <w:bottom w:val="single" w:sz="8" w:color="4800E6"/>
            </w:tcBorders>
          </w:tcPr>
          <w:p>
            <w:pPr>
              <w:spacing w:after="0"/>
              <w:rPr>
                <w:sz w:val="19"/>
                <w:szCs w:val="19"/>
                <w:color w:val="auto"/>
              </w:rPr>
            </w:pPr>
          </w:p>
        </w:tc>
        <w:tc>
          <w:tcPr>
            <w:tcW w:w="640" w:type="dxa"/>
            <w:vAlign w:val="bottom"/>
            <w:tcBorders>
              <w:bottom w:val="single" w:sz="8" w:color="4800E6"/>
            </w:tcBorders>
          </w:tcPr>
          <w:p>
            <w:pPr>
              <w:spacing w:after="0"/>
              <w:rPr>
                <w:sz w:val="19"/>
                <w:szCs w:val="19"/>
                <w:color w:val="auto"/>
              </w:rPr>
            </w:pPr>
          </w:p>
        </w:tc>
        <w:tc>
          <w:tcPr>
            <w:tcW w:w="1460" w:type="dxa"/>
            <w:vAlign w:val="bottom"/>
            <w:tcBorders>
              <w:bottom w:val="single" w:sz="8" w:color="4800E6"/>
            </w:tcBorders>
            <w:gridSpan w:val="2"/>
          </w:tcPr>
          <w:p>
            <w:pPr>
              <w:jc w:val="right"/>
              <w:spacing w:after="0"/>
              <w:rPr>
                <w:sz w:val="20"/>
                <w:szCs w:val="20"/>
                <w:color w:val="auto"/>
              </w:rPr>
            </w:pPr>
            <w:r>
              <w:rPr>
                <w:rFonts w:ascii="Arial" w:cs="Arial" w:eastAsia="Arial" w:hAnsi="Arial"/>
                <w:sz w:val="14"/>
                <w:szCs w:val="14"/>
                <w:b w:val="1"/>
                <w:bCs w:val="1"/>
                <w:color w:val="4800E6"/>
              </w:rPr>
              <w:t>(in thousands)</w:t>
            </w:r>
          </w:p>
        </w:tc>
      </w:tr>
      <w:tr>
        <w:trPr>
          <w:trHeight w:val="256"/>
        </w:trPr>
        <w:tc>
          <w:tcPr>
            <w:tcW w:w="3900" w:type="dxa"/>
            <w:vAlign w:val="bottom"/>
          </w:tcPr>
          <w:p>
            <w:pPr>
              <w:ind w:left="60"/>
              <w:spacing w:after="0" w:line="256" w:lineRule="exact"/>
              <w:rPr>
                <w:sz w:val="20"/>
                <w:szCs w:val="20"/>
                <w:color w:val="auto"/>
              </w:rPr>
            </w:pPr>
            <w:r>
              <w:rPr>
                <w:rFonts w:ascii="Arial" w:cs="Arial" w:eastAsia="Arial" w:hAnsi="Arial"/>
                <w:sz w:val="15"/>
                <w:szCs w:val="15"/>
                <w:color w:val="auto"/>
              </w:rPr>
              <w:t>Audit Fees</w:t>
            </w:r>
            <w:r>
              <w:rPr>
                <w:rFonts w:ascii="Arial" w:cs="Arial" w:eastAsia="Arial" w:hAnsi="Arial"/>
                <w:sz w:val="23"/>
                <w:szCs w:val="23"/>
                <w:color w:val="auto"/>
                <w:vertAlign w:val="superscript"/>
              </w:rPr>
              <w:t>(1)</w:t>
            </w:r>
          </w:p>
        </w:tc>
        <w:tc>
          <w:tcPr>
            <w:tcW w:w="3180" w:type="dxa"/>
            <w:vAlign w:val="bottom"/>
          </w:tcPr>
          <w:p>
            <w:pPr>
              <w:jc w:val="right"/>
              <w:ind w:right="85"/>
              <w:spacing w:after="0"/>
              <w:rPr>
                <w:sz w:val="20"/>
                <w:szCs w:val="20"/>
                <w:color w:val="auto"/>
              </w:rPr>
            </w:pPr>
            <w:r>
              <w:rPr>
                <w:rFonts w:ascii="Arial" w:cs="Arial" w:eastAsia="Arial" w:hAnsi="Arial"/>
                <w:sz w:val="15"/>
                <w:szCs w:val="15"/>
                <w:color w:val="auto"/>
              </w:rPr>
              <w:t>$</w:t>
            </w:r>
          </w:p>
        </w:tc>
        <w:tc>
          <w:tcPr>
            <w:tcW w:w="640" w:type="dxa"/>
            <w:vAlign w:val="bottom"/>
          </w:tcPr>
          <w:p>
            <w:pPr>
              <w:jc w:val="right"/>
              <w:ind w:right="44"/>
              <w:spacing w:after="0"/>
              <w:rPr>
                <w:sz w:val="20"/>
                <w:szCs w:val="20"/>
                <w:color w:val="auto"/>
              </w:rPr>
            </w:pPr>
            <w:r>
              <w:rPr>
                <w:rFonts w:ascii="Arial" w:cs="Arial" w:eastAsia="Arial" w:hAnsi="Arial"/>
                <w:sz w:val="15"/>
                <w:szCs w:val="15"/>
                <w:color w:val="auto"/>
              </w:rPr>
              <w:t>7,510</w:t>
            </w:r>
          </w:p>
        </w:tc>
        <w:tc>
          <w:tcPr>
            <w:tcW w:w="880" w:type="dxa"/>
            <w:vAlign w:val="bottom"/>
          </w:tcPr>
          <w:p>
            <w:pPr>
              <w:jc w:val="right"/>
              <w:ind w:right="85"/>
              <w:spacing w:after="0"/>
              <w:rPr>
                <w:sz w:val="20"/>
                <w:szCs w:val="20"/>
                <w:color w:val="auto"/>
              </w:rPr>
            </w:pPr>
            <w:r>
              <w:rPr>
                <w:rFonts w:ascii="Arial" w:cs="Arial" w:eastAsia="Arial" w:hAnsi="Arial"/>
                <w:sz w:val="15"/>
                <w:szCs w:val="15"/>
                <w:color w:val="auto"/>
              </w:rPr>
              <w:t>$</w:t>
            </w:r>
          </w:p>
        </w:tc>
        <w:tc>
          <w:tcPr>
            <w:tcW w:w="580" w:type="dxa"/>
            <w:vAlign w:val="bottom"/>
          </w:tcPr>
          <w:p>
            <w:pPr>
              <w:jc w:val="right"/>
              <w:spacing w:after="0"/>
              <w:rPr>
                <w:sz w:val="20"/>
                <w:szCs w:val="20"/>
                <w:color w:val="auto"/>
              </w:rPr>
            </w:pPr>
            <w:r>
              <w:rPr>
                <w:rFonts w:ascii="Arial" w:cs="Arial" w:eastAsia="Arial" w:hAnsi="Arial"/>
                <w:sz w:val="15"/>
                <w:szCs w:val="15"/>
                <w:color w:val="auto"/>
              </w:rPr>
              <w:t>8,274</w:t>
            </w:r>
          </w:p>
        </w:tc>
      </w:tr>
      <w:tr>
        <w:trPr>
          <w:trHeight w:val="284"/>
        </w:trPr>
        <w:tc>
          <w:tcPr>
            <w:tcW w:w="3900" w:type="dxa"/>
            <w:vAlign w:val="bottom"/>
            <w:shd w:val="clear" w:color="auto" w:fill="EFE9FC"/>
          </w:tcPr>
          <w:p>
            <w:pPr>
              <w:ind w:left="60"/>
              <w:spacing w:after="0"/>
              <w:rPr>
                <w:sz w:val="20"/>
                <w:szCs w:val="20"/>
                <w:color w:val="auto"/>
              </w:rPr>
            </w:pPr>
            <w:r>
              <w:rPr>
                <w:rFonts w:ascii="Arial" w:cs="Arial" w:eastAsia="Arial" w:hAnsi="Arial"/>
                <w:sz w:val="15"/>
                <w:szCs w:val="15"/>
                <w:color w:val="auto"/>
              </w:rPr>
              <w:t>Audit-Related Fees</w:t>
            </w:r>
            <w:r>
              <w:rPr>
                <w:rFonts w:ascii="Arial" w:cs="Arial" w:eastAsia="Arial" w:hAnsi="Arial"/>
                <w:sz w:val="23"/>
                <w:szCs w:val="23"/>
                <w:color w:val="auto"/>
                <w:vertAlign w:val="superscript"/>
              </w:rPr>
              <w:t>(2)</w:t>
            </w:r>
          </w:p>
        </w:tc>
        <w:tc>
          <w:tcPr>
            <w:tcW w:w="3180" w:type="dxa"/>
            <w:vAlign w:val="bottom"/>
            <w:shd w:val="clear" w:color="auto" w:fill="EFE9FC"/>
          </w:tcPr>
          <w:p>
            <w:pPr>
              <w:spacing w:after="0"/>
              <w:rPr>
                <w:sz w:val="24"/>
                <w:szCs w:val="24"/>
                <w:color w:val="auto"/>
              </w:rPr>
            </w:pPr>
          </w:p>
        </w:tc>
        <w:tc>
          <w:tcPr>
            <w:tcW w:w="640" w:type="dxa"/>
            <w:vAlign w:val="bottom"/>
            <w:shd w:val="clear" w:color="auto" w:fill="EFE9FC"/>
          </w:tcPr>
          <w:p>
            <w:pPr>
              <w:jc w:val="right"/>
              <w:ind w:right="44"/>
              <w:spacing w:after="0"/>
              <w:rPr>
                <w:sz w:val="20"/>
                <w:szCs w:val="20"/>
                <w:color w:val="auto"/>
              </w:rPr>
            </w:pPr>
            <w:r>
              <w:rPr>
                <w:rFonts w:ascii="Arial" w:cs="Arial" w:eastAsia="Arial" w:hAnsi="Arial"/>
                <w:sz w:val="15"/>
                <w:szCs w:val="15"/>
                <w:color w:val="auto"/>
              </w:rPr>
              <w:t>–</w:t>
            </w:r>
          </w:p>
        </w:tc>
        <w:tc>
          <w:tcPr>
            <w:tcW w:w="880" w:type="dxa"/>
            <w:vAlign w:val="bottom"/>
            <w:shd w:val="clear" w:color="auto" w:fill="EFE9FC"/>
          </w:tcPr>
          <w:p>
            <w:pPr>
              <w:jc w:val="right"/>
              <w:ind w:right="85"/>
              <w:spacing w:after="0"/>
              <w:rPr>
                <w:sz w:val="20"/>
                <w:szCs w:val="20"/>
                <w:color w:val="auto"/>
              </w:rPr>
            </w:pPr>
            <w:r>
              <w:rPr>
                <w:rFonts w:ascii="Arial" w:cs="Arial" w:eastAsia="Arial" w:hAnsi="Arial"/>
                <w:sz w:val="15"/>
                <w:szCs w:val="15"/>
                <w:color w:val="auto"/>
              </w:rPr>
              <w:t>$</w:t>
            </w:r>
          </w:p>
        </w:tc>
        <w:tc>
          <w:tcPr>
            <w:tcW w:w="580" w:type="dxa"/>
            <w:vAlign w:val="bottom"/>
            <w:shd w:val="clear" w:color="auto" w:fill="EFE9FC"/>
          </w:tcPr>
          <w:p>
            <w:pPr>
              <w:jc w:val="right"/>
              <w:spacing w:after="0"/>
              <w:rPr>
                <w:sz w:val="20"/>
                <w:szCs w:val="20"/>
                <w:color w:val="auto"/>
              </w:rPr>
            </w:pPr>
            <w:r>
              <w:rPr>
                <w:rFonts w:ascii="Arial" w:cs="Arial" w:eastAsia="Arial" w:hAnsi="Arial"/>
                <w:sz w:val="15"/>
                <w:szCs w:val="15"/>
                <w:color w:val="auto"/>
              </w:rPr>
              <w:t>18</w:t>
            </w:r>
          </w:p>
        </w:tc>
      </w:tr>
      <w:tr>
        <w:trPr>
          <w:trHeight w:val="256"/>
        </w:trPr>
        <w:tc>
          <w:tcPr>
            <w:tcW w:w="3900" w:type="dxa"/>
            <w:vAlign w:val="bottom"/>
          </w:tcPr>
          <w:p>
            <w:pPr>
              <w:ind w:left="60"/>
              <w:spacing w:after="0" w:line="256" w:lineRule="exact"/>
              <w:rPr>
                <w:sz w:val="20"/>
                <w:szCs w:val="20"/>
                <w:color w:val="auto"/>
              </w:rPr>
            </w:pPr>
            <w:r>
              <w:rPr>
                <w:rFonts w:ascii="Arial" w:cs="Arial" w:eastAsia="Arial" w:hAnsi="Arial"/>
                <w:sz w:val="15"/>
                <w:szCs w:val="15"/>
                <w:color w:val="auto"/>
              </w:rPr>
              <w:t>Tax Fees</w:t>
            </w:r>
            <w:r>
              <w:rPr>
                <w:rFonts w:ascii="Arial" w:cs="Arial" w:eastAsia="Arial" w:hAnsi="Arial"/>
                <w:sz w:val="23"/>
                <w:szCs w:val="23"/>
                <w:color w:val="auto"/>
                <w:vertAlign w:val="superscript"/>
              </w:rPr>
              <w:t>(3)</w:t>
            </w:r>
          </w:p>
        </w:tc>
        <w:tc>
          <w:tcPr>
            <w:tcW w:w="3180" w:type="dxa"/>
            <w:vAlign w:val="bottom"/>
          </w:tcPr>
          <w:p>
            <w:pPr>
              <w:jc w:val="right"/>
              <w:ind w:right="85"/>
              <w:spacing w:after="0"/>
              <w:rPr>
                <w:sz w:val="20"/>
                <w:szCs w:val="20"/>
                <w:color w:val="auto"/>
              </w:rPr>
            </w:pPr>
            <w:r>
              <w:rPr>
                <w:rFonts w:ascii="Arial" w:cs="Arial" w:eastAsia="Arial" w:hAnsi="Arial"/>
                <w:sz w:val="15"/>
                <w:szCs w:val="15"/>
                <w:color w:val="auto"/>
              </w:rPr>
              <w:t>$</w:t>
            </w:r>
          </w:p>
        </w:tc>
        <w:tc>
          <w:tcPr>
            <w:tcW w:w="640" w:type="dxa"/>
            <w:vAlign w:val="bottom"/>
          </w:tcPr>
          <w:p>
            <w:pPr>
              <w:jc w:val="right"/>
              <w:ind w:right="44"/>
              <w:spacing w:after="0"/>
              <w:rPr>
                <w:sz w:val="20"/>
                <w:szCs w:val="20"/>
                <w:color w:val="auto"/>
              </w:rPr>
            </w:pPr>
            <w:r>
              <w:rPr>
                <w:rFonts w:ascii="Arial" w:cs="Arial" w:eastAsia="Arial" w:hAnsi="Arial"/>
                <w:sz w:val="15"/>
                <w:szCs w:val="15"/>
                <w:color w:val="auto"/>
              </w:rPr>
              <w:t>443</w:t>
            </w:r>
          </w:p>
        </w:tc>
        <w:tc>
          <w:tcPr>
            <w:tcW w:w="880" w:type="dxa"/>
            <w:vAlign w:val="bottom"/>
          </w:tcPr>
          <w:p>
            <w:pPr>
              <w:jc w:val="right"/>
              <w:ind w:right="85"/>
              <w:spacing w:after="0"/>
              <w:rPr>
                <w:sz w:val="20"/>
                <w:szCs w:val="20"/>
                <w:color w:val="auto"/>
              </w:rPr>
            </w:pPr>
            <w:r>
              <w:rPr>
                <w:rFonts w:ascii="Arial" w:cs="Arial" w:eastAsia="Arial" w:hAnsi="Arial"/>
                <w:sz w:val="15"/>
                <w:szCs w:val="15"/>
                <w:color w:val="auto"/>
              </w:rPr>
              <w:t>$</w:t>
            </w:r>
          </w:p>
        </w:tc>
        <w:tc>
          <w:tcPr>
            <w:tcW w:w="580" w:type="dxa"/>
            <w:vAlign w:val="bottom"/>
          </w:tcPr>
          <w:p>
            <w:pPr>
              <w:jc w:val="right"/>
              <w:spacing w:after="0"/>
              <w:rPr>
                <w:sz w:val="20"/>
                <w:szCs w:val="20"/>
                <w:color w:val="auto"/>
              </w:rPr>
            </w:pPr>
            <w:r>
              <w:rPr>
                <w:rFonts w:ascii="Arial" w:cs="Arial" w:eastAsia="Arial" w:hAnsi="Arial"/>
                <w:sz w:val="15"/>
                <w:szCs w:val="15"/>
                <w:color w:val="auto"/>
              </w:rPr>
              <w:t>387</w:t>
            </w:r>
          </w:p>
        </w:tc>
      </w:tr>
      <w:tr>
        <w:trPr>
          <w:trHeight w:val="270"/>
        </w:trPr>
        <w:tc>
          <w:tcPr>
            <w:tcW w:w="3900" w:type="dxa"/>
            <w:vAlign w:val="bottom"/>
            <w:tcBorders>
              <w:bottom w:val="single" w:sz="8" w:color="4800E6"/>
            </w:tcBorders>
            <w:shd w:val="clear" w:color="auto" w:fill="EFE9FC"/>
          </w:tcPr>
          <w:p>
            <w:pPr>
              <w:ind w:left="60"/>
              <w:spacing w:after="0"/>
              <w:rPr>
                <w:sz w:val="20"/>
                <w:szCs w:val="20"/>
                <w:color w:val="auto"/>
              </w:rPr>
            </w:pPr>
            <w:r>
              <w:rPr>
                <w:rFonts w:ascii="Arial" w:cs="Arial" w:eastAsia="Arial" w:hAnsi="Arial"/>
                <w:sz w:val="15"/>
                <w:szCs w:val="15"/>
                <w:color w:val="auto"/>
              </w:rPr>
              <w:t>All Other Fees</w:t>
            </w:r>
            <w:r>
              <w:rPr>
                <w:rFonts w:ascii="Arial" w:cs="Arial" w:eastAsia="Arial" w:hAnsi="Arial"/>
                <w:sz w:val="23"/>
                <w:szCs w:val="23"/>
                <w:color w:val="auto"/>
                <w:vertAlign w:val="superscript"/>
              </w:rPr>
              <w:t>(4)</w:t>
            </w:r>
          </w:p>
        </w:tc>
        <w:tc>
          <w:tcPr>
            <w:tcW w:w="3180" w:type="dxa"/>
            <w:vAlign w:val="bottom"/>
            <w:tcBorders>
              <w:bottom w:val="single" w:sz="8" w:color="4800E6"/>
            </w:tcBorders>
            <w:shd w:val="clear" w:color="auto" w:fill="EFE9FC"/>
          </w:tcPr>
          <w:p>
            <w:pPr>
              <w:spacing w:after="0"/>
              <w:rPr>
                <w:sz w:val="23"/>
                <w:szCs w:val="23"/>
                <w:color w:val="auto"/>
              </w:rPr>
            </w:pPr>
          </w:p>
        </w:tc>
        <w:tc>
          <w:tcPr>
            <w:tcW w:w="640" w:type="dxa"/>
            <w:vAlign w:val="bottom"/>
            <w:tcBorders>
              <w:bottom w:val="single" w:sz="8" w:color="4800E6"/>
            </w:tcBorders>
            <w:shd w:val="clear" w:color="auto" w:fill="EFE9FC"/>
          </w:tcPr>
          <w:p>
            <w:pPr>
              <w:jc w:val="right"/>
              <w:ind w:right="44"/>
              <w:spacing w:after="0"/>
              <w:rPr>
                <w:sz w:val="20"/>
                <w:szCs w:val="20"/>
                <w:color w:val="auto"/>
              </w:rPr>
            </w:pPr>
            <w:r>
              <w:rPr>
                <w:rFonts w:ascii="Arial" w:cs="Arial" w:eastAsia="Arial" w:hAnsi="Arial"/>
                <w:sz w:val="15"/>
                <w:szCs w:val="15"/>
                <w:color w:val="auto"/>
              </w:rPr>
              <w:t>1</w:t>
            </w:r>
          </w:p>
        </w:tc>
        <w:tc>
          <w:tcPr>
            <w:tcW w:w="880" w:type="dxa"/>
            <w:vAlign w:val="bottom"/>
            <w:tcBorders>
              <w:bottom w:val="single" w:sz="8" w:color="4800E6"/>
            </w:tcBorders>
            <w:shd w:val="clear" w:color="auto" w:fill="EFE9FC"/>
          </w:tcPr>
          <w:p>
            <w:pPr>
              <w:jc w:val="right"/>
              <w:ind w:right="85"/>
              <w:spacing w:after="0"/>
              <w:rPr>
                <w:sz w:val="20"/>
                <w:szCs w:val="20"/>
                <w:color w:val="auto"/>
              </w:rPr>
            </w:pPr>
            <w:r>
              <w:rPr>
                <w:rFonts w:ascii="Arial" w:cs="Arial" w:eastAsia="Arial" w:hAnsi="Arial"/>
                <w:sz w:val="15"/>
                <w:szCs w:val="15"/>
                <w:color w:val="auto"/>
              </w:rPr>
              <w:t>$</w:t>
            </w:r>
          </w:p>
        </w:tc>
        <w:tc>
          <w:tcPr>
            <w:tcW w:w="580" w:type="dxa"/>
            <w:vAlign w:val="bottom"/>
            <w:tcBorders>
              <w:bottom w:val="single" w:sz="8" w:color="4800E6"/>
            </w:tcBorders>
            <w:shd w:val="clear" w:color="auto" w:fill="EFE9FC"/>
          </w:tcPr>
          <w:p>
            <w:pPr>
              <w:jc w:val="right"/>
              <w:spacing w:after="0"/>
              <w:rPr>
                <w:sz w:val="20"/>
                <w:szCs w:val="20"/>
                <w:color w:val="auto"/>
              </w:rPr>
            </w:pPr>
            <w:r>
              <w:rPr>
                <w:rFonts w:ascii="Arial" w:cs="Arial" w:eastAsia="Arial" w:hAnsi="Arial"/>
                <w:sz w:val="15"/>
                <w:szCs w:val="15"/>
                <w:color w:val="auto"/>
              </w:rPr>
              <w:t>1</w:t>
            </w:r>
          </w:p>
        </w:tc>
      </w:tr>
      <w:tr>
        <w:trPr>
          <w:trHeight w:val="215"/>
        </w:trPr>
        <w:tc>
          <w:tcPr>
            <w:tcW w:w="3900" w:type="dxa"/>
            <w:vAlign w:val="bottom"/>
          </w:tcPr>
          <w:p>
            <w:pPr>
              <w:ind w:left="60"/>
              <w:spacing w:after="0"/>
              <w:rPr>
                <w:sz w:val="20"/>
                <w:szCs w:val="20"/>
                <w:color w:val="auto"/>
              </w:rPr>
            </w:pPr>
            <w:r>
              <w:rPr>
                <w:rFonts w:ascii="Arial" w:cs="Arial" w:eastAsia="Arial" w:hAnsi="Arial"/>
                <w:sz w:val="15"/>
                <w:szCs w:val="15"/>
                <w:b w:val="1"/>
                <w:bCs w:val="1"/>
                <w:color w:val="4800E6"/>
              </w:rPr>
              <w:t>Total</w:t>
            </w:r>
          </w:p>
        </w:tc>
        <w:tc>
          <w:tcPr>
            <w:tcW w:w="3180" w:type="dxa"/>
            <w:vAlign w:val="bottom"/>
          </w:tcPr>
          <w:p>
            <w:pPr>
              <w:jc w:val="right"/>
              <w:ind w:right="85"/>
              <w:spacing w:after="0"/>
              <w:rPr>
                <w:sz w:val="20"/>
                <w:szCs w:val="20"/>
                <w:color w:val="auto"/>
              </w:rPr>
            </w:pPr>
            <w:r>
              <w:rPr>
                <w:rFonts w:ascii="Arial" w:cs="Arial" w:eastAsia="Arial" w:hAnsi="Arial"/>
                <w:sz w:val="15"/>
                <w:szCs w:val="15"/>
                <w:b w:val="1"/>
                <w:bCs w:val="1"/>
                <w:color w:val="4800E6"/>
              </w:rPr>
              <w:t>$</w:t>
            </w:r>
          </w:p>
        </w:tc>
        <w:tc>
          <w:tcPr>
            <w:tcW w:w="640" w:type="dxa"/>
            <w:vAlign w:val="bottom"/>
          </w:tcPr>
          <w:p>
            <w:pPr>
              <w:jc w:val="right"/>
              <w:ind w:right="44"/>
              <w:spacing w:after="0"/>
              <w:rPr>
                <w:sz w:val="20"/>
                <w:szCs w:val="20"/>
                <w:color w:val="auto"/>
              </w:rPr>
            </w:pPr>
            <w:r>
              <w:rPr>
                <w:rFonts w:ascii="Arial" w:cs="Arial" w:eastAsia="Arial" w:hAnsi="Arial"/>
                <w:sz w:val="15"/>
                <w:szCs w:val="15"/>
                <w:b w:val="1"/>
                <w:bCs w:val="1"/>
                <w:color w:val="4800E6"/>
              </w:rPr>
              <w:t>7,954</w:t>
            </w:r>
          </w:p>
        </w:tc>
        <w:tc>
          <w:tcPr>
            <w:tcW w:w="880" w:type="dxa"/>
            <w:vAlign w:val="bottom"/>
          </w:tcPr>
          <w:p>
            <w:pPr>
              <w:jc w:val="right"/>
              <w:ind w:right="85"/>
              <w:spacing w:after="0"/>
              <w:rPr>
                <w:sz w:val="20"/>
                <w:szCs w:val="20"/>
                <w:color w:val="auto"/>
              </w:rPr>
            </w:pPr>
            <w:r>
              <w:rPr>
                <w:rFonts w:ascii="Arial" w:cs="Arial" w:eastAsia="Arial" w:hAnsi="Arial"/>
                <w:sz w:val="15"/>
                <w:szCs w:val="15"/>
                <w:b w:val="1"/>
                <w:bCs w:val="1"/>
                <w:color w:val="4800E6"/>
              </w:rPr>
              <w:t>$</w:t>
            </w:r>
          </w:p>
        </w:tc>
        <w:tc>
          <w:tcPr>
            <w:tcW w:w="580" w:type="dxa"/>
            <w:vAlign w:val="bottom"/>
          </w:tcPr>
          <w:p>
            <w:pPr>
              <w:jc w:val="right"/>
              <w:spacing w:after="0"/>
              <w:rPr>
                <w:sz w:val="20"/>
                <w:szCs w:val="20"/>
                <w:color w:val="auto"/>
              </w:rPr>
            </w:pPr>
            <w:r>
              <w:rPr>
                <w:rFonts w:ascii="Arial" w:cs="Arial" w:eastAsia="Arial" w:hAnsi="Arial"/>
                <w:sz w:val="15"/>
                <w:szCs w:val="15"/>
                <w:b w:val="1"/>
                <w:bCs w:val="1"/>
                <w:color w:val="4800E6"/>
              </w:rPr>
              <w:t>8,680</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485140</wp:posOffset>
            </wp:positionH>
            <wp:positionV relativeFrom="paragraph">
              <wp:posOffset>13970</wp:posOffset>
            </wp:positionV>
            <wp:extent cx="5829300" cy="8255"/>
            <wp:wrapNone/>
            <wp:docPr id="272" name="Picture 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
                    <pic:cNvPicPr>
                      <a:picLocks noChangeAspect="1" noChangeArrowheads="1"/>
                    </pic:cNvPicPr>
                  </pic:nvPicPr>
                  <pic:blipFill>
                    <a:blip r:embed="rId279">
                      <a:extLst>
                        <a:ext uri="{28A0092B-C50C-407E-A947-70E740481C1C}"/>
                      </a:extLst>
                    </a:blip>
                    <a:srcRect/>
                    <a:stretch>
                      <a:fillRect/>
                    </a:stretch>
                  </pic:blipFill>
                  <pic:spPr bwMode="auto">
                    <a:xfrm>
                      <a:off x="0" y="0"/>
                      <a:ext cx="5829300" cy="8255"/>
                    </a:xfrm>
                    <a:prstGeom prst="rect">
                      <a:avLst/>
                    </a:prstGeom>
                    <a:noFill/>
                  </pic:spPr>
                </pic:pic>
              </a:graphicData>
            </a:graphic>
          </wp:anchor>
        </w:drawing>
      </w:r>
    </w:p>
    <w:p>
      <w:pPr>
        <w:spacing w:after="0" w:line="27" w:lineRule="exact"/>
        <w:rPr>
          <w:sz w:val="20"/>
          <w:szCs w:val="20"/>
          <w:color w:val="auto"/>
        </w:rPr>
      </w:pPr>
    </w:p>
    <w:p>
      <w:pPr>
        <w:jc w:val="both"/>
        <w:ind w:left="980" w:right="660" w:hanging="216"/>
        <w:spacing w:after="0" w:line="253" w:lineRule="auto"/>
        <w:tabs>
          <w:tab w:leader="none" w:pos="980" w:val="left"/>
        </w:tabs>
        <w:numPr>
          <w:ilvl w:val="0"/>
          <w:numId w:val="83"/>
        </w:numPr>
        <w:rPr>
          <w:rFonts w:ascii="Arial" w:cs="Arial" w:eastAsia="Arial" w:hAnsi="Arial"/>
          <w:sz w:val="13"/>
          <w:szCs w:val="13"/>
          <w:i w:val="1"/>
          <w:iCs w:val="1"/>
          <w:color w:val="auto"/>
        </w:rPr>
      </w:pPr>
      <w:r>
        <w:rPr>
          <w:rFonts w:ascii="Arial" w:cs="Arial" w:eastAsia="Arial" w:hAnsi="Arial"/>
          <w:sz w:val="13"/>
          <w:szCs w:val="13"/>
          <w:i w:val="1"/>
          <w:iCs w:val="1"/>
          <w:color w:val="auto"/>
        </w:rPr>
        <w:t>Audit Fees are fees we paid to PwC for professional services related to the audit of our annual financial statements and the review of our quarterly financial statements, and for services that are normally provided by the firm in connection with US or international statutory and regulatory filings or engagements.</w:t>
      </w:r>
    </w:p>
    <w:p>
      <w:pPr>
        <w:ind w:left="980" w:right="380" w:hanging="216"/>
        <w:spacing w:after="0" w:line="260" w:lineRule="auto"/>
        <w:tabs>
          <w:tab w:leader="none" w:pos="980" w:val="left"/>
        </w:tabs>
        <w:numPr>
          <w:ilvl w:val="0"/>
          <w:numId w:val="83"/>
        </w:numPr>
        <w:rPr>
          <w:rFonts w:ascii="Arial" w:cs="Arial" w:eastAsia="Arial" w:hAnsi="Arial"/>
          <w:sz w:val="13"/>
          <w:szCs w:val="13"/>
          <w:i w:val="1"/>
          <w:iCs w:val="1"/>
          <w:color w:val="auto"/>
        </w:rPr>
      </w:pPr>
      <w:r>
        <w:rPr>
          <w:rFonts w:ascii="Arial" w:cs="Arial" w:eastAsia="Arial" w:hAnsi="Arial"/>
          <w:sz w:val="13"/>
          <w:szCs w:val="13"/>
          <w:i w:val="1"/>
          <w:iCs w:val="1"/>
          <w:color w:val="auto"/>
        </w:rPr>
        <w:t>Audit-Related Fees consist of aggregate fees to PwC for assurance services, other than those included in Audit Fees, related to the sale of our Cardiac Rhythm Management Business Franchise.</w:t>
      </w:r>
    </w:p>
    <w:p>
      <w:pPr>
        <w:ind w:left="980" w:hanging="216"/>
        <w:spacing w:after="0"/>
        <w:tabs>
          <w:tab w:leader="none" w:pos="980" w:val="left"/>
        </w:tabs>
        <w:numPr>
          <w:ilvl w:val="0"/>
          <w:numId w:val="83"/>
        </w:numPr>
        <w:rPr>
          <w:rFonts w:ascii="Arial" w:cs="Arial" w:eastAsia="Arial" w:hAnsi="Arial"/>
          <w:sz w:val="13"/>
          <w:szCs w:val="13"/>
          <w:i w:val="1"/>
          <w:iCs w:val="1"/>
          <w:color w:val="auto"/>
        </w:rPr>
      </w:pPr>
      <w:r>
        <w:rPr>
          <w:rFonts w:ascii="Arial" w:cs="Arial" w:eastAsia="Arial" w:hAnsi="Arial"/>
          <w:sz w:val="13"/>
          <w:szCs w:val="13"/>
          <w:i w:val="1"/>
          <w:iCs w:val="1"/>
          <w:color w:val="auto"/>
        </w:rPr>
        <w:t>Tax Fees include applicable fees paid to PwC for tax services, including tax compliance and tax advice.</w:t>
      </w:r>
    </w:p>
    <w:p>
      <w:pPr>
        <w:spacing w:after="0" w:line="26" w:lineRule="exact"/>
        <w:rPr>
          <w:rFonts w:ascii="Arial" w:cs="Arial" w:eastAsia="Arial" w:hAnsi="Arial"/>
          <w:sz w:val="13"/>
          <w:szCs w:val="13"/>
          <w:i w:val="1"/>
          <w:iCs w:val="1"/>
          <w:color w:val="auto"/>
        </w:rPr>
      </w:pPr>
    </w:p>
    <w:p>
      <w:pPr>
        <w:ind w:left="980" w:hanging="216"/>
        <w:spacing w:after="0"/>
        <w:tabs>
          <w:tab w:leader="none" w:pos="980" w:val="left"/>
        </w:tabs>
        <w:numPr>
          <w:ilvl w:val="0"/>
          <w:numId w:val="83"/>
        </w:numPr>
        <w:rPr>
          <w:rFonts w:ascii="Arial" w:cs="Arial" w:eastAsia="Arial" w:hAnsi="Arial"/>
          <w:sz w:val="13"/>
          <w:szCs w:val="13"/>
          <w:i w:val="1"/>
          <w:iCs w:val="1"/>
          <w:color w:val="auto"/>
        </w:rPr>
      </w:pPr>
      <w:r>
        <w:rPr>
          <w:rFonts w:ascii="Arial" w:cs="Arial" w:eastAsia="Arial" w:hAnsi="Arial"/>
          <w:sz w:val="13"/>
          <w:szCs w:val="13"/>
          <w:i w:val="1"/>
          <w:iCs w:val="1"/>
          <w:color w:val="auto"/>
        </w:rPr>
        <w:t>All Other Fees in 2019 and 2018 are for fees for disclosure checklist access.</w:t>
      </w:r>
    </w:p>
    <w:p>
      <w:pPr>
        <w:sectPr>
          <w:pgSz w:w="11900" w:h="16838" w:orient="portrait"/>
          <w:cols w:equalWidth="0" w:num="1">
            <w:col w:w="10180"/>
          </w:cols>
          <w:pgMar w:left="320" w:top="132" w:right="139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ind w:left="4340"/>
        <w:spacing w:after="0"/>
        <w:tabs>
          <w:tab w:leader="none" w:pos="10000" w:val="left"/>
        </w:tabs>
        <w:rPr>
          <w:sz w:val="20"/>
          <w:szCs w:val="20"/>
          <w:color w:val="auto"/>
        </w:rPr>
      </w:pPr>
      <w:r>
        <w:rPr>
          <w:rFonts w:ascii="Arial" w:cs="Arial" w:eastAsia="Arial" w:hAnsi="Arial"/>
          <w:sz w:val="13"/>
          <w:szCs w:val="13"/>
          <w:b w:val="1"/>
          <w:bCs w:val="1"/>
          <w:color w:val="4800E6"/>
        </w:rPr>
        <w:t xml:space="preserve">LIVANOVA </w:t>
      </w:r>
      <w:r>
        <w:rPr>
          <w:rFonts w:ascii="Arial" w:cs="Arial" w:eastAsia="Arial" w:hAnsi="Arial"/>
          <w:sz w:val="13"/>
          <w:szCs w:val="13"/>
          <w:color w:val="000000"/>
        </w:rPr>
        <w:t>|</w:t>
      </w:r>
      <w:r>
        <w:rPr>
          <w:rFonts w:ascii="Arial" w:cs="Arial" w:eastAsia="Arial" w:hAnsi="Arial"/>
          <w:sz w:val="13"/>
          <w:szCs w:val="13"/>
          <w:b w:val="1"/>
          <w:bCs w:val="1"/>
          <w:color w:val="4800E6"/>
        </w:rPr>
        <w:t xml:space="preserve"> </w:t>
      </w:r>
      <w:r>
        <w:rPr>
          <w:rFonts w:ascii="Arial" w:cs="Arial" w:eastAsia="Arial" w:hAnsi="Arial"/>
          <w:sz w:val="13"/>
          <w:szCs w:val="13"/>
          <w:color w:val="4800E6"/>
        </w:rPr>
        <w:t>2020</w:t>
      </w:r>
      <w:r>
        <w:rPr>
          <w:rFonts w:ascii="Arial" w:cs="Arial" w:eastAsia="Arial" w:hAnsi="Arial"/>
          <w:sz w:val="13"/>
          <w:szCs w:val="13"/>
          <w:b w:val="1"/>
          <w:bCs w:val="1"/>
          <w:color w:val="4800E6"/>
        </w:rPr>
        <w:t xml:space="preserve"> </w:t>
      </w:r>
      <w:r>
        <w:rPr>
          <w:rFonts w:ascii="Arial" w:cs="Arial" w:eastAsia="Arial" w:hAnsi="Arial"/>
          <w:sz w:val="13"/>
          <w:szCs w:val="13"/>
          <w:color w:val="000000"/>
        </w:rPr>
        <w:t>Proxy Statement</w:t>
      </w:r>
      <w:r>
        <w:rPr>
          <w:sz w:val="20"/>
          <w:szCs w:val="20"/>
          <w:color w:val="auto"/>
        </w:rPr>
        <w:tab/>
      </w:r>
      <w:r>
        <w:rPr>
          <w:rFonts w:ascii="Arial" w:cs="Arial" w:eastAsia="Arial" w:hAnsi="Arial"/>
          <w:sz w:val="21"/>
          <w:szCs w:val="21"/>
          <w:b w:val="1"/>
          <w:bCs w:val="1"/>
          <w:color w:val="auto"/>
          <w:vertAlign w:val="subscript"/>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519430</wp:posOffset>
            </wp:positionH>
            <wp:positionV relativeFrom="paragraph">
              <wp:posOffset>47625</wp:posOffset>
            </wp:positionV>
            <wp:extent cx="1954530" cy="8890"/>
            <wp:wrapNone/>
            <wp:docPr id="273" name="Picture 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3"/>
                    <pic:cNvPicPr>
                      <a:picLocks noChangeAspect="1" noChangeArrowheads="1"/>
                    </pic:cNvPicPr>
                  </pic:nvPicPr>
                  <pic:blipFill>
                    <a:blip r:embed="rId280">
                      <a:extLst>
                        <a:ext uri="{28A0092B-C50C-407E-A947-70E740481C1C}"/>
                      </a:extLst>
                    </a:blip>
                    <a:srcRect/>
                    <a:stretch>
                      <a:fillRect/>
                    </a:stretch>
                  </pic:blipFill>
                  <pic:spPr bwMode="auto">
                    <a:xfrm>
                      <a:off x="0" y="0"/>
                      <a:ext cx="1954530" cy="8890"/>
                    </a:xfrm>
                    <a:prstGeom prst="rect">
                      <a:avLst/>
                    </a:prstGeom>
                    <a:noFill/>
                  </pic:spPr>
                </pic:pic>
              </a:graphicData>
            </a:graphic>
          </wp:anchor>
        </w:drawing>
        <w:drawing>
          <wp:anchor simplePos="0" relativeHeight="251657728" behindDoc="1" locked="0" layoutInCell="0" allowOverlap="1">
            <wp:simplePos x="0" y="0"/>
            <wp:positionH relativeFrom="column">
              <wp:posOffset>4257040</wp:posOffset>
            </wp:positionH>
            <wp:positionV relativeFrom="paragraph">
              <wp:posOffset>47625</wp:posOffset>
            </wp:positionV>
            <wp:extent cx="1954530" cy="8890"/>
            <wp:wrapNone/>
            <wp:docPr id="274" name="Picture 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4"/>
                    <pic:cNvPicPr>
                      <a:picLocks noChangeAspect="1" noChangeArrowheads="1"/>
                    </pic:cNvPicPr>
                  </pic:nvPicPr>
                  <pic:blipFill>
                    <a:blip r:embed="rId281">
                      <a:extLst>
                        <a:ext uri="{28A0092B-C50C-407E-A947-70E740481C1C}"/>
                      </a:extLst>
                    </a:blip>
                    <a:srcRect/>
                    <a:stretch>
                      <a:fillRect/>
                    </a:stretch>
                  </pic:blipFill>
                  <pic:spPr bwMode="auto">
                    <a:xfrm>
                      <a:off x="0" y="0"/>
                      <a:ext cx="195453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184785</wp:posOffset>
            </wp:positionV>
            <wp:extent cx="6806565" cy="17145"/>
            <wp:wrapNone/>
            <wp:docPr id="275" name="Picture 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5"/>
                    <pic:cNvPicPr>
                      <a:picLocks noChangeAspect="1" noChangeArrowheads="1"/>
                    </pic:cNvPicPr>
                  </pic:nvPicPr>
                  <pic:blipFill>
                    <a:blip r:embed="rId282">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10180"/>
          </w:cols>
          <w:pgMar w:left="320" w:top="132" w:right="1399" w:bottom="1440" w:gutter="0" w:footer="0" w:header="0"/>
          <w:type w:val="continuous"/>
        </w:sectPr>
      </w:pPr>
    </w:p>
    <w:bookmarkStart w:id="56" w:name="page57"/>
    <w:bookmarkEnd w:id="56"/>
    <w:p>
      <w:pPr>
        <w:spacing w:after="0"/>
        <w:rPr>
          <w:rFonts w:ascii="Arial" w:cs="Arial" w:eastAsia="Arial" w:hAnsi="Arial"/>
          <w:sz w:val="14"/>
          <w:szCs w:val="14"/>
          <w:color w:val="003366"/>
        </w:rPr>
      </w:pPr>
      <w:hyperlink w:anchor="page5">
        <w:r>
          <w:rPr>
            <w:rFonts w:ascii="Arial" w:cs="Arial" w:eastAsia="Arial" w:hAnsi="Arial"/>
            <w:sz w:val="14"/>
            <w:szCs w:val="14"/>
            <w:color w:val="003366"/>
          </w:rPr>
          <w:t>TABLE OF CONTENTS</w:t>
        </w:r>
      </w:hyperlink>
    </w:p>
    <w:p>
      <w:pPr>
        <w:spacing w:after="0" w:line="338" w:lineRule="exact"/>
        <w:rPr>
          <w:sz w:val="20"/>
          <w:szCs w:val="20"/>
          <w:color w:val="auto"/>
        </w:rPr>
      </w:pPr>
    </w:p>
    <w:p>
      <w:pPr>
        <w:ind w:left="760"/>
        <w:spacing w:after="0"/>
        <w:rPr>
          <w:sz w:val="20"/>
          <w:szCs w:val="20"/>
          <w:color w:val="auto"/>
        </w:rPr>
      </w:pPr>
      <w:r>
        <w:rPr>
          <w:rFonts w:ascii="Arial" w:cs="Arial" w:eastAsia="Arial" w:hAnsi="Arial"/>
          <w:sz w:val="13"/>
          <w:szCs w:val="13"/>
          <w:b w:val="1"/>
          <w:bCs w:val="1"/>
          <w:color w:val="auto"/>
        </w:rPr>
        <w:t>Audit Matters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485140</wp:posOffset>
            </wp:positionH>
            <wp:positionV relativeFrom="paragraph">
              <wp:posOffset>30480</wp:posOffset>
            </wp:positionV>
            <wp:extent cx="5829300" cy="8255"/>
            <wp:wrapNone/>
            <wp:docPr id="276" name="Picture 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6"/>
                    <pic:cNvPicPr>
                      <a:picLocks noChangeAspect="1" noChangeArrowheads="1"/>
                    </pic:cNvPicPr>
                  </pic:nvPicPr>
                  <pic:blipFill>
                    <a:blip r:embed="rId283">
                      <a:extLst>
                        <a:ext uri="{28A0092B-C50C-407E-A947-70E740481C1C}"/>
                      </a:extLst>
                    </a:blip>
                    <a:srcRect/>
                    <a:stretch>
                      <a:fillRect/>
                    </a:stretch>
                  </pic:blipFill>
                  <pic:spPr bwMode="auto">
                    <a:xfrm>
                      <a:off x="0" y="0"/>
                      <a:ext cx="5829300" cy="8255"/>
                    </a:xfrm>
                    <a:prstGeom prst="rect">
                      <a:avLst/>
                    </a:prstGeom>
                    <a:noFill/>
                  </pic:spPr>
                </pic:pic>
              </a:graphicData>
            </a:graphic>
          </wp:anchor>
        </w:drawing>
      </w:r>
    </w:p>
    <w:p>
      <w:pPr>
        <w:spacing w:after="0" w:line="60" w:lineRule="exact"/>
        <w:rPr>
          <w:sz w:val="20"/>
          <w:szCs w:val="20"/>
          <w:color w:val="auto"/>
        </w:rPr>
      </w:pPr>
    </w:p>
    <w:p>
      <w:pPr>
        <w:ind w:left="760"/>
        <w:spacing w:after="0"/>
        <w:rPr>
          <w:sz w:val="20"/>
          <w:szCs w:val="20"/>
          <w:color w:val="auto"/>
        </w:rPr>
      </w:pPr>
      <w:r>
        <w:rPr>
          <w:rFonts w:ascii="Arial" w:cs="Arial" w:eastAsia="Arial" w:hAnsi="Arial"/>
          <w:sz w:val="13"/>
          <w:szCs w:val="13"/>
          <w:b w:val="1"/>
          <w:bCs w:val="1"/>
          <w:color w:val="4800E6"/>
        </w:rPr>
        <w:t>Pre-Approval Policies and Procedures</w:t>
      </w:r>
    </w:p>
    <w:p>
      <w:pPr>
        <w:spacing w:after="0" w:line="200" w:lineRule="exact"/>
        <w:rPr>
          <w:sz w:val="20"/>
          <w:szCs w:val="20"/>
          <w:color w:val="auto"/>
        </w:rPr>
      </w:pPr>
    </w:p>
    <w:p>
      <w:pPr>
        <w:spacing w:after="0" w:line="387" w:lineRule="exact"/>
        <w:rPr>
          <w:sz w:val="20"/>
          <w:szCs w:val="20"/>
          <w:color w:val="auto"/>
        </w:rPr>
      </w:pPr>
    </w:p>
    <w:p>
      <w:pPr>
        <w:ind w:left="760"/>
        <w:spacing w:after="0"/>
        <w:rPr>
          <w:sz w:val="20"/>
          <w:szCs w:val="20"/>
          <w:color w:val="auto"/>
        </w:rPr>
      </w:pPr>
      <w:r>
        <w:rPr>
          <w:rFonts w:ascii="Arial" w:cs="Arial" w:eastAsia="Arial" w:hAnsi="Arial"/>
          <w:sz w:val="31"/>
          <w:szCs w:val="31"/>
          <w:b w:val="1"/>
          <w:bCs w:val="1"/>
          <w:color w:val="4800E6"/>
        </w:rPr>
        <w:t>Pre-Approval Policies and Procedures</w:t>
      </w:r>
    </w:p>
    <w:p>
      <w:pPr>
        <w:spacing w:after="0" w:line="146" w:lineRule="exact"/>
        <w:rPr>
          <w:sz w:val="20"/>
          <w:szCs w:val="20"/>
          <w:color w:val="auto"/>
        </w:rPr>
      </w:pPr>
    </w:p>
    <w:p>
      <w:pPr>
        <w:ind w:left="760" w:right="199"/>
        <w:spacing w:after="0" w:line="248" w:lineRule="auto"/>
        <w:rPr>
          <w:sz w:val="20"/>
          <w:szCs w:val="20"/>
          <w:color w:val="auto"/>
        </w:rPr>
      </w:pPr>
      <w:r>
        <w:rPr>
          <w:rFonts w:ascii="Arial" w:cs="Arial" w:eastAsia="Arial" w:hAnsi="Arial"/>
          <w:sz w:val="16"/>
          <w:szCs w:val="16"/>
          <w:color w:val="auto"/>
        </w:rPr>
        <w:t>The Audit and Compliance Committee has established an auditor independence policy that addresses the hiring of former employees of the Company’s auditors as well as the provision by the auditors of audit and non-audit services. The policy sets out certain non-audit services that are prohibited at all times as well as a separate list of services that may be permitted if approved by the Audit and Compliance Committee, subject to certain caps (expressed as a percentage of the average of all fees paid to the auditor in each of the prior three years). The committee may approve non-audit services in excess of this cap only if it concludes that the auditor is, or a reasonable investor with knowledge of all relevant facts and circumstances would conclude that the auditor is, capable of exercising objective and impartial judgment on all issues encompassed within the auditor’s engagement. In this same policy, the committee also delegated approval authority to the committee’s chair (or by resolution to any other member of the committee) to approve any one or more individual audit or permitted non-audit services for which estimated fees do not exceed $100,000. In such cases, the committee chair reports such approvals at the next scheduled meeting of the committee.</w:t>
      </w:r>
    </w:p>
    <w:p>
      <w:pPr>
        <w:sectPr>
          <w:pgSz w:w="11900" w:h="16838" w:orient="portrait"/>
          <w:cols w:equalWidth="0" w:num="1">
            <w:col w:w="10139"/>
          </w:cols>
          <w:pgMar w:left="320" w:top="132"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4" w:lineRule="exact"/>
        <w:rPr>
          <w:sz w:val="20"/>
          <w:szCs w:val="20"/>
          <w:color w:val="auto"/>
        </w:rPr>
      </w:pPr>
    </w:p>
    <w:p>
      <w:pPr>
        <w:ind w:left="480"/>
        <w:spacing w:after="0"/>
        <w:tabs>
          <w:tab w:leader="none" w:pos="4400" w:val="left"/>
          <w:tab w:leader="none" w:pos="8760" w:val="left"/>
        </w:tabs>
        <w:rPr>
          <w:sz w:val="20"/>
          <w:szCs w:val="20"/>
          <w:color w:val="auto"/>
        </w:rPr>
      </w:pPr>
      <w:r>
        <w:rPr>
          <w:rFonts w:ascii="Arial" w:cs="Arial" w:eastAsia="Arial" w:hAnsi="Arial"/>
          <w:sz w:val="29"/>
          <w:szCs w:val="29"/>
          <w:b w:val="1"/>
          <w:bCs w:val="1"/>
          <w:color w:val="auto"/>
          <w:vertAlign w:val="subscript"/>
        </w:rPr>
        <w:t>53</w:t>
      </w:r>
      <w:r>
        <w:rPr>
          <w:sz w:val="20"/>
          <w:szCs w:val="20"/>
          <w:color w:val="auto"/>
        </w:rPr>
        <w:tab/>
      </w:r>
      <w:r>
        <w:rPr>
          <w:rFonts w:ascii="Arial" w:cs="Arial" w:eastAsia="Arial" w:hAnsi="Arial"/>
          <w:sz w:val="13"/>
          <w:szCs w:val="13"/>
          <w:b w:val="1"/>
          <w:bCs w:val="1"/>
          <w:color w:val="4800E6"/>
        </w:rPr>
        <w:t xml:space="preserve">LIVANOVA </w:t>
      </w:r>
      <w:r>
        <w:rPr>
          <w:rFonts w:ascii="Arial" w:cs="Arial" w:eastAsia="Arial" w:hAnsi="Arial"/>
          <w:sz w:val="13"/>
          <w:szCs w:val="13"/>
          <w:color w:val="000000"/>
        </w:rPr>
        <w:t>|</w:t>
      </w:r>
      <w:r>
        <w:rPr>
          <w:rFonts w:ascii="Arial" w:cs="Arial" w:eastAsia="Arial" w:hAnsi="Arial"/>
          <w:sz w:val="13"/>
          <w:szCs w:val="13"/>
          <w:b w:val="1"/>
          <w:bCs w:val="1"/>
          <w:color w:val="4800E6"/>
        </w:rPr>
        <w:t xml:space="preserve"> </w:t>
      </w:r>
      <w:r>
        <w:rPr>
          <w:rFonts w:ascii="Arial" w:cs="Arial" w:eastAsia="Arial" w:hAnsi="Arial"/>
          <w:sz w:val="13"/>
          <w:szCs w:val="13"/>
          <w:color w:val="4800E6"/>
        </w:rPr>
        <w:t>2020</w:t>
      </w:r>
      <w:r>
        <w:rPr>
          <w:rFonts w:ascii="Arial" w:cs="Arial" w:eastAsia="Arial" w:hAnsi="Arial"/>
          <w:sz w:val="13"/>
          <w:szCs w:val="13"/>
          <w:b w:val="1"/>
          <w:bCs w:val="1"/>
          <w:color w:val="4800E6"/>
        </w:rPr>
        <w:t xml:space="preserve"> </w:t>
      </w:r>
      <w:r>
        <w:rPr>
          <w:rFonts w:ascii="Arial" w:cs="Arial" w:eastAsia="Arial" w:hAnsi="Arial"/>
          <w:sz w:val="13"/>
          <w:szCs w:val="13"/>
          <w:color w:val="000000"/>
        </w:rPr>
        <w:t>Proxy Statement</w:t>
      </w:r>
      <w:r>
        <w:rPr>
          <w:sz w:val="20"/>
          <w:szCs w:val="20"/>
          <w:color w:val="auto"/>
        </w:rPr>
        <w:tab/>
      </w:r>
      <w:r>
        <w:rPr>
          <w:rFonts w:ascii="Arial" w:cs="Arial" w:eastAsia="Arial" w:hAnsi="Arial"/>
          <w:sz w:val="12"/>
          <w:szCs w:val="12"/>
          <w:b w:val="1"/>
          <w:bCs w:val="1"/>
          <w:color w:val="4800E6"/>
        </w:rPr>
        <w:t>www.livanova.com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561975</wp:posOffset>
            </wp:positionH>
            <wp:positionV relativeFrom="paragraph">
              <wp:posOffset>94615</wp:posOffset>
            </wp:positionV>
            <wp:extent cx="1954530" cy="8890"/>
            <wp:wrapNone/>
            <wp:docPr id="277" name="Picture 2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7"/>
                    <pic:cNvPicPr>
                      <a:picLocks noChangeAspect="1" noChangeArrowheads="1"/>
                    </pic:cNvPicPr>
                  </pic:nvPicPr>
                  <pic:blipFill>
                    <a:blip r:embed="rId284">
                      <a:extLst>
                        <a:ext uri="{28A0092B-C50C-407E-A947-70E740481C1C}"/>
                      </a:extLst>
                    </a:blip>
                    <a:srcRect/>
                    <a:stretch>
                      <a:fillRect/>
                    </a:stretch>
                  </pic:blipFill>
                  <pic:spPr bwMode="auto">
                    <a:xfrm>
                      <a:off x="0" y="0"/>
                      <a:ext cx="1954530" cy="8890"/>
                    </a:xfrm>
                    <a:prstGeom prst="rect">
                      <a:avLst/>
                    </a:prstGeom>
                    <a:noFill/>
                  </pic:spPr>
                </pic:pic>
              </a:graphicData>
            </a:graphic>
          </wp:anchor>
        </w:drawing>
        <w:drawing>
          <wp:anchor simplePos="0" relativeHeight="251657728" behindDoc="1" locked="0" layoutInCell="0" allowOverlap="1">
            <wp:simplePos x="0" y="0"/>
            <wp:positionH relativeFrom="column">
              <wp:posOffset>4316730</wp:posOffset>
            </wp:positionH>
            <wp:positionV relativeFrom="paragraph">
              <wp:posOffset>94615</wp:posOffset>
            </wp:positionV>
            <wp:extent cx="1028700" cy="8890"/>
            <wp:wrapNone/>
            <wp:docPr id="278" name="Picture 2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8"/>
                    <pic:cNvPicPr>
                      <a:picLocks noChangeAspect="1" noChangeArrowheads="1"/>
                    </pic:cNvPicPr>
                  </pic:nvPicPr>
                  <pic:blipFill>
                    <a:blip r:embed="rId285">
                      <a:extLst>
                        <a:ext uri="{28A0092B-C50C-407E-A947-70E740481C1C}"/>
                      </a:extLst>
                    </a:blip>
                    <a:srcRect/>
                    <a:stretch>
                      <a:fillRect/>
                    </a:stretch>
                  </pic:blipFill>
                  <pic:spPr bwMode="auto">
                    <a:xfrm>
                      <a:off x="0" y="0"/>
                      <a:ext cx="102870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231775</wp:posOffset>
            </wp:positionV>
            <wp:extent cx="6806565" cy="17145"/>
            <wp:wrapNone/>
            <wp:docPr id="279" name="Picture 2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9"/>
                    <pic:cNvPicPr>
                      <a:picLocks noChangeAspect="1" noChangeArrowheads="1"/>
                    </pic:cNvPicPr>
                  </pic:nvPicPr>
                  <pic:blipFill>
                    <a:blip r:embed="rId286">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10139"/>
          </w:cols>
          <w:pgMar w:left="320" w:top="132" w:right="1440" w:bottom="1440" w:gutter="0" w:footer="0" w:header="0"/>
          <w:type w:val="continuous"/>
        </w:sectPr>
      </w:pPr>
    </w:p>
    <w:bookmarkStart w:id="57" w:name="page58"/>
    <w:bookmarkEnd w:id="57"/>
    <w:p>
      <w:pPr>
        <w:spacing w:after="0"/>
        <w:rPr>
          <w:rFonts w:ascii="Arial" w:cs="Arial" w:eastAsia="Arial" w:hAnsi="Arial"/>
          <w:sz w:val="14"/>
          <w:szCs w:val="14"/>
          <w:color w:val="003366"/>
        </w:rPr>
      </w:pPr>
      <w:hyperlink w:anchor="page5">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ind w:left="760" w:right="280"/>
        <w:spacing w:after="0" w:line="257" w:lineRule="auto"/>
        <w:rPr>
          <w:sz w:val="20"/>
          <w:szCs w:val="20"/>
          <w:color w:val="auto"/>
        </w:rPr>
      </w:pPr>
      <w:r>
        <w:rPr>
          <w:rFonts w:ascii="Arial" w:cs="Arial" w:eastAsia="Arial" w:hAnsi="Arial"/>
          <w:sz w:val="47"/>
          <w:szCs w:val="47"/>
          <w:b w:val="1"/>
          <w:bCs w:val="1"/>
          <w:color w:val="4800E6"/>
        </w:rPr>
        <w:t xml:space="preserve">Proposal No. 3 </w:t>
      </w:r>
      <w:r>
        <w:rPr>
          <w:rFonts w:ascii="Arial" w:cs="Arial" w:eastAsia="Arial" w:hAnsi="Arial"/>
          <w:sz w:val="47"/>
          <w:szCs w:val="47"/>
          <w:b w:val="1"/>
          <w:bCs w:val="1"/>
          <w:color w:val="666666"/>
        </w:rPr>
        <w:t>Ratification of the</w:t>
      </w:r>
      <w:r>
        <w:rPr>
          <w:rFonts w:ascii="Arial" w:cs="Arial" w:eastAsia="Arial" w:hAnsi="Arial"/>
          <w:sz w:val="47"/>
          <w:szCs w:val="47"/>
          <w:b w:val="1"/>
          <w:bCs w:val="1"/>
          <w:color w:val="4800E6"/>
        </w:rPr>
        <w:t xml:space="preserve"> </w:t>
      </w:r>
      <w:r>
        <w:rPr>
          <w:rFonts w:ascii="Arial" w:cs="Arial" w:eastAsia="Arial" w:hAnsi="Arial"/>
          <w:sz w:val="47"/>
          <w:szCs w:val="47"/>
          <w:b w:val="1"/>
          <w:bCs w:val="1"/>
          <w:color w:val="666666"/>
        </w:rPr>
        <w:t>Appointment of PwC USA as the Company’s independent registered public accounting firm</w:t>
      </w:r>
    </w:p>
    <w:p>
      <w:pPr>
        <w:spacing w:after="0" w:line="45" w:lineRule="exact"/>
        <w:rPr>
          <w:sz w:val="20"/>
          <w:szCs w:val="20"/>
          <w:color w:val="auto"/>
        </w:rPr>
      </w:pPr>
    </w:p>
    <w:p>
      <w:pPr>
        <w:ind w:left="760" w:right="360"/>
        <w:spacing w:after="0" w:line="251" w:lineRule="auto"/>
        <w:rPr>
          <w:sz w:val="20"/>
          <w:szCs w:val="20"/>
          <w:color w:val="auto"/>
        </w:rPr>
      </w:pPr>
      <w:r>
        <w:rPr>
          <w:rFonts w:ascii="Arial" w:cs="Arial" w:eastAsia="Arial" w:hAnsi="Arial"/>
          <w:sz w:val="16"/>
          <w:szCs w:val="16"/>
          <w:color w:val="auto"/>
        </w:rPr>
        <w:t>The Audit and Compliance Committee has appointed PwC USA as our independent registered public accounting firm for the year ending December 31, 2020, subject to ratification by our shareholders. Although the ratification of this appointment is not required to be submitted to a vote of the shareholders, the Board believes it appropriate as a matter of policy to request that the shareholders ratify the appointment of the registered public accounting firm for the year ending December 31, 2020.</w:t>
      </w:r>
    </w:p>
    <w:p>
      <w:pPr>
        <w:spacing w:after="0" w:line="81" w:lineRule="exact"/>
        <w:rPr>
          <w:sz w:val="20"/>
          <w:szCs w:val="20"/>
          <w:color w:val="auto"/>
        </w:rPr>
      </w:pPr>
    </w:p>
    <w:p>
      <w:pPr>
        <w:ind w:left="760" w:right="280"/>
        <w:spacing w:after="0" w:line="253" w:lineRule="auto"/>
        <w:rPr>
          <w:sz w:val="20"/>
          <w:szCs w:val="20"/>
          <w:color w:val="auto"/>
        </w:rPr>
      </w:pPr>
      <w:r>
        <w:rPr>
          <w:rFonts w:ascii="Arial" w:cs="Arial" w:eastAsia="Arial" w:hAnsi="Arial"/>
          <w:sz w:val="16"/>
          <w:szCs w:val="16"/>
          <w:color w:val="auto"/>
        </w:rPr>
        <w:t>We anticipate that a representative of PwC USA or an affiliated member firm will be present at the AGM. The representative will be given the opportunity to make a statement if he or she desires to do so, and is expected to be available to respond to any appropriate questions that may be submitted by shareholders at the AGM.</w:t>
      </w:r>
    </w:p>
    <w:p>
      <w:pPr>
        <w:spacing w:after="0" w:line="374" w:lineRule="exact"/>
        <w:rPr>
          <w:sz w:val="20"/>
          <w:szCs w:val="20"/>
          <w:color w:val="auto"/>
        </w:rPr>
      </w:pPr>
    </w:p>
    <w:p>
      <w:pPr>
        <w:ind w:left="760"/>
        <w:spacing w:after="0"/>
        <w:rPr>
          <w:sz w:val="20"/>
          <w:szCs w:val="20"/>
          <w:color w:val="auto"/>
        </w:rPr>
      </w:pPr>
      <w:r>
        <w:rPr>
          <w:rFonts w:ascii="Arial" w:cs="Arial" w:eastAsia="Arial" w:hAnsi="Arial"/>
          <w:sz w:val="31"/>
          <w:szCs w:val="31"/>
          <w:b w:val="1"/>
          <w:bCs w:val="1"/>
          <w:color w:val="4800E6"/>
        </w:rPr>
        <w:t>Vote Required</w:t>
      </w:r>
    </w:p>
    <w:p>
      <w:pPr>
        <w:spacing w:after="0" w:line="132" w:lineRule="exact"/>
        <w:rPr>
          <w:sz w:val="20"/>
          <w:szCs w:val="20"/>
          <w:color w:val="auto"/>
        </w:rPr>
      </w:pPr>
    </w:p>
    <w:p>
      <w:pPr>
        <w:ind w:left="760" w:right="420"/>
        <w:spacing w:after="0" w:line="251" w:lineRule="auto"/>
        <w:rPr>
          <w:sz w:val="20"/>
          <w:szCs w:val="20"/>
          <w:color w:val="auto"/>
        </w:rPr>
      </w:pPr>
      <w:r>
        <w:rPr>
          <w:rFonts w:ascii="Arial" w:cs="Arial" w:eastAsia="Arial" w:hAnsi="Arial"/>
          <w:sz w:val="16"/>
          <w:szCs w:val="16"/>
          <w:color w:val="auto"/>
        </w:rPr>
        <w:t>This ordinary resolution will be approved if there is an affirmative vote of a majority of shares present at the AGM, in person or by proxy, and entitled to vote on the proposal. If this proposal does not receive the affirmative vote of the holders of a majority of the shares entitled to vote and present in person or represented by proxy at the AGM, the Audit and Compliance Committee will reconsider the appointment, but may decide to maintain its appointment of PwC USA.</w:t>
      </w:r>
    </w:p>
    <w:p>
      <w:pPr>
        <w:spacing w:after="0" w:line="375" w:lineRule="exact"/>
        <w:rPr>
          <w:sz w:val="20"/>
          <w:szCs w:val="20"/>
          <w:color w:val="auto"/>
        </w:rPr>
      </w:pPr>
    </w:p>
    <w:p>
      <w:pPr>
        <w:ind w:left="760"/>
        <w:spacing w:after="0"/>
        <w:rPr>
          <w:sz w:val="20"/>
          <w:szCs w:val="20"/>
          <w:color w:val="auto"/>
        </w:rPr>
      </w:pPr>
      <w:r>
        <w:rPr>
          <w:rFonts w:ascii="Arial" w:cs="Arial" w:eastAsia="Arial" w:hAnsi="Arial"/>
          <w:sz w:val="31"/>
          <w:szCs w:val="31"/>
          <w:b w:val="1"/>
          <w:bCs w:val="1"/>
          <w:color w:val="4800E6"/>
        </w:rPr>
        <w:t>Board Recommendation</w:t>
      </w:r>
    </w:p>
    <w:p>
      <w:pPr>
        <w:spacing w:after="0" w:line="99" w:lineRule="exact"/>
        <w:rPr>
          <w:sz w:val="20"/>
          <w:szCs w:val="20"/>
          <w:color w:val="auto"/>
        </w:rPr>
      </w:pPr>
    </w:p>
    <w:p>
      <w:pPr>
        <w:ind w:left="1080" w:right="440"/>
        <w:spacing w:after="0" w:line="301" w:lineRule="auto"/>
        <w:rPr>
          <w:sz w:val="20"/>
          <w:szCs w:val="20"/>
          <w:color w:val="auto"/>
        </w:rPr>
      </w:pPr>
      <w:r>
        <w:rPr>
          <w:rFonts w:ascii="Arial" w:cs="Arial" w:eastAsia="Arial" w:hAnsi="Arial"/>
          <w:sz w:val="16"/>
          <w:szCs w:val="16"/>
          <w:color w:val="auto"/>
        </w:rPr>
        <w:t xml:space="preserve">THE BOARD AND THE AUDIT AND COMPLIANCE COMMITTEE RECOMMEND A </w:t>
      </w:r>
      <w:r>
        <w:rPr>
          <w:rFonts w:ascii="Arial" w:cs="Arial" w:eastAsia="Arial" w:hAnsi="Arial"/>
          <w:sz w:val="16"/>
          <w:szCs w:val="16"/>
          <w:b w:val="1"/>
          <w:bCs w:val="1"/>
          <w:color w:val="FF4C4C"/>
        </w:rPr>
        <w:t>VOTE FOR</w:t>
      </w:r>
      <w:r>
        <w:rPr>
          <w:rFonts w:ascii="Arial" w:cs="Arial" w:eastAsia="Arial" w:hAnsi="Arial"/>
          <w:sz w:val="16"/>
          <w:szCs w:val="16"/>
          <w:color w:val="auto"/>
        </w:rPr>
        <w:t xml:space="preserve"> THE RATIFICATION OF THE APPOINTMENT OF PWC USA. AS THE COMPANY’S INDEPENDENT REGISTERED PUBLIC ACCOUNTING FIRM FOR THE YEAR ENDING DECEMBER 31, 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485140</wp:posOffset>
            </wp:positionH>
            <wp:positionV relativeFrom="paragraph">
              <wp:posOffset>-436245</wp:posOffset>
            </wp:positionV>
            <wp:extent cx="137160" cy="137160"/>
            <wp:wrapNone/>
            <wp:docPr id="280" name="Picture 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0"/>
                    <pic:cNvPicPr>
                      <a:picLocks noChangeAspect="1" noChangeArrowheads="1"/>
                    </pic:cNvPicPr>
                  </pic:nvPicPr>
                  <pic:blipFill>
                    <a:blip r:embed="rId287">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ectPr>
          <w:pgSz w:w="11900" w:h="16838" w:orient="portrait"/>
          <w:cols w:equalWidth="0" w:num="1">
            <w:col w:w="10180"/>
          </w:cols>
          <w:pgMar w:left="320" w:top="132" w:right="139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ind w:left="4340"/>
        <w:spacing w:after="0"/>
        <w:tabs>
          <w:tab w:leader="none" w:pos="10000" w:val="left"/>
        </w:tabs>
        <w:rPr>
          <w:sz w:val="20"/>
          <w:szCs w:val="20"/>
          <w:color w:val="auto"/>
        </w:rPr>
      </w:pPr>
      <w:r>
        <w:rPr>
          <w:rFonts w:ascii="Arial" w:cs="Arial" w:eastAsia="Arial" w:hAnsi="Arial"/>
          <w:sz w:val="13"/>
          <w:szCs w:val="13"/>
          <w:b w:val="1"/>
          <w:bCs w:val="1"/>
          <w:color w:val="4800E6"/>
        </w:rPr>
        <w:t xml:space="preserve">LIVANOVA </w:t>
      </w:r>
      <w:r>
        <w:rPr>
          <w:rFonts w:ascii="Arial" w:cs="Arial" w:eastAsia="Arial" w:hAnsi="Arial"/>
          <w:sz w:val="13"/>
          <w:szCs w:val="13"/>
          <w:color w:val="000000"/>
        </w:rPr>
        <w:t>|</w:t>
      </w:r>
      <w:r>
        <w:rPr>
          <w:rFonts w:ascii="Arial" w:cs="Arial" w:eastAsia="Arial" w:hAnsi="Arial"/>
          <w:sz w:val="13"/>
          <w:szCs w:val="13"/>
          <w:b w:val="1"/>
          <w:bCs w:val="1"/>
          <w:color w:val="4800E6"/>
        </w:rPr>
        <w:t xml:space="preserve"> </w:t>
      </w:r>
      <w:r>
        <w:rPr>
          <w:rFonts w:ascii="Arial" w:cs="Arial" w:eastAsia="Arial" w:hAnsi="Arial"/>
          <w:sz w:val="13"/>
          <w:szCs w:val="13"/>
          <w:color w:val="4800E6"/>
        </w:rPr>
        <w:t>2020</w:t>
      </w:r>
      <w:r>
        <w:rPr>
          <w:rFonts w:ascii="Arial" w:cs="Arial" w:eastAsia="Arial" w:hAnsi="Arial"/>
          <w:sz w:val="13"/>
          <w:szCs w:val="13"/>
          <w:b w:val="1"/>
          <w:bCs w:val="1"/>
          <w:color w:val="4800E6"/>
        </w:rPr>
        <w:t xml:space="preserve"> </w:t>
      </w:r>
      <w:r>
        <w:rPr>
          <w:rFonts w:ascii="Arial" w:cs="Arial" w:eastAsia="Arial" w:hAnsi="Arial"/>
          <w:sz w:val="13"/>
          <w:szCs w:val="13"/>
          <w:color w:val="000000"/>
        </w:rPr>
        <w:t>Proxy Statement</w:t>
      </w:r>
      <w:r>
        <w:rPr>
          <w:sz w:val="20"/>
          <w:szCs w:val="20"/>
          <w:color w:val="auto"/>
        </w:rPr>
        <w:tab/>
      </w:r>
      <w:r>
        <w:rPr>
          <w:rFonts w:ascii="Arial" w:cs="Arial" w:eastAsia="Arial" w:hAnsi="Arial"/>
          <w:sz w:val="21"/>
          <w:szCs w:val="21"/>
          <w:b w:val="1"/>
          <w:bCs w:val="1"/>
          <w:color w:val="auto"/>
          <w:vertAlign w:val="subscript"/>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519430</wp:posOffset>
            </wp:positionH>
            <wp:positionV relativeFrom="paragraph">
              <wp:posOffset>47625</wp:posOffset>
            </wp:positionV>
            <wp:extent cx="1954530" cy="8890"/>
            <wp:wrapNone/>
            <wp:docPr id="281" name="Picture 2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1"/>
                    <pic:cNvPicPr>
                      <a:picLocks noChangeAspect="1" noChangeArrowheads="1"/>
                    </pic:cNvPicPr>
                  </pic:nvPicPr>
                  <pic:blipFill>
                    <a:blip r:embed="rId288">
                      <a:extLst>
                        <a:ext uri="{28A0092B-C50C-407E-A947-70E740481C1C}"/>
                      </a:extLst>
                    </a:blip>
                    <a:srcRect/>
                    <a:stretch>
                      <a:fillRect/>
                    </a:stretch>
                  </pic:blipFill>
                  <pic:spPr bwMode="auto">
                    <a:xfrm>
                      <a:off x="0" y="0"/>
                      <a:ext cx="1954530" cy="8890"/>
                    </a:xfrm>
                    <a:prstGeom prst="rect">
                      <a:avLst/>
                    </a:prstGeom>
                    <a:noFill/>
                  </pic:spPr>
                </pic:pic>
              </a:graphicData>
            </a:graphic>
          </wp:anchor>
        </w:drawing>
        <w:drawing>
          <wp:anchor simplePos="0" relativeHeight="251657728" behindDoc="1" locked="0" layoutInCell="0" allowOverlap="1">
            <wp:simplePos x="0" y="0"/>
            <wp:positionH relativeFrom="column">
              <wp:posOffset>4257040</wp:posOffset>
            </wp:positionH>
            <wp:positionV relativeFrom="paragraph">
              <wp:posOffset>47625</wp:posOffset>
            </wp:positionV>
            <wp:extent cx="1954530" cy="8890"/>
            <wp:wrapNone/>
            <wp:docPr id="282" name="Picture 2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2"/>
                    <pic:cNvPicPr>
                      <a:picLocks noChangeAspect="1" noChangeArrowheads="1"/>
                    </pic:cNvPicPr>
                  </pic:nvPicPr>
                  <pic:blipFill>
                    <a:blip r:embed="rId289">
                      <a:extLst>
                        <a:ext uri="{28A0092B-C50C-407E-A947-70E740481C1C}"/>
                      </a:extLst>
                    </a:blip>
                    <a:srcRect/>
                    <a:stretch>
                      <a:fillRect/>
                    </a:stretch>
                  </pic:blipFill>
                  <pic:spPr bwMode="auto">
                    <a:xfrm>
                      <a:off x="0" y="0"/>
                      <a:ext cx="195453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184785</wp:posOffset>
            </wp:positionV>
            <wp:extent cx="6806565" cy="17145"/>
            <wp:wrapNone/>
            <wp:docPr id="283" name="Picture 2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3"/>
                    <pic:cNvPicPr>
                      <a:picLocks noChangeAspect="1" noChangeArrowheads="1"/>
                    </pic:cNvPicPr>
                  </pic:nvPicPr>
                  <pic:blipFill>
                    <a:blip r:embed="rId290">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10180"/>
          </w:cols>
          <w:pgMar w:left="320" w:top="132" w:right="1399" w:bottom="1440" w:gutter="0" w:footer="0" w:header="0"/>
          <w:type w:val="continuous"/>
        </w:sectPr>
      </w:pPr>
    </w:p>
    <w:bookmarkStart w:id="58" w:name="page59"/>
    <w:bookmarkEnd w:id="58"/>
    <w:p>
      <w:pPr>
        <w:spacing w:after="0"/>
        <w:rPr>
          <w:rFonts w:ascii="Arial" w:cs="Arial" w:eastAsia="Arial" w:hAnsi="Arial"/>
          <w:sz w:val="14"/>
          <w:szCs w:val="14"/>
          <w:color w:val="003366"/>
        </w:rPr>
      </w:pPr>
      <w:hyperlink w:anchor="page5">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ind w:left="760" w:right="959"/>
        <w:spacing w:after="0" w:line="263" w:lineRule="auto"/>
        <w:rPr>
          <w:sz w:val="20"/>
          <w:szCs w:val="20"/>
          <w:color w:val="auto"/>
        </w:rPr>
      </w:pPr>
      <w:r>
        <w:rPr>
          <w:rFonts w:ascii="Arial" w:cs="Arial" w:eastAsia="Arial" w:hAnsi="Arial"/>
          <w:sz w:val="47"/>
          <w:szCs w:val="47"/>
          <w:b w:val="1"/>
          <w:bCs w:val="1"/>
          <w:color w:val="4800E6"/>
        </w:rPr>
        <w:t xml:space="preserve">Proposal No. 4 </w:t>
      </w:r>
      <w:r>
        <w:rPr>
          <w:rFonts w:ascii="Arial" w:cs="Arial" w:eastAsia="Arial" w:hAnsi="Arial"/>
          <w:sz w:val="47"/>
          <w:szCs w:val="47"/>
          <w:b w:val="1"/>
          <w:bCs w:val="1"/>
          <w:color w:val="666666"/>
        </w:rPr>
        <w:t>Ordinary Resolution to</w:t>
      </w:r>
      <w:r>
        <w:rPr>
          <w:rFonts w:ascii="Arial" w:cs="Arial" w:eastAsia="Arial" w:hAnsi="Arial"/>
          <w:sz w:val="47"/>
          <w:szCs w:val="47"/>
          <w:b w:val="1"/>
          <w:bCs w:val="1"/>
          <w:color w:val="4800E6"/>
        </w:rPr>
        <w:t xml:space="preserve"> </w:t>
      </w:r>
      <w:r>
        <w:rPr>
          <w:rFonts w:ascii="Arial" w:cs="Arial" w:eastAsia="Arial" w:hAnsi="Arial"/>
          <w:sz w:val="47"/>
          <w:szCs w:val="47"/>
          <w:b w:val="1"/>
          <w:bCs w:val="1"/>
          <w:color w:val="666666"/>
        </w:rPr>
        <w:t>Grant Authority to Allot Shares for a Period of Five Years</w:t>
      </w:r>
    </w:p>
    <w:p>
      <w:pPr>
        <w:spacing w:after="0" w:line="30" w:lineRule="exact"/>
        <w:rPr>
          <w:sz w:val="20"/>
          <w:szCs w:val="20"/>
          <w:color w:val="auto"/>
        </w:rPr>
      </w:pPr>
    </w:p>
    <w:p>
      <w:pPr>
        <w:ind w:left="760" w:right="219"/>
        <w:spacing w:after="0" w:line="248" w:lineRule="auto"/>
        <w:rPr>
          <w:sz w:val="20"/>
          <w:szCs w:val="20"/>
          <w:color w:val="auto"/>
        </w:rPr>
      </w:pPr>
      <w:r>
        <w:rPr>
          <w:rFonts w:ascii="Arial" w:cs="Arial" w:eastAsia="Arial" w:hAnsi="Arial"/>
          <w:sz w:val="16"/>
          <w:szCs w:val="16"/>
          <w:color w:val="auto"/>
        </w:rPr>
        <w:t>Under the Articles of Association of the Company originally adopted with effect from October 19, 2015 (being the date of completion of the merger of Sorin and Cyberonics) (the “</w:t>
      </w:r>
      <w:r>
        <w:rPr>
          <w:rFonts w:ascii="Arial" w:cs="Arial" w:eastAsia="Arial" w:hAnsi="Arial"/>
          <w:sz w:val="16"/>
          <w:szCs w:val="16"/>
          <w:b w:val="1"/>
          <w:bCs w:val="1"/>
          <w:color w:val="auto"/>
        </w:rPr>
        <w:t>Original Articles</w:t>
      </w:r>
      <w:r>
        <w:rPr>
          <w:rFonts w:ascii="Arial" w:cs="Arial" w:eastAsia="Arial" w:hAnsi="Arial"/>
          <w:sz w:val="16"/>
          <w:szCs w:val="16"/>
          <w:color w:val="auto"/>
        </w:rPr>
        <w:t>”), the Board was given the authority to allot shares, and to grant rights to subscribe for, or to convert any security, into shares, up to an aggregate nominal amount representing 20% of the number of shares in the capital of the Company after completion of the merger on October 19, 2015. The existing authority was not affected by the adoption of the Company’s existing Articles of Association with effect from June 14, 2017. This authority was granted for a period of five years from October 19, 2015 and, accordingly, is expected to expire on October, 19, 2020. Proposal No. 4 is being proposed because of such upcoming expiry. In addition, the existing authority: (i) has to date been utilised in connection with equity awards made under the Company’s incentive plans; and (ii) may be substantially utilised between the date of this proxy statement and the AGM if the Company decides to pursue a strategic capital raising involving the issuance of equity or equity linked securities (as described below).</w:t>
      </w:r>
    </w:p>
    <w:p>
      <w:pPr>
        <w:spacing w:after="0" w:line="83" w:lineRule="exact"/>
        <w:rPr>
          <w:sz w:val="20"/>
          <w:szCs w:val="20"/>
          <w:color w:val="auto"/>
        </w:rPr>
      </w:pPr>
    </w:p>
    <w:p>
      <w:pPr>
        <w:ind w:left="760" w:right="279"/>
        <w:spacing w:after="0" w:line="249" w:lineRule="auto"/>
        <w:rPr>
          <w:sz w:val="20"/>
          <w:szCs w:val="20"/>
          <w:color w:val="auto"/>
        </w:rPr>
      </w:pPr>
      <w:r>
        <w:rPr>
          <w:rFonts w:ascii="Arial" w:cs="Arial" w:eastAsia="Arial" w:hAnsi="Arial"/>
          <w:sz w:val="16"/>
          <w:szCs w:val="16"/>
          <w:color w:val="auto"/>
        </w:rPr>
        <w:t>If passed, this would allow the Board to allot new shares and to grant rights to subscribe for, or to convert any securities into, shares up to an aggregate nominal value of: (a) £9,882,722 for general purposes; and (b) an additional £3,218,206 in connection with the grant or exercise of awards made under the Company’s incentive plans from time to time. The amount set out under (a) is equivalent to approximately 20% of the Company’s total issued ordinary share capital as at May 14, 2020, the latest practicable date prior to the date of this proxy statement. The amount set out under (b) is equivalent to the approximate number of shares in respect of which future grants can be made under the Company’s 2015 Incentive Award Plan.</w:t>
      </w:r>
    </w:p>
    <w:p>
      <w:pPr>
        <w:spacing w:after="0" w:line="70" w:lineRule="exact"/>
        <w:rPr>
          <w:sz w:val="20"/>
          <w:szCs w:val="20"/>
          <w:color w:val="auto"/>
        </w:rPr>
      </w:pPr>
    </w:p>
    <w:p>
      <w:pPr>
        <w:ind w:left="760" w:right="459"/>
        <w:spacing w:after="0" w:line="250" w:lineRule="auto"/>
        <w:rPr>
          <w:sz w:val="20"/>
          <w:szCs w:val="20"/>
          <w:color w:val="auto"/>
        </w:rPr>
      </w:pPr>
      <w:r>
        <w:rPr>
          <w:rFonts w:ascii="Arial" w:cs="Arial" w:eastAsia="Arial" w:hAnsi="Arial"/>
          <w:sz w:val="16"/>
          <w:szCs w:val="16"/>
          <w:color w:val="auto"/>
        </w:rPr>
        <w:t>This authority will (unless previously revoked, varied or renewed) expire on the date that is five (5) years after the date on which this resolution is passed. This authority is in addition to (and does not replace) any such previous authority given to the Board, including the existing authority under our current Articles of Association (under which the Board has remaining authority to allot new shares and to grant rights to subscribe for, or to convert any securities into, shares up to an aggregate nominal value of approximately £4,600,000).</w:t>
      </w:r>
    </w:p>
    <w:p>
      <w:pPr>
        <w:spacing w:after="0" w:line="81" w:lineRule="exact"/>
        <w:rPr>
          <w:sz w:val="20"/>
          <w:szCs w:val="20"/>
          <w:color w:val="auto"/>
        </w:rPr>
      </w:pPr>
    </w:p>
    <w:p>
      <w:pPr>
        <w:ind w:left="760" w:right="219"/>
        <w:spacing w:after="0" w:line="247" w:lineRule="auto"/>
        <w:rPr>
          <w:sz w:val="20"/>
          <w:szCs w:val="20"/>
          <w:color w:val="auto"/>
        </w:rPr>
      </w:pPr>
      <w:r>
        <w:rPr>
          <w:rFonts w:ascii="Arial" w:cs="Arial" w:eastAsia="Arial" w:hAnsi="Arial"/>
          <w:sz w:val="16"/>
          <w:szCs w:val="16"/>
          <w:color w:val="auto"/>
        </w:rPr>
        <w:t>Under the Companies Act, the Board may only allot shares in the Company or grant rights to subscribe for or to convert any security into shares in the Company if it is authorized to do so by the company’s Articles of Association or by shareholder resolution. Any such authorization is only valid for a maximum period of five years. The requirement for such authorization to allot by the Company’s shareholders is an additional step not generally required when companies domiciled in the United States are issuing securities. The Board believes that it is important for the Company to retain the flexibility to allot shares on an accelerated basis should the Board determine it is necessary or advisable and in the best interests of shareholders, without incurring the costs or delays associated with calling a special meeting and preparing and circulating proxy materials to approve specific allotments of shares. The Board also believes that a large majority of public companies based in the US do not require shareholder approval of each issuance and allotment of common equity. As a result of the utilisation of the existing authority and its upcoming expiry on October 19, 2020, without the approval of this Proposal 4, the Company may not be able to raise additional capital, in a timely manner or at all, if and as needed to fund its ongoing business and operations. In addition, without the approval of this Proposal No. 4, the Company may not be able to continue to grant equity awards to employees, directors, officers and consultants under the Company’s incentive plans.</w:t>
      </w:r>
    </w:p>
    <w:p>
      <w:pPr>
        <w:spacing w:after="0" w:line="90" w:lineRule="exact"/>
        <w:rPr>
          <w:sz w:val="20"/>
          <w:szCs w:val="20"/>
          <w:color w:val="auto"/>
        </w:rPr>
      </w:pPr>
    </w:p>
    <w:p>
      <w:pPr>
        <w:ind w:left="760" w:right="239"/>
        <w:spacing w:after="0" w:line="229" w:lineRule="auto"/>
        <w:rPr>
          <w:sz w:val="20"/>
          <w:szCs w:val="20"/>
          <w:color w:val="auto"/>
        </w:rPr>
      </w:pPr>
      <w:r>
        <w:rPr>
          <w:rFonts w:ascii="Arial" w:cs="Arial" w:eastAsia="Arial" w:hAnsi="Arial"/>
          <w:sz w:val="16"/>
          <w:szCs w:val="16"/>
          <w:color w:val="auto"/>
        </w:rPr>
        <w:t>As noted in the Company’s Q1 2020 results announcement, we are in the process of evaluating strategic capital raising options to fulfill our short- and medium-term capital needs. Among these alternatives, we have been analyzing potential offerings of equity/equity linked or debt securities.</w:t>
      </w:r>
      <w:r>
        <w:rPr>
          <w:rFonts w:ascii="Arial" w:cs="Arial" w:eastAsia="Arial" w:hAnsi="Arial"/>
          <w:sz w:val="25"/>
          <w:szCs w:val="25"/>
          <w:color w:val="auto"/>
          <w:vertAlign w:val="superscript"/>
        </w:rPr>
        <w:t>1</w:t>
      </w:r>
      <w:r>
        <w:rPr>
          <w:rFonts w:ascii="Arial" w:cs="Arial" w:eastAsia="Arial" w:hAnsi="Arial"/>
          <w:sz w:val="16"/>
          <w:szCs w:val="16"/>
          <w:color w:val="auto"/>
        </w:rPr>
        <w:t xml:space="preserve"> Discussions concerning these potential transactions are ongoing, and no assurance can be given that a transaction will be consummated or as to the ultimate terms of any such transaction. For a copy of the Company’s Q1 2020 results announcement, please refer to the Company’s Form 8-K filed with the SEC on April 29, 2020, which is available on the Company’s website at www.livanova.com and on the SEC’s website at www.sec.gov</w:t>
      </w:r>
    </w:p>
    <w:p>
      <w:pPr>
        <w:spacing w:after="0" w:line="76" w:lineRule="exact"/>
        <w:rPr>
          <w:sz w:val="20"/>
          <w:szCs w:val="20"/>
          <w:color w:val="auto"/>
        </w:rPr>
      </w:pPr>
    </w:p>
    <w:p>
      <w:pPr>
        <w:jc w:val="both"/>
        <w:ind w:left="760" w:right="319"/>
        <w:spacing w:after="0" w:line="253" w:lineRule="auto"/>
        <w:rPr>
          <w:sz w:val="20"/>
          <w:szCs w:val="20"/>
          <w:color w:val="auto"/>
        </w:rPr>
      </w:pPr>
      <w:r>
        <w:rPr>
          <w:rFonts w:ascii="Arial" w:cs="Arial" w:eastAsia="Arial" w:hAnsi="Arial"/>
          <w:sz w:val="16"/>
          <w:szCs w:val="16"/>
          <w:color w:val="auto"/>
        </w:rPr>
        <w:t>The Company currently expects that, if it decides to pursue any such strategic capital raising, this would be consummated prior to the AGM. This would mean that any equity or equity linked securities issued in such capital raising would be authorized (in whole or in part) pursuant to the existing authority. The Company may utilise the authority sought under Proposal 4 (in</w:t>
      </w:r>
    </w:p>
    <w:p>
      <w:pPr>
        <w:spacing w:after="0" w:line="77" w:lineRule="exact"/>
        <w:rPr>
          <w:sz w:val="20"/>
          <w:szCs w:val="20"/>
          <w:color w:val="auto"/>
        </w:rPr>
      </w:pPr>
    </w:p>
    <w:p>
      <w:pPr>
        <w:ind w:left="980" w:right="439" w:hanging="216"/>
        <w:spacing w:after="0" w:line="223" w:lineRule="auto"/>
        <w:tabs>
          <w:tab w:leader="none" w:pos="980" w:val="left"/>
        </w:tabs>
        <w:numPr>
          <w:ilvl w:val="0"/>
          <w:numId w:val="84"/>
        </w:numPr>
        <w:rPr>
          <w:rFonts w:ascii="Arial" w:cs="Arial" w:eastAsia="Arial" w:hAnsi="Arial"/>
          <w:sz w:val="20"/>
          <w:szCs w:val="20"/>
          <w:i w:val="1"/>
          <w:iCs w:val="1"/>
          <w:color w:val="auto"/>
          <w:vertAlign w:val="subscript"/>
        </w:rPr>
      </w:pPr>
      <w:r>
        <w:rPr>
          <w:rFonts w:ascii="Arial" w:cs="Arial" w:eastAsia="Arial" w:hAnsi="Arial"/>
          <w:sz w:val="13"/>
          <w:szCs w:val="13"/>
          <w:i w:val="1"/>
          <w:iCs w:val="1"/>
          <w:color w:val="auto"/>
        </w:rPr>
        <w:t>Any securities that may be issued by LivaNova have not been and will not be registered under the U.S. Securities Act of 1933, as amended (the “Securities Act”), and if offered, will only be offered to persons who are either (i) an “accredited investor” within the meaning of Regulation D under the Securities Act or (ii) a “qualified institutional buyer” within the meaning of Rule 144A under the Securities Act, or to persons that are not U.S. persons pursuant to Regulation S under the Securities Act. This communication shall not constitute an offer to sell or the solicitation of an offer to buy any securities of LivaNova.</w:t>
      </w:r>
    </w:p>
    <w:p>
      <w:pPr>
        <w:ind w:left="480"/>
        <w:spacing w:after="0"/>
        <w:tabs>
          <w:tab w:leader="none" w:pos="4400" w:val="left"/>
          <w:tab w:leader="none" w:pos="8760" w:val="left"/>
        </w:tabs>
        <w:rPr>
          <w:sz w:val="20"/>
          <w:szCs w:val="20"/>
          <w:color w:val="auto"/>
        </w:rPr>
      </w:pPr>
      <w:r>
        <w:rPr>
          <w:rFonts w:ascii="Arial" w:cs="Arial" w:eastAsia="Arial" w:hAnsi="Arial"/>
          <w:sz w:val="29"/>
          <w:szCs w:val="29"/>
          <w:b w:val="1"/>
          <w:bCs w:val="1"/>
          <w:color w:val="auto"/>
          <w:vertAlign w:val="subscript"/>
        </w:rPr>
        <w:t>55</w:t>
      </w:r>
      <w:r>
        <w:rPr>
          <w:sz w:val="20"/>
          <w:szCs w:val="20"/>
          <w:color w:val="auto"/>
        </w:rPr>
        <w:tab/>
      </w:r>
      <w:r>
        <w:rPr>
          <w:rFonts w:ascii="Arial" w:cs="Arial" w:eastAsia="Arial" w:hAnsi="Arial"/>
          <w:sz w:val="13"/>
          <w:szCs w:val="13"/>
          <w:b w:val="1"/>
          <w:bCs w:val="1"/>
          <w:color w:val="4800E6"/>
        </w:rPr>
        <w:t xml:space="preserve">LIVANOVA </w:t>
      </w:r>
      <w:r>
        <w:rPr>
          <w:rFonts w:ascii="Arial" w:cs="Arial" w:eastAsia="Arial" w:hAnsi="Arial"/>
          <w:sz w:val="13"/>
          <w:szCs w:val="13"/>
          <w:color w:val="000000"/>
        </w:rPr>
        <w:t>|</w:t>
      </w:r>
      <w:r>
        <w:rPr>
          <w:rFonts w:ascii="Arial" w:cs="Arial" w:eastAsia="Arial" w:hAnsi="Arial"/>
          <w:sz w:val="13"/>
          <w:szCs w:val="13"/>
          <w:b w:val="1"/>
          <w:bCs w:val="1"/>
          <w:color w:val="4800E6"/>
        </w:rPr>
        <w:t xml:space="preserve"> </w:t>
      </w:r>
      <w:r>
        <w:rPr>
          <w:rFonts w:ascii="Arial" w:cs="Arial" w:eastAsia="Arial" w:hAnsi="Arial"/>
          <w:sz w:val="13"/>
          <w:szCs w:val="13"/>
          <w:color w:val="4800E6"/>
        </w:rPr>
        <w:t>2020</w:t>
      </w:r>
      <w:r>
        <w:rPr>
          <w:rFonts w:ascii="Arial" w:cs="Arial" w:eastAsia="Arial" w:hAnsi="Arial"/>
          <w:sz w:val="13"/>
          <w:szCs w:val="13"/>
          <w:b w:val="1"/>
          <w:bCs w:val="1"/>
          <w:color w:val="4800E6"/>
        </w:rPr>
        <w:t xml:space="preserve"> </w:t>
      </w:r>
      <w:r>
        <w:rPr>
          <w:rFonts w:ascii="Arial" w:cs="Arial" w:eastAsia="Arial" w:hAnsi="Arial"/>
          <w:sz w:val="13"/>
          <w:szCs w:val="13"/>
          <w:color w:val="000000"/>
        </w:rPr>
        <w:t>Proxy Statement</w:t>
      </w:r>
      <w:r>
        <w:rPr>
          <w:sz w:val="20"/>
          <w:szCs w:val="20"/>
          <w:color w:val="auto"/>
        </w:rPr>
        <w:tab/>
      </w:r>
      <w:r>
        <w:rPr>
          <w:rFonts w:ascii="Arial" w:cs="Arial" w:eastAsia="Arial" w:hAnsi="Arial"/>
          <w:sz w:val="12"/>
          <w:szCs w:val="12"/>
          <w:b w:val="1"/>
          <w:bCs w:val="1"/>
          <w:color w:val="4800E6"/>
        </w:rPr>
        <w:t>www.livanova.com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561975</wp:posOffset>
            </wp:positionH>
            <wp:positionV relativeFrom="paragraph">
              <wp:posOffset>94615</wp:posOffset>
            </wp:positionV>
            <wp:extent cx="1954530" cy="8890"/>
            <wp:wrapNone/>
            <wp:docPr id="284" name="Picture 2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4"/>
                    <pic:cNvPicPr>
                      <a:picLocks noChangeAspect="1" noChangeArrowheads="1"/>
                    </pic:cNvPicPr>
                  </pic:nvPicPr>
                  <pic:blipFill>
                    <a:blip r:embed="rId291">
                      <a:extLst>
                        <a:ext uri="{28A0092B-C50C-407E-A947-70E740481C1C}"/>
                      </a:extLst>
                    </a:blip>
                    <a:srcRect/>
                    <a:stretch>
                      <a:fillRect/>
                    </a:stretch>
                  </pic:blipFill>
                  <pic:spPr bwMode="auto">
                    <a:xfrm>
                      <a:off x="0" y="0"/>
                      <a:ext cx="1954530" cy="8890"/>
                    </a:xfrm>
                    <a:prstGeom prst="rect">
                      <a:avLst/>
                    </a:prstGeom>
                    <a:noFill/>
                  </pic:spPr>
                </pic:pic>
              </a:graphicData>
            </a:graphic>
          </wp:anchor>
        </w:drawing>
        <w:drawing>
          <wp:anchor simplePos="0" relativeHeight="251657728" behindDoc="1" locked="0" layoutInCell="0" allowOverlap="1">
            <wp:simplePos x="0" y="0"/>
            <wp:positionH relativeFrom="column">
              <wp:posOffset>4316730</wp:posOffset>
            </wp:positionH>
            <wp:positionV relativeFrom="paragraph">
              <wp:posOffset>94615</wp:posOffset>
            </wp:positionV>
            <wp:extent cx="1028700" cy="8890"/>
            <wp:wrapNone/>
            <wp:docPr id="285" name="Picture 2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5"/>
                    <pic:cNvPicPr>
                      <a:picLocks noChangeAspect="1" noChangeArrowheads="1"/>
                    </pic:cNvPicPr>
                  </pic:nvPicPr>
                  <pic:blipFill>
                    <a:blip r:embed="rId292">
                      <a:extLst>
                        <a:ext uri="{28A0092B-C50C-407E-A947-70E740481C1C}"/>
                      </a:extLst>
                    </a:blip>
                    <a:srcRect/>
                    <a:stretch>
                      <a:fillRect/>
                    </a:stretch>
                  </pic:blipFill>
                  <pic:spPr bwMode="auto">
                    <a:xfrm>
                      <a:off x="0" y="0"/>
                      <a:ext cx="102870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231775</wp:posOffset>
            </wp:positionV>
            <wp:extent cx="6806565" cy="17145"/>
            <wp:wrapNone/>
            <wp:docPr id="286" name="Picture 2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6"/>
                    <pic:cNvPicPr>
                      <a:picLocks noChangeAspect="1" noChangeArrowheads="1"/>
                    </pic:cNvPicPr>
                  </pic:nvPicPr>
                  <pic:blipFill>
                    <a:blip r:embed="rId293">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10139"/>
          </w:cols>
          <w:pgMar w:left="320" w:top="132" w:right="1440" w:bottom="1440" w:gutter="0" w:footer="0" w:header="0"/>
        </w:sectPr>
      </w:pPr>
    </w:p>
    <w:bookmarkStart w:id="59" w:name="page60"/>
    <w:bookmarkEnd w:id="59"/>
    <w:p>
      <w:pPr>
        <w:spacing w:after="0"/>
        <w:rPr>
          <w:rFonts w:ascii="Arial" w:cs="Arial" w:eastAsia="Arial" w:hAnsi="Arial"/>
          <w:sz w:val="14"/>
          <w:szCs w:val="14"/>
          <w:color w:val="003366"/>
        </w:rPr>
      </w:pPr>
      <w:hyperlink w:anchor="page5">
        <w:r>
          <w:rPr>
            <w:rFonts w:ascii="Arial" w:cs="Arial" w:eastAsia="Arial" w:hAnsi="Arial"/>
            <w:sz w:val="14"/>
            <w:szCs w:val="14"/>
            <w:color w:val="003366"/>
          </w:rPr>
          <w:t>TABLE OF CONTENTS</w:t>
        </w:r>
      </w:hyperlink>
    </w:p>
    <w:p>
      <w:pPr>
        <w:spacing w:after="0" w:line="338" w:lineRule="exact"/>
        <w:rPr>
          <w:sz w:val="20"/>
          <w:szCs w:val="20"/>
          <w:color w:val="auto"/>
        </w:rPr>
      </w:pPr>
    </w:p>
    <w:p>
      <w:pPr>
        <w:ind w:left="4320"/>
        <w:spacing w:after="0"/>
        <w:rPr>
          <w:sz w:val="20"/>
          <w:szCs w:val="20"/>
          <w:color w:val="auto"/>
        </w:rPr>
      </w:pPr>
      <w:r>
        <w:rPr>
          <w:rFonts w:ascii="Arial" w:cs="Arial" w:eastAsia="Arial" w:hAnsi="Arial"/>
          <w:sz w:val="12"/>
          <w:szCs w:val="12"/>
          <w:b w:val="1"/>
          <w:bCs w:val="1"/>
          <w:color w:val="auto"/>
        </w:rPr>
        <w:t xml:space="preserve">Proposal No. 4 </w:t>
      </w:r>
      <w:r>
        <w:rPr>
          <w:rFonts w:ascii="Arial" w:cs="Arial" w:eastAsia="Arial" w:hAnsi="Arial"/>
          <w:sz w:val="12"/>
          <w:szCs w:val="12"/>
          <w:b w:val="1"/>
          <w:bCs w:val="1"/>
          <w:color w:val="666666"/>
        </w:rPr>
        <w:t>Ordinary Resolution to Grant Authority to Allot Shares for a Period of Five Years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485140</wp:posOffset>
            </wp:positionH>
            <wp:positionV relativeFrom="paragraph">
              <wp:posOffset>37465</wp:posOffset>
            </wp:positionV>
            <wp:extent cx="5829300" cy="8255"/>
            <wp:wrapNone/>
            <wp:docPr id="287" name="Picture 2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7"/>
                    <pic:cNvPicPr>
                      <a:picLocks noChangeAspect="1" noChangeArrowheads="1"/>
                    </pic:cNvPicPr>
                  </pic:nvPicPr>
                  <pic:blipFill>
                    <a:blip r:embed="rId294">
                      <a:extLst>
                        <a:ext uri="{28A0092B-C50C-407E-A947-70E740481C1C}"/>
                      </a:extLst>
                    </a:blip>
                    <a:srcRect/>
                    <a:stretch>
                      <a:fillRect/>
                    </a:stretch>
                  </pic:blipFill>
                  <pic:spPr bwMode="auto">
                    <a:xfrm>
                      <a:off x="0" y="0"/>
                      <a:ext cx="5829300" cy="8255"/>
                    </a:xfrm>
                    <a:prstGeom prst="rect">
                      <a:avLst/>
                    </a:prstGeom>
                    <a:noFill/>
                  </pic:spPr>
                </pic:pic>
              </a:graphicData>
            </a:graphic>
          </wp:anchor>
        </w:drawing>
      </w:r>
    </w:p>
    <w:p>
      <w:pPr>
        <w:spacing w:after="0" w:line="72" w:lineRule="exact"/>
        <w:rPr>
          <w:sz w:val="20"/>
          <w:szCs w:val="20"/>
          <w:color w:val="auto"/>
        </w:rPr>
      </w:pPr>
    </w:p>
    <w:p>
      <w:pPr>
        <w:ind w:left="8500"/>
        <w:spacing w:after="0"/>
        <w:rPr>
          <w:sz w:val="20"/>
          <w:szCs w:val="20"/>
          <w:color w:val="auto"/>
        </w:rPr>
      </w:pPr>
      <w:r>
        <w:rPr>
          <w:rFonts w:ascii="Arial" w:cs="Arial" w:eastAsia="Arial" w:hAnsi="Arial"/>
          <w:sz w:val="12"/>
          <w:szCs w:val="12"/>
          <w:b w:val="1"/>
          <w:bCs w:val="1"/>
          <w:color w:val="4800E6"/>
        </w:rPr>
        <w:t>Board Recommendation</w:t>
      </w: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jc w:val="both"/>
        <w:ind w:left="760" w:right="460"/>
        <w:spacing w:after="0" w:line="253" w:lineRule="auto"/>
        <w:rPr>
          <w:sz w:val="20"/>
          <w:szCs w:val="20"/>
          <w:color w:val="auto"/>
        </w:rPr>
      </w:pPr>
      <w:r>
        <w:rPr>
          <w:rFonts w:ascii="Arial" w:cs="Arial" w:eastAsia="Arial" w:hAnsi="Arial"/>
          <w:sz w:val="16"/>
          <w:szCs w:val="16"/>
          <w:color w:val="auto"/>
        </w:rPr>
        <w:t>whole or in part) in respect of any such strategic capital raising consummated after the AGM or may structure any such strategic capital raising such that it is authorized partly pursuant to the existing authority and partly pursuant to the authority sought under Proposal 4.</w:t>
      </w:r>
    </w:p>
    <w:p>
      <w:pPr>
        <w:spacing w:after="0" w:line="80" w:lineRule="exact"/>
        <w:rPr>
          <w:sz w:val="20"/>
          <w:szCs w:val="20"/>
          <w:color w:val="auto"/>
        </w:rPr>
      </w:pPr>
    </w:p>
    <w:p>
      <w:pPr>
        <w:ind w:left="760" w:right="580"/>
        <w:spacing w:after="0" w:line="260" w:lineRule="auto"/>
        <w:rPr>
          <w:sz w:val="20"/>
          <w:szCs w:val="20"/>
          <w:color w:val="auto"/>
        </w:rPr>
      </w:pPr>
      <w:r>
        <w:rPr>
          <w:rFonts w:ascii="Arial" w:cs="Arial" w:eastAsia="Arial" w:hAnsi="Arial"/>
          <w:sz w:val="16"/>
          <w:szCs w:val="16"/>
          <w:color w:val="auto"/>
        </w:rPr>
        <w:t>The approval of this Proposal 4 by the Company’s shareholders will not substitute for any approvals that may be required for a specific transaction under any applicable Nasdaq listing rules.</w:t>
      </w:r>
    </w:p>
    <w:p>
      <w:pPr>
        <w:spacing w:after="0" w:line="368" w:lineRule="exact"/>
        <w:rPr>
          <w:sz w:val="20"/>
          <w:szCs w:val="20"/>
          <w:color w:val="auto"/>
        </w:rPr>
      </w:pPr>
    </w:p>
    <w:p>
      <w:pPr>
        <w:ind w:left="760"/>
        <w:spacing w:after="0"/>
        <w:rPr>
          <w:sz w:val="20"/>
          <w:szCs w:val="20"/>
          <w:color w:val="auto"/>
        </w:rPr>
      </w:pPr>
      <w:r>
        <w:rPr>
          <w:rFonts w:ascii="Arial" w:cs="Arial" w:eastAsia="Arial" w:hAnsi="Arial"/>
          <w:sz w:val="31"/>
          <w:szCs w:val="31"/>
          <w:b w:val="1"/>
          <w:bCs w:val="1"/>
          <w:color w:val="4800E6"/>
        </w:rPr>
        <w:t>Vote Required</w:t>
      </w:r>
    </w:p>
    <w:p>
      <w:pPr>
        <w:spacing w:after="0" w:line="146" w:lineRule="exact"/>
        <w:rPr>
          <w:sz w:val="20"/>
          <w:szCs w:val="20"/>
          <w:color w:val="auto"/>
        </w:rPr>
      </w:pPr>
    </w:p>
    <w:p>
      <w:pPr>
        <w:ind w:left="760" w:right="240"/>
        <w:spacing w:after="0" w:line="293" w:lineRule="auto"/>
        <w:rPr>
          <w:sz w:val="20"/>
          <w:szCs w:val="20"/>
          <w:color w:val="auto"/>
        </w:rPr>
      </w:pPr>
      <w:r>
        <w:rPr>
          <w:rFonts w:ascii="Arial" w:cs="Arial" w:eastAsia="Arial" w:hAnsi="Arial"/>
          <w:sz w:val="15"/>
          <w:szCs w:val="15"/>
          <w:color w:val="auto"/>
        </w:rPr>
        <w:t>This resolution requires an affirmative vote of a majority of shares present at the annual meeting, in person or by proxy, and entitled to vote on the proposal. Abstentions and broker non-votes will not be counted as a vote either for or against this resolution.</w:t>
      </w:r>
    </w:p>
    <w:p>
      <w:pPr>
        <w:spacing w:after="0" w:line="345" w:lineRule="exact"/>
        <w:rPr>
          <w:sz w:val="20"/>
          <w:szCs w:val="20"/>
          <w:color w:val="auto"/>
        </w:rPr>
      </w:pPr>
    </w:p>
    <w:p>
      <w:pPr>
        <w:ind w:left="760"/>
        <w:spacing w:after="0"/>
        <w:rPr>
          <w:sz w:val="20"/>
          <w:szCs w:val="20"/>
          <w:color w:val="auto"/>
        </w:rPr>
      </w:pPr>
      <w:r>
        <w:rPr>
          <w:rFonts w:ascii="Arial" w:cs="Arial" w:eastAsia="Arial" w:hAnsi="Arial"/>
          <w:sz w:val="31"/>
          <w:szCs w:val="31"/>
          <w:b w:val="1"/>
          <w:bCs w:val="1"/>
          <w:color w:val="4800E6"/>
        </w:rPr>
        <w:t>Board Recommendation</w:t>
      </w:r>
    </w:p>
    <w:p>
      <w:pPr>
        <w:spacing w:after="0" w:line="99" w:lineRule="exact"/>
        <w:rPr>
          <w:sz w:val="20"/>
          <w:szCs w:val="20"/>
          <w:color w:val="auto"/>
        </w:rPr>
      </w:pPr>
    </w:p>
    <w:p>
      <w:pPr>
        <w:ind w:left="1080" w:right="260"/>
        <w:spacing w:after="0" w:line="321" w:lineRule="auto"/>
        <w:rPr>
          <w:sz w:val="20"/>
          <w:szCs w:val="20"/>
          <w:color w:val="auto"/>
        </w:rPr>
      </w:pPr>
      <w:r>
        <w:rPr>
          <w:rFonts w:ascii="Arial" w:cs="Arial" w:eastAsia="Arial" w:hAnsi="Arial"/>
          <w:sz w:val="16"/>
          <w:szCs w:val="16"/>
          <w:color w:val="auto"/>
        </w:rPr>
        <w:t xml:space="preserve">THE BOARD RECOMMENDS A </w:t>
      </w:r>
      <w:r>
        <w:rPr>
          <w:rFonts w:ascii="Arial" w:cs="Arial" w:eastAsia="Arial" w:hAnsi="Arial"/>
          <w:sz w:val="16"/>
          <w:szCs w:val="16"/>
          <w:b w:val="1"/>
          <w:bCs w:val="1"/>
          <w:color w:val="FF4C4C"/>
        </w:rPr>
        <w:t>VOTE FOR</w:t>
      </w:r>
      <w:r>
        <w:rPr>
          <w:rFonts w:ascii="Arial" w:cs="Arial" w:eastAsia="Arial" w:hAnsi="Arial"/>
          <w:sz w:val="16"/>
          <w:szCs w:val="16"/>
          <w:color w:val="auto"/>
        </w:rPr>
        <w:t xml:space="preserve"> THE APPROVAL OF THE ORDINARY RESOLUTION TO GRANT AUTHORITY TO ALLOT SHARES FOR A PERIOD OF FIVE YEARS.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485140</wp:posOffset>
            </wp:positionH>
            <wp:positionV relativeFrom="paragraph">
              <wp:posOffset>-309245</wp:posOffset>
            </wp:positionV>
            <wp:extent cx="137160" cy="137160"/>
            <wp:wrapNone/>
            <wp:docPr id="288" name="Picture 2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8"/>
                    <pic:cNvPicPr>
                      <a:picLocks noChangeAspect="1" noChangeArrowheads="1"/>
                    </pic:cNvPicPr>
                  </pic:nvPicPr>
                  <pic:blipFill>
                    <a:blip r:embed="rId295">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ectPr>
          <w:pgSz w:w="11900" w:h="16838" w:orient="portrait"/>
          <w:cols w:equalWidth="0" w:num="1">
            <w:col w:w="10180"/>
          </w:cols>
          <w:pgMar w:left="320" w:top="132" w:right="139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ind w:left="4340"/>
        <w:spacing w:after="0"/>
        <w:tabs>
          <w:tab w:leader="none" w:pos="10000" w:val="left"/>
        </w:tabs>
        <w:rPr>
          <w:sz w:val="20"/>
          <w:szCs w:val="20"/>
          <w:color w:val="auto"/>
        </w:rPr>
      </w:pPr>
      <w:r>
        <w:rPr>
          <w:rFonts w:ascii="Arial" w:cs="Arial" w:eastAsia="Arial" w:hAnsi="Arial"/>
          <w:sz w:val="13"/>
          <w:szCs w:val="13"/>
          <w:b w:val="1"/>
          <w:bCs w:val="1"/>
          <w:color w:val="4800E6"/>
        </w:rPr>
        <w:t xml:space="preserve">LIVANOVA </w:t>
      </w:r>
      <w:r>
        <w:rPr>
          <w:rFonts w:ascii="Arial" w:cs="Arial" w:eastAsia="Arial" w:hAnsi="Arial"/>
          <w:sz w:val="13"/>
          <w:szCs w:val="13"/>
          <w:color w:val="000000"/>
        </w:rPr>
        <w:t>|</w:t>
      </w:r>
      <w:r>
        <w:rPr>
          <w:rFonts w:ascii="Arial" w:cs="Arial" w:eastAsia="Arial" w:hAnsi="Arial"/>
          <w:sz w:val="13"/>
          <w:szCs w:val="13"/>
          <w:b w:val="1"/>
          <w:bCs w:val="1"/>
          <w:color w:val="4800E6"/>
        </w:rPr>
        <w:t xml:space="preserve"> </w:t>
      </w:r>
      <w:r>
        <w:rPr>
          <w:rFonts w:ascii="Arial" w:cs="Arial" w:eastAsia="Arial" w:hAnsi="Arial"/>
          <w:sz w:val="13"/>
          <w:szCs w:val="13"/>
          <w:color w:val="4800E6"/>
        </w:rPr>
        <w:t>2020</w:t>
      </w:r>
      <w:r>
        <w:rPr>
          <w:rFonts w:ascii="Arial" w:cs="Arial" w:eastAsia="Arial" w:hAnsi="Arial"/>
          <w:sz w:val="13"/>
          <w:szCs w:val="13"/>
          <w:b w:val="1"/>
          <w:bCs w:val="1"/>
          <w:color w:val="4800E6"/>
        </w:rPr>
        <w:t xml:space="preserve"> </w:t>
      </w:r>
      <w:r>
        <w:rPr>
          <w:rFonts w:ascii="Arial" w:cs="Arial" w:eastAsia="Arial" w:hAnsi="Arial"/>
          <w:sz w:val="13"/>
          <w:szCs w:val="13"/>
          <w:color w:val="000000"/>
        </w:rPr>
        <w:t>Proxy Statement</w:t>
      </w:r>
      <w:r>
        <w:rPr>
          <w:sz w:val="20"/>
          <w:szCs w:val="20"/>
          <w:color w:val="auto"/>
        </w:rPr>
        <w:tab/>
      </w:r>
      <w:r>
        <w:rPr>
          <w:rFonts w:ascii="Arial" w:cs="Arial" w:eastAsia="Arial" w:hAnsi="Arial"/>
          <w:sz w:val="21"/>
          <w:szCs w:val="21"/>
          <w:b w:val="1"/>
          <w:bCs w:val="1"/>
          <w:color w:val="auto"/>
          <w:vertAlign w:val="subscript"/>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519430</wp:posOffset>
            </wp:positionH>
            <wp:positionV relativeFrom="paragraph">
              <wp:posOffset>47625</wp:posOffset>
            </wp:positionV>
            <wp:extent cx="1954530" cy="8890"/>
            <wp:wrapNone/>
            <wp:docPr id="289" name="Picture 2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9"/>
                    <pic:cNvPicPr>
                      <a:picLocks noChangeAspect="1" noChangeArrowheads="1"/>
                    </pic:cNvPicPr>
                  </pic:nvPicPr>
                  <pic:blipFill>
                    <a:blip r:embed="rId296">
                      <a:extLst>
                        <a:ext uri="{28A0092B-C50C-407E-A947-70E740481C1C}"/>
                      </a:extLst>
                    </a:blip>
                    <a:srcRect/>
                    <a:stretch>
                      <a:fillRect/>
                    </a:stretch>
                  </pic:blipFill>
                  <pic:spPr bwMode="auto">
                    <a:xfrm>
                      <a:off x="0" y="0"/>
                      <a:ext cx="1954530" cy="8890"/>
                    </a:xfrm>
                    <a:prstGeom prst="rect">
                      <a:avLst/>
                    </a:prstGeom>
                    <a:noFill/>
                  </pic:spPr>
                </pic:pic>
              </a:graphicData>
            </a:graphic>
          </wp:anchor>
        </w:drawing>
        <w:drawing>
          <wp:anchor simplePos="0" relativeHeight="251657728" behindDoc="1" locked="0" layoutInCell="0" allowOverlap="1">
            <wp:simplePos x="0" y="0"/>
            <wp:positionH relativeFrom="column">
              <wp:posOffset>4257040</wp:posOffset>
            </wp:positionH>
            <wp:positionV relativeFrom="paragraph">
              <wp:posOffset>47625</wp:posOffset>
            </wp:positionV>
            <wp:extent cx="1954530" cy="8890"/>
            <wp:wrapNone/>
            <wp:docPr id="290" name="Picture 2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0"/>
                    <pic:cNvPicPr>
                      <a:picLocks noChangeAspect="1" noChangeArrowheads="1"/>
                    </pic:cNvPicPr>
                  </pic:nvPicPr>
                  <pic:blipFill>
                    <a:blip r:embed="rId297">
                      <a:extLst>
                        <a:ext uri="{28A0092B-C50C-407E-A947-70E740481C1C}"/>
                      </a:extLst>
                    </a:blip>
                    <a:srcRect/>
                    <a:stretch>
                      <a:fillRect/>
                    </a:stretch>
                  </pic:blipFill>
                  <pic:spPr bwMode="auto">
                    <a:xfrm>
                      <a:off x="0" y="0"/>
                      <a:ext cx="195453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184785</wp:posOffset>
            </wp:positionV>
            <wp:extent cx="6806565" cy="17145"/>
            <wp:wrapNone/>
            <wp:docPr id="291" name="Picture 2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1"/>
                    <pic:cNvPicPr>
                      <a:picLocks noChangeAspect="1" noChangeArrowheads="1"/>
                    </pic:cNvPicPr>
                  </pic:nvPicPr>
                  <pic:blipFill>
                    <a:blip r:embed="rId298">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10180"/>
          </w:cols>
          <w:pgMar w:left="320" w:top="132" w:right="1399" w:bottom="1440" w:gutter="0" w:footer="0" w:header="0"/>
          <w:type w:val="continuous"/>
        </w:sectPr>
      </w:pPr>
    </w:p>
    <w:bookmarkStart w:id="60" w:name="page61"/>
    <w:bookmarkEnd w:id="60"/>
    <w:p>
      <w:pPr>
        <w:spacing w:after="0"/>
        <w:rPr>
          <w:rFonts w:ascii="Arial" w:cs="Arial" w:eastAsia="Arial" w:hAnsi="Arial"/>
          <w:sz w:val="14"/>
          <w:szCs w:val="14"/>
          <w:color w:val="003366"/>
        </w:rPr>
      </w:pPr>
      <w:hyperlink w:anchor="page5">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jc w:val="both"/>
        <w:ind w:left="760" w:right="1199"/>
        <w:spacing w:after="0" w:line="272" w:lineRule="auto"/>
        <w:rPr>
          <w:sz w:val="20"/>
          <w:szCs w:val="20"/>
          <w:color w:val="auto"/>
        </w:rPr>
      </w:pPr>
      <w:r>
        <w:rPr>
          <w:rFonts w:ascii="Arial" w:cs="Arial" w:eastAsia="Arial" w:hAnsi="Arial"/>
          <w:sz w:val="45"/>
          <w:szCs w:val="45"/>
          <w:b w:val="1"/>
          <w:bCs w:val="1"/>
          <w:color w:val="4800E6"/>
        </w:rPr>
        <w:t xml:space="preserve">Proposal No. 5 </w:t>
      </w:r>
      <w:r>
        <w:rPr>
          <w:rFonts w:ascii="Arial" w:cs="Arial" w:eastAsia="Arial" w:hAnsi="Arial"/>
          <w:sz w:val="45"/>
          <w:szCs w:val="45"/>
          <w:b w:val="1"/>
          <w:bCs w:val="1"/>
          <w:color w:val="666666"/>
        </w:rPr>
        <w:t>Special Resolution to</w:t>
      </w:r>
      <w:r>
        <w:rPr>
          <w:rFonts w:ascii="Arial" w:cs="Arial" w:eastAsia="Arial" w:hAnsi="Arial"/>
          <w:sz w:val="45"/>
          <w:szCs w:val="45"/>
          <w:b w:val="1"/>
          <w:bCs w:val="1"/>
          <w:color w:val="4800E6"/>
        </w:rPr>
        <w:t xml:space="preserve"> </w:t>
      </w:r>
      <w:r>
        <w:rPr>
          <w:rFonts w:ascii="Arial" w:cs="Arial" w:eastAsia="Arial" w:hAnsi="Arial"/>
          <w:sz w:val="45"/>
          <w:szCs w:val="45"/>
          <w:b w:val="1"/>
          <w:bCs w:val="1"/>
          <w:color w:val="666666"/>
        </w:rPr>
        <w:t>Grant Power to Disapply Pre-Emption Rights for a Period of Five Years</w:t>
      </w:r>
    </w:p>
    <w:p>
      <w:pPr>
        <w:spacing w:after="0" w:line="6" w:lineRule="exact"/>
        <w:rPr>
          <w:sz w:val="20"/>
          <w:szCs w:val="20"/>
          <w:color w:val="auto"/>
        </w:rPr>
      </w:pPr>
    </w:p>
    <w:p>
      <w:pPr>
        <w:ind w:left="760" w:right="259"/>
        <w:spacing w:after="0" w:line="248" w:lineRule="auto"/>
        <w:rPr>
          <w:sz w:val="20"/>
          <w:szCs w:val="20"/>
          <w:color w:val="auto"/>
        </w:rPr>
      </w:pPr>
      <w:r>
        <w:rPr>
          <w:rFonts w:ascii="Arial" w:cs="Arial" w:eastAsia="Arial" w:hAnsi="Arial"/>
          <w:sz w:val="16"/>
          <w:szCs w:val="16"/>
          <w:color w:val="auto"/>
        </w:rPr>
        <w:t>Under the Original Articles, the Board was given power to disapply the pre-emption rights of existing shareholders in relation to the allotment of equity securities pursuant to the existing authority to allot described under Proposal No. 4 above. This power was granted for a period of five years and, accordingly, is expected to expire on 19 October 2020. Proposal No. 5 is being proposed because of such upcoming expiry. In addition, the existing power: (i) has to date been utilised in connection with equity awards made under the Company’s incentive plans; and (ii) may be substantially utilised between the date of this proxy statement and the AGM if the Company decides to pursue a strategic capital raising involving the issuance of equity or equity linked securities (as described below).</w:t>
      </w:r>
    </w:p>
    <w:p>
      <w:pPr>
        <w:spacing w:after="0" w:line="87" w:lineRule="exact"/>
        <w:rPr>
          <w:sz w:val="20"/>
          <w:szCs w:val="20"/>
          <w:color w:val="auto"/>
        </w:rPr>
      </w:pPr>
    </w:p>
    <w:p>
      <w:pPr>
        <w:ind w:left="760" w:right="219"/>
        <w:spacing w:after="0" w:line="248" w:lineRule="auto"/>
        <w:rPr>
          <w:sz w:val="20"/>
          <w:szCs w:val="20"/>
          <w:color w:val="auto"/>
        </w:rPr>
      </w:pPr>
      <w:r>
        <w:rPr>
          <w:rFonts w:ascii="Arial" w:cs="Arial" w:eastAsia="Arial" w:hAnsi="Arial"/>
          <w:sz w:val="16"/>
          <w:szCs w:val="16"/>
          <w:color w:val="auto"/>
        </w:rPr>
        <w:t>If passed, this would allow the Board to allot new equity securities or to sell treasury shares held by the Company without first offering them to shareholders in proportion to their existing holdings up to an aggregate nominal amount of: (a) £9,882,722 for general purposes; and (b) an additional £3,218,206 in connection with the grant or exercise of awards made under the Company’s incentive plans from time to time. The amount set out under (a) is equivalent to approximately 20% of the Company’s total issued ordinary share capital as at May 14, 2020, the latest practicable date prior to the date of this proxy statement. The amount set out under (b) is equivalent to the number of shares in respect of which future grants can be made under the Company’s 2015 Incentive Award Plan.</w:t>
      </w:r>
    </w:p>
    <w:p>
      <w:pPr>
        <w:spacing w:after="0" w:line="73" w:lineRule="exact"/>
        <w:rPr>
          <w:sz w:val="20"/>
          <w:szCs w:val="20"/>
          <w:color w:val="auto"/>
        </w:rPr>
      </w:pPr>
    </w:p>
    <w:p>
      <w:pPr>
        <w:ind w:left="760" w:right="279"/>
        <w:spacing w:after="0" w:line="273" w:lineRule="auto"/>
        <w:rPr>
          <w:sz w:val="20"/>
          <w:szCs w:val="20"/>
          <w:color w:val="auto"/>
        </w:rPr>
      </w:pPr>
      <w:r>
        <w:rPr>
          <w:rFonts w:ascii="Arial" w:cs="Arial" w:eastAsia="Arial" w:hAnsi="Arial"/>
          <w:sz w:val="15"/>
          <w:szCs w:val="15"/>
          <w:color w:val="auto"/>
        </w:rPr>
        <w:t>This power will (unless previously revoked, varied or renewed) expire on the date that is five (5) years after the date on which this resolution is passed. This power is in addition to (and does not replace) any such previous power given to the Board, including the existing power under our current Articles of Association (under which the Board has remaining power to disapply pre-emption rights in relation to the allotment of equity securities up to an aggregate nominal value of approximately £4,600,000).</w:t>
      </w:r>
    </w:p>
    <w:p>
      <w:pPr>
        <w:spacing w:after="0" w:line="66" w:lineRule="exact"/>
        <w:rPr>
          <w:sz w:val="20"/>
          <w:szCs w:val="20"/>
          <w:color w:val="auto"/>
        </w:rPr>
      </w:pPr>
    </w:p>
    <w:p>
      <w:pPr>
        <w:ind w:left="760" w:right="219"/>
        <w:spacing w:after="0" w:line="249" w:lineRule="auto"/>
        <w:rPr>
          <w:sz w:val="20"/>
          <w:szCs w:val="20"/>
          <w:color w:val="auto"/>
        </w:rPr>
      </w:pPr>
      <w:r>
        <w:rPr>
          <w:rFonts w:ascii="Arial" w:cs="Arial" w:eastAsia="Arial" w:hAnsi="Arial"/>
          <w:sz w:val="16"/>
          <w:szCs w:val="16"/>
          <w:color w:val="auto"/>
        </w:rPr>
        <w:t>The Board believes that a large majority of public companies based in the US do not have mandatory pre-emptive rights provisions with respect to their common equity. As a result of the utilisation of the existing power and its upcoming expiry on October 19, 2020, without the approval of this Proposal No. 5, the Company may not be able to raise additional capital, in a timely manner or at all, if and as needed to fund its ongoing business and operations. In addition, without the approval of this Proposal No. 5, the Company may not be able to continue to grant equity awards to employees, directors, officers and consultants under the Company incentive plans.</w:t>
      </w:r>
    </w:p>
    <w:p>
      <w:pPr>
        <w:spacing w:after="0" w:line="83" w:lineRule="exact"/>
        <w:rPr>
          <w:sz w:val="20"/>
          <w:szCs w:val="20"/>
          <w:color w:val="auto"/>
        </w:rPr>
      </w:pPr>
    </w:p>
    <w:p>
      <w:pPr>
        <w:ind w:left="760" w:right="299"/>
        <w:spacing w:after="0" w:line="249" w:lineRule="auto"/>
        <w:rPr>
          <w:sz w:val="20"/>
          <w:szCs w:val="20"/>
          <w:color w:val="auto"/>
        </w:rPr>
      </w:pPr>
      <w:r>
        <w:rPr>
          <w:rFonts w:ascii="Arial" w:cs="Arial" w:eastAsia="Arial" w:hAnsi="Arial"/>
          <w:sz w:val="16"/>
          <w:szCs w:val="16"/>
          <w:color w:val="auto"/>
        </w:rPr>
        <w:t>As noted in the Company’s Q1 2020 results announcement, we are in the process of evaluating strategic capital raising options to fulfill our short- and medium-term capital needs. Among these alternatives, we have been analyzing potential offerings of equity/equity linked or debt securities. Discussions concerning these potential transactions are ongoing, and no assurance can be given that a transaction will be consummated or as to the ultimate terms of any such transaction. For a copy of the Company’s Q1 2020 results announcement, please refer to the Company’s Form 8-K filed with the SEC on April 29, 2020, which is available on the Company’s website at www.livanova.com and on the SEC’s website at www.sec.gov.</w:t>
      </w:r>
    </w:p>
    <w:p>
      <w:pPr>
        <w:spacing w:after="0" w:line="70" w:lineRule="exact"/>
        <w:rPr>
          <w:sz w:val="20"/>
          <w:szCs w:val="20"/>
          <w:color w:val="auto"/>
        </w:rPr>
      </w:pPr>
    </w:p>
    <w:p>
      <w:pPr>
        <w:ind w:left="760" w:right="219"/>
        <w:spacing w:after="0" w:line="249" w:lineRule="auto"/>
        <w:rPr>
          <w:sz w:val="20"/>
          <w:szCs w:val="20"/>
          <w:color w:val="auto"/>
        </w:rPr>
      </w:pPr>
      <w:r>
        <w:rPr>
          <w:rFonts w:ascii="Arial" w:cs="Arial" w:eastAsia="Arial" w:hAnsi="Arial"/>
          <w:sz w:val="16"/>
          <w:szCs w:val="16"/>
          <w:color w:val="auto"/>
        </w:rPr>
        <w:t>The Company currently expects that, if it decides to pursue any such strategic capital raising, this would be consummated prior to the AGM. This would mean that any equity or equity linked securities issued in such capital raising would be issued (in whole or in part) pursuant to the existing power. The Company may utilise the power sought under Proposal 5 (in whole or in part) in respect of any such strategic capital raising consummated after the AGM or may structure any such strategic capital raising such that any equity or equity linked securities issued in such capital raising would be issued partly pursuant to the existing power and partly pursuant to the power sought under Proposal 5.</w:t>
      </w:r>
    </w:p>
    <w:p>
      <w:pPr>
        <w:spacing w:after="0" w:line="377" w:lineRule="exact"/>
        <w:rPr>
          <w:sz w:val="20"/>
          <w:szCs w:val="20"/>
          <w:color w:val="auto"/>
        </w:rPr>
      </w:pPr>
    </w:p>
    <w:p>
      <w:pPr>
        <w:ind w:left="760"/>
        <w:spacing w:after="0"/>
        <w:rPr>
          <w:sz w:val="20"/>
          <w:szCs w:val="20"/>
          <w:color w:val="auto"/>
        </w:rPr>
      </w:pPr>
      <w:r>
        <w:rPr>
          <w:rFonts w:ascii="Arial" w:cs="Arial" w:eastAsia="Arial" w:hAnsi="Arial"/>
          <w:sz w:val="31"/>
          <w:szCs w:val="31"/>
          <w:b w:val="1"/>
          <w:bCs w:val="1"/>
          <w:color w:val="4800E6"/>
        </w:rPr>
        <w:t>Vote Required</w:t>
      </w:r>
    </w:p>
    <w:p>
      <w:pPr>
        <w:spacing w:after="0" w:line="146" w:lineRule="exact"/>
        <w:rPr>
          <w:sz w:val="20"/>
          <w:szCs w:val="20"/>
          <w:color w:val="auto"/>
        </w:rPr>
      </w:pPr>
    </w:p>
    <w:p>
      <w:pPr>
        <w:ind w:left="760" w:right="379"/>
        <w:spacing w:after="0" w:line="260" w:lineRule="auto"/>
        <w:rPr>
          <w:sz w:val="20"/>
          <w:szCs w:val="20"/>
          <w:color w:val="auto"/>
        </w:rPr>
      </w:pPr>
      <w:r>
        <w:rPr>
          <w:rFonts w:ascii="Arial" w:cs="Arial" w:eastAsia="Arial" w:hAnsi="Arial"/>
          <w:sz w:val="16"/>
          <w:szCs w:val="16"/>
          <w:color w:val="auto"/>
        </w:rPr>
        <w:t>This resolution must be approved by shareholders representing at least 75% of the votes cast on the resolution. Abstentions and broker non-votes will not be counted as a vote either for or against this resolution.</w:t>
      </w:r>
    </w:p>
    <w:p>
      <w:pPr>
        <w:spacing w:after="0" w:line="368" w:lineRule="exact"/>
        <w:rPr>
          <w:sz w:val="20"/>
          <w:szCs w:val="20"/>
          <w:color w:val="auto"/>
        </w:rPr>
      </w:pPr>
    </w:p>
    <w:p>
      <w:pPr>
        <w:ind w:left="760"/>
        <w:spacing w:after="0"/>
        <w:rPr>
          <w:sz w:val="20"/>
          <w:szCs w:val="20"/>
          <w:color w:val="auto"/>
        </w:rPr>
      </w:pPr>
      <w:r>
        <w:rPr>
          <w:rFonts w:ascii="Arial" w:cs="Arial" w:eastAsia="Arial" w:hAnsi="Arial"/>
          <w:sz w:val="31"/>
          <w:szCs w:val="31"/>
          <w:b w:val="1"/>
          <w:bCs w:val="1"/>
          <w:color w:val="4800E6"/>
        </w:rPr>
        <w:t>Board Recommendation</w:t>
      </w:r>
    </w:p>
    <w:p>
      <w:pPr>
        <w:spacing w:after="0" w:line="85" w:lineRule="exact"/>
        <w:rPr>
          <w:sz w:val="20"/>
          <w:szCs w:val="20"/>
          <w:color w:val="auto"/>
        </w:rPr>
      </w:pPr>
    </w:p>
    <w:p>
      <w:pPr>
        <w:ind w:left="1080" w:right="339"/>
        <w:spacing w:after="0" w:line="321" w:lineRule="auto"/>
        <w:rPr>
          <w:sz w:val="20"/>
          <w:szCs w:val="20"/>
          <w:color w:val="auto"/>
        </w:rPr>
      </w:pPr>
      <w:r>
        <w:rPr>
          <w:rFonts w:ascii="Arial" w:cs="Arial" w:eastAsia="Arial" w:hAnsi="Arial"/>
          <w:sz w:val="16"/>
          <w:szCs w:val="16"/>
          <w:color w:val="auto"/>
        </w:rPr>
        <w:t xml:space="preserve">THE BOARD RECOMMENDS A </w:t>
      </w:r>
      <w:r>
        <w:rPr>
          <w:rFonts w:ascii="Arial" w:cs="Arial" w:eastAsia="Arial" w:hAnsi="Arial"/>
          <w:sz w:val="16"/>
          <w:szCs w:val="16"/>
          <w:b w:val="1"/>
          <w:bCs w:val="1"/>
          <w:color w:val="FF4C4C"/>
        </w:rPr>
        <w:t>VOTE FOR</w:t>
      </w:r>
      <w:r>
        <w:rPr>
          <w:rFonts w:ascii="Arial" w:cs="Arial" w:eastAsia="Arial" w:hAnsi="Arial"/>
          <w:sz w:val="16"/>
          <w:szCs w:val="16"/>
          <w:color w:val="auto"/>
        </w:rPr>
        <w:t xml:space="preserve"> THE APPROVAL OF THE SPECIAL RESOLUTION TO GRANT THE POWER TO DISAPPLY PRE-EMPTION RIGHTS FOR A PERIOD OF FIVE YEARS.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485140</wp:posOffset>
            </wp:positionH>
            <wp:positionV relativeFrom="paragraph">
              <wp:posOffset>-309245</wp:posOffset>
            </wp:positionV>
            <wp:extent cx="137160" cy="137160"/>
            <wp:wrapNone/>
            <wp:docPr id="292" name="Picture 2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2"/>
                    <pic:cNvPicPr>
                      <a:picLocks noChangeAspect="1" noChangeArrowheads="1"/>
                    </pic:cNvPicPr>
                  </pic:nvPicPr>
                  <pic:blipFill>
                    <a:blip r:embed="rId299">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ectPr>
          <w:pgSz w:w="11900" w:h="16838" w:orient="portrait"/>
          <w:cols w:equalWidth="0" w:num="1">
            <w:col w:w="10139"/>
          </w:cols>
          <w:pgMar w:left="320" w:top="132" w:right="1440" w:bottom="1440" w:gutter="0" w:footer="0" w:header="0"/>
        </w:sectPr>
      </w:pPr>
    </w:p>
    <w:p>
      <w:pPr>
        <w:ind w:left="480"/>
        <w:spacing w:after="0"/>
        <w:tabs>
          <w:tab w:leader="none" w:pos="4400" w:val="left"/>
          <w:tab w:leader="none" w:pos="8760" w:val="left"/>
        </w:tabs>
        <w:rPr>
          <w:sz w:val="20"/>
          <w:szCs w:val="20"/>
          <w:color w:val="auto"/>
        </w:rPr>
      </w:pPr>
      <w:r>
        <w:rPr>
          <w:rFonts w:ascii="Arial" w:cs="Arial" w:eastAsia="Arial" w:hAnsi="Arial"/>
          <w:sz w:val="26"/>
          <w:szCs w:val="26"/>
          <w:b w:val="1"/>
          <w:bCs w:val="1"/>
          <w:color w:val="auto"/>
          <w:vertAlign w:val="subscript"/>
        </w:rPr>
        <w:t>57</w:t>
      </w:r>
      <w:r>
        <w:rPr>
          <w:sz w:val="20"/>
          <w:szCs w:val="20"/>
          <w:color w:val="auto"/>
        </w:rPr>
        <w:tab/>
      </w:r>
      <w:r>
        <w:rPr>
          <w:rFonts w:ascii="Arial" w:cs="Arial" w:eastAsia="Arial" w:hAnsi="Arial"/>
          <w:sz w:val="12"/>
          <w:szCs w:val="12"/>
          <w:b w:val="1"/>
          <w:bCs w:val="1"/>
          <w:color w:val="4800E6"/>
        </w:rPr>
        <w:t xml:space="preserve">LIVANOVA </w:t>
      </w:r>
      <w:r>
        <w:rPr>
          <w:rFonts w:ascii="Arial" w:cs="Arial" w:eastAsia="Arial" w:hAnsi="Arial"/>
          <w:sz w:val="12"/>
          <w:szCs w:val="12"/>
          <w:color w:val="000000"/>
        </w:rPr>
        <w:t>|</w:t>
      </w:r>
      <w:r>
        <w:rPr>
          <w:rFonts w:ascii="Arial" w:cs="Arial" w:eastAsia="Arial" w:hAnsi="Arial"/>
          <w:sz w:val="12"/>
          <w:szCs w:val="12"/>
          <w:b w:val="1"/>
          <w:bCs w:val="1"/>
          <w:color w:val="4800E6"/>
        </w:rPr>
        <w:t xml:space="preserve"> </w:t>
      </w:r>
      <w:r>
        <w:rPr>
          <w:rFonts w:ascii="Arial" w:cs="Arial" w:eastAsia="Arial" w:hAnsi="Arial"/>
          <w:sz w:val="12"/>
          <w:szCs w:val="12"/>
          <w:color w:val="4800E6"/>
        </w:rPr>
        <w:t>2020</w:t>
      </w:r>
      <w:r>
        <w:rPr>
          <w:rFonts w:ascii="Arial" w:cs="Arial" w:eastAsia="Arial" w:hAnsi="Arial"/>
          <w:sz w:val="12"/>
          <w:szCs w:val="12"/>
          <w:b w:val="1"/>
          <w:bCs w:val="1"/>
          <w:color w:val="4800E6"/>
        </w:rPr>
        <w:t xml:space="preserve"> </w:t>
      </w:r>
      <w:r>
        <w:rPr>
          <w:rFonts w:ascii="Arial" w:cs="Arial" w:eastAsia="Arial" w:hAnsi="Arial"/>
          <w:sz w:val="12"/>
          <w:szCs w:val="12"/>
          <w:color w:val="000000"/>
        </w:rPr>
        <w:t>Proxy Statement</w:t>
      </w:r>
      <w:r>
        <w:rPr>
          <w:sz w:val="20"/>
          <w:szCs w:val="20"/>
          <w:color w:val="auto"/>
        </w:rPr>
        <w:tab/>
      </w:r>
      <w:r>
        <w:rPr>
          <w:rFonts w:ascii="Arial" w:cs="Arial" w:eastAsia="Arial" w:hAnsi="Arial"/>
          <w:sz w:val="12"/>
          <w:szCs w:val="12"/>
          <w:b w:val="1"/>
          <w:bCs w:val="1"/>
          <w:color w:val="4800E6"/>
        </w:rPr>
        <w:t>www.livanova.com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561975</wp:posOffset>
            </wp:positionH>
            <wp:positionV relativeFrom="paragraph">
              <wp:posOffset>95250</wp:posOffset>
            </wp:positionV>
            <wp:extent cx="1954530" cy="8890"/>
            <wp:wrapNone/>
            <wp:docPr id="293" name="Picture 2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3"/>
                    <pic:cNvPicPr>
                      <a:picLocks noChangeAspect="1" noChangeArrowheads="1"/>
                    </pic:cNvPicPr>
                  </pic:nvPicPr>
                  <pic:blipFill>
                    <a:blip r:embed="rId300">
                      <a:extLst>
                        <a:ext uri="{28A0092B-C50C-407E-A947-70E740481C1C}"/>
                      </a:extLst>
                    </a:blip>
                    <a:srcRect/>
                    <a:stretch>
                      <a:fillRect/>
                    </a:stretch>
                  </pic:blipFill>
                  <pic:spPr bwMode="auto">
                    <a:xfrm>
                      <a:off x="0" y="0"/>
                      <a:ext cx="1954530" cy="8890"/>
                    </a:xfrm>
                    <a:prstGeom prst="rect">
                      <a:avLst/>
                    </a:prstGeom>
                    <a:noFill/>
                  </pic:spPr>
                </pic:pic>
              </a:graphicData>
            </a:graphic>
          </wp:anchor>
        </w:drawing>
        <w:drawing>
          <wp:anchor simplePos="0" relativeHeight="251657728" behindDoc="1" locked="0" layoutInCell="0" allowOverlap="1">
            <wp:simplePos x="0" y="0"/>
            <wp:positionH relativeFrom="column">
              <wp:posOffset>4316730</wp:posOffset>
            </wp:positionH>
            <wp:positionV relativeFrom="paragraph">
              <wp:posOffset>95250</wp:posOffset>
            </wp:positionV>
            <wp:extent cx="1028700" cy="8890"/>
            <wp:wrapNone/>
            <wp:docPr id="294" name="Picture 2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4"/>
                    <pic:cNvPicPr>
                      <a:picLocks noChangeAspect="1" noChangeArrowheads="1"/>
                    </pic:cNvPicPr>
                  </pic:nvPicPr>
                  <pic:blipFill>
                    <a:blip r:embed="rId301">
                      <a:extLst>
                        <a:ext uri="{28A0092B-C50C-407E-A947-70E740481C1C}"/>
                      </a:extLst>
                    </a:blip>
                    <a:srcRect/>
                    <a:stretch>
                      <a:fillRect/>
                    </a:stretch>
                  </pic:blipFill>
                  <pic:spPr bwMode="auto">
                    <a:xfrm>
                      <a:off x="0" y="0"/>
                      <a:ext cx="102870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232410</wp:posOffset>
            </wp:positionV>
            <wp:extent cx="6806565" cy="17145"/>
            <wp:wrapNone/>
            <wp:docPr id="295" name="Picture 2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5"/>
                    <pic:cNvPicPr>
                      <a:picLocks noChangeAspect="1" noChangeArrowheads="1"/>
                    </pic:cNvPicPr>
                  </pic:nvPicPr>
                  <pic:blipFill>
                    <a:blip r:embed="rId302">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10139"/>
          </w:cols>
          <w:pgMar w:left="320" w:top="132" w:right="1440" w:bottom="1440" w:gutter="0" w:footer="0" w:header="0"/>
          <w:type w:val="continuous"/>
        </w:sectPr>
      </w:pPr>
    </w:p>
    <w:bookmarkStart w:id="61" w:name="page62"/>
    <w:bookmarkEnd w:id="61"/>
    <w:p>
      <w:pPr>
        <w:spacing w:after="0"/>
        <w:rPr>
          <w:rFonts w:ascii="Arial" w:cs="Arial" w:eastAsia="Arial" w:hAnsi="Arial"/>
          <w:sz w:val="14"/>
          <w:szCs w:val="14"/>
          <w:color w:val="003366"/>
        </w:rPr>
      </w:pPr>
      <w:hyperlink w:anchor="page5">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ind w:left="760" w:right="1860"/>
        <w:spacing w:after="0" w:line="278" w:lineRule="auto"/>
        <w:rPr>
          <w:sz w:val="20"/>
          <w:szCs w:val="20"/>
          <w:color w:val="auto"/>
        </w:rPr>
      </w:pPr>
      <w:r>
        <w:rPr>
          <w:rFonts w:ascii="Arial" w:cs="Arial" w:eastAsia="Arial" w:hAnsi="Arial"/>
          <w:sz w:val="47"/>
          <w:szCs w:val="47"/>
          <w:b w:val="1"/>
          <w:bCs w:val="1"/>
          <w:color w:val="4800E6"/>
        </w:rPr>
        <w:t xml:space="preserve">Proposal No. 6 </w:t>
      </w:r>
      <w:r>
        <w:rPr>
          <w:rFonts w:ascii="Arial" w:cs="Arial" w:eastAsia="Arial" w:hAnsi="Arial"/>
          <w:sz w:val="47"/>
          <w:szCs w:val="47"/>
          <w:b w:val="1"/>
          <w:bCs w:val="1"/>
          <w:color w:val="666666"/>
        </w:rPr>
        <w:t>Special Resolution to</w:t>
      </w:r>
      <w:r>
        <w:rPr>
          <w:rFonts w:ascii="Arial" w:cs="Arial" w:eastAsia="Arial" w:hAnsi="Arial"/>
          <w:sz w:val="47"/>
          <w:szCs w:val="47"/>
          <w:b w:val="1"/>
          <w:bCs w:val="1"/>
          <w:color w:val="4800E6"/>
        </w:rPr>
        <w:t xml:space="preserve"> </w:t>
      </w:r>
      <w:r>
        <w:rPr>
          <w:rFonts w:ascii="Arial" w:cs="Arial" w:eastAsia="Arial" w:hAnsi="Arial"/>
          <w:sz w:val="47"/>
          <w:szCs w:val="47"/>
          <w:b w:val="1"/>
          <w:bCs w:val="1"/>
          <w:color w:val="666666"/>
        </w:rPr>
        <w:t>Adopt New Articles</w:t>
      </w:r>
    </w:p>
    <w:p>
      <w:pPr>
        <w:spacing w:after="0" w:line="1" w:lineRule="exact"/>
        <w:rPr>
          <w:sz w:val="20"/>
          <w:szCs w:val="20"/>
          <w:color w:val="auto"/>
        </w:rPr>
      </w:pPr>
    </w:p>
    <w:p>
      <w:pPr>
        <w:ind w:left="760" w:right="860"/>
        <w:spacing w:after="0" w:line="260" w:lineRule="auto"/>
        <w:rPr>
          <w:sz w:val="20"/>
          <w:szCs w:val="20"/>
          <w:color w:val="auto"/>
        </w:rPr>
      </w:pPr>
      <w:r>
        <w:rPr>
          <w:rFonts w:ascii="Arial" w:cs="Arial" w:eastAsia="Arial" w:hAnsi="Arial"/>
          <w:sz w:val="16"/>
          <w:szCs w:val="16"/>
          <w:color w:val="auto"/>
        </w:rPr>
        <w:t>Our shareholders are being asked to consider and approve the adoption of the New Articles, which is being proposed as a special resolution under Proposal No. 6.</w:t>
      </w:r>
    </w:p>
    <w:p>
      <w:pPr>
        <w:spacing w:after="0" w:line="74" w:lineRule="exact"/>
        <w:rPr>
          <w:sz w:val="20"/>
          <w:szCs w:val="20"/>
          <w:color w:val="auto"/>
        </w:rPr>
      </w:pPr>
    </w:p>
    <w:p>
      <w:pPr>
        <w:jc w:val="both"/>
        <w:ind w:left="760" w:right="1200"/>
        <w:spacing w:after="0" w:line="253" w:lineRule="auto"/>
        <w:rPr>
          <w:sz w:val="20"/>
          <w:szCs w:val="20"/>
          <w:color w:val="auto"/>
        </w:rPr>
      </w:pPr>
      <w:r>
        <w:rPr>
          <w:rFonts w:ascii="Arial" w:cs="Arial" w:eastAsia="Arial" w:hAnsi="Arial"/>
          <w:sz w:val="16"/>
          <w:szCs w:val="16"/>
          <w:color w:val="auto"/>
        </w:rPr>
        <w:t>The full text of the proposed New Articles marked to show changes from the existing Articles of Association is attached to this proxy statement as Appendix A. We urge you to read the text of the New Articles in its entirety. The following descriptions are qualified in their entirety by reference to Appendix A.</w:t>
      </w:r>
    </w:p>
    <w:p>
      <w:pPr>
        <w:spacing w:after="0" w:line="374" w:lineRule="exact"/>
        <w:rPr>
          <w:sz w:val="20"/>
          <w:szCs w:val="20"/>
          <w:color w:val="auto"/>
        </w:rPr>
      </w:pPr>
    </w:p>
    <w:p>
      <w:pPr>
        <w:ind w:left="760"/>
        <w:spacing w:after="0"/>
        <w:rPr>
          <w:sz w:val="20"/>
          <w:szCs w:val="20"/>
          <w:color w:val="auto"/>
        </w:rPr>
      </w:pPr>
      <w:r>
        <w:rPr>
          <w:rFonts w:ascii="Arial" w:cs="Arial" w:eastAsia="Arial" w:hAnsi="Arial"/>
          <w:sz w:val="31"/>
          <w:szCs w:val="31"/>
          <w:b w:val="1"/>
          <w:bCs w:val="1"/>
          <w:color w:val="4800E6"/>
        </w:rPr>
        <w:t>Effective Date</w:t>
      </w:r>
    </w:p>
    <w:p>
      <w:pPr>
        <w:spacing w:after="0" w:line="132" w:lineRule="exact"/>
        <w:rPr>
          <w:sz w:val="20"/>
          <w:szCs w:val="20"/>
          <w:color w:val="auto"/>
        </w:rPr>
      </w:pPr>
    </w:p>
    <w:p>
      <w:pPr>
        <w:ind w:left="760"/>
        <w:spacing w:after="0"/>
        <w:rPr>
          <w:sz w:val="20"/>
          <w:szCs w:val="20"/>
          <w:color w:val="auto"/>
        </w:rPr>
      </w:pPr>
      <w:r>
        <w:rPr>
          <w:rFonts w:ascii="Arial" w:cs="Arial" w:eastAsia="Arial" w:hAnsi="Arial"/>
          <w:sz w:val="16"/>
          <w:szCs w:val="16"/>
          <w:color w:val="auto"/>
        </w:rPr>
        <w:t>The New Articles will become effective on the passing of the special resolution under Proposal No. 6 at the 2020 AGM.</w:t>
      </w:r>
    </w:p>
    <w:p>
      <w:pPr>
        <w:spacing w:after="0" w:line="100" w:lineRule="exact"/>
        <w:rPr>
          <w:sz w:val="20"/>
          <w:szCs w:val="20"/>
          <w:color w:val="auto"/>
        </w:rPr>
      </w:pPr>
    </w:p>
    <w:p>
      <w:pPr>
        <w:ind w:left="760" w:right="1000"/>
        <w:spacing w:after="0" w:line="260" w:lineRule="auto"/>
        <w:rPr>
          <w:sz w:val="20"/>
          <w:szCs w:val="20"/>
          <w:color w:val="auto"/>
        </w:rPr>
      </w:pPr>
      <w:r>
        <w:rPr>
          <w:rFonts w:ascii="Arial" w:cs="Arial" w:eastAsia="Arial" w:hAnsi="Arial"/>
          <w:sz w:val="16"/>
          <w:szCs w:val="16"/>
          <w:color w:val="auto"/>
        </w:rPr>
        <w:t>The following table provides a summary comparison of certain material changes between our current Articles of Association and the proposed New Articles:</w:t>
      </w:r>
    </w:p>
    <w:p>
      <w:pPr>
        <w:spacing w:after="0" w:line="126" w:lineRule="exact"/>
        <w:rPr>
          <w:sz w:val="20"/>
          <w:szCs w:val="20"/>
          <w:color w:val="auto"/>
        </w:rPr>
      </w:pPr>
    </w:p>
    <w:p>
      <w:pPr>
        <w:ind w:left="820"/>
        <w:spacing w:after="0"/>
        <w:tabs>
          <w:tab w:leader="none" w:pos="4780" w:val="left"/>
          <w:tab w:leader="none" w:pos="7820" w:val="left"/>
        </w:tabs>
        <w:rPr>
          <w:sz w:val="20"/>
          <w:szCs w:val="20"/>
          <w:color w:val="auto"/>
        </w:rPr>
      </w:pPr>
      <w:r>
        <w:rPr>
          <w:rFonts w:ascii="Arial" w:cs="Arial" w:eastAsia="Arial" w:hAnsi="Arial"/>
          <w:sz w:val="14"/>
          <w:szCs w:val="14"/>
          <w:b w:val="1"/>
          <w:bCs w:val="1"/>
          <w:color w:val="4800E6"/>
        </w:rPr>
        <w:t>Subject</w:t>
      </w:r>
      <w:r>
        <w:rPr>
          <w:sz w:val="20"/>
          <w:szCs w:val="20"/>
          <w:color w:val="auto"/>
        </w:rPr>
        <w:tab/>
      </w:r>
      <w:r>
        <w:rPr>
          <w:rFonts w:ascii="Arial" w:cs="Arial" w:eastAsia="Arial" w:hAnsi="Arial"/>
          <w:sz w:val="14"/>
          <w:szCs w:val="14"/>
          <w:b w:val="1"/>
          <w:bCs w:val="1"/>
          <w:color w:val="4800E6"/>
        </w:rPr>
        <w:t>Existing Articles</w:t>
      </w:r>
      <w:r>
        <w:rPr>
          <w:sz w:val="20"/>
          <w:szCs w:val="20"/>
          <w:color w:val="auto"/>
        </w:rPr>
        <w:tab/>
      </w:r>
      <w:r>
        <w:rPr>
          <w:rFonts w:ascii="Arial" w:cs="Arial" w:eastAsia="Arial" w:hAnsi="Arial"/>
          <w:sz w:val="14"/>
          <w:szCs w:val="14"/>
          <w:b w:val="1"/>
          <w:bCs w:val="1"/>
          <w:color w:val="4800E6"/>
        </w:rPr>
        <w:t>Proposed Change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485140</wp:posOffset>
            </wp:positionH>
            <wp:positionV relativeFrom="paragraph">
              <wp:posOffset>26035</wp:posOffset>
            </wp:positionV>
            <wp:extent cx="5829300" cy="8255"/>
            <wp:wrapNone/>
            <wp:docPr id="296" name="Picture 2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6"/>
                    <pic:cNvPicPr>
                      <a:picLocks noChangeAspect="1" noChangeArrowheads="1"/>
                    </pic:cNvPicPr>
                  </pic:nvPicPr>
                  <pic:blipFill>
                    <a:blip r:embed="rId303">
                      <a:extLst>
                        <a:ext uri="{28A0092B-C50C-407E-A947-70E740481C1C}"/>
                      </a:extLst>
                    </a:blip>
                    <a:srcRect/>
                    <a:stretch>
                      <a:fillRect/>
                    </a:stretch>
                  </pic:blipFill>
                  <pic:spPr bwMode="auto">
                    <a:xfrm>
                      <a:off x="0" y="0"/>
                      <a:ext cx="5829300" cy="8255"/>
                    </a:xfrm>
                    <a:prstGeom prst="rect">
                      <a:avLst/>
                    </a:prstGeom>
                    <a:noFill/>
                  </pic:spPr>
                </pic:pic>
              </a:graphicData>
            </a:graphic>
          </wp:anchor>
        </w:drawing>
      </w:r>
    </w:p>
    <w:p>
      <w:pPr>
        <w:sectPr>
          <w:pgSz w:w="11900" w:h="16838" w:orient="portrait"/>
          <w:cols w:equalWidth="0" w:num="1">
            <w:col w:w="10720"/>
          </w:cols>
          <w:pgMar w:left="320" w:top="132" w:right="859" w:bottom="1440" w:gutter="0" w:footer="0" w:header="0"/>
        </w:sectPr>
      </w:pPr>
    </w:p>
    <w:p>
      <w:pPr>
        <w:spacing w:after="0" w:line="75" w:lineRule="exact"/>
        <w:rPr>
          <w:sz w:val="20"/>
          <w:szCs w:val="20"/>
          <w:color w:val="auto"/>
        </w:rPr>
      </w:pPr>
    </w:p>
    <w:p>
      <w:pPr>
        <w:ind w:left="820"/>
        <w:spacing w:after="0"/>
        <w:tabs>
          <w:tab w:leader="none" w:pos="3880" w:val="left"/>
        </w:tabs>
        <w:rPr>
          <w:sz w:val="20"/>
          <w:szCs w:val="20"/>
          <w:color w:val="auto"/>
        </w:rPr>
      </w:pPr>
      <w:r>
        <w:rPr>
          <w:rFonts w:ascii="Arial" w:cs="Arial" w:eastAsia="Arial" w:hAnsi="Arial"/>
          <w:sz w:val="16"/>
          <w:szCs w:val="16"/>
          <w:color w:val="auto"/>
        </w:rPr>
        <w:t>Election of Directors</w:t>
      </w:r>
      <w:r>
        <w:rPr>
          <w:sz w:val="20"/>
          <w:szCs w:val="20"/>
          <w:color w:val="auto"/>
        </w:rPr>
        <w:tab/>
      </w:r>
      <w:r>
        <w:rPr>
          <w:rFonts w:ascii="Arial" w:cs="Arial" w:eastAsia="Arial" w:hAnsi="Arial"/>
          <w:sz w:val="16"/>
          <w:szCs w:val="16"/>
          <w:color w:val="auto"/>
        </w:rPr>
        <w:t>Directors of the Company are elected by</w:t>
      </w:r>
    </w:p>
    <w:p>
      <w:pPr>
        <w:ind w:left="3900"/>
        <w:spacing w:after="0"/>
        <w:rPr>
          <w:sz w:val="20"/>
          <w:szCs w:val="20"/>
          <w:color w:val="auto"/>
        </w:rPr>
      </w:pPr>
      <w:r>
        <w:rPr>
          <w:rFonts w:ascii="Arial" w:cs="Arial" w:eastAsia="Arial" w:hAnsi="Arial"/>
          <w:sz w:val="16"/>
          <w:szCs w:val="16"/>
          <w:color w:val="auto"/>
        </w:rPr>
        <w:t>a plurality of votes cast.</w:t>
      </w:r>
    </w:p>
    <w:p>
      <w:pPr>
        <w:spacing w:after="0" w:line="20" w:lineRule="exact"/>
        <w:rPr>
          <w:sz w:val="20"/>
          <w:szCs w:val="20"/>
          <w:color w:val="auto"/>
        </w:rPr>
      </w:pPr>
      <w:r>
        <w:rPr>
          <w:sz w:val="20"/>
          <w:szCs w:val="20"/>
          <w:color w:val="auto"/>
        </w:rPr>
        <w:br w:type="column"/>
      </w:r>
    </w:p>
    <w:p>
      <w:pPr>
        <w:spacing w:after="0" w:line="77" w:lineRule="exact"/>
        <w:rPr>
          <w:sz w:val="20"/>
          <w:szCs w:val="20"/>
          <w:color w:val="auto"/>
        </w:rPr>
      </w:pPr>
    </w:p>
    <w:p>
      <w:pPr>
        <w:jc w:val="both"/>
        <w:ind w:right="840"/>
        <w:spacing w:after="0" w:line="217" w:lineRule="auto"/>
        <w:rPr>
          <w:sz w:val="20"/>
          <w:szCs w:val="20"/>
          <w:color w:val="auto"/>
        </w:rPr>
      </w:pPr>
      <w:r>
        <w:rPr>
          <w:rFonts w:ascii="Arial" w:cs="Arial" w:eastAsia="Arial" w:hAnsi="Arial"/>
          <w:sz w:val="16"/>
          <w:szCs w:val="16"/>
          <w:color w:val="auto"/>
        </w:rPr>
        <w:t>Directors of the Company shall be elected by the affirmative vote of the majority of votes cast at an annual meeting of shareholders in uncontested elections. A plurality vote standard will continue to apply to contested director elections.</w:t>
      </w:r>
    </w:p>
    <w:p>
      <w:pPr>
        <w:spacing w:after="0" w:line="22" w:lineRule="exact"/>
        <w:rPr>
          <w:sz w:val="20"/>
          <w:szCs w:val="20"/>
          <w:color w:val="auto"/>
        </w:rPr>
      </w:pPr>
    </w:p>
    <w:p>
      <w:pPr>
        <w:sectPr>
          <w:pgSz w:w="11900" w:h="16838" w:orient="portrait"/>
          <w:cols w:equalWidth="0" w:num="2">
            <w:col w:w="6780" w:space="220"/>
            <w:col w:w="3720"/>
          </w:cols>
          <w:pgMar w:left="320" w:top="132" w:right="859" w:bottom="1440" w:gutter="0" w:footer="0" w:header="0"/>
          <w:type w:val="continuous"/>
        </w:sectPr>
      </w:pPr>
    </w:p>
    <w:tbl>
      <w:tblPr>
        <w:tblLayout w:type="fixed"/>
        <w:tblInd w:w="760" w:type="dxa"/>
        <w:tblCellMar>
          <w:top w:w="0" w:type="dxa"/>
          <w:left w:w="0" w:type="dxa"/>
          <w:bottom w:w="0" w:type="dxa"/>
          <w:right w:w="0" w:type="dxa"/>
        </w:tblCellMar>
      </w:tblPr>
      <w:tr>
        <w:trPr>
          <w:trHeight w:val="217"/>
        </w:trPr>
        <w:tc>
          <w:tcPr>
            <w:tcW w:w="2780" w:type="dxa"/>
            <w:vAlign w:val="bottom"/>
            <w:shd w:val="clear" w:color="auto" w:fill="EFE9FC"/>
          </w:tcPr>
          <w:p>
            <w:pPr>
              <w:ind w:left="60"/>
              <w:spacing w:after="0"/>
              <w:rPr>
                <w:sz w:val="20"/>
                <w:szCs w:val="20"/>
                <w:color w:val="auto"/>
              </w:rPr>
            </w:pPr>
            <w:r>
              <w:rPr>
                <w:rFonts w:ascii="Arial" w:cs="Arial" w:eastAsia="Arial" w:hAnsi="Arial"/>
                <w:sz w:val="16"/>
                <w:szCs w:val="16"/>
                <w:color w:val="auto"/>
              </w:rPr>
              <w:t>Untraced Members</w:t>
            </w:r>
          </w:p>
        </w:tc>
        <w:tc>
          <w:tcPr>
            <w:tcW w:w="2960" w:type="dxa"/>
            <w:vAlign w:val="bottom"/>
            <w:gridSpan w:val="4"/>
            <w:shd w:val="clear" w:color="auto" w:fill="EFE9FC"/>
          </w:tcPr>
          <w:p>
            <w:pPr>
              <w:ind w:left="360"/>
              <w:spacing w:after="0"/>
              <w:rPr>
                <w:sz w:val="20"/>
                <w:szCs w:val="20"/>
                <w:color w:val="auto"/>
              </w:rPr>
            </w:pPr>
            <w:r>
              <w:rPr>
                <w:rFonts w:ascii="Arial" w:cs="Arial" w:eastAsia="Arial" w:hAnsi="Arial"/>
                <w:sz w:val="16"/>
                <w:szCs w:val="16"/>
                <w:color w:val="auto"/>
              </w:rPr>
              <w:t>Among other requirements, before</w:t>
            </w:r>
          </w:p>
        </w:tc>
        <w:tc>
          <w:tcPr>
            <w:tcW w:w="400" w:type="dxa"/>
            <w:vAlign w:val="bottom"/>
            <w:shd w:val="clear" w:color="auto" w:fill="EFE9FC"/>
          </w:tcPr>
          <w:p>
            <w:pPr>
              <w:jc w:val="right"/>
              <w:ind w:right="39"/>
              <w:spacing w:after="0"/>
              <w:rPr>
                <w:sz w:val="20"/>
                <w:szCs w:val="20"/>
                <w:color w:val="auto"/>
              </w:rPr>
            </w:pPr>
            <w:r>
              <w:rPr>
                <w:rFonts w:ascii="Arial" w:cs="Arial" w:eastAsia="Arial" w:hAnsi="Arial"/>
                <w:sz w:val="16"/>
                <w:szCs w:val="16"/>
                <w:color w:val="auto"/>
              </w:rPr>
              <w:t>the</w:t>
            </w:r>
          </w:p>
        </w:tc>
        <w:tc>
          <w:tcPr>
            <w:tcW w:w="3040" w:type="dxa"/>
            <w:vAlign w:val="bottom"/>
            <w:shd w:val="clear" w:color="auto" w:fill="EFE9FC"/>
          </w:tcPr>
          <w:p>
            <w:pPr>
              <w:ind w:left="100"/>
              <w:spacing w:after="0"/>
              <w:rPr>
                <w:sz w:val="20"/>
                <w:szCs w:val="20"/>
                <w:color w:val="auto"/>
              </w:rPr>
            </w:pPr>
            <w:r>
              <w:rPr>
                <w:rFonts w:ascii="Arial" w:cs="Arial" w:eastAsia="Arial" w:hAnsi="Arial"/>
                <w:sz w:val="16"/>
                <w:szCs w:val="16"/>
                <w:color w:val="auto"/>
              </w:rPr>
              <w:t>Among other requirements, before the</w:t>
            </w:r>
          </w:p>
        </w:tc>
      </w:tr>
      <w:tr>
        <w:trPr>
          <w:trHeight w:val="162"/>
        </w:trPr>
        <w:tc>
          <w:tcPr>
            <w:tcW w:w="2780" w:type="dxa"/>
            <w:vAlign w:val="bottom"/>
            <w:shd w:val="clear" w:color="auto" w:fill="EFE9FC"/>
          </w:tcPr>
          <w:p>
            <w:pPr>
              <w:spacing w:after="0"/>
              <w:rPr>
                <w:sz w:val="14"/>
                <w:szCs w:val="14"/>
                <w:color w:val="auto"/>
              </w:rPr>
            </w:pPr>
          </w:p>
        </w:tc>
        <w:tc>
          <w:tcPr>
            <w:tcW w:w="3360" w:type="dxa"/>
            <w:vAlign w:val="bottom"/>
            <w:gridSpan w:val="5"/>
            <w:shd w:val="clear" w:color="auto" w:fill="EFE9FC"/>
          </w:tcPr>
          <w:p>
            <w:pPr>
              <w:ind w:left="360"/>
              <w:spacing w:after="0" w:line="162" w:lineRule="exact"/>
              <w:rPr>
                <w:sz w:val="20"/>
                <w:szCs w:val="20"/>
                <w:color w:val="auto"/>
              </w:rPr>
            </w:pPr>
            <w:r>
              <w:rPr>
                <w:rFonts w:ascii="Arial" w:cs="Arial" w:eastAsia="Arial" w:hAnsi="Arial"/>
                <w:sz w:val="16"/>
                <w:szCs w:val="16"/>
                <w:color w:val="auto"/>
              </w:rPr>
              <w:t>Company  can  sell  the  shares  of  an</w:t>
            </w:r>
          </w:p>
        </w:tc>
        <w:tc>
          <w:tcPr>
            <w:tcW w:w="3040" w:type="dxa"/>
            <w:vAlign w:val="bottom"/>
            <w:shd w:val="clear" w:color="auto" w:fill="EFE9FC"/>
          </w:tcPr>
          <w:p>
            <w:pPr>
              <w:ind w:left="100"/>
              <w:spacing w:after="0" w:line="162" w:lineRule="exact"/>
              <w:rPr>
                <w:sz w:val="20"/>
                <w:szCs w:val="20"/>
                <w:color w:val="auto"/>
              </w:rPr>
            </w:pPr>
            <w:r>
              <w:rPr>
                <w:rFonts w:ascii="Arial" w:cs="Arial" w:eastAsia="Arial" w:hAnsi="Arial"/>
                <w:sz w:val="16"/>
                <w:szCs w:val="16"/>
                <w:color w:val="auto"/>
              </w:rPr>
              <w:t>Company  can  sell  the  shares  of  an</w:t>
            </w:r>
          </w:p>
        </w:tc>
      </w:tr>
      <w:tr>
        <w:trPr>
          <w:trHeight w:val="162"/>
        </w:trPr>
        <w:tc>
          <w:tcPr>
            <w:tcW w:w="2780" w:type="dxa"/>
            <w:vAlign w:val="bottom"/>
            <w:shd w:val="clear" w:color="auto" w:fill="EFE9FC"/>
          </w:tcPr>
          <w:p>
            <w:pPr>
              <w:spacing w:after="0"/>
              <w:rPr>
                <w:sz w:val="14"/>
                <w:szCs w:val="14"/>
                <w:color w:val="auto"/>
              </w:rPr>
            </w:pPr>
          </w:p>
        </w:tc>
        <w:tc>
          <w:tcPr>
            <w:tcW w:w="3360" w:type="dxa"/>
            <w:vAlign w:val="bottom"/>
            <w:gridSpan w:val="5"/>
            <w:shd w:val="clear" w:color="auto" w:fill="EFE9FC"/>
          </w:tcPr>
          <w:p>
            <w:pPr>
              <w:ind w:left="360"/>
              <w:spacing w:after="0" w:line="162" w:lineRule="exact"/>
              <w:rPr>
                <w:sz w:val="20"/>
                <w:szCs w:val="20"/>
                <w:color w:val="auto"/>
              </w:rPr>
            </w:pPr>
            <w:r>
              <w:rPr>
                <w:rFonts w:ascii="Arial" w:cs="Arial" w:eastAsia="Arial" w:hAnsi="Arial"/>
                <w:sz w:val="16"/>
                <w:szCs w:val="16"/>
                <w:color w:val="auto"/>
              </w:rPr>
              <w:t>untraced member, it must publish an</w:t>
            </w:r>
          </w:p>
        </w:tc>
        <w:tc>
          <w:tcPr>
            <w:tcW w:w="3040" w:type="dxa"/>
            <w:vAlign w:val="bottom"/>
            <w:shd w:val="clear" w:color="auto" w:fill="EFE9FC"/>
          </w:tcPr>
          <w:p>
            <w:pPr>
              <w:ind w:left="100"/>
              <w:spacing w:after="0" w:line="162" w:lineRule="exact"/>
              <w:rPr>
                <w:sz w:val="20"/>
                <w:szCs w:val="20"/>
                <w:color w:val="auto"/>
              </w:rPr>
            </w:pPr>
            <w:r>
              <w:rPr>
                <w:rFonts w:ascii="Arial" w:cs="Arial" w:eastAsia="Arial" w:hAnsi="Arial"/>
                <w:sz w:val="16"/>
                <w:szCs w:val="16"/>
                <w:color w:val="auto"/>
              </w:rPr>
              <w:t>untraced member, the Company must</w:t>
            </w:r>
          </w:p>
        </w:tc>
      </w:tr>
      <w:tr>
        <w:trPr>
          <w:trHeight w:val="162"/>
        </w:trPr>
        <w:tc>
          <w:tcPr>
            <w:tcW w:w="2780" w:type="dxa"/>
            <w:vAlign w:val="bottom"/>
            <w:shd w:val="clear" w:color="auto" w:fill="EFE9FC"/>
          </w:tcPr>
          <w:p>
            <w:pPr>
              <w:spacing w:after="0"/>
              <w:rPr>
                <w:sz w:val="14"/>
                <w:szCs w:val="14"/>
                <w:color w:val="auto"/>
              </w:rPr>
            </w:pPr>
          </w:p>
        </w:tc>
        <w:tc>
          <w:tcPr>
            <w:tcW w:w="3360" w:type="dxa"/>
            <w:vAlign w:val="bottom"/>
            <w:gridSpan w:val="5"/>
            <w:shd w:val="clear" w:color="auto" w:fill="EFE9FC"/>
          </w:tcPr>
          <w:p>
            <w:pPr>
              <w:ind w:left="360"/>
              <w:spacing w:after="0" w:line="162" w:lineRule="exact"/>
              <w:rPr>
                <w:sz w:val="20"/>
                <w:szCs w:val="20"/>
                <w:color w:val="auto"/>
              </w:rPr>
            </w:pPr>
            <w:r>
              <w:rPr>
                <w:rFonts w:ascii="Arial" w:cs="Arial" w:eastAsia="Arial" w:hAnsi="Arial"/>
                <w:sz w:val="16"/>
                <w:szCs w:val="16"/>
                <w:color w:val="auto"/>
              </w:rPr>
              <w:t>advertisement in a leading national daily</w:t>
            </w:r>
          </w:p>
        </w:tc>
        <w:tc>
          <w:tcPr>
            <w:tcW w:w="3040" w:type="dxa"/>
            <w:vAlign w:val="bottom"/>
            <w:shd w:val="clear" w:color="auto" w:fill="EFE9FC"/>
          </w:tcPr>
          <w:p>
            <w:pPr>
              <w:ind w:left="100"/>
              <w:spacing w:after="0" w:line="162" w:lineRule="exact"/>
              <w:rPr>
                <w:sz w:val="20"/>
                <w:szCs w:val="20"/>
                <w:color w:val="auto"/>
              </w:rPr>
            </w:pPr>
            <w:r>
              <w:rPr>
                <w:rFonts w:ascii="Arial" w:cs="Arial" w:eastAsia="Arial" w:hAnsi="Arial"/>
                <w:sz w:val="16"/>
                <w:szCs w:val="16"/>
                <w:color w:val="auto"/>
              </w:rPr>
              <w:t>make   reasonable   and   appropriate</w:t>
            </w:r>
          </w:p>
        </w:tc>
      </w:tr>
      <w:tr>
        <w:trPr>
          <w:trHeight w:val="162"/>
        </w:trPr>
        <w:tc>
          <w:tcPr>
            <w:tcW w:w="2780" w:type="dxa"/>
            <w:vAlign w:val="bottom"/>
            <w:shd w:val="clear" w:color="auto" w:fill="EFE9FC"/>
          </w:tcPr>
          <w:p>
            <w:pPr>
              <w:spacing w:after="0"/>
              <w:rPr>
                <w:sz w:val="14"/>
                <w:szCs w:val="14"/>
                <w:color w:val="auto"/>
              </w:rPr>
            </w:pPr>
          </w:p>
        </w:tc>
        <w:tc>
          <w:tcPr>
            <w:tcW w:w="3360" w:type="dxa"/>
            <w:vAlign w:val="bottom"/>
            <w:gridSpan w:val="5"/>
            <w:shd w:val="clear" w:color="auto" w:fill="EFE9FC"/>
          </w:tcPr>
          <w:p>
            <w:pPr>
              <w:ind w:left="360"/>
              <w:spacing w:after="0" w:line="162" w:lineRule="exact"/>
              <w:rPr>
                <w:sz w:val="20"/>
                <w:szCs w:val="20"/>
                <w:color w:val="auto"/>
              </w:rPr>
            </w:pPr>
            <w:r>
              <w:rPr>
                <w:rFonts w:ascii="Arial" w:cs="Arial" w:eastAsia="Arial" w:hAnsi="Arial"/>
                <w:sz w:val="16"/>
                <w:szCs w:val="16"/>
                <w:color w:val="auto"/>
              </w:rPr>
              <w:t>newspaper  published  in  the  United</w:t>
            </w:r>
          </w:p>
        </w:tc>
        <w:tc>
          <w:tcPr>
            <w:tcW w:w="3040" w:type="dxa"/>
            <w:vAlign w:val="bottom"/>
            <w:shd w:val="clear" w:color="auto" w:fill="EFE9FC"/>
          </w:tcPr>
          <w:p>
            <w:pPr>
              <w:ind w:left="100"/>
              <w:spacing w:after="0" w:line="162" w:lineRule="exact"/>
              <w:rPr>
                <w:sz w:val="20"/>
                <w:szCs w:val="20"/>
                <w:color w:val="auto"/>
              </w:rPr>
            </w:pPr>
            <w:r>
              <w:rPr>
                <w:rFonts w:ascii="Arial" w:cs="Arial" w:eastAsia="Arial" w:hAnsi="Arial"/>
                <w:sz w:val="16"/>
                <w:szCs w:val="16"/>
                <w:color w:val="auto"/>
              </w:rPr>
              <w:t>tracing inquiries and send a notice to</w:t>
            </w:r>
          </w:p>
        </w:tc>
      </w:tr>
      <w:tr>
        <w:trPr>
          <w:trHeight w:val="162"/>
        </w:trPr>
        <w:tc>
          <w:tcPr>
            <w:tcW w:w="2780" w:type="dxa"/>
            <w:vAlign w:val="bottom"/>
            <w:shd w:val="clear" w:color="auto" w:fill="EFE9FC"/>
          </w:tcPr>
          <w:p>
            <w:pPr>
              <w:spacing w:after="0"/>
              <w:rPr>
                <w:sz w:val="14"/>
                <w:szCs w:val="14"/>
                <w:color w:val="auto"/>
              </w:rPr>
            </w:pPr>
          </w:p>
        </w:tc>
        <w:tc>
          <w:tcPr>
            <w:tcW w:w="3360" w:type="dxa"/>
            <w:vAlign w:val="bottom"/>
            <w:gridSpan w:val="5"/>
            <w:shd w:val="clear" w:color="auto" w:fill="EFE9FC"/>
          </w:tcPr>
          <w:p>
            <w:pPr>
              <w:ind w:left="360"/>
              <w:spacing w:after="0" w:line="162" w:lineRule="exact"/>
              <w:rPr>
                <w:sz w:val="20"/>
                <w:szCs w:val="20"/>
                <w:color w:val="auto"/>
              </w:rPr>
            </w:pPr>
            <w:r>
              <w:rPr>
                <w:rFonts w:ascii="Arial" w:cs="Arial" w:eastAsia="Arial" w:hAnsi="Arial"/>
                <w:sz w:val="16"/>
                <w:szCs w:val="16"/>
                <w:color w:val="auto"/>
              </w:rPr>
              <w:t>Kingdom and in a newspaper circulating</w:t>
            </w:r>
          </w:p>
        </w:tc>
        <w:tc>
          <w:tcPr>
            <w:tcW w:w="3040" w:type="dxa"/>
            <w:vAlign w:val="bottom"/>
            <w:shd w:val="clear" w:color="auto" w:fill="EFE9FC"/>
          </w:tcPr>
          <w:p>
            <w:pPr>
              <w:ind w:left="100"/>
              <w:spacing w:after="0" w:line="162" w:lineRule="exact"/>
              <w:rPr>
                <w:sz w:val="20"/>
                <w:szCs w:val="20"/>
                <w:color w:val="auto"/>
              </w:rPr>
            </w:pPr>
            <w:r>
              <w:rPr>
                <w:rFonts w:ascii="Arial" w:cs="Arial" w:eastAsia="Arial" w:hAnsi="Arial"/>
                <w:sz w:val="16"/>
                <w:szCs w:val="16"/>
                <w:color w:val="auto"/>
              </w:rPr>
              <w:t>such member’s last known address.</w:t>
            </w:r>
          </w:p>
        </w:tc>
      </w:tr>
      <w:tr>
        <w:trPr>
          <w:trHeight w:val="162"/>
        </w:trPr>
        <w:tc>
          <w:tcPr>
            <w:tcW w:w="2780" w:type="dxa"/>
            <w:vAlign w:val="bottom"/>
            <w:shd w:val="clear" w:color="auto" w:fill="EFE9FC"/>
          </w:tcPr>
          <w:p>
            <w:pPr>
              <w:spacing w:after="0"/>
              <w:rPr>
                <w:sz w:val="14"/>
                <w:szCs w:val="14"/>
                <w:color w:val="auto"/>
              </w:rPr>
            </w:pPr>
          </w:p>
        </w:tc>
        <w:tc>
          <w:tcPr>
            <w:tcW w:w="3360" w:type="dxa"/>
            <w:vAlign w:val="bottom"/>
            <w:gridSpan w:val="5"/>
            <w:shd w:val="clear" w:color="auto" w:fill="EFE9FC"/>
          </w:tcPr>
          <w:p>
            <w:pPr>
              <w:ind w:left="360"/>
              <w:spacing w:after="0" w:line="162" w:lineRule="exact"/>
              <w:rPr>
                <w:sz w:val="20"/>
                <w:szCs w:val="20"/>
                <w:color w:val="auto"/>
              </w:rPr>
            </w:pPr>
            <w:r>
              <w:rPr>
                <w:rFonts w:ascii="Arial" w:cs="Arial" w:eastAsia="Arial" w:hAnsi="Arial"/>
                <w:sz w:val="16"/>
                <w:szCs w:val="16"/>
                <w:color w:val="auto"/>
              </w:rPr>
              <w:t>in the area of the registered address or</w:t>
            </w:r>
          </w:p>
        </w:tc>
        <w:tc>
          <w:tcPr>
            <w:tcW w:w="3040" w:type="dxa"/>
            <w:vAlign w:val="bottom"/>
            <w:shd w:val="clear" w:color="auto" w:fill="EFE9FC"/>
          </w:tcPr>
          <w:p>
            <w:pPr>
              <w:spacing w:after="0"/>
              <w:rPr>
                <w:sz w:val="14"/>
                <w:szCs w:val="14"/>
                <w:color w:val="auto"/>
              </w:rPr>
            </w:pPr>
          </w:p>
        </w:tc>
      </w:tr>
      <w:tr>
        <w:trPr>
          <w:trHeight w:val="208"/>
        </w:trPr>
        <w:tc>
          <w:tcPr>
            <w:tcW w:w="2780" w:type="dxa"/>
            <w:vAlign w:val="bottom"/>
            <w:tcBorders>
              <w:bottom w:val="single" w:sz="8" w:color="FEFEFE"/>
            </w:tcBorders>
            <w:shd w:val="clear" w:color="auto" w:fill="EFE9FC"/>
          </w:tcPr>
          <w:p>
            <w:pPr>
              <w:spacing w:after="0"/>
              <w:rPr>
                <w:sz w:val="18"/>
                <w:szCs w:val="18"/>
                <w:color w:val="auto"/>
              </w:rPr>
            </w:pPr>
          </w:p>
        </w:tc>
        <w:tc>
          <w:tcPr>
            <w:tcW w:w="2960" w:type="dxa"/>
            <w:vAlign w:val="bottom"/>
            <w:tcBorders>
              <w:bottom w:val="single" w:sz="8" w:color="FEFEFE"/>
            </w:tcBorders>
            <w:gridSpan w:val="4"/>
            <w:shd w:val="clear" w:color="auto" w:fill="EFE9FC"/>
          </w:tcPr>
          <w:p>
            <w:pPr>
              <w:ind w:left="360"/>
              <w:spacing w:after="0"/>
              <w:rPr>
                <w:sz w:val="20"/>
                <w:szCs w:val="20"/>
                <w:color w:val="auto"/>
              </w:rPr>
            </w:pPr>
            <w:r>
              <w:rPr>
                <w:rFonts w:ascii="Arial" w:cs="Arial" w:eastAsia="Arial" w:hAnsi="Arial"/>
                <w:sz w:val="16"/>
                <w:szCs w:val="16"/>
                <w:color w:val="auto"/>
                <w:w w:val="99"/>
              </w:rPr>
              <w:t>last known address of such member.</w:t>
            </w:r>
          </w:p>
        </w:tc>
        <w:tc>
          <w:tcPr>
            <w:tcW w:w="400" w:type="dxa"/>
            <w:vAlign w:val="bottom"/>
            <w:tcBorders>
              <w:bottom w:val="single" w:sz="8" w:color="FEFEFE"/>
            </w:tcBorders>
            <w:shd w:val="clear" w:color="auto" w:fill="EFE9FC"/>
          </w:tcPr>
          <w:p>
            <w:pPr>
              <w:spacing w:after="0"/>
              <w:rPr>
                <w:sz w:val="18"/>
                <w:szCs w:val="18"/>
                <w:color w:val="auto"/>
              </w:rPr>
            </w:pPr>
          </w:p>
        </w:tc>
        <w:tc>
          <w:tcPr>
            <w:tcW w:w="3040" w:type="dxa"/>
            <w:vAlign w:val="bottom"/>
            <w:tcBorders>
              <w:bottom w:val="single" w:sz="8" w:color="FEFEFE"/>
            </w:tcBorders>
            <w:shd w:val="clear" w:color="auto" w:fill="EFE9FC"/>
          </w:tcPr>
          <w:p>
            <w:pPr>
              <w:spacing w:after="0"/>
              <w:rPr>
                <w:sz w:val="18"/>
                <w:szCs w:val="18"/>
                <w:color w:val="auto"/>
              </w:rPr>
            </w:pPr>
          </w:p>
        </w:tc>
      </w:tr>
      <w:tr>
        <w:trPr>
          <w:trHeight w:val="204"/>
        </w:trPr>
        <w:tc>
          <w:tcPr>
            <w:tcW w:w="2780" w:type="dxa"/>
            <w:vAlign w:val="bottom"/>
          </w:tcPr>
          <w:p>
            <w:pPr>
              <w:ind w:left="60"/>
              <w:spacing w:after="0"/>
              <w:rPr>
                <w:sz w:val="20"/>
                <w:szCs w:val="20"/>
                <w:color w:val="auto"/>
              </w:rPr>
            </w:pPr>
            <w:r>
              <w:rPr>
                <w:rFonts w:ascii="Arial" w:cs="Arial" w:eastAsia="Arial" w:hAnsi="Arial"/>
                <w:sz w:val="16"/>
                <w:szCs w:val="16"/>
                <w:color w:val="auto"/>
              </w:rPr>
              <w:t>Quorum at an Adjourned Meeting</w:t>
            </w:r>
          </w:p>
        </w:tc>
        <w:tc>
          <w:tcPr>
            <w:tcW w:w="700" w:type="dxa"/>
            <w:vAlign w:val="bottom"/>
          </w:tcPr>
          <w:p>
            <w:pPr>
              <w:ind w:left="360"/>
              <w:spacing w:after="0"/>
              <w:rPr>
                <w:sz w:val="20"/>
                <w:szCs w:val="20"/>
                <w:color w:val="auto"/>
              </w:rPr>
            </w:pPr>
            <w:r>
              <w:rPr>
                <w:rFonts w:ascii="Arial" w:cs="Arial" w:eastAsia="Arial" w:hAnsi="Arial"/>
                <w:sz w:val="16"/>
                <w:szCs w:val="16"/>
                <w:color w:val="auto"/>
              </w:rPr>
              <w:t>One</w:t>
            </w:r>
          </w:p>
        </w:tc>
        <w:tc>
          <w:tcPr>
            <w:tcW w:w="880" w:type="dxa"/>
            <w:vAlign w:val="bottom"/>
          </w:tcPr>
          <w:p>
            <w:pPr>
              <w:ind w:left="120"/>
              <w:spacing w:after="0"/>
              <w:rPr>
                <w:sz w:val="20"/>
                <w:szCs w:val="20"/>
                <w:color w:val="auto"/>
              </w:rPr>
            </w:pPr>
            <w:r>
              <w:rPr>
                <w:rFonts w:ascii="Arial" w:cs="Arial" w:eastAsia="Arial" w:hAnsi="Arial"/>
                <w:sz w:val="16"/>
                <w:szCs w:val="16"/>
                <w:color w:val="auto"/>
              </w:rPr>
              <w:t>qualifying</w:t>
            </w:r>
          </w:p>
        </w:tc>
        <w:tc>
          <w:tcPr>
            <w:tcW w:w="700" w:type="dxa"/>
            <w:vAlign w:val="bottom"/>
          </w:tcPr>
          <w:p>
            <w:pPr>
              <w:ind w:left="60"/>
              <w:spacing w:after="0"/>
              <w:rPr>
                <w:sz w:val="20"/>
                <w:szCs w:val="20"/>
                <w:color w:val="auto"/>
              </w:rPr>
            </w:pPr>
            <w:r>
              <w:rPr>
                <w:rFonts w:ascii="Arial" w:cs="Arial" w:eastAsia="Arial" w:hAnsi="Arial"/>
                <w:sz w:val="16"/>
                <w:szCs w:val="16"/>
                <w:color w:val="auto"/>
              </w:rPr>
              <w:t>person</w:t>
            </w:r>
          </w:p>
        </w:tc>
        <w:tc>
          <w:tcPr>
            <w:tcW w:w="680" w:type="dxa"/>
            <w:vAlign w:val="bottom"/>
          </w:tcPr>
          <w:p>
            <w:pPr>
              <w:spacing w:after="0"/>
              <w:rPr>
                <w:sz w:val="20"/>
                <w:szCs w:val="20"/>
                <w:color w:val="auto"/>
              </w:rPr>
            </w:pPr>
            <w:r>
              <w:rPr>
                <w:rFonts w:ascii="Arial" w:cs="Arial" w:eastAsia="Arial" w:hAnsi="Arial"/>
                <w:sz w:val="16"/>
                <w:szCs w:val="16"/>
                <w:color w:val="auto"/>
              </w:rPr>
              <w:t>present</w:t>
            </w:r>
          </w:p>
        </w:tc>
        <w:tc>
          <w:tcPr>
            <w:tcW w:w="400" w:type="dxa"/>
            <w:vAlign w:val="bottom"/>
          </w:tcPr>
          <w:p>
            <w:pPr>
              <w:jc w:val="right"/>
              <w:ind w:right="39"/>
              <w:spacing w:after="0"/>
              <w:rPr>
                <w:sz w:val="20"/>
                <w:szCs w:val="20"/>
                <w:color w:val="auto"/>
              </w:rPr>
            </w:pPr>
            <w:r>
              <w:rPr>
                <w:rFonts w:ascii="Arial" w:cs="Arial" w:eastAsia="Arial" w:hAnsi="Arial"/>
                <w:sz w:val="16"/>
                <w:szCs w:val="16"/>
                <w:color w:val="auto"/>
                <w:w w:val="97"/>
              </w:rPr>
              <w:t>and</w:t>
            </w:r>
          </w:p>
        </w:tc>
        <w:tc>
          <w:tcPr>
            <w:tcW w:w="3040" w:type="dxa"/>
            <w:vAlign w:val="bottom"/>
          </w:tcPr>
          <w:p>
            <w:pPr>
              <w:ind w:left="100"/>
              <w:spacing w:after="0"/>
              <w:rPr>
                <w:sz w:val="20"/>
                <w:szCs w:val="20"/>
                <w:color w:val="auto"/>
              </w:rPr>
            </w:pPr>
            <w:r>
              <w:rPr>
                <w:rFonts w:ascii="Arial" w:cs="Arial" w:eastAsia="Arial" w:hAnsi="Arial"/>
                <w:sz w:val="16"/>
                <w:szCs w:val="16"/>
                <w:color w:val="auto"/>
              </w:rPr>
              <w:t>Members present in person or by proxy</w:t>
            </w:r>
          </w:p>
        </w:tc>
      </w:tr>
      <w:tr>
        <w:trPr>
          <w:trHeight w:val="162"/>
        </w:trPr>
        <w:tc>
          <w:tcPr>
            <w:tcW w:w="2780" w:type="dxa"/>
            <w:vAlign w:val="bottom"/>
          </w:tcPr>
          <w:p>
            <w:pPr>
              <w:spacing w:after="0"/>
              <w:rPr>
                <w:sz w:val="14"/>
                <w:szCs w:val="14"/>
                <w:color w:val="auto"/>
              </w:rPr>
            </w:pPr>
          </w:p>
        </w:tc>
        <w:tc>
          <w:tcPr>
            <w:tcW w:w="1580" w:type="dxa"/>
            <w:vAlign w:val="bottom"/>
            <w:gridSpan w:val="2"/>
          </w:tcPr>
          <w:p>
            <w:pPr>
              <w:ind w:left="360"/>
              <w:spacing w:after="0" w:line="162" w:lineRule="exact"/>
              <w:rPr>
                <w:sz w:val="20"/>
                <w:szCs w:val="20"/>
                <w:color w:val="auto"/>
              </w:rPr>
            </w:pPr>
            <w:r>
              <w:rPr>
                <w:rFonts w:ascii="Arial" w:cs="Arial" w:eastAsia="Arial" w:hAnsi="Arial"/>
                <w:sz w:val="16"/>
                <w:szCs w:val="16"/>
                <w:color w:val="auto"/>
              </w:rPr>
              <w:t>entitled to vote.</w:t>
            </w:r>
          </w:p>
        </w:tc>
        <w:tc>
          <w:tcPr>
            <w:tcW w:w="7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3040" w:type="dxa"/>
            <w:vAlign w:val="bottom"/>
          </w:tcPr>
          <w:p>
            <w:pPr>
              <w:ind w:left="100"/>
              <w:spacing w:after="0" w:line="162" w:lineRule="exact"/>
              <w:rPr>
                <w:sz w:val="20"/>
                <w:szCs w:val="20"/>
                <w:color w:val="auto"/>
              </w:rPr>
            </w:pPr>
            <w:r>
              <w:rPr>
                <w:rFonts w:ascii="Arial" w:cs="Arial" w:eastAsia="Arial" w:hAnsi="Arial"/>
                <w:sz w:val="16"/>
                <w:szCs w:val="16"/>
                <w:color w:val="auto"/>
              </w:rPr>
              <w:t>who  together  represent  at  least  a</w:t>
            </w:r>
          </w:p>
        </w:tc>
      </w:tr>
      <w:tr>
        <w:trPr>
          <w:trHeight w:val="162"/>
        </w:trPr>
        <w:tc>
          <w:tcPr>
            <w:tcW w:w="27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3040" w:type="dxa"/>
            <w:vAlign w:val="bottom"/>
          </w:tcPr>
          <w:p>
            <w:pPr>
              <w:ind w:left="100"/>
              <w:spacing w:after="0" w:line="162" w:lineRule="exact"/>
              <w:rPr>
                <w:sz w:val="20"/>
                <w:szCs w:val="20"/>
                <w:color w:val="auto"/>
              </w:rPr>
            </w:pPr>
            <w:r>
              <w:rPr>
                <w:rFonts w:ascii="Arial" w:cs="Arial" w:eastAsia="Arial" w:hAnsi="Arial"/>
                <w:sz w:val="16"/>
                <w:szCs w:val="16"/>
                <w:color w:val="auto"/>
              </w:rPr>
              <w:t>majority of the voting rights, which is the</w:t>
            </w:r>
          </w:p>
        </w:tc>
      </w:tr>
      <w:tr>
        <w:trPr>
          <w:trHeight w:val="162"/>
        </w:trPr>
        <w:tc>
          <w:tcPr>
            <w:tcW w:w="27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3040" w:type="dxa"/>
            <w:vAlign w:val="bottom"/>
          </w:tcPr>
          <w:p>
            <w:pPr>
              <w:ind w:left="100"/>
              <w:spacing w:after="0" w:line="162" w:lineRule="exact"/>
              <w:rPr>
                <w:sz w:val="20"/>
                <w:szCs w:val="20"/>
                <w:color w:val="auto"/>
              </w:rPr>
            </w:pPr>
            <w:r>
              <w:rPr>
                <w:rFonts w:ascii="Arial" w:cs="Arial" w:eastAsia="Arial" w:hAnsi="Arial"/>
                <w:sz w:val="16"/>
                <w:szCs w:val="16"/>
                <w:color w:val="auto"/>
              </w:rPr>
              <w:t>same quorum required for an annual</w:t>
            </w:r>
          </w:p>
        </w:tc>
      </w:tr>
      <w:tr>
        <w:trPr>
          <w:trHeight w:val="208"/>
        </w:trPr>
        <w:tc>
          <w:tcPr>
            <w:tcW w:w="2780" w:type="dxa"/>
            <w:vAlign w:val="bottom"/>
            <w:tcBorders>
              <w:bottom w:val="single" w:sz="8" w:color="FEFEFE"/>
            </w:tcBorders>
          </w:tcPr>
          <w:p>
            <w:pPr>
              <w:spacing w:after="0"/>
              <w:rPr>
                <w:sz w:val="18"/>
                <w:szCs w:val="18"/>
                <w:color w:val="auto"/>
              </w:rPr>
            </w:pPr>
          </w:p>
        </w:tc>
        <w:tc>
          <w:tcPr>
            <w:tcW w:w="700" w:type="dxa"/>
            <w:vAlign w:val="bottom"/>
            <w:tcBorders>
              <w:bottom w:val="single" w:sz="8" w:color="FEFEFE"/>
            </w:tcBorders>
          </w:tcPr>
          <w:p>
            <w:pPr>
              <w:spacing w:after="0"/>
              <w:rPr>
                <w:sz w:val="18"/>
                <w:szCs w:val="18"/>
                <w:color w:val="auto"/>
              </w:rPr>
            </w:pPr>
          </w:p>
        </w:tc>
        <w:tc>
          <w:tcPr>
            <w:tcW w:w="880" w:type="dxa"/>
            <w:vAlign w:val="bottom"/>
            <w:tcBorders>
              <w:bottom w:val="single" w:sz="8" w:color="FEFEFE"/>
            </w:tcBorders>
          </w:tcPr>
          <w:p>
            <w:pPr>
              <w:spacing w:after="0"/>
              <w:rPr>
                <w:sz w:val="18"/>
                <w:szCs w:val="18"/>
                <w:color w:val="auto"/>
              </w:rPr>
            </w:pPr>
          </w:p>
        </w:tc>
        <w:tc>
          <w:tcPr>
            <w:tcW w:w="700" w:type="dxa"/>
            <w:vAlign w:val="bottom"/>
            <w:tcBorders>
              <w:bottom w:val="single" w:sz="8" w:color="FEFEFE"/>
            </w:tcBorders>
          </w:tcPr>
          <w:p>
            <w:pPr>
              <w:spacing w:after="0"/>
              <w:rPr>
                <w:sz w:val="18"/>
                <w:szCs w:val="18"/>
                <w:color w:val="auto"/>
              </w:rPr>
            </w:pPr>
          </w:p>
        </w:tc>
        <w:tc>
          <w:tcPr>
            <w:tcW w:w="680" w:type="dxa"/>
            <w:vAlign w:val="bottom"/>
            <w:tcBorders>
              <w:bottom w:val="single" w:sz="8" w:color="FEFEFE"/>
            </w:tcBorders>
          </w:tcPr>
          <w:p>
            <w:pPr>
              <w:spacing w:after="0"/>
              <w:rPr>
                <w:sz w:val="18"/>
                <w:szCs w:val="18"/>
                <w:color w:val="auto"/>
              </w:rPr>
            </w:pPr>
          </w:p>
        </w:tc>
        <w:tc>
          <w:tcPr>
            <w:tcW w:w="400" w:type="dxa"/>
            <w:vAlign w:val="bottom"/>
            <w:tcBorders>
              <w:bottom w:val="single" w:sz="8" w:color="FEFEFE"/>
            </w:tcBorders>
          </w:tcPr>
          <w:p>
            <w:pPr>
              <w:spacing w:after="0"/>
              <w:rPr>
                <w:sz w:val="18"/>
                <w:szCs w:val="18"/>
                <w:color w:val="auto"/>
              </w:rPr>
            </w:pPr>
          </w:p>
        </w:tc>
        <w:tc>
          <w:tcPr>
            <w:tcW w:w="3040" w:type="dxa"/>
            <w:vAlign w:val="bottom"/>
            <w:tcBorders>
              <w:bottom w:val="single" w:sz="8" w:color="FEFEFE"/>
            </w:tcBorders>
          </w:tcPr>
          <w:p>
            <w:pPr>
              <w:ind w:left="100"/>
              <w:spacing w:after="0"/>
              <w:rPr>
                <w:sz w:val="20"/>
                <w:szCs w:val="20"/>
                <w:color w:val="auto"/>
              </w:rPr>
            </w:pPr>
            <w:r>
              <w:rPr>
                <w:rFonts w:ascii="Arial" w:cs="Arial" w:eastAsia="Arial" w:hAnsi="Arial"/>
                <w:sz w:val="16"/>
                <w:szCs w:val="16"/>
                <w:color w:val="auto"/>
              </w:rPr>
              <w:t>general meeting.</w:t>
            </w:r>
          </w:p>
        </w:tc>
      </w:tr>
      <w:tr>
        <w:trPr>
          <w:trHeight w:val="204"/>
        </w:trPr>
        <w:tc>
          <w:tcPr>
            <w:tcW w:w="2780" w:type="dxa"/>
            <w:vAlign w:val="bottom"/>
            <w:shd w:val="clear" w:color="auto" w:fill="EFE9FC"/>
          </w:tcPr>
          <w:p>
            <w:pPr>
              <w:ind w:left="60"/>
              <w:spacing w:after="0"/>
              <w:rPr>
                <w:sz w:val="20"/>
                <w:szCs w:val="20"/>
                <w:color w:val="auto"/>
              </w:rPr>
            </w:pPr>
            <w:r>
              <w:rPr>
                <w:rFonts w:ascii="Arial" w:cs="Arial" w:eastAsia="Arial" w:hAnsi="Arial"/>
                <w:sz w:val="16"/>
                <w:szCs w:val="16"/>
                <w:color w:val="auto"/>
              </w:rPr>
              <w:t>Bonus Issues</w:t>
            </w:r>
          </w:p>
        </w:tc>
        <w:tc>
          <w:tcPr>
            <w:tcW w:w="2960" w:type="dxa"/>
            <w:vAlign w:val="bottom"/>
            <w:gridSpan w:val="4"/>
            <w:shd w:val="clear" w:color="auto" w:fill="EFE9FC"/>
          </w:tcPr>
          <w:p>
            <w:pPr>
              <w:ind w:left="360"/>
              <w:spacing w:after="0"/>
              <w:rPr>
                <w:sz w:val="20"/>
                <w:szCs w:val="20"/>
                <w:color w:val="auto"/>
              </w:rPr>
            </w:pPr>
            <w:r>
              <w:rPr>
                <w:rFonts w:ascii="Arial" w:cs="Arial" w:eastAsia="Arial" w:hAnsi="Arial"/>
                <w:sz w:val="16"/>
                <w:szCs w:val="16"/>
                <w:color w:val="auto"/>
              </w:rPr>
              <w:t>Board may only capitalise profits</w:t>
            </w:r>
          </w:p>
        </w:tc>
        <w:tc>
          <w:tcPr>
            <w:tcW w:w="400" w:type="dxa"/>
            <w:vAlign w:val="bottom"/>
            <w:shd w:val="clear" w:color="auto" w:fill="EFE9FC"/>
          </w:tcPr>
          <w:p>
            <w:pPr>
              <w:jc w:val="right"/>
              <w:ind w:right="39"/>
              <w:spacing w:after="0"/>
              <w:rPr>
                <w:sz w:val="20"/>
                <w:szCs w:val="20"/>
                <w:color w:val="auto"/>
              </w:rPr>
            </w:pPr>
            <w:r>
              <w:rPr>
                <w:rFonts w:ascii="Arial" w:cs="Arial" w:eastAsia="Arial" w:hAnsi="Arial"/>
                <w:sz w:val="16"/>
                <w:szCs w:val="16"/>
                <w:color w:val="auto"/>
                <w:w w:val="97"/>
              </w:rPr>
              <w:t>and</w:t>
            </w:r>
          </w:p>
        </w:tc>
        <w:tc>
          <w:tcPr>
            <w:tcW w:w="3040" w:type="dxa"/>
            <w:vAlign w:val="bottom"/>
            <w:shd w:val="clear" w:color="auto" w:fill="EFE9FC"/>
          </w:tcPr>
          <w:p>
            <w:pPr>
              <w:ind w:left="100"/>
              <w:spacing w:after="0"/>
              <w:rPr>
                <w:sz w:val="20"/>
                <w:szCs w:val="20"/>
                <w:color w:val="auto"/>
              </w:rPr>
            </w:pPr>
            <w:r>
              <w:rPr>
                <w:rFonts w:ascii="Arial" w:cs="Arial" w:eastAsia="Arial" w:hAnsi="Arial"/>
                <w:sz w:val="16"/>
                <w:szCs w:val="16"/>
                <w:color w:val="auto"/>
              </w:rPr>
              <w:t>In addition, the Board will be permitted to</w:t>
            </w:r>
          </w:p>
        </w:tc>
      </w:tr>
      <w:tr>
        <w:trPr>
          <w:trHeight w:val="162"/>
        </w:trPr>
        <w:tc>
          <w:tcPr>
            <w:tcW w:w="2780" w:type="dxa"/>
            <w:vAlign w:val="bottom"/>
            <w:shd w:val="clear" w:color="auto" w:fill="EFE9FC"/>
          </w:tcPr>
          <w:p>
            <w:pPr>
              <w:spacing w:after="0"/>
              <w:rPr>
                <w:sz w:val="14"/>
                <w:szCs w:val="14"/>
                <w:color w:val="auto"/>
              </w:rPr>
            </w:pPr>
          </w:p>
        </w:tc>
        <w:tc>
          <w:tcPr>
            <w:tcW w:w="3360" w:type="dxa"/>
            <w:vAlign w:val="bottom"/>
            <w:gridSpan w:val="5"/>
            <w:shd w:val="clear" w:color="auto" w:fill="EFE9FC"/>
          </w:tcPr>
          <w:p>
            <w:pPr>
              <w:ind w:left="360"/>
              <w:spacing w:after="0" w:line="162" w:lineRule="exact"/>
              <w:rPr>
                <w:sz w:val="20"/>
                <w:szCs w:val="20"/>
                <w:color w:val="auto"/>
              </w:rPr>
            </w:pPr>
            <w:r>
              <w:rPr>
                <w:rFonts w:ascii="Arial" w:cs="Arial" w:eastAsia="Arial" w:hAnsi="Arial"/>
                <w:sz w:val="16"/>
                <w:szCs w:val="16"/>
                <w:color w:val="auto"/>
              </w:rPr>
              <w:t>certain other sums for the purpose of</w:t>
            </w:r>
          </w:p>
        </w:tc>
        <w:tc>
          <w:tcPr>
            <w:tcW w:w="3040" w:type="dxa"/>
            <w:vAlign w:val="bottom"/>
            <w:shd w:val="clear" w:color="auto" w:fill="EFE9FC"/>
          </w:tcPr>
          <w:p>
            <w:pPr>
              <w:ind w:left="100"/>
              <w:spacing w:after="0" w:line="162" w:lineRule="exact"/>
              <w:rPr>
                <w:sz w:val="20"/>
                <w:szCs w:val="20"/>
                <w:color w:val="auto"/>
              </w:rPr>
            </w:pPr>
            <w:r>
              <w:rPr>
                <w:rFonts w:ascii="Arial" w:cs="Arial" w:eastAsia="Arial" w:hAnsi="Arial"/>
                <w:sz w:val="16"/>
                <w:szCs w:val="16"/>
                <w:color w:val="auto"/>
              </w:rPr>
              <w:t>capitalise profits and certain other sums</w:t>
            </w:r>
          </w:p>
        </w:tc>
      </w:tr>
      <w:tr>
        <w:trPr>
          <w:trHeight w:val="162"/>
        </w:trPr>
        <w:tc>
          <w:tcPr>
            <w:tcW w:w="2780" w:type="dxa"/>
            <w:vAlign w:val="bottom"/>
            <w:shd w:val="clear" w:color="auto" w:fill="EFE9FC"/>
          </w:tcPr>
          <w:p>
            <w:pPr>
              <w:spacing w:after="0"/>
              <w:rPr>
                <w:sz w:val="14"/>
                <w:szCs w:val="14"/>
                <w:color w:val="auto"/>
              </w:rPr>
            </w:pPr>
          </w:p>
        </w:tc>
        <w:tc>
          <w:tcPr>
            <w:tcW w:w="3360" w:type="dxa"/>
            <w:vAlign w:val="bottom"/>
            <w:gridSpan w:val="5"/>
            <w:shd w:val="clear" w:color="auto" w:fill="EFE9FC"/>
          </w:tcPr>
          <w:p>
            <w:pPr>
              <w:ind w:left="360"/>
              <w:spacing w:after="0" w:line="162" w:lineRule="exact"/>
              <w:rPr>
                <w:sz w:val="20"/>
                <w:szCs w:val="20"/>
                <w:color w:val="auto"/>
              </w:rPr>
            </w:pPr>
            <w:r>
              <w:rPr>
                <w:rFonts w:ascii="Arial" w:cs="Arial" w:eastAsia="Arial" w:hAnsi="Arial"/>
                <w:sz w:val="16"/>
                <w:szCs w:val="16"/>
                <w:color w:val="auto"/>
              </w:rPr>
              <w:t>paying up shares to be issued under a</w:t>
            </w:r>
          </w:p>
        </w:tc>
        <w:tc>
          <w:tcPr>
            <w:tcW w:w="3040" w:type="dxa"/>
            <w:vAlign w:val="bottom"/>
            <w:shd w:val="clear" w:color="auto" w:fill="EFE9FC"/>
          </w:tcPr>
          <w:p>
            <w:pPr>
              <w:ind w:left="100"/>
              <w:spacing w:after="0" w:line="162" w:lineRule="exact"/>
              <w:rPr>
                <w:sz w:val="20"/>
                <w:szCs w:val="20"/>
                <w:color w:val="auto"/>
              </w:rPr>
            </w:pPr>
            <w:r>
              <w:rPr>
                <w:rFonts w:ascii="Arial" w:cs="Arial" w:eastAsia="Arial" w:hAnsi="Arial"/>
                <w:sz w:val="16"/>
                <w:szCs w:val="16"/>
                <w:color w:val="auto"/>
              </w:rPr>
              <w:t>for the purpose of paying up the nominal</w:t>
            </w:r>
          </w:p>
        </w:tc>
      </w:tr>
      <w:tr>
        <w:trPr>
          <w:trHeight w:val="162"/>
        </w:trPr>
        <w:tc>
          <w:tcPr>
            <w:tcW w:w="2780" w:type="dxa"/>
            <w:vAlign w:val="bottom"/>
            <w:shd w:val="clear" w:color="auto" w:fill="EFE9FC"/>
          </w:tcPr>
          <w:p>
            <w:pPr>
              <w:spacing w:after="0"/>
              <w:rPr>
                <w:sz w:val="14"/>
                <w:szCs w:val="14"/>
                <w:color w:val="auto"/>
              </w:rPr>
            </w:pPr>
          </w:p>
        </w:tc>
        <w:tc>
          <w:tcPr>
            <w:tcW w:w="3360" w:type="dxa"/>
            <w:vAlign w:val="bottom"/>
            <w:gridSpan w:val="5"/>
            <w:shd w:val="clear" w:color="auto" w:fill="EFE9FC"/>
          </w:tcPr>
          <w:p>
            <w:pPr>
              <w:ind w:left="360"/>
              <w:spacing w:after="0" w:line="162" w:lineRule="exact"/>
              <w:rPr>
                <w:sz w:val="20"/>
                <w:szCs w:val="20"/>
                <w:color w:val="auto"/>
              </w:rPr>
            </w:pPr>
            <w:r>
              <w:rPr>
                <w:rFonts w:ascii="Arial" w:cs="Arial" w:eastAsia="Arial" w:hAnsi="Arial"/>
                <w:sz w:val="16"/>
                <w:szCs w:val="16"/>
                <w:color w:val="auto"/>
              </w:rPr>
              <w:t>bonus issue: (i) in ordinary shares to the</w:t>
            </w:r>
          </w:p>
        </w:tc>
        <w:tc>
          <w:tcPr>
            <w:tcW w:w="3040" w:type="dxa"/>
            <w:vAlign w:val="bottom"/>
            <w:shd w:val="clear" w:color="auto" w:fill="EFE9FC"/>
          </w:tcPr>
          <w:p>
            <w:pPr>
              <w:ind w:left="100"/>
              <w:spacing w:after="0" w:line="162" w:lineRule="exact"/>
              <w:rPr>
                <w:sz w:val="20"/>
                <w:szCs w:val="20"/>
                <w:color w:val="auto"/>
              </w:rPr>
            </w:pPr>
            <w:r>
              <w:rPr>
                <w:rFonts w:ascii="Arial" w:cs="Arial" w:eastAsia="Arial" w:hAnsi="Arial"/>
                <w:sz w:val="16"/>
                <w:szCs w:val="16"/>
                <w:color w:val="auto"/>
              </w:rPr>
              <w:t>value  of  shares  to  be  issued  upon</w:t>
            </w:r>
          </w:p>
        </w:tc>
      </w:tr>
      <w:tr>
        <w:trPr>
          <w:trHeight w:val="162"/>
        </w:trPr>
        <w:tc>
          <w:tcPr>
            <w:tcW w:w="2780" w:type="dxa"/>
            <w:vAlign w:val="bottom"/>
            <w:shd w:val="clear" w:color="auto" w:fill="EFE9FC"/>
          </w:tcPr>
          <w:p>
            <w:pPr>
              <w:spacing w:after="0"/>
              <w:rPr>
                <w:sz w:val="14"/>
                <w:szCs w:val="14"/>
                <w:color w:val="auto"/>
              </w:rPr>
            </w:pPr>
          </w:p>
        </w:tc>
        <w:tc>
          <w:tcPr>
            <w:tcW w:w="3360" w:type="dxa"/>
            <w:vAlign w:val="bottom"/>
            <w:gridSpan w:val="5"/>
            <w:shd w:val="clear" w:color="auto" w:fill="EFE9FC"/>
          </w:tcPr>
          <w:p>
            <w:pPr>
              <w:ind w:left="360"/>
              <w:spacing w:after="0" w:line="162" w:lineRule="exact"/>
              <w:rPr>
                <w:sz w:val="20"/>
                <w:szCs w:val="20"/>
                <w:color w:val="auto"/>
              </w:rPr>
            </w:pPr>
            <w:r>
              <w:rPr>
                <w:rFonts w:ascii="Arial" w:cs="Arial" w:eastAsia="Arial" w:hAnsi="Arial"/>
                <w:sz w:val="16"/>
                <w:szCs w:val="16"/>
                <w:color w:val="auto"/>
              </w:rPr>
              <w:t>holders of ordinary shares on an equal</w:t>
            </w:r>
          </w:p>
        </w:tc>
        <w:tc>
          <w:tcPr>
            <w:tcW w:w="3040" w:type="dxa"/>
            <w:vAlign w:val="bottom"/>
            <w:shd w:val="clear" w:color="auto" w:fill="EFE9FC"/>
          </w:tcPr>
          <w:p>
            <w:pPr>
              <w:ind w:left="100"/>
              <w:spacing w:after="0" w:line="162" w:lineRule="exact"/>
              <w:rPr>
                <w:sz w:val="20"/>
                <w:szCs w:val="20"/>
                <w:color w:val="auto"/>
              </w:rPr>
            </w:pPr>
            <w:r>
              <w:rPr>
                <w:rFonts w:ascii="Arial" w:cs="Arial" w:eastAsia="Arial" w:hAnsi="Arial"/>
                <w:sz w:val="16"/>
                <w:szCs w:val="16"/>
                <w:color w:val="auto"/>
              </w:rPr>
              <w:t>exercise of any warrant (or other right to</w:t>
            </w:r>
          </w:p>
        </w:tc>
      </w:tr>
      <w:tr>
        <w:trPr>
          <w:trHeight w:val="162"/>
        </w:trPr>
        <w:tc>
          <w:tcPr>
            <w:tcW w:w="2780" w:type="dxa"/>
            <w:vAlign w:val="bottom"/>
            <w:shd w:val="clear" w:color="auto" w:fill="EFE9FC"/>
          </w:tcPr>
          <w:p>
            <w:pPr>
              <w:spacing w:after="0"/>
              <w:rPr>
                <w:sz w:val="14"/>
                <w:szCs w:val="14"/>
                <w:color w:val="auto"/>
              </w:rPr>
            </w:pPr>
          </w:p>
        </w:tc>
        <w:tc>
          <w:tcPr>
            <w:tcW w:w="3360" w:type="dxa"/>
            <w:vAlign w:val="bottom"/>
            <w:gridSpan w:val="5"/>
            <w:shd w:val="clear" w:color="auto" w:fill="EFE9FC"/>
          </w:tcPr>
          <w:p>
            <w:pPr>
              <w:ind w:left="360"/>
              <w:spacing w:after="0" w:line="162" w:lineRule="exact"/>
              <w:rPr>
                <w:sz w:val="20"/>
                <w:szCs w:val="20"/>
                <w:color w:val="auto"/>
              </w:rPr>
            </w:pPr>
            <w:r>
              <w:rPr>
                <w:rFonts w:ascii="Arial" w:cs="Arial" w:eastAsia="Arial" w:hAnsi="Arial"/>
                <w:sz w:val="16"/>
                <w:szCs w:val="16"/>
                <w:color w:val="auto"/>
              </w:rPr>
              <w:t>per share basis; (ii) for certain purposes</w:t>
            </w:r>
          </w:p>
        </w:tc>
        <w:tc>
          <w:tcPr>
            <w:tcW w:w="3040" w:type="dxa"/>
            <w:vAlign w:val="bottom"/>
            <w:shd w:val="clear" w:color="auto" w:fill="EFE9FC"/>
          </w:tcPr>
          <w:p>
            <w:pPr>
              <w:ind w:left="100"/>
              <w:spacing w:after="0" w:line="162" w:lineRule="exact"/>
              <w:rPr>
                <w:sz w:val="20"/>
                <w:szCs w:val="20"/>
                <w:color w:val="auto"/>
              </w:rPr>
            </w:pPr>
            <w:r>
              <w:rPr>
                <w:rFonts w:ascii="Arial" w:cs="Arial" w:eastAsia="Arial" w:hAnsi="Arial"/>
                <w:sz w:val="16"/>
                <w:szCs w:val="16"/>
                <w:color w:val="auto"/>
              </w:rPr>
              <w:t>subscribe) for shares in the Company.</w:t>
            </w:r>
          </w:p>
        </w:tc>
      </w:tr>
      <w:tr>
        <w:trPr>
          <w:trHeight w:val="162"/>
        </w:trPr>
        <w:tc>
          <w:tcPr>
            <w:tcW w:w="2780" w:type="dxa"/>
            <w:vAlign w:val="bottom"/>
            <w:shd w:val="clear" w:color="auto" w:fill="EFE9FC"/>
          </w:tcPr>
          <w:p>
            <w:pPr>
              <w:spacing w:after="0"/>
              <w:rPr>
                <w:sz w:val="14"/>
                <w:szCs w:val="14"/>
                <w:color w:val="auto"/>
              </w:rPr>
            </w:pPr>
          </w:p>
        </w:tc>
        <w:tc>
          <w:tcPr>
            <w:tcW w:w="3360" w:type="dxa"/>
            <w:vAlign w:val="bottom"/>
            <w:gridSpan w:val="5"/>
            <w:shd w:val="clear" w:color="auto" w:fill="EFE9FC"/>
          </w:tcPr>
          <w:p>
            <w:pPr>
              <w:ind w:left="360"/>
              <w:spacing w:after="0" w:line="162" w:lineRule="exact"/>
              <w:rPr>
                <w:sz w:val="20"/>
                <w:szCs w:val="20"/>
                <w:color w:val="auto"/>
              </w:rPr>
            </w:pPr>
            <w:r>
              <w:rPr>
                <w:rFonts w:ascii="Arial" w:cs="Arial" w:eastAsia="Arial" w:hAnsi="Arial"/>
                <w:sz w:val="16"/>
                <w:szCs w:val="16"/>
                <w:color w:val="auto"/>
              </w:rPr>
              <w:t>in connection with awards made under</w:t>
            </w:r>
          </w:p>
        </w:tc>
        <w:tc>
          <w:tcPr>
            <w:tcW w:w="3040" w:type="dxa"/>
            <w:vAlign w:val="bottom"/>
            <w:shd w:val="clear" w:color="auto" w:fill="EFE9FC"/>
          </w:tcPr>
          <w:p>
            <w:pPr>
              <w:ind w:left="100"/>
              <w:spacing w:after="0" w:line="162" w:lineRule="exact"/>
              <w:rPr>
                <w:sz w:val="20"/>
                <w:szCs w:val="20"/>
                <w:color w:val="auto"/>
              </w:rPr>
            </w:pPr>
            <w:r>
              <w:rPr>
                <w:rFonts w:ascii="Arial" w:cs="Arial" w:eastAsia="Arial" w:hAnsi="Arial"/>
                <w:sz w:val="16"/>
                <w:szCs w:val="16"/>
                <w:color w:val="auto"/>
              </w:rPr>
              <w:t>This may be used in connection with any</w:t>
            </w:r>
          </w:p>
        </w:tc>
      </w:tr>
      <w:tr>
        <w:trPr>
          <w:trHeight w:val="162"/>
        </w:trPr>
        <w:tc>
          <w:tcPr>
            <w:tcW w:w="2780" w:type="dxa"/>
            <w:vAlign w:val="bottom"/>
            <w:shd w:val="clear" w:color="auto" w:fill="EFE9FC"/>
          </w:tcPr>
          <w:p>
            <w:pPr>
              <w:spacing w:after="0"/>
              <w:rPr>
                <w:sz w:val="14"/>
                <w:szCs w:val="14"/>
                <w:color w:val="auto"/>
              </w:rPr>
            </w:pPr>
          </w:p>
        </w:tc>
        <w:tc>
          <w:tcPr>
            <w:tcW w:w="700" w:type="dxa"/>
            <w:vAlign w:val="bottom"/>
            <w:shd w:val="clear" w:color="auto" w:fill="EFE9FC"/>
          </w:tcPr>
          <w:p>
            <w:pPr>
              <w:ind w:left="360"/>
              <w:spacing w:after="0" w:line="162" w:lineRule="exact"/>
              <w:rPr>
                <w:sz w:val="20"/>
                <w:szCs w:val="20"/>
                <w:color w:val="auto"/>
              </w:rPr>
            </w:pPr>
            <w:r>
              <w:rPr>
                <w:rFonts w:ascii="Arial" w:cs="Arial" w:eastAsia="Arial" w:hAnsi="Arial"/>
                <w:sz w:val="16"/>
                <w:szCs w:val="16"/>
                <w:color w:val="auto"/>
              </w:rPr>
              <w:t>the</w:t>
            </w:r>
          </w:p>
        </w:tc>
        <w:tc>
          <w:tcPr>
            <w:tcW w:w="880" w:type="dxa"/>
            <w:vAlign w:val="bottom"/>
            <w:shd w:val="clear" w:color="auto" w:fill="EFE9FC"/>
          </w:tcPr>
          <w:p>
            <w:pPr>
              <w:ind w:left="20"/>
              <w:spacing w:after="0" w:line="162" w:lineRule="exact"/>
              <w:rPr>
                <w:sz w:val="20"/>
                <w:szCs w:val="20"/>
                <w:color w:val="auto"/>
              </w:rPr>
            </w:pPr>
            <w:r>
              <w:rPr>
                <w:rFonts w:ascii="Arial" w:cs="Arial" w:eastAsia="Arial" w:hAnsi="Arial"/>
                <w:sz w:val="16"/>
                <w:szCs w:val="16"/>
                <w:color w:val="auto"/>
              </w:rPr>
              <w:t>Company’s</w:t>
            </w:r>
          </w:p>
        </w:tc>
        <w:tc>
          <w:tcPr>
            <w:tcW w:w="700" w:type="dxa"/>
            <w:vAlign w:val="bottom"/>
            <w:shd w:val="clear" w:color="auto" w:fill="EFE9FC"/>
          </w:tcPr>
          <w:p>
            <w:pPr>
              <w:ind w:left="80"/>
              <w:spacing w:after="0" w:line="162" w:lineRule="exact"/>
              <w:rPr>
                <w:sz w:val="20"/>
                <w:szCs w:val="20"/>
                <w:color w:val="auto"/>
              </w:rPr>
            </w:pPr>
            <w:r>
              <w:rPr>
                <w:rFonts w:ascii="Arial" w:cs="Arial" w:eastAsia="Arial" w:hAnsi="Arial"/>
                <w:sz w:val="16"/>
                <w:szCs w:val="16"/>
                <w:color w:val="auto"/>
                <w:w w:val="94"/>
              </w:rPr>
              <w:t>incentive</w:t>
            </w:r>
          </w:p>
        </w:tc>
        <w:tc>
          <w:tcPr>
            <w:tcW w:w="680" w:type="dxa"/>
            <w:vAlign w:val="bottom"/>
            <w:shd w:val="clear" w:color="auto" w:fill="EFE9FC"/>
          </w:tcPr>
          <w:p>
            <w:pPr>
              <w:ind w:left="140"/>
              <w:spacing w:after="0" w:line="162" w:lineRule="exact"/>
              <w:rPr>
                <w:sz w:val="20"/>
                <w:szCs w:val="20"/>
                <w:color w:val="auto"/>
              </w:rPr>
            </w:pPr>
            <w:r>
              <w:rPr>
                <w:rFonts w:ascii="Arial" w:cs="Arial" w:eastAsia="Arial" w:hAnsi="Arial"/>
                <w:sz w:val="16"/>
                <w:szCs w:val="16"/>
                <w:color w:val="auto"/>
              </w:rPr>
              <w:t>plans;</w:t>
            </w:r>
          </w:p>
        </w:tc>
        <w:tc>
          <w:tcPr>
            <w:tcW w:w="400" w:type="dxa"/>
            <w:vAlign w:val="bottom"/>
            <w:shd w:val="clear" w:color="auto" w:fill="EFE9FC"/>
          </w:tcPr>
          <w:p>
            <w:pPr>
              <w:jc w:val="right"/>
              <w:ind w:right="39"/>
              <w:spacing w:after="0" w:line="162" w:lineRule="exact"/>
              <w:rPr>
                <w:sz w:val="20"/>
                <w:szCs w:val="20"/>
                <w:color w:val="auto"/>
              </w:rPr>
            </w:pPr>
            <w:r>
              <w:rPr>
                <w:rFonts w:ascii="Arial" w:cs="Arial" w:eastAsia="Arial" w:hAnsi="Arial"/>
                <w:sz w:val="16"/>
                <w:szCs w:val="16"/>
                <w:color w:val="auto"/>
                <w:w w:val="97"/>
              </w:rPr>
              <w:t>and</w:t>
            </w:r>
          </w:p>
        </w:tc>
        <w:tc>
          <w:tcPr>
            <w:tcW w:w="3040" w:type="dxa"/>
            <w:vAlign w:val="bottom"/>
            <w:shd w:val="clear" w:color="auto" w:fill="EFE9FC"/>
          </w:tcPr>
          <w:p>
            <w:pPr>
              <w:ind w:left="100"/>
              <w:spacing w:after="0" w:line="162" w:lineRule="exact"/>
              <w:rPr>
                <w:sz w:val="20"/>
                <w:szCs w:val="20"/>
                <w:color w:val="auto"/>
              </w:rPr>
            </w:pPr>
            <w:r>
              <w:rPr>
                <w:rFonts w:ascii="Arial" w:cs="Arial" w:eastAsia="Arial" w:hAnsi="Arial"/>
                <w:sz w:val="16"/>
                <w:szCs w:val="16"/>
                <w:color w:val="auto"/>
              </w:rPr>
              <w:t>equity or equity linked securities that</w:t>
            </w:r>
          </w:p>
        </w:tc>
      </w:tr>
      <w:tr>
        <w:trPr>
          <w:trHeight w:val="162"/>
        </w:trPr>
        <w:tc>
          <w:tcPr>
            <w:tcW w:w="2780" w:type="dxa"/>
            <w:vAlign w:val="bottom"/>
            <w:shd w:val="clear" w:color="auto" w:fill="EFE9FC"/>
          </w:tcPr>
          <w:p>
            <w:pPr>
              <w:spacing w:after="0"/>
              <w:rPr>
                <w:sz w:val="14"/>
                <w:szCs w:val="14"/>
                <w:color w:val="auto"/>
              </w:rPr>
            </w:pPr>
          </w:p>
        </w:tc>
        <w:tc>
          <w:tcPr>
            <w:tcW w:w="3360" w:type="dxa"/>
            <w:vAlign w:val="bottom"/>
            <w:gridSpan w:val="5"/>
            <w:shd w:val="clear" w:color="auto" w:fill="EFE9FC"/>
          </w:tcPr>
          <w:p>
            <w:pPr>
              <w:ind w:left="360"/>
              <w:spacing w:after="0" w:line="162" w:lineRule="exact"/>
              <w:rPr>
                <w:sz w:val="20"/>
                <w:szCs w:val="20"/>
                <w:color w:val="auto"/>
              </w:rPr>
            </w:pPr>
            <w:r>
              <w:rPr>
                <w:rFonts w:ascii="Arial" w:cs="Arial" w:eastAsia="Arial" w:hAnsi="Arial"/>
                <w:sz w:val="16"/>
                <w:szCs w:val="16"/>
                <w:color w:val="auto"/>
              </w:rPr>
              <w:t>(iii) otherwise with the approval of an</w:t>
            </w:r>
          </w:p>
        </w:tc>
        <w:tc>
          <w:tcPr>
            <w:tcW w:w="3040" w:type="dxa"/>
            <w:vAlign w:val="bottom"/>
            <w:shd w:val="clear" w:color="auto" w:fill="EFE9FC"/>
          </w:tcPr>
          <w:p>
            <w:pPr>
              <w:ind w:left="100"/>
              <w:spacing w:after="0" w:line="162" w:lineRule="exact"/>
              <w:rPr>
                <w:sz w:val="20"/>
                <w:szCs w:val="20"/>
                <w:color w:val="auto"/>
              </w:rPr>
            </w:pPr>
            <w:r>
              <w:rPr>
                <w:rFonts w:ascii="Arial" w:cs="Arial" w:eastAsia="Arial" w:hAnsi="Arial"/>
                <w:sz w:val="16"/>
                <w:szCs w:val="16"/>
                <w:color w:val="auto"/>
              </w:rPr>
              <w:t>may be issued in connection with the</w:t>
            </w:r>
          </w:p>
        </w:tc>
      </w:tr>
      <w:tr>
        <w:trPr>
          <w:trHeight w:val="162"/>
        </w:trPr>
        <w:tc>
          <w:tcPr>
            <w:tcW w:w="2780" w:type="dxa"/>
            <w:vAlign w:val="bottom"/>
            <w:shd w:val="clear" w:color="auto" w:fill="EFE9FC"/>
          </w:tcPr>
          <w:p>
            <w:pPr>
              <w:spacing w:after="0"/>
              <w:rPr>
                <w:sz w:val="14"/>
                <w:szCs w:val="14"/>
                <w:color w:val="auto"/>
              </w:rPr>
            </w:pPr>
          </w:p>
        </w:tc>
        <w:tc>
          <w:tcPr>
            <w:tcW w:w="2960" w:type="dxa"/>
            <w:vAlign w:val="bottom"/>
            <w:gridSpan w:val="4"/>
            <w:shd w:val="clear" w:color="auto" w:fill="EFE9FC"/>
          </w:tcPr>
          <w:p>
            <w:pPr>
              <w:ind w:left="360"/>
              <w:spacing w:after="0" w:line="162" w:lineRule="exact"/>
              <w:rPr>
                <w:sz w:val="20"/>
                <w:szCs w:val="20"/>
                <w:color w:val="auto"/>
              </w:rPr>
            </w:pPr>
            <w:r>
              <w:rPr>
                <w:rFonts w:ascii="Arial" w:cs="Arial" w:eastAsia="Arial" w:hAnsi="Arial"/>
                <w:sz w:val="16"/>
                <w:szCs w:val="16"/>
                <w:color w:val="auto"/>
              </w:rPr>
              <w:t>ordinary resolution of shareholders.</w:t>
            </w:r>
          </w:p>
        </w:tc>
        <w:tc>
          <w:tcPr>
            <w:tcW w:w="400" w:type="dxa"/>
            <w:vAlign w:val="bottom"/>
            <w:shd w:val="clear" w:color="auto" w:fill="EFE9FC"/>
          </w:tcPr>
          <w:p>
            <w:pPr>
              <w:spacing w:after="0"/>
              <w:rPr>
                <w:sz w:val="14"/>
                <w:szCs w:val="14"/>
                <w:color w:val="auto"/>
              </w:rPr>
            </w:pPr>
          </w:p>
        </w:tc>
        <w:tc>
          <w:tcPr>
            <w:tcW w:w="3040" w:type="dxa"/>
            <w:vAlign w:val="bottom"/>
            <w:shd w:val="clear" w:color="auto" w:fill="EFE9FC"/>
          </w:tcPr>
          <w:p>
            <w:pPr>
              <w:ind w:left="100"/>
              <w:spacing w:after="0" w:line="162" w:lineRule="exact"/>
              <w:rPr>
                <w:sz w:val="20"/>
                <w:szCs w:val="20"/>
                <w:color w:val="auto"/>
              </w:rPr>
            </w:pPr>
            <w:r>
              <w:rPr>
                <w:rFonts w:ascii="Arial" w:cs="Arial" w:eastAsia="Arial" w:hAnsi="Arial"/>
                <w:sz w:val="16"/>
                <w:szCs w:val="16"/>
                <w:color w:val="auto"/>
              </w:rPr>
              <w:t>strategic capital raising options currently</w:t>
            </w:r>
          </w:p>
        </w:tc>
      </w:tr>
      <w:tr>
        <w:trPr>
          <w:trHeight w:val="162"/>
        </w:trPr>
        <w:tc>
          <w:tcPr>
            <w:tcW w:w="2780" w:type="dxa"/>
            <w:vAlign w:val="bottom"/>
            <w:shd w:val="clear" w:color="auto" w:fill="EFE9FC"/>
          </w:tcPr>
          <w:p>
            <w:pPr>
              <w:spacing w:after="0"/>
              <w:rPr>
                <w:sz w:val="14"/>
                <w:szCs w:val="14"/>
                <w:color w:val="auto"/>
              </w:rPr>
            </w:pPr>
          </w:p>
        </w:tc>
        <w:tc>
          <w:tcPr>
            <w:tcW w:w="700" w:type="dxa"/>
            <w:vAlign w:val="bottom"/>
            <w:shd w:val="clear" w:color="auto" w:fill="EFE9FC"/>
          </w:tcPr>
          <w:p>
            <w:pPr>
              <w:spacing w:after="0"/>
              <w:rPr>
                <w:sz w:val="14"/>
                <w:szCs w:val="14"/>
                <w:color w:val="auto"/>
              </w:rPr>
            </w:pPr>
          </w:p>
        </w:tc>
        <w:tc>
          <w:tcPr>
            <w:tcW w:w="880" w:type="dxa"/>
            <w:vAlign w:val="bottom"/>
            <w:shd w:val="clear" w:color="auto" w:fill="EFE9FC"/>
          </w:tcPr>
          <w:p>
            <w:pPr>
              <w:spacing w:after="0"/>
              <w:rPr>
                <w:sz w:val="14"/>
                <w:szCs w:val="14"/>
                <w:color w:val="auto"/>
              </w:rPr>
            </w:pPr>
          </w:p>
        </w:tc>
        <w:tc>
          <w:tcPr>
            <w:tcW w:w="700" w:type="dxa"/>
            <w:vAlign w:val="bottom"/>
            <w:shd w:val="clear" w:color="auto" w:fill="EFE9FC"/>
          </w:tcPr>
          <w:p>
            <w:pPr>
              <w:spacing w:after="0"/>
              <w:rPr>
                <w:sz w:val="14"/>
                <w:szCs w:val="14"/>
                <w:color w:val="auto"/>
              </w:rPr>
            </w:pPr>
          </w:p>
        </w:tc>
        <w:tc>
          <w:tcPr>
            <w:tcW w:w="680" w:type="dxa"/>
            <w:vAlign w:val="bottom"/>
            <w:shd w:val="clear" w:color="auto" w:fill="EFE9FC"/>
          </w:tcPr>
          <w:p>
            <w:pPr>
              <w:spacing w:after="0"/>
              <w:rPr>
                <w:sz w:val="14"/>
                <w:szCs w:val="14"/>
                <w:color w:val="auto"/>
              </w:rPr>
            </w:pPr>
          </w:p>
        </w:tc>
        <w:tc>
          <w:tcPr>
            <w:tcW w:w="400" w:type="dxa"/>
            <w:vAlign w:val="bottom"/>
            <w:shd w:val="clear" w:color="auto" w:fill="EFE9FC"/>
          </w:tcPr>
          <w:p>
            <w:pPr>
              <w:spacing w:after="0"/>
              <w:rPr>
                <w:sz w:val="14"/>
                <w:szCs w:val="14"/>
                <w:color w:val="auto"/>
              </w:rPr>
            </w:pPr>
          </w:p>
        </w:tc>
        <w:tc>
          <w:tcPr>
            <w:tcW w:w="3040" w:type="dxa"/>
            <w:vAlign w:val="bottom"/>
            <w:shd w:val="clear" w:color="auto" w:fill="EFE9FC"/>
          </w:tcPr>
          <w:p>
            <w:pPr>
              <w:ind w:left="100"/>
              <w:spacing w:after="0" w:line="162" w:lineRule="exact"/>
              <w:rPr>
                <w:sz w:val="20"/>
                <w:szCs w:val="20"/>
                <w:color w:val="auto"/>
              </w:rPr>
            </w:pPr>
            <w:r>
              <w:rPr>
                <w:rFonts w:ascii="Arial" w:cs="Arial" w:eastAsia="Arial" w:hAnsi="Arial"/>
                <w:sz w:val="16"/>
                <w:szCs w:val="16"/>
                <w:color w:val="auto"/>
              </w:rPr>
              <w:t>being evaluated by the Company (as</w:t>
            </w:r>
          </w:p>
        </w:tc>
      </w:tr>
      <w:tr>
        <w:trPr>
          <w:trHeight w:val="208"/>
        </w:trPr>
        <w:tc>
          <w:tcPr>
            <w:tcW w:w="2780" w:type="dxa"/>
            <w:vAlign w:val="bottom"/>
            <w:tcBorders>
              <w:bottom w:val="single" w:sz="8" w:color="4800E6"/>
            </w:tcBorders>
            <w:shd w:val="clear" w:color="auto" w:fill="EFE9FC"/>
          </w:tcPr>
          <w:p>
            <w:pPr>
              <w:spacing w:after="0"/>
              <w:rPr>
                <w:sz w:val="18"/>
                <w:szCs w:val="18"/>
                <w:color w:val="auto"/>
              </w:rPr>
            </w:pPr>
          </w:p>
        </w:tc>
        <w:tc>
          <w:tcPr>
            <w:tcW w:w="700" w:type="dxa"/>
            <w:vAlign w:val="bottom"/>
            <w:tcBorders>
              <w:bottom w:val="single" w:sz="8" w:color="4800E6"/>
            </w:tcBorders>
            <w:shd w:val="clear" w:color="auto" w:fill="EFE9FC"/>
          </w:tcPr>
          <w:p>
            <w:pPr>
              <w:spacing w:after="0"/>
              <w:rPr>
                <w:sz w:val="18"/>
                <w:szCs w:val="18"/>
                <w:color w:val="auto"/>
              </w:rPr>
            </w:pPr>
          </w:p>
        </w:tc>
        <w:tc>
          <w:tcPr>
            <w:tcW w:w="880" w:type="dxa"/>
            <w:vAlign w:val="bottom"/>
            <w:tcBorders>
              <w:bottom w:val="single" w:sz="8" w:color="4800E6"/>
            </w:tcBorders>
            <w:shd w:val="clear" w:color="auto" w:fill="EFE9FC"/>
          </w:tcPr>
          <w:p>
            <w:pPr>
              <w:spacing w:after="0"/>
              <w:rPr>
                <w:sz w:val="18"/>
                <w:szCs w:val="18"/>
                <w:color w:val="auto"/>
              </w:rPr>
            </w:pPr>
          </w:p>
        </w:tc>
        <w:tc>
          <w:tcPr>
            <w:tcW w:w="700" w:type="dxa"/>
            <w:vAlign w:val="bottom"/>
            <w:tcBorders>
              <w:bottom w:val="single" w:sz="8" w:color="4800E6"/>
            </w:tcBorders>
            <w:shd w:val="clear" w:color="auto" w:fill="EFE9FC"/>
          </w:tcPr>
          <w:p>
            <w:pPr>
              <w:spacing w:after="0"/>
              <w:rPr>
                <w:sz w:val="18"/>
                <w:szCs w:val="18"/>
                <w:color w:val="auto"/>
              </w:rPr>
            </w:pPr>
          </w:p>
        </w:tc>
        <w:tc>
          <w:tcPr>
            <w:tcW w:w="680" w:type="dxa"/>
            <w:vAlign w:val="bottom"/>
            <w:tcBorders>
              <w:bottom w:val="single" w:sz="8" w:color="4800E6"/>
            </w:tcBorders>
            <w:shd w:val="clear" w:color="auto" w:fill="EFE9FC"/>
          </w:tcPr>
          <w:p>
            <w:pPr>
              <w:spacing w:after="0"/>
              <w:rPr>
                <w:sz w:val="18"/>
                <w:szCs w:val="18"/>
                <w:color w:val="auto"/>
              </w:rPr>
            </w:pPr>
          </w:p>
        </w:tc>
        <w:tc>
          <w:tcPr>
            <w:tcW w:w="400" w:type="dxa"/>
            <w:vAlign w:val="bottom"/>
            <w:tcBorders>
              <w:bottom w:val="single" w:sz="8" w:color="4800E6"/>
            </w:tcBorders>
            <w:shd w:val="clear" w:color="auto" w:fill="EFE9FC"/>
          </w:tcPr>
          <w:p>
            <w:pPr>
              <w:spacing w:after="0"/>
              <w:rPr>
                <w:sz w:val="18"/>
                <w:szCs w:val="18"/>
                <w:color w:val="auto"/>
              </w:rPr>
            </w:pPr>
          </w:p>
        </w:tc>
        <w:tc>
          <w:tcPr>
            <w:tcW w:w="3040" w:type="dxa"/>
            <w:vAlign w:val="bottom"/>
            <w:tcBorders>
              <w:bottom w:val="single" w:sz="8" w:color="4800E6"/>
            </w:tcBorders>
            <w:shd w:val="clear" w:color="auto" w:fill="EFE9FC"/>
          </w:tcPr>
          <w:p>
            <w:pPr>
              <w:ind w:left="100"/>
              <w:spacing w:after="0"/>
              <w:rPr>
                <w:sz w:val="20"/>
                <w:szCs w:val="20"/>
                <w:color w:val="auto"/>
              </w:rPr>
            </w:pPr>
            <w:r>
              <w:rPr>
                <w:rFonts w:ascii="Arial" w:cs="Arial" w:eastAsia="Arial" w:hAnsi="Arial"/>
                <w:sz w:val="16"/>
                <w:szCs w:val="16"/>
                <w:color w:val="auto"/>
              </w:rPr>
              <w:t>described above).</w:t>
            </w:r>
          </w:p>
        </w:tc>
      </w:tr>
    </w:tbl>
    <w:p>
      <w:pPr>
        <w:spacing w:after="0" w:line="83" w:lineRule="exact"/>
        <w:rPr>
          <w:sz w:val="20"/>
          <w:szCs w:val="20"/>
          <w:color w:val="auto"/>
        </w:rPr>
      </w:pPr>
    </w:p>
    <w:p>
      <w:pPr>
        <w:ind w:left="760" w:right="840"/>
        <w:spacing w:after="0" w:line="248" w:lineRule="auto"/>
        <w:rPr>
          <w:sz w:val="20"/>
          <w:szCs w:val="20"/>
          <w:color w:val="auto"/>
        </w:rPr>
      </w:pPr>
      <w:r>
        <w:rPr>
          <w:rFonts w:ascii="Arial" w:cs="Arial" w:eastAsia="Arial" w:hAnsi="Arial"/>
          <w:sz w:val="16"/>
          <w:szCs w:val="16"/>
          <w:color w:val="auto"/>
        </w:rPr>
        <w:t>In addition to the changes described above, the New Articles also include other revisions and additions that, while less substantive than the changes specified above, are expected to result in better internal procedures (and therefore better corporate governance) of the Company and will also include minor technical corrections (such as conforming defined terms and adding editorial clarifications and using gender-neutral language) that will not involve any substantive changes. The New Articles also eliminate certain provisions that are no longer applicable, including (1) provisions that were required when our current Articles of Association were adopted, but are no longer required due to the fact that the Company’s shares are no longer traded on the London Stock Exchange and (2) provisions that have expired by their terms and are of no current force or effect.</w:t>
      </w:r>
    </w:p>
    <w:p>
      <w:pPr>
        <w:spacing w:after="0" w:line="292" w:lineRule="exact"/>
        <w:rPr>
          <w:sz w:val="20"/>
          <w:szCs w:val="20"/>
          <w:color w:val="auto"/>
        </w:rPr>
      </w:pPr>
    </w:p>
    <w:tbl>
      <w:tblPr>
        <w:tblLayout w:type="fixed"/>
        <w:tblInd w:w="0" w:type="dxa"/>
        <w:tblCellMar>
          <w:top w:w="0" w:type="dxa"/>
          <w:left w:w="0" w:type="dxa"/>
          <w:bottom w:w="0" w:type="dxa"/>
          <w:right w:w="0" w:type="dxa"/>
        </w:tblCellMar>
      </w:tblPr>
      <w:tr>
        <w:trPr>
          <w:trHeight w:val="130"/>
        </w:trPr>
        <w:tc>
          <w:tcPr>
            <w:tcW w:w="820" w:type="dxa"/>
            <w:vAlign w:val="bottom"/>
            <w:vMerge w:val="restart"/>
          </w:tcPr>
          <w:p>
            <w:pPr>
              <w:spacing w:after="0"/>
              <w:rPr>
                <w:sz w:val="11"/>
                <w:szCs w:val="11"/>
                <w:color w:val="auto"/>
              </w:rPr>
            </w:pPr>
          </w:p>
        </w:tc>
        <w:tc>
          <w:tcPr>
            <w:tcW w:w="3080" w:type="dxa"/>
            <w:vAlign w:val="bottom"/>
            <w:tcBorders>
              <w:bottom w:val="single" w:sz="8" w:color="auto"/>
            </w:tcBorders>
          </w:tcPr>
          <w:p>
            <w:pPr>
              <w:spacing w:after="0"/>
              <w:rPr>
                <w:sz w:val="11"/>
                <w:szCs w:val="11"/>
                <w:color w:val="auto"/>
              </w:rPr>
            </w:pPr>
          </w:p>
        </w:tc>
        <w:tc>
          <w:tcPr>
            <w:tcW w:w="2800" w:type="dxa"/>
            <w:vAlign w:val="bottom"/>
            <w:vMerge w:val="restart"/>
          </w:tcPr>
          <w:p>
            <w:pPr>
              <w:ind w:left="440"/>
              <w:spacing w:after="0"/>
              <w:rPr>
                <w:sz w:val="20"/>
                <w:szCs w:val="20"/>
                <w:color w:val="auto"/>
              </w:rPr>
            </w:pPr>
            <w:r>
              <w:rPr>
                <w:rFonts w:ascii="Arial" w:cs="Arial" w:eastAsia="Arial" w:hAnsi="Arial"/>
                <w:sz w:val="13"/>
                <w:szCs w:val="13"/>
                <w:b w:val="1"/>
                <w:bCs w:val="1"/>
                <w:color w:val="4800E6"/>
              </w:rPr>
              <w:t xml:space="preserve">LIVANOVA </w:t>
            </w:r>
            <w:r>
              <w:rPr>
                <w:rFonts w:ascii="Arial" w:cs="Arial" w:eastAsia="Arial" w:hAnsi="Arial"/>
                <w:sz w:val="13"/>
                <w:szCs w:val="13"/>
                <w:color w:val="000000"/>
              </w:rPr>
              <w:t>|</w:t>
            </w:r>
            <w:r>
              <w:rPr>
                <w:rFonts w:ascii="Arial" w:cs="Arial" w:eastAsia="Arial" w:hAnsi="Arial"/>
                <w:sz w:val="13"/>
                <w:szCs w:val="13"/>
                <w:b w:val="1"/>
                <w:bCs w:val="1"/>
                <w:color w:val="4800E6"/>
              </w:rPr>
              <w:t xml:space="preserve"> </w:t>
            </w:r>
            <w:r>
              <w:rPr>
                <w:rFonts w:ascii="Arial" w:cs="Arial" w:eastAsia="Arial" w:hAnsi="Arial"/>
                <w:sz w:val="13"/>
                <w:szCs w:val="13"/>
                <w:color w:val="4800E6"/>
              </w:rPr>
              <w:t>2020</w:t>
            </w:r>
            <w:r>
              <w:rPr>
                <w:rFonts w:ascii="Arial" w:cs="Arial" w:eastAsia="Arial" w:hAnsi="Arial"/>
                <w:sz w:val="13"/>
                <w:szCs w:val="13"/>
                <w:b w:val="1"/>
                <w:bCs w:val="1"/>
                <w:color w:val="4800E6"/>
              </w:rPr>
              <w:t xml:space="preserve"> </w:t>
            </w:r>
            <w:r>
              <w:rPr>
                <w:rFonts w:ascii="Arial" w:cs="Arial" w:eastAsia="Arial" w:hAnsi="Arial"/>
                <w:sz w:val="13"/>
                <w:szCs w:val="13"/>
                <w:color w:val="000000"/>
              </w:rPr>
              <w:t>Proxy Statement</w:t>
            </w:r>
          </w:p>
        </w:tc>
        <w:tc>
          <w:tcPr>
            <w:tcW w:w="3080" w:type="dxa"/>
            <w:vAlign w:val="bottom"/>
            <w:tcBorders>
              <w:bottom w:val="single" w:sz="8" w:color="auto"/>
            </w:tcBorders>
          </w:tcPr>
          <w:p>
            <w:pPr>
              <w:spacing w:after="0"/>
              <w:rPr>
                <w:sz w:val="11"/>
                <w:szCs w:val="11"/>
                <w:color w:val="auto"/>
              </w:rPr>
            </w:pPr>
          </w:p>
        </w:tc>
        <w:tc>
          <w:tcPr>
            <w:tcW w:w="940" w:type="dxa"/>
            <w:vAlign w:val="bottom"/>
            <w:vMerge w:val="restart"/>
          </w:tcPr>
          <w:p>
            <w:pPr>
              <w:jc w:val="right"/>
              <w:ind w:right="468"/>
              <w:spacing w:after="0"/>
              <w:rPr>
                <w:sz w:val="20"/>
                <w:szCs w:val="20"/>
                <w:color w:val="auto"/>
              </w:rPr>
            </w:pPr>
            <w:r>
              <w:rPr>
                <w:rFonts w:ascii="Arial" w:cs="Arial" w:eastAsia="Arial" w:hAnsi="Arial"/>
                <w:sz w:val="14"/>
                <w:szCs w:val="14"/>
                <w:b w:val="1"/>
                <w:bCs w:val="1"/>
                <w:color w:val="auto"/>
              </w:rPr>
              <w:t>58</w:t>
            </w:r>
          </w:p>
        </w:tc>
        <w:tc>
          <w:tcPr>
            <w:tcW w:w="0" w:type="dxa"/>
            <w:vAlign w:val="bottom"/>
          </w:tcPr>
          <w:p>
            <w:pPr>
              <w:spacing w:after="0"/>
              <w:rPr>
                <w:sz w:val="1"/>
                <w:szCs w:val="1"/>
                <w:color w:val="auto"/>
              </w:rPr>
            </w:pPr>
          </w:p>
        </w:tc>
      </w:tr>
      <w:tr>
        <w:trPr>
          <w:trHeight w:val="49"/>
        </w:trPr>
        <w:tc>
          <w:tcPr>
            <w:tcW w:w="820" w:type="dxa"/>
            <w:vAlign w:val="bottom"/>
            <w:vMerge w:val="continue"/>
          </w:tcPr>
          <w:p>
            <w:pPr>
              <w:spacing w:after="0"/>
              <w:rPr>
                <w:sz w:val="4"/>
                <w:szCs w:val="4"/>
                <w:color w:val="auto"/>
              </w:rPr>
            </w:pPr>
          </w:p>
        </w:tc>
        <w:tc>
          <w:tcPr>
            <w:tcW w:w="3080" w:type="dxa"/>
            <w:vAlign w:val="bottom"/>
          </w:tcPr>
          <w:p>
            <w:pPr>
              <w:spacing w:after="0"/>
              <w:rPr>
                <w:sz w:val="4"/>
                <w:szCs w:val="4"/>
                <w:color w:val="auto"/>
              </w:rPr>
            </w:pPr>
          </w:p>
        </w:tc>
        <w:tc>
          <w:tcPr>
            <w:tcW w:w="2800" w:type="dxa"/>
            <w:vAlign w:val="bottom"/>
            <w:vMerge w:val="continue"/>
          </w:tcPr>
          <w:p>
            <w:pPr>
              <w:spacing w:after="0"/>
              <w:rPr>
                <w:sz w:val="4"/>
                <w:szCs w:val="4"/>
                <w:color w:val="auto"/>
              </w:rPr>
            </w:pPr>
          </w:p>
        </w:tc>
        <w:tc>
          <w:tcPr>
            <w:tcW w:w="3080" w:type="dxa"/>
            <w:vAlign w:val="bottom"/>
          </w:tcPr>
          <w:p>
            <w:pPr>
              <w:spacing w:after="0"/>
              <w:rPr>
                <w:sz w:val="4"/>
                <w:szCs w:val="4"/>
                <w:color w:val="auto"/>
              </w:rPr>
            </w:pPr>
          </w:p>
        </w:tc>
        <w:tc>
          <w:tcPr>
            <w:tcW w:w="94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54"/>
        </w:trPr>
        <w:tc>
          <w:tcPr>
            <w:tcW w:w="820" w:type="dxa"/>
            <w:vAlign w:val="bottom"/>
            <w:tcBorders>
              <w:bottom w:val="single" w:sz="8" w:color="9A9A9A"/>
            </w:tcBorders>
          </w:tcPr>
          <w:p>
            <w:pPr>
              <w:spacing w:after="0"/>
              <w:rPr>
                <w:sz w:val="13"/>
                <w:szCs w:val="13"/>
                <w:color w:val="auto"/>
              </w:rPr>
            </w:pPr>
          </w:p>
        </w:tc>
        <w:tc>
          <w:tcPr>
            <w:tcW w:w="3080" w:type="dxa"/>
            <w:vAlign w:val="bottom"/>
            <w:tcBorders>
              <w:bottom w:val="single" w:sz="8" w:color="9A9A9A"/>
            </w:tcBorders>
          </w:tcPr>
          <w:p>
            <w:pPr>
              <w:spacing w:after="0"/>
              <w:rPr>
                <w:sz w:val="13"/>
                <w:szCs w:val="13"/>
                <w:color w:val="auto"/>
              </w:rPr>
            </w:pPr>
          </w:p>
        </w:tc>
        <w:tc>
          <w:tcPr>
            <w:tcW w:w="2800" w:type="dxa"/>
            <w:vAlign w:val="bottom"/>
            <w:tcBorders>
              <w:bottom w:val="single" w:sz="8" w:color="9A9A9A"/>
            </w:tcBorders>
          </w:tcPr>
          <w:p>
            <w:pPr>
              <w:spacing w:after="0"/>
              <w:rPr>
                <w:sz w:val="13"/>
                <w:szCs w:val="13"/>
                <w:color w:val="auto"/>
              </w:rPr>
            </w:pPr>
          </w:p>
        </w:tc>
        <w:tc>
          <w:tcPr>
            <w:tcW w:w="3080" w:type="dxa"/>
            <w:vAlign w:val="bottom"/>
            <w:tcBorders>
              <w:bottom w:val="single" w:sz="8" w:color="9A9A9A"/>
            </w:tcBorders>
          </w:tcPr>
          <w:p>
            <w:pPr>
              <w:spacing w:after="0"/>
              <w:rPr>
                <w:sz w:val="13"/>
                <w:szCs w:val="13"/>
                <w:color w:val="auto"/>
              </w:rPr>
            </w:pPr>
          </w:p>
        </w:tc>
        <w:tc>
          <w:tcPr>
            <w:tcW w:w="940" w:type="dxa"/>
            <w:vAlign w:val="bottom"/>
            <w:tcBorders>
              <w:bottom w:val="single" w:sz="8" w:color="9A9A9A"/>
            </w:tcBorders>
          </w:tcPr>
          <w:p>
            <w:pPr>
              <w:spacing w:after="0"/>
              <w:rPr>
                <w:sz w:val="13"/>
                <w:szCs w:val="1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6802755</wp:posOffset>
            </wp:positionH>
            <wp:positionV relativeFrom="paragraph">
              <wp:posOffset>-8255</wp:posOffset>
            </wp:positionV>
            <wp:extent cx="8255" cy="8890"/>
            <wp:wrapNone/>
            <wp:docPr id="297" name="Picture 2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7"/>
                    <pic:cNvPicPr>
                      <a:picLocks noChangeAspect="1" noChangeArrowheads="1"/>
                    </pic:cNvPicPr>
                  </pic:nvPicPr>
                  <pic:blipFill>
                    <a:blip r:embed="rId304">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wp:posOffset>
            </wp:positionV>
            <wp:extent cx="8890" cy="17145"/>
            <wp:wrapNone/>
            <wp:docPr id="298" name="Picture 2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8"/>
                    <pic:cNvPicPr>
                      <a:picLocks noChangeAspect="1" noChangeArrowheads="1"/>
                    </pic:cNvPicPr>
                  </pic:nvPicPr>
                  <pic:blipFill>
                    <a:blip r:embed="rId305">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sectPr>
          <w:pgSz w:w="11900" w:h="16838" w:orient="portrait"/>
          <w:cols w:equalWidth="0" w:num="1">
            <w:col w:w="10720"/>
          </w:cols>
          <w:pgMar w:left="320" w:top="132" w:right="859" w:bottom="1440" w:gutter="0" w:footer="0" w:header="0"/>
          <w:type w:val="continuous"/>
        </w:sectPr>
      </w:pPr>
    </w:p>
    <w:bookmarkStart w:id="62" w:name="page63"/>
    <w:bookmarkEnd w:id="62"/>
    <w:p>
      <w:pPr>
        <w:spacing w:after="0"/>
        <w:rPr>
          <w:rFonts w:ascii="Arial" w:cs="Arial" w:eastAsia="Arial" w:hAnsi="Arial"/>
          <w:sz w:val="14"/>
          <w:szCs w:val="14"/>
          <w:color w:val="003366"/>
        </w:rPr>
      </w:pPr>
      <w:hyperlink w:anchor="page5">
        <w:r>
          <w:rPr>
            <w:rFonts w:ascii="Arial" w:cs="Arial" w:eastAsia="Arial" w:hAnsi="Arial"/>
            <w:sz w:val="14"/>
            <w:szCs w:val="14"/>
            <w:color w:val="003366"/>
          </w:rPr>
          <w:t>TABLE OF CONTENTS</w:t>
        </w:r>
      </w:hyperlink>
    </w:p>
    <w:p>
      <w:pPr>
        <w:spacing w:after="0" w:line="338" w:lineRule="exact"/>
        <w:rPr>
          <w:sz w:val="20"/>
          <w:szCs w:val="20"/>
          <w:color w:val="auto"/>
        </w:rPr>
      </w:pPr>
    </w:p>
    <w:p>
      <w:pPr>
        <w:ind w:left="760"/>
        <w:spacing w:after="0"/>
        <w:rPr>
          <w:sz w:val="20"/>
          <w:szCs w:val="20"/>
          <w:color w:val="auto"/>
        </w:rPr>
      </w:pPr>
      <w:r>
        <w:rPr>
          <w:rFonts w:ascii="Arial" w:cs="Arial" w:eastAsia="Arial" w:hAnsi="Arial"/>
          <w:sz w:val="13"/>
          <w:szCs w:val="13"/>
          <w:b w:val="1"/>
          <w:bCs w:val="1"/>
          <w:color w:val="auto"/>
        </w:rPr>
        <w:t xml:space="preserve">Proposal No. 6 </w:t>
      </w:r>
      <w:r>
        <w:rPr>
          <w:rFonts w:ascii="Arial" w:cs="Arial" w:eastAsia="Arial" w:hAnsi="Arial"/>
          <w:sz w:val="13"/>
          <w:szCs w:val="13"/>
          <w:b w:val="1"/>
          <w:bCs w:val="1"/>
          <w:color w:val="666666"/>
        </w:rPr>
        <w:t>Special Resolution to Adopt New Articles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485140</wp:posOffset>
            </wp:positionH>
            <wp:positionV relativeFrom="paragraph">
              <wp:posOffset>30480</wp:posOffset>
            </wp:positionV>
            <wp:extent cx="5829300" cy="8255"/>
            <wp:wrapNone/>
            <wp:docPr id="299" name="Picture 2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9"/>
                    <pic:cNvPicPr>
                      <a:picLocks noChangeAspect="1" noChangeArrowheads="1"/>
                    </pic:cNvPicPr>
                  </pic:nvPicPr>
                  <pic:blipFill>
                    <a:blip r:embed="rId306">
                      <a:extLst>
                        <a:ext uri="{28A0092B-C50C-407E-A947-70E740481C1C}"/>
                      </a:extLst>
                    </a:blip>
                    <a:srcRect/>
                    <a:stretch>
                      <a:fillRect/>
                    </a:stretch>
                  </pic:blipFill>
                  <pic:spPr bwMode="auto">
                    <a:xfrm>
                      <a:off x="0" y="0"/>
                      <a:ext cx="5829300" cy="8255"/>
                    </a:xfrm>
                    <a:prstGeom prst="rect">
                      <a:avLst/>
                    </a:prstGeom>
                    <a:noFill/>
                  </pic:spPr>
                </pic:pic>
              </a:graphicData>
            </a:graphic>
          </wp:anchor>
        </w:drawing>
      </w:r>
    </w:p>
    <w:p>
      <w:pPr>
        <w:spacing w:after="0" w:line="60" w:lineRule="exact"/>
        <w:rPr>
          <w:sz w:val="20"/>
          <w:szCs w:val="20"/>
          <w:color w:val="auto"/>
        </w:rPr>
      </w:pPr>
    </w:p>
    <w:p>
      <w:pPr>
        <w:ind w:left="760"/>
        <w:spacing w:after="0"/>
        <w:rPr>
          <w:sz w:val="20"/>
          <w:szCs w:val="20"/>
          <w:color w:val="auto"/>
        </w:rPr>
      </w:pPr>
      <w:r>
        <w:rPr>
          <w:rFonts w:ascii="Arial" w:cs="Arial" w:eastAsia="Arial" w:hAnsi="Arial"/>
          <w:sz w:val="13"/>
          <w:szCs w:val="13"/>
          <w:b w:val="1"/>
          <w:bCs w:val="1"/>
          <w:color w:val="4800E6"/>
        </w:rPr>
        <w:t>Board Recommendation</w:t>
      </w:r>
    </w:p>
    <w:p>
      <w:pPr>
        <w:spacing w:after="0" w:line="200" w:lineRule="exact"/>
        <w:rPr>
          <w:sz w:val="20"/>
          <w:szCs w:val="20"/>
          <w:color w:val="auto"/>
        </w:rPr>
      </w:pPr>
    </w:p>
    <w:p>
      <w:pPr>
        <w:spacing w:after="0" w:line="387" w:lineRule="exact"/>
        <w:rPr>
          <w:sz w:val="20"/>
          <w:szCs w:val="20"/>
          <w:color w:val="auto"/>
        </w:rPr>
      </w:pPr>
    </w:p>
    <w:p>
      <w:pPr>
        <w:ind w:left="760"/>
        <w:spacing w:after="0"/>
        <w:rPr>
          <w:sz w:val="20"/>
          <w:szCs w:val="20"/>
          <w:color w:val="auto"/>
        </w:rPr>
      </w:pPr>
      <w:r>
        <w:rPr>
          <w:rFonts w:ascii="Arial" w:cs="Arial" w:eastAsia="Arial" w:hAnsi="Arial"/>
          <w:sz w:val="31"/>
          <w:szCs w:val="31"/>
          <w:b w:val="1"/>
          <w:bCs w:val="1"/>
          <w:color w:val="4800E6"/>
        </w:rPr>
        <w:t>Vote Required</w:t>
      </w:r>
    </w:p>
    <w:p>
      <w:pPr>
        <w:spacing w:after="0" w:line="146" w:lineRule="exact"/>
        <w:rPr>
          <w:sz w:val="20"/>
          <w:szCs w:val="20"/>
          <w:color w:val="auto"/>
        </w:rPr>
      </w:pPr>
    </w:p>
    <w:p>
      <w:pPr>
        <w:ind w:left="760" w:right="379"/>
        <w:spacing w:after="0" w:line="260" w:lineRule="auto"/>
        <w:rPr>
          <w:sz w:val="20"/>
          <w:szCs w:val="20"/>
          <w:color w:val="auto"/>
        </w:rPr>
      </w:pPr>
      <w:r>
        <w:rPr>
          <w:rFonts w:ascii="Arial" w:cs="Arial" w:eastAsia="Arial" w:hAnsi="Arial"/>
          <w:sz w:val="16"/>
          <w:szCs w:val="16"/>
          <w:color w:val="auto"/>
        </w:rPr>
        <w:t>This resolution must be approved by shareholders representing at least 75% of the votes cast on the resolution. Abstentions and broker non-votes will not be counted as a vote either for or against this resolution.</w:t>
      </w:r>
    </w:p>
    <w:p>
      <w:pPr>
        <w:spacing w:after="0" w:line="368" w:lineRule="exact"/>
        <w:rPr>
          <w:sz w:val="20"/>
          <w:szCs w:val="20"/>
          <w:color w:val="auto"/>
        </w:rPr>
      </w:pPr>
    </w:p>
    <w:p>
      <w:pPr>
        <w:ind w:left="760"/>
        <w:spacing w:after="0"/>
        <w:rPr>
          <w:sz w:val="20"/>
          <w:szCs w:val="20"/>
          <w:color w:val="auto"/>
        </w:rPr>
      </w:pPr>
      <w:r>
        <w:rPr>
          <w:rFonts w:ascii="Arial" w:cs="Arial" w:eastAsia="Arial" w:hAnsi="Arial"/>
          <w:sz w:val="31"/>
          <w:szCs w:val="31"/>
          <w:b w:val="1"/>
          <w:bCs w:val="1"/>
          <w:color w:val="4800E6"/>
        </w:rPr>
        <w:t>Board Recommendation</w:t>
      </w:r>
    </w:p>
    <w:p>
      <w:pPr>
        <w:spacing w:after="0" w:line="99" w:lineRule="exact"/>
        <w:rPr>
          <w:sz w:val="20"/>
          <w:szCs w:val="20"/>
          <w:color w:val="auto"/>
        </w:rPr>
      </w:pPr>
    </w:p>
    <w:p>
      <w:pPr>
        <w:jc w:val="both"/>
        <w:ind w:left="1080" w:right="759"/>
        <w:spacing w:after="0" w:line="301" w:lineRule="auto"/>
        <w:rPr>
          <w:sz w:val="20"/>
          <w:szCs w:val="20"/>
          <w:color w:val="auto"/>
        </w:rPr>
      </w:pPr>
      <w:r>
        <w:rPr>
          <w:rFonts w:ascii="Arial" w:cs="Arial" w:eastAsia="Arial" w:hAnsi="Arial"/>
          <w:sz w:val="16"/>
          <w:szCs w:val="16"/>
          <w:color w:val="auto"/>
        </w:rPr>
        <w:t xml:space="preserve">THE BOARD RECOMMENDS A </w:t>
      </w:r>
      <w:r>
        <w:rPr>
          <w:rFonts w:ascii="Arial" w:cs="Arial" w:eastAsia="Arial" w:hAnsi="Arial"/>
          <w:sz w:val="16"/>
          <w:szCs w:val="16"/>
          <w:b w:val="1"/>
          <w:bCs w:val="1"/>
          <w:color w:val="FF4C4C"/>
        </w:rPr>
        <w:t>VOTE FOR</w:t>
      </w:r>
      <w:r>
        <w:rPr>
          <w:rFonts w:ascii="Arial" w:cs="Arial" w:eastAsia="Arial" w:hAnsi="Arial"/>
          <w:sz w:val="16"/>
          <w:szCs w:val="16"/>
          <w:color w:val="auto"/>
        </w:rPr>
        <w:t xml:space="preserve"> THE APPROVAL OF THE SPECIAL RESOLUTION TO APPROVE AND ADOPT THE NEW ARTICLES, INCLUDING THE CHANGE TO THE VOTING STANDARD FOR THE ELECTION OF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485140</wp:posOffset>
            </wp:positionH>
            <wp:positionV relativeFrom="paragraph">
              <wp:posOffset>-436245</wp:posOffset>
            </wp:positionV>
            <wp:extent cx="137160" cy="137160"/>
            <wp:wrapNone/>
            <wp:docPr id="300" name="Picture 3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0"/>
                    <pic:cNvPicPr>
                      <a:picLocks noChangeAspect="1" noChangeArrowheads="1"/>
                    </pic:cNvPicPr>
                  </pic:nvPicPr>
                  <pic:blipFill>
                    <a:blip r:embed="rId307">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ectPr>
          <w:pgSz w:w="11900" w:h="16838" w:orient="portrait"/>
          <w:cols w:equalWidth="0" w:num="1">
            <w:col w:w="10139"/>
          </w:cols>
          <w:pgMar w:left="320" w:top="132"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1" w:lineRule="exact"/>
        <w:rPr>
          <w:sz w:val="20"/>
          <w:szCs w:val="20"/>
          <w:color w:val="auto"/>
        </w:rPr>
      </w:pPr>
    </w:p>
    <w:p>
      <w:pPr>
        <w:ind w:left="480"/>
        <w:spacing w:after="0"/>
        <w:tabs>
          <w:tab w:leader="none" w:pos="4400" w:val="left"/>
          <w:tab w:leader="none" w:pos="8760" w:val="left"/>
        </w:tabs>
        <w:rPr>
          <w:sz w:val="20"/>
          <w:szCs w:val="20"/>
          <w:color w:val="auto"/>
        </w:rPr>
      </w:pPr>
      <w:r>
        <w:rPr>
          <w:rFonts w:ascii="Arial" w:cs="Arial" w:eastAsia="Arial" w:hAnsi="Arial"/>
          <w:sz w:val="29"/>
          <w:szCs w:val="29"/>
          <w:b w:val="1"/>
          <w:bCs w:val="1"/>
          <w:color w:val="auto"/>
          <w:vertAlign w:val="subscript"/>
        </w:rPr>
        <w:t>59</w:t>
      </w:r>
      <w:r>
        <w:rPr>
          <w:sz w:val="20"/>
          <w:szCs w:val="20"/>
          <w:color w:val="auto"/>
        </w:rPr>
        <w:tab/>
      </w:r>
      <w:r>
        <w:rPr>
          <w:rFonts w:ascii="Arial" w:cs="Arial" w:eastAsia="Arial" w:hAnsi="Arial"/>
          <w:sz w:val="13"/>
          <w:szCs w:val="13"/>
          <w:b w:val="1"/>
          <w:bCs w:val="1"/>
          <w:color w:val="4800E6"/>
        </w:rPr>
        <w:t xml:space="preserve">LIVANOVA </w:t>
      </w:r>
      <w:r>
        <w:rPr>
          <w:rFonts w:ascii="Arial" w:cs="Arial" w:eastAsia="Arial" w:hAnsi="Arial"/>
          <w:sz w:val="13"/>
          <w:szCs w:val="13"/>
          <w:color w:val="000000"/>
        </w:rPr>
        <w:t>|</w:t>
      </w:r>
      <w:r>
        <w:rPr>
          <w:rFonts w:ascii="Arial" w:cs="Arial" w:eastAsia="Arial" w:hAnsi="Arial"/>
          <w:sz w:val="13"/>
          <w:szCs w:val="13"/>
          <w:b w:val="1"/>
          <w:bCs w:val="1"/>
          <w:color w:val="4800E6"/>
        </w:rPr>
        <w:t xml:space="preserve"> </w:t>
      </w:r>
      <w:r>
        <w:rPr>
          <w:rFonts w:ascii="Arial" w:cs="Arial" w:eastAsia="Arial" w:hAnsi="Arial"/>
          <w:sz w:val="13"/>
          <w:szCs w:val="13"/>
          <w:color w:val="4800E6"/>
        </w:rPr>
        <w:t>2020</w:t>
      </w:r>
      <w:r>
        <w:rPr>
          <w:rFonts w:ascii="Arial" w:cs="Arial" w:eastAsia="Arial" w:hAnsi="Arial"/>
          <w:sz w:val="13"/>
          <w:szCs w:val="13"/>
          <w:b w:val="1"/>
          <w:bCs w:val="1"/>
          <w:color w:val="4800E6"/>
        </w:rPr>
        <w:t xml:space="preserve"> </w:t>
      </w:r>
      <w:r>
        <w:rPr>
          <w:rFonts w:ascii="Arial" w:cs="Arial" w:eastAsia="Arial" w:hAnsi="Arial"/>
          <w:sz w:val="13"/>
          <w:szCs w:val="13"/>
          <w:color w:val="000000"/>
        </w:rPr>
        <w:t>Proxy Statement</w:t>
      </w:r>
      <w:r>
        <w:rPr>
          <w:sz w:val="20"/>
          <w:szCs w:val="20"/>
          <w:color w:val="auto"/>
        </w:rPr>
        <w:tab/>
      </w:r>
      <w:r>
        <w:rPr>
          <w:rFonts w:ascii="Arial" w:cs="Arial" w:eastAsia="Arial" w:hAnsi="Arial"/>
          <w:sz w:val="12"/>
          <w:szCs w:val="12"/>
          <w:b w:val="1"/>
          <w:bCs w:val="1"/>
          <w:color w:val="4800E6"/>
        </w:rPr>
        <w:t>www.livanova.com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561975</wp:posOffset>
            </wp:positionH>
            <wp:positionV relativeFrom="paragraph">
              <wp:posOffset>94615</wp:posOffset>
            </wp:positionV>
            <wp:extent cx="1954530" cy="8890"/>
            <wp:wrapNone/>
            <wp:docPr id="301" name="Picture 3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1"/>
                    <pic:cNvPicPr>
                      <a:picLocks noChangeAspect="1" noChangeArrowheads="1"/>
                    </pic:cNvPicPr>
                  </pic:nvPicPr>
                  <pic:blipFill>
                    <a:blip r:embed="rId308">
                      <a:extLst>
                        <a:ext uri="{28A0092B-C50C-407E-A947-70E740481C1C}"/>
                      </a:extLst>
                    </a:blip>
                    <a:srcRect/>
                    <a:stretch>
                      <a:fillRect/>
                    </a:stretch>
                  </pic:blipFill>
                  <pic:spPr bwMode="auto">
                    <a:xfrm>
                      <a:off x="0" y="0"/>
                      <a:ext cx="1954530" cy="8890"/>
                    </a:xfrm>
                    <a:prstGeom prst="rect">
                      <a:avLst/>
                    </a:prstGeom>
                    <a:noFill/>
                  </pic:spPr>
                </pic:pic>
              </a:graphicData>
            </a:graphic>
          </wp:anchor>
        </w:drawing>
        <w:drawing>
          <wp:anchor simplePos="0" relativeHeight="251657728" behindDoc="1" locked="0" layoutInCell="0" allowOverlap="1">
            <wp:simplePos x="0" y="0"/>
            <wp:positionH relativeFrom="column">
              <wp:posOffset>4316730</wp:posOffset>
            </wp:positionH>
            <wp:positionV relativeFrom="paragraph">
              <wp:posOffset>94615</wp:posOffset>
            </wp:positionV>
            <wp:extent cx="1028700" cy="8890"/>
            <wp:wrapNone/>
            <wp:docPr id="302" name="Picture 3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2"/>
                    <pic:cNvPicPr>
                      <a:picLocks noChangeAspect="1" noChangeArrowheads="1"/>
                    </pic:cNvPicPr>
                  </pic:nvPicPr>
                  <pic:blipFill>
                    <a:blip r:embed="rId309">
                      <a:extLst>
                        <a:ext uri="{28A0092B-C50C-407E-A947-70E740481C1C}"/>
                      </a:extLst>
                    </a:blip>
                    <a:srcRect/>
                    <a:stretch>
                      <a:fillRect/>
                    </a:stretch>
                  </pic:blipFill>
                  <pic:spPr bwMode="auto">
                    <a:xfrm>
                      <a:off x="0" y="0"/>
                      <a:ext cx="102870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231775</wp:posOffset>
            </wp:positionV>
            <wp:extent cx="6806565" cy="17145"/>
            <wp:wrapNone/>
            <wp:docPr id="303" name="Picture 3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3"/>
                    <pic:cNvPicPr>
                      <a:picLocks noChangeAspect="1" noChangeArrowheads="1"/>
                    </pic:cNvPicPr>
                  </pic:nvPicPr>
                  <pic:blipFill>
                    <a:blip r:embed="rId310">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10139"/>
          </w:cols>
          <w:pgMar w:left="320" w:top="132" w:right="1440" w:bottom="1440" w:gutter="0" w:footer="0" w:header="0"/>
          <w:type w:val="continuous"/>
        </w:sectPr>
      </w:pPr>
    </w:p>
    <w:bookmarkStart w:id="63" w:name="page64"/>
    <w:bookmarkEnd w:id="63"/>
    <w:p>
      <w:pPr>
        <w:spacing w:after="0"/>
        <w:rPr>
          <w:rFonts w:ascii="Arial" w:cs="Arial" w:eastAsia="Arial" w:hAnsi="Arial"/>
          <w:sz w:val="14"/>
          <w:szCs w:val="14"/>
          <w:color w:val="003366"/>
        </w:rPr>
      </w:pPr>
      <w:hyperlink w:anchor="page5">
        <w:r>
          <w:rPr>
            <w:rFonts w:ascii="Arial" w:cs="Arial" w:eastAsia="Arial" w:hAnsi="Arial"/>
            <w:sz w:val="14"/>
            <w:szCs w:val="14"/>
            <w:color w:val="003366"/>
          </w:rPr>
          <w:t>TABLE OF CONTENTS</w:t>
        </w:r>
      </w:hyperlink>
    </w:p>
    <w:p>
      <w:pPr>
        <w:spacing w:after="0" w:line="338" w:lineRule="exact"/>
        <w:rPr>
          <w:sz w:val="20"/>
          <w:szCs w:val="20"/>
          <w:color w:val="auto"/>
        </w:rPr>
      </w:pPr>
    </w:p>
    <w:p>
      <w:pPr>
        <w:ind w:left="8200"/>
        <w:spacing w:after="0"/>
        <w:rPr>
          <w:sz w:val="20"/>
          <w:szCs w:val="20"/>
          <w:color w:val="auto"/>
        </w:rPr>
      </w:pPr>
      <w:r>
        <w:rPr>
          <w:rFonts w:ascii="Arial" w:cs="Arial" w:eastAsia="Arial" w:hAnsi="Arial"/>
          <w:sz w:val="13"/>
          <w:szCs w:val="13"/>
          <w:b w:val="1"/>
          <w:bCs w:val="1"/>
          <w:color w:val="auto"/>
        </w:rPr>
        <w:t xml:space="preserve">Share </w:t>
      </w:r>
      <w:r>
        <w:rPr>
          <w:rFonts w:ascii="Arial" w:cs="Arial" w:eastAsia="Arial" w:hAnsi="Arial"/>
          <w:sz w:val="13"/>
          <w:szCs w:val="13"/>
          <w:b w:val="1"/>
          <w:bCs w:val="1"/>
          <w:color w:val="666666"/>
        </w:rPr>
        <w:t>Ownership Information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485140</wp:posOffset>
            </wp:positionH>
            <wp:positionV relativeFrom="paragraph">
              <wp:posOffset>30480</wp:posOffset>
            </wp:positionV>
            <wp:extent cx="5829300" cy="8255"/>
            <wp:wrapNone/>
            <wp:docPr id="304" name="Picture 3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4"/>
                    <pic:cNvPicPr>
                      <a:picLocks noChangeAspect="1" noChangeArrowheads="1"/>
                    </pic:cNvPicPr>
                  </pic:nvPicPr>
                  <pic:blipFill>
                    <a:blip r:embed="rId311">
                      <a:extLst>
                        <a:ext uri="{28A0092B-C50C-407E-A947-70E740481C1C}"/>
                      </a:extLst>
                    </a:blip>
                    <a:srcRect/>
                    <a:stretch>
                      <a:fillRect/>
                    </a:stretch>
                  </pic:blipFill>
                  <pic:spPr bwMode="auto">
                    <a:xfrm>
                      <a:off x="0" y="0"/>
                      <a:ext cx="582930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89" w:lineRule="exact"/>
        <w:rPr>
          <w:sz w:val="20"/>
          <w:szCs w:val="20"/>
          <w:color w:val="auto"/>
        </w:rPr>
      </w:pPr>
    </w:p>
    <w:p>
      <w:pPr>
        <w:ind w:left="760"/>
        <w:spacing w:after="0"/>
        <w:rPr>
          <w:sz w:val="20"/>
          <w:szCs w:val="20"/>
          <w:color w:val="auto"/>
        </w:rPr>
      </w:pPr>
      <w:r>
        <w:rPr>
          <w:rFonts w:ascii="Arial" w:cs="Arial" w:eastAsia="Arial" w:hAnsi="Arial"/>
          <w:sz w:val="47"/>
          <w:szCs w:val="47"/>
          <w:b w:val="1"/>
          <w:bCs w:val="1"/>
          <w:color w:val="4800E6"/>
        </w:rPr>
        <w:t xml:space="preserve">Share </w:t>
      </w:r>
      <w:r>
        <w:rPr>
          <w:rFonts w:ascii="Arial" w:cs="Arial" w:eastAsia="Arial" w:hAnsi="Arial"/>
          <w:sz w:val="47"/>
          <w:szCs w:val="47"/>
          <w:b w:val="1"/>
          <w:bCs w:val="1"/>
          <w:color w:val="666666"/>
        </w:rPr>
        <w:t>Ownership Information</w:t>
      </w:r>
    </w:p>
    <w:p>
      <w:pPr>
        <w:spacing w:after="0" w:line="159" w:lineRule="exact"/>
        <w:rPr>
          <w:sz w:val="20"/>
          <w:szCs w:val="20"/>
          <w:color w:val="auto"/>
        </w:rPr>
      </w:pPr>
    </w:p>
    <w:p>
      <w:pPr>
        <w:ind w:left="760" w:right="840"/>
        <w:spacing w:after="0" w:line="260" w:lineRule="auto"/>
        <w:rPr>
          <w:sz w:val="20"/>
          <w:szCs w:val="20"/>
          <w:color w:val="auto"/>
        </w:rPr>
      </w:pPr>
      <w:r>
        <w:rPr>
          <w:rFonts w:ascii="Arial" w:cs="Arial" w:eastAsia="Arial" w:hAnsi="Arial"/>
          <w:sz w:val="16"/>
          <w:szCs w:val="16"/>
          <w:color w:val="auto"/>
        </w:rPr>
        <w:t>The following table sets forth, as of May 14, 2020, except where otherwise noted, certain information with respect to the amount of our ordinary shares beneficially owned by:</w:t>
      </w:r>
    </w:p>
    <w:p>
      <w:pPr>
        <w:spacing w:after="0" w:line="20" w:lineRule="exact"/>
        <w:rPr>
          <w:sz w:val="20"/>
          <w:szCs w:val="20"/>
          <w:color w:val="auto"/>
        </w:rPr>
      </w:pPr>
    </w:p>
    <w:p>
      <w:pPr>
        <w:ind w:left="920" w:hanging="156"/>
        <w:spacing w:after="0"/>
        <w:tabs>
          <w:tab w:leader="none" w:pos="920" w:val="left"/>
        </w:tabs>
        <w:numPr>
          <w:ilvl w:val="0"/>
          <w:numId w:val="85"/>
        </w:numPr>
        <w:rPr>
          <w:rFonts w:ascii="Arial" w:cs="Arial" w:eastAsia="Arial" w:hAnsi="Arial"/>
          <w:sz w:val="16"/>
          <w:szCs w:val="16"/>
          <w:color w:val="4800E6"/>
        </w:rPr>
      </w:pPr>
      <w:r>
        <w:rPr>
          <w:rFonts w:ascii="Arial" w:cs="Arial" w:eastAsia="Arial" w:hAnsi="Arial"/>
          <w:sz w:val="16"/>
          <w:szCs w:val="16"/>
          <w:color w:val="auto"/>
        </w:rPr>
        <w:t>each of our NEOs;</w:t>
      </w:r>
    </w:p>
    <w:p>
      <w:pPr>
        <w:spacing w:after="0" w:line="32" w:lineRule="exact"/>
        <w:rPr>
          <w:rFonts w:ascii="Arial" w:cs="Arial" w:eastAsia="Arial" w:hAnsi="Arial"/>
          <w:sz w:val="16"/>
          <w:szCs w:val="16"/>
          <w:color w:val="4800E6"/>
        </w:rPr>
      </w:pPr>
    </w:p>
    <w:p>
      <w:pPr>
        <w:ind w:left="920" w:hanging="156"/>
        <w:spacing w:after="0"/>
        <w:tabs>
          <w:tab w:leader="none" w:pos="920" w:val="left"/>
        </w:tabs>
        <w:numPr>
          <w:ilvl w:val="0"/>
          <w:numId w:val="85"/>
        </w:numPr>
        <w:rPr>
          <w:rFonts w:ascii="Arial" w:cs="Arial" w:eastAsia="Arial" w:hAnsi="Arial"/>
          <w:sz w:val="16"/>
          <w:szCs w:val="16"/>
          <w:color w:val="4800E6"/>
        </w:rPr>
      </w:pPr>
      <w:r>
        <w:rPr>
          <w:rFonts w:ascii="Arial" w:cs="Arial" w:eastAsia="Arial" w:hAnsi="Arial"/>
          <w:sz w:val="16"/>
          <w:szCs w:val="16"/>
          <w:color w:val="auto"/>
        </w:rPr>
        <w:t>each director;</w:t>
      </w:r>
    </w:p>
    <w:p>
      <w:pPr>
        <w:spacing w:after="0" w:line="45" w:lineRule="exact"/>
        <w:rPr>
          <w:rFonts w:ascii="Arial" w:cs="Arial" w:eastAsia="Arial" w:hAnsi="Arial"/>
          <w:sz w:val="16"/>
          <w:szCs w:val="16"/>
          <w:color w:val="4800E6"/>
        </w:rPr>
      </w:pPr>
    </w:p>
    <w:p>
      <w:pPr>
        <w:ind w:left="920" w:hanging="156"/>
        <w:spacing w:after="0"/>
        <w:tabs>
          <w:tab w:leader="none" w:pos="920" w:val="left"/>
        </w:tabs>
        <w:numPr>
          <w:ilvl w:val="0"/>
          <w:numId w:val="85"/>
        </w:numPr>
        <w:rPr>
          <w:rFonts w:ascii="Arial" w:cs="Arial" w:eastAsia="Arial" w:hAnsi="Arial"/>
          <w:sz w:val="16"/>
          <w:szCs w:val="16"/>
          <w:color w:val="4800E6"/>
        </w:rPr>
      </w:pPr>
      <w:r>
        <w:rPr>
          <w:rFonts w:ascii="Arial" w:cs="Arial" w:eastAsia="Arial" w:hAnsi="Arial"/>
          <w:sz w:val="16"/>
          <w:szCs w:val="16"/>
          <w:color w:val="auto"/>
        </w:rPr>
        <w:t>all current executive officers and directors as a group; and</w:t>
      </w:r>
    </w:p>
    <w:p>
      <w:pPr>
        <w:spacing w:after="0" w:line="32" w:lineRule="exact"/>
        <w:rPr>
          <w:rFonts w:ascii="Arial" w:cs="Arial" w:eastAsia="Arial" w:hAnsi="Arial"/>
          <w:sz w:val="16"/>
          <w:szCs w:val="16"/>
          <w:color w:val="4800E6"/>
        </w:rPr>
      </w:pPr>
    </w:p>
    <w:p>
      <w:pPr>
        <w:ind w:left="920" w:hanging="156"/>
        <w:spacing w:after="0"/>
        <w:tabs>
          <w:tab w:leader="none" w:pos="920" w:val="left"/>
        </w:tabs>
        <w:numPr>
          <w:ilvl w:val="0"/>
          <w:numId w:val="85"/>
        </w:numPr>
        <w:rPr>
          <w:rFonts w:ascii="Arial" w:cs="Arial" w:eastAsia="Arial" w:hAnsi="Arial"/>
          <w:sz w:val="16"/>
          <w:szCs w:val="16"/>
          <w:color w:val="4800E6"/>
        </w:rPr>
      </w:pPr>
      <w:r>
        <w:rPr>
          <w:rFonts w:ascii="Arial" w:cs="Arial" w:eastAsia="Arial" w:hAnsi="Arial"/>
          <w:sz w:val="16"/>
          <w:szCs w:val="16"/>
          <w:color w:val="auto"/>
        </w:rPr>
        <w:t>each person known by us to own beneficially more than 5% of the outstanding ordinary shares.</w:t>
      </w:r>
    </w:p>
    <w:p>
      <w:pPr>
        <w:spacing w:after="0" w:line="100" w:lineRule="exact"/>
        <w:rPr>
          <w:sz w:val="20"/>
          <w:szCs w:val="20"/>
          <w:color w:val="auto"/>
        </w:rPr>
      </w:pPr>
    </w:p>
    <w:p>
      <w:pPr>
        <w:ind w:left="760"/>
        <w:spacing w:after="0"/>
        <w:rPr>
          <w:sz w:val="20"/>
          <w:szCs w:val="20"/>
          <w:color w:val="auto"/>
        </w:rPr>
      </w:pPr>
      <w:r>
        <w:rPr>
          <w:rFonts w:ascii="Arial" w:cs="Arial" w:eastAsia="Arial" w:hAnsi="Arial"/>
          <w:sz w:val="16"/>
          <w:szCs w:val="16"/>
          <w:color w:val="auto"/>
        </w:rPr>
        <w:t>We are not aware of any agreements among our shareholders that relate to voting or investment of our ordinary shares.</w:t>
      </w:r>
    </w:p>
    <w:p>
      <w:pPr>
        <w:spacing w:after="0" w:line="136" w:lineRule="exact"/>
        <w:rPr>
          <w:sz w:val="20"/>
          <w:szCs w:val="20"/>
          <w:color w:val="auto"/>
        </w:rPr>
      </w:pPr>
    </w:p>
    <w:tbl>
      <w:tblPr>
        <w:tblLayout w:type="fixed"/>
        <w:tblInd w:w="760" w:type="dxa"/>
        <w:tblCellMar>
          <w:top w:w="0" w:type="dxa"/>
          <w:left w:w="0" w:type="dxa"/>
          <w:bottom w:w="0" w:type="dxa"/>
          <w:right w:w="0" w:type="dxa"/>
        </w:tblCellMar>
      </w:tblPr>
      <w:tr>
        <w:trPr>
          <w:trHeight w:val="245"/>
        </w:trPr>
        <w:tc>
          <w:tcPr>
            <w:tcW w:w="5160" w:type="dxa"/>
            <w:vAlign w:val="bottom"/>
          </w:tcPr>
          <w:p>
            <w:pPr>
              <w:spacing w:after="0"/>
              <w:rPr>
                <w:sz w:val="21"/>
                <w:szCs w:val="21"/>
                <w:color w:val="auto"/>
              </w:rPr>
            </w:pPr>
          </w:p>
        </w:tc>
        <w:tc>
          <w:tcPr>
            <w:tcW w:w="840" w:type="dxa"/>
            <w:vAlign w:val="bottom"/>
            <w:tcBorders>
              <w:bottom w:val="single" w:sz="8" w:color="4800E6"/>
            </w:tcBorders>
          </w:tcPr>
          <w:p>
            <w:pPr>
              <w:spacing w:after="0"/>
              <w:rPr>
                <w:sz w:val="21"/>
                <w:szCs w:val="21"/>
                <w:color w:val="auto"/>
              </w:rPr>
            </w:pPr>
          </w:p>
        </w:tc>
        <w:tc>
          <w:tcPr>
            <w:tcW w:w="3180" w:type="dxa"/>
            <w:vAlign w:val="bottom"/>
            <w:tcBorders>
              <w:bottom w:val="single" w:sz="8" w:color="4800E6"/>
            </w:tcBorders>
            <w:gridSpan w:val="3"/>
          </w:tcPr>
          <w:p>
            <w:pPr>
              <w:jc w:val="right"/>
              <w:spacing w:after="0"/>
              <w:rPr>
                <w:sz w:val="20"/>
                <w:szCs w:val="20"/>
                <w:color w:val="auto"/>
              </w:rPr>
            </w:pPr>
            <w:r>
              <w:rPr>
                <w:rFonts w:ascii="Arial" w:cs="Arial" w:eastAsia="Arial" w:hAnsi="Arial"/>
                <w:sz w:val="14"/>
                <w:szCs w:val="14"/>
                <w:b w:val="1"/>
                <w:bCs w:val="1"/>
                <w:color w:val="4800E6"/>
                <w:w w:val="99"/>
              </w:rPr>
              <w:t>Amount and Nature of Beneficial Ownership</w:t>
            </w:r>
            <w:r>
              <w:rPr>
                <w:rFonts w:ascii="Arial" w:cs="Arial" w:eastAsia="Arial" w:hAnsi="Arial"/>
                <w:sz w:val="21"/>
                <w:szCs w:val="21"/>
                <w:b w:val="1"/>
                <w:bCs w:val="1"/>
                <w:color w:val="4800E6"/>
                <w:w w:val="99"/>
                <w:vertAlign w:val="superscript"/>
              </w:rPr>
              <w:t>(1)</w:t>
            </w:r>
          </w:p>
        </w:tc>
        <w:tc>
          <w:tcPr>
            <w:tcW w:w="0" w:type="dxa"/>
            <w:vAlign w:val="bottom"/>
          </w:tcPr>
          <w:p>
            <w:pPr>
              <w:spacing w:after="0"/>
              <w:rPr>
                <w:sz w:val="1"/>
                <w:szCs w:val="1"/>
                <w:color w:val="auto"/>
              </w:rPr>
            </w:pPr>
          </w:p>
        </w:tc>
      </w:tr>
      <w:tr>
        <w:trPr>
          <w:trHeight w:val="183"/>
        </w:trPr>
        <w:tc>
          <w:tcPr>
            <w:tcW w:w="516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320" w:type="dxa"/>
            <w:vAlign w:val="bottom"/>
          </w:tcPr>
          <w:p>
            <w:pPr>
              <w:jc w:val="right"/>
              <w:ind w:right="84"/>
              <w:spacing w:after="0"/>
              <w:rPr>
                <w:sz w:val="20"/>
                <w:szCs w:val="20"/>
                <w:color w:val="auto"/>
              </w:rPr>
            </w:pPr>
            <w:r>
              <w:rPr>
                <w:rFonts w:ascii="Arial" w:cs="Arial" w:eastAsia="Arial" w:hAnsi="Arial"/>
                <w:sz w:val="14"/>
                <w:szCs w:val="14"/>
                <w:b w:val="1"/>
                <w:bCs w:val="1"/>
                <w:color w:val="4800E6"/>
              </w:rPr>
              <w:t>Shares</w:t>
            </w:r>
          </w:p>
        </w:tc>
        <w:tc>
          <w:tcPr>
            <w:tcW w:w="960" w:type="dxa"/>
            <w:vAlign w:val="bottom"/>
          </w:tcPr>
          <w:p>
            <w:pPr>
              <w:jc w:val="right"/>
              <w:ind w:right="84"/>
              <w:spacing w:after="0"/>
              <w:rPr>
                <w:sz w:val="20"/>
                <w:szCs w:val="20"/>
                <w:color w:val="auto"/>
              </w:rPr>
            </w:pPr>
            <w:r>
              <w:rPr>
                <w:rFonts w:ascii="Arial" w:cs="Arial" w:eastAsia="Arial" w:hAnsi="Arial"/>
                <w:sz w:val="14"/>
                <w:szCs w:val="14"/>
                <w:b w:val="1"/>
                <w:bCs w:val="1"/>
                <w:color w:val="4800E6"/>
              </w:rPr>
              <w:t>Total</w:t>
            </w:r>
          </w:p>
        </w:tc>
        <w:tc>
          <w:tcPr>
            <w:tcW w:w="900" w:type="dxa"/>
            <w:vAlign w:val="bottom"/>
            <w:vMerge w:val="restart"/>
          </w:tcPr>
          <w:p>
            <w:pPr>
              <w:jc w:val="right"/>
              <w:ind w:right="24"/>
              <w:spacing w:after="0"/>
              <w:rPr>
                <w:sz w:val="20"/>
                <w:szCs w:val="20"/>
                <w:color w:val="auto"/>
              </w:rPr>
            </w:pPr>
            <w:r>
              <w:rPr>
                <w:rFonts w:ascii="Arial" w:cs="Arial" w:eastAsia="Arial" w:hAnsi="Arial"/>
                <w:sz w:val="14"/>
                <w:szCs w:val="14"/>
                <w:b w:val="1"/>
                <w:bCs w:val="1"/>
                <w:color w:val="4800E6"/>
              </w:rPr>
              <w:t>Percent of</w:t>
            </w:r>
          </w:p>
        </w:tc>
        <w:tc>
          <w:tcPr>
            <w:tcW w:w="0" w:type="dxa"/>
            <w:vAlign w:val="bottom"/>
          </w:tcPr>
          <w:p>
            <w:pPr>
              <w:spacing w:after="0"/>
              <w:rPr>
                <w:sz w:val="1"/>
                <w:szCs w:val="1"/>
                <w:color w:val="auto"/>
              </w:rPr>
            </w:pPr>
          </w:p>
        </w:tc>
      </w:tr>
      <w:tr>
        <w:trPr>
          <w:trHeight w:val="148"/>
        </w:trPr>
        <w:tc>
          <w:tcPr>
            <w:tcW w:w="5160" w:type="dxa"/>
            <w:vAlign w:val="bottom"/>
          </w:tcPr>
          <w:p>
            <w:pPr>
              <w:spacing w:after="0"/>
              <w:rPr>
                <w:sz w:val="12"/>
                <w:szCs w:val="12"/>
                <w:color w:val="auto"/>
              </w:rPr>
            </w:pPr>
          </w:p>
        </w:tc>
        <w:tc>
          <w:tcPr>
            <w:tcW w:w="840" w:type="dxa"/>
            <w:vAlign w:val="bottom"/>
          </w:tcPr>
          <w:p>
            <w:pPr>
              <w:jc w:val="right"/>
              <w:ind w:right="4"/>
              <w:spacing w:after="0" w:line="148" w:lineRule="exact"/>
              <w:rPr>
                <w:sz w:val="20"/>
                <w:szCs w:val="20"/>
                <w:color w:val="auto"/>
              </w:rPr>
            </w:pPr>
            <w:r>
              <w:rPr>
                <w:rFonts w:ascii="Arial" w:cs="Arial" w:eastAsia="Arial" w:hAnsi="Arial"/>
                <w:sz w:val="14"/>
                <w:szCs w:val="14"/>
                <w:b w:val="1"/>
                <w:bCs w:val="1"/>
                <w:color w:val="4800E6"/>
              </w:rPr>
              <w:t>Shares</w:t>
            </w:r>
          </w:p>
        </w:tc>
        <w:tc>
          <w:tcPr>
            <w:tcW w:w="1320" w:type="dxa"/>
            <w:vAlign w:val="bottom"/>
          </w:tcPr>
          <w:p>
            <w:pPr>
              <w:jc w:val="right"/>
              <w:ind w:right="84"/>
              <w:spacing w:after="0" w:line="148" w:lineRule="exact"/>
              <w:rPr>
                <w:sz w:val="20"/>
                <w:szCs w:val="20"/>
                <w:color w:val="auto"/>
              </w:rPr>
            </w:pPr>
            <w:r>
              <w:rPr>
                <w:rFonts w:ascii="Arial" w:cs="Arial" w:eastAsia="Arial" w:hAnsi="Arial"/>
                <w:sz w:val="14"/>
                <w:szCs w:val="14"/>
                <w:b w:val="1"/>
                <w:bCs w:val="1"/>
                <w:color w:val="4800E6"/>
              </w:rPr>
              <w:t>Acquirable</w:t>
            </w:r>
          </w:p>
        </w:tc>
        <w:tc>
          <w:tcPr>
            <w:tcW w:w="960" w:type="dxa"/>
            <w:vAlign w:val="bottom"/>
          </w:tcPr>
          <w:p>
            <w:pPr>
              <w:jc w:val="right"/>
              <w:ind w:right="84"/>
              <w:spacing w:after="0" w:line="148" w:lineRule="exact"/>
              <w:rPr>
                <w:sz w:val="20"/>
                <w:szCs w:val="20"/>
                <w:color w:val="auto"/>
              </w:rPr>
            </w:pPr>
            <w:r>
              <w:rPr>
                <w:rFonts w:ascii="Arial" w:cs="Arial" w:eastAsia="Arial" w:hAnsi="Arial"/>
                <w:sz w:val="14"/>
                <w:szCs w:val="14"/>
                <w:b w:val="1"/>
                <w:bCs w:val="1"/>
                <w:color w:val="4800E6"/>
              </w:rPr>
              <w:t>Beneficial</w:t>
            </w:r>
          </w:p>
        </w:tc>
        <w:tc>
          <w:tcPr>
            <w:tcW w:w="90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5160" w:type="dxa"/>
            <w:vAlign w:val="bottom"/>
            <w:tcBorders>
              <w:bottom w:val="single" w:sz="8" w:color="4800E6"/>
            </w:tcBorders>
          </w:tcPr>
          <w:p>
            <w:pPr>
              <w:ind w:left="40"/>
              <w:spacing w:after="0"/>
              <w:rPr>
                <w:sz w:val="20"/>
                <w:szCs w:val="20"/>
                <w:color w:val="auto"/>
              </w:rPr>
            </w:pPr>
            <w:r>
              <w:rPr>
                <w:rFonts w:ascii="Arial" w:cs="Arial" w:eastAsia="Arial" w:hAnsi="Arial"/>
                <w:sz w:val="14"/>
                <w:szCs w:val="14"/>
                <w:b w:val="1"/>
                <w:bCs w:val="1"/>
                <w:color w:val="4800E6"/>
              </w:rPr>
              <w:t>Name of Beneficial Owner</w:t>
            </w:r>
          </w:p>
        </w:tc>
        <w:tc>
          <w:tcPr>
            <w:tcW w:w="840" w:type="dxa"/>
            <w:vAlign w:val="bottom"/>
            <w:tcBorders>
              <w:bottom w:val="single" w:sz="8" w:color="4800E6"/>
            </w:tcBorders>
          </w:tcPr>
          <w:p>
            <w:pPr>
              <w:jc w:val="right"/>
              <w:spacing w:after="0"/>
              <w:rPr>
                <w:sz w:val="20"/>
                <w:szCs w:val="20"/>
                <w:color w:val="auto"/>
              </w:rPr>
            </w:pPr>
            <w:r>
              <w:rPr>
                <w:rFonts w:ascii="Arial" w:cs="Arial" w:eastAsia="Arial" w:hAnsi="Arial"/>
                <w:sz w:val="14"/>
                <w:szCs w:val="14"/>
                <w:b w:val="1"/>
                <w:bCs w:val="1"/>
                <w:color w:val="4800E6"/>
              </w:rPr>
              <w:t>Owned</w:t>
            </w:r>
          </w:p>
        </w:tc>
        <w:tc>
          <w:tcPr>
            <w:tcW w:w="1320" w:type="dxa"/>
            <w:vAlign w:val="bottom"/>
            <w:tcBorders>
              <w:bottom w:val="single" w:sz="8" w:color="4800E6"/>
            </w:tcBorders>
          </w:tcPr>
          <w:p>
            <w:pPr>
              <w:jc w:val="right"/>
              <w:ind w:right="44"/>
              <w:spacing w:after="0"/>
              <w:rPr>
                <w:sz w:val="20"/>
                <w:szCs w:val="20"/>
                <w:color w:val="auto"/>
              </w:rPr>
            </w:pPr>
            <w:r>
              <w:rPr>
                <w:rFonts w:ascii="Arial" w:cs="Arial" w:eastAsia="Arial" w:hAnsi="Arial"/>
                <w:sz w:val="14"/>
                <w:szCs w:val="14"/>
                <w:b w:val="1"/>
                <w:bCs w:val="1"/>
                <w:color w:val="4800E6"/>
              </w:rPr>
              <w:t>Within 60 Days</w:t>
            </w:r>
          </w:p>
        </w:tc>
        <w:tc>
          <w:tcPr>
            <w:tcW w:w="960" w:type="dxa"/>
            <w:vAlign w:val="bottom"/>
            <w:tcBorders>
              <w:bottom w:val="single" w:sz="8" w:color="4800E6"/>
            </w:tcBorders>
          </w:tcPr>
          <w:p>
            <w:pPr>
              <w:jc w:val="right"/>
              <w:ind w:right="44"/>
              <w:spacing w:after="0"/>
              <w:rPr>
                <w:sz w:val="20"/>
                <w:szCs w:val="20"/>
                <w:color w:val="auto"/>
              </w:rPr>
            </w:pPr>
            <w:r>
              <w:rPr>
                <w:rFonts w:ascii="Arial" w:cs="Arial" w:eastAsia="Arial" w:hAnsi="Arial"/>
                <w:sz w:val="14"/>
                <w:szCs w:val="14"/>
                <w:b w:val="1"/>
                <w:bCs w:val="1"/>
                <w:color w:val="4800E6"/>
              </w:rPr>
              <w:t>Ownership</w:t>
            </w:r>
          </w:p>
        </w:tc>
        <w:tc>
          <w:tcPr>
            <w:tcW w:w="900" w:type="dxa"/>
            <w:vAlign w:val="bottom"/>
            <w:tcBorders>
              <w:bottom w:val="single" w:sz="8" w:color="4800E6"/>
            </w:tcBorders>
          </w:tcPr>
          <w:p>
            <w:pPr>
              <w:jc w:val="right"/>
              <w:spacing w:after="0" w:line="216" w:lineRule="exact"/>
              <w:rPr>
                <w:sz w:val="20"/>
                <w:szCs w:val="20"/>
                <w:color w:val="auto"/>
              </w:rPr>
            </w:pPr>
            <w:r>
              <w:rPr>
                <w:rFonts w:ascii="Arial" w:cs="Arial" w:eastAsia="Arial" w:hAnsi="Arial"/>
                <w:sz w:val="14"/>
                <w:szCs w:val="14"/>
                <w:b w:val="1"/>
                <w:bCs w:val="1"/>
                <w:color w:val="4800E6"/>
              </w:rPr>
              <w:t>Class</w:t>
            </w:r>
            <w:r>
              <w:rPr>
                <w:rFonts w:ascii="Arial" w:cs="Arial" w:eastAsia="Arial" w:hAnsi="Arial"/>
                <w:sz w:val="21"/>
                <w:szCs w:val="21"/>
                <w:b w:val="1"/>
                <w:bCs w:val="1"/>
                <w:color w:val="4800E6"/>
                <w:vertAlign w:val="superscript"/>
              </w:rPr>
              <w:t>(2)</w:t>
            </w:r>
          </w:p>
        </w:tc>
        <w:tc>
          <w:tcPr>
            <w:tcW w:w="0" w:type="dxa"/>
            <w:vAlign w:val="bottom"/>
          </w:tcPr>
          <w:p>
            <w:pPr>
              <w:spacing w:after="0"/>
              <w:rPr>
                <w:sz w:val="1"/>
                <w:szCs w:val="1"/>
                <w:color w:val="auto"/>
              </w:rPr>
            </w:pPr>
          </w:p>
        </w:tc>
      </w:tr>
      <w:tr>
        <w:trPr>
          <w:trHeight w:val="215"/>
        </w:trPr>
        <w:tc>
          <w:tcPr>
            <w:tcW w:w="5160" w:type="dxa"/>
            <w:vAlign w:val="bottom"/>
          </w:tcPr>
          <w:p>
            <w:pPr>
              <w:ind w:left="40"/>
              <w:spacing w:after="0"/>
              <w:rPr>
                <w:sz w:val="20"/>
                <w:szCs w:val="20"/>
                <w:color w:val="auto"/>
              </w:rPr>
            </w:pPr>
            <w:r>
              <w:rPr>
                <w:rFonts w:ascii="Arial" w:cs="Arial" w:eastAsia="Arial" w:hAnsi="Arial"/>
                <w:sz w:val="15"/>
                <w:szCs w:val="15"/>
                <w:b w:val="1"/>
                <w:bCs w:val="1"/>
                <w:i w:val="1"/>
                <w:iCs w:val="1"/>
                <w:color w:val="auto"/>
              </w:rPr>
              <w:t>Named Executive Officers:</w:t>
            </w:r>
          </w:p>
        </w:tc>
        <w:tc>
          <w:tcPr>
            <w:tcW w:w="84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
        </w:trPr>
        <w:tc>
          <w:tcPr>
            <w:tcW w:w="516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5160" w:type="dxa"/>
            <w:vAlign w:val="bottom"/>
            <w:tcBorders>
              <w:bottom w:val="single" w:sz="8" w:color="EFE9FC"/>
            </w:tcBorders>
            <w:shd w:val="clear" w:color="auto" w:fill="EFE9FC"/>
          </w:tcPr>
          <w:p>
            <w:pPr>
              <w:ind w:left="40"/>
              <w:spacing w:after="0"/>
              <w:rPr>
                <w:sz w:val="20"/>
                <w:szCs w:val="20"/>
                <w:color w:val="auto"/>
              </w:rPr>
            </w:pPr>
            <w:r>
              <w:rPr>
                <w:rFonts w:ascii="Arial" w:cs="Arial" w:eastAsia="Arial" w:hAnsi="Arial"/>
                <w:sz w:val="15"/>
                <w:szCs w:val="15"/>
                <w:color w:val="auto"/>
              </w:rPr>
              <w:t>Damien McDonald</w:t>
            </w:r>
          </w:p>
        </w:tc>
        <w:tc>
          <w:tcPr>
            <w:tcW w:w="840" w:type="dxa"/>
            <w:vAlign w:val="bottom"/>
            <w:tcBorders>
              <w:bottom w:val="single" w:sz="8" w:color="EFE9FC"/>
            </w:tcBorders>
            <w:shd w:val="clear" w:color="auto" w:fill="EFE9FC"/>
          </w:tcPr>
          <w:p>
            <w:pPr>
              <w:jc w:val="right"/>
              <w:spacing w:after="0"/>
              <w:rPr>
                <w:sz w:val="20"/>
                <w:szCs w:val="20"/>
                <w:color w:val="auto"/>
              </w:rPr>
            </w:pPr>
            <w:r>
              <w:rPr>
                <w:rFonts w:ascii="Arial" w:cs="Arial" w:eastAsia="Arial" w:hAnsi="Arial"/>
                <w:sz w:val="15"/>
                <w:szCs w:val="15"/>
                <w:color w:val="auto"/>
              </w:rPr>
              <w:t>75,840</w:t>
            </w:r>
          </w:p>
        </w:tc>
        <w:tc>
          <w:tcPr>
            <w:tcW w:w="1320" w:type="dxa"/>
            <w:vAlign w:val="bottom"/>
            <w:tcBorders>
              <w:bottom w:val="single" w:sz="8" w:color="EFE9FC"/>
            </w:tcBorders>
            <w:shd w:val="clear" w:color="auto" w:fill="EFE9FC"/>
          </w:tcPr>
          <w:p>
            <w:pPr>
              <w:jc w:val="right"/>
              <w:ind w:right="44"/>
              <w:spacing w:after="0"/>
              <w:rPr>
                <w:sz w:val="20"/>
                <w:szCs w:val="20"/>
                <w:color w:val="auto"/>
              </w:rPr>
            </w:pPr>
            <w:r>
              <w:rPr>
                <w:rFonts w:ascii="Arial" w:cs="Arial" w:eastAsia="Arial" w:hAnsi="Arial"/>
                <w:sz w:val="15"/>
                <w:szCs w:val="15"/>
                <w:color w:val="auto"/>
              </w:rPr>
              <w:t>–</w:t>
            </w:r>
          </w:p>
        </w:tc>
        <w:tc>
          <w:tcPr>
            <w:tcW w:w="960" w:type="dxa"/>
            <w:vAlign w:val="bottom"/>
            <w:tcBorders>
              <w:bottom w:val="single" w:sz="8" w:color="EFE9FC"/>
            </w:tcBorders>
            <w:shd w:val="clear" w:color="auto" w:fill="EFE9FC"/>
          </w:tcPr>
          <w:p>
            <w:pPr>
              <w:jc w:val="right"/>
              <w:ind w:right="24"/>
              <w:spacing w:after="0"/>
              <w:rPr>
                <w:sz w:val="20"/>
                <w:szCs w:val="20"/>
                <w:color w:val="auto"/>
              </w:rPr>
            </w:pPr>
            <w:r>
              <w:rPr>
                <w:rFonts w:ascii="Arial" w:cs="Arial" w:eastAsia="Arial" w:hAnsi="Arial"/>
                <w:sz w:val="15"/>
                <w:szCs w:val="15"/>
                <w:color w:val="auto"/>
              </w:rPr>
              <w:t>75,840</w:t>
            </w:r>
          </w:p>
        </w:tc>
        <w:tc>
          <w:tcPr>
            <w:tcW w:w="900" w:type="dxa"/>
            <w:vAlign w:val="bottom"/>
            <w:tcBorders>
              <w:bottom w:val="single" w:sz="8" w:color="EFE9FC"/>
            </w:tcBorders>
            <w:shd w:val="clear" w:color="auto" w:fill="EFE9FC"/>
          </w:tcPr>
          <w:p>
            <w:pPr>
              <w:jc w:val="right"/>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222"/>
        </w:trPr>
        <w:tc>
          <w:tcPr>
            <w:tcW w:w="5160" w:type="dxa"/>
            <w:vAlign w:val="bottom"/>
          </w:tcPr>
          <w:p>
            <w:pPr>
              <w:ind w:left="40"/>
              <w:spacing w:after="0"/>
              <w:rPr>
                <w:sz w:val="20"/>
                <w:szCs w:val="20"/>
                <w:color w:val="auto"/>
              </w:rPr>
            </w:pPr>
            <w:r>
              <w:rPr>
                <w:rFonts w:ascii="Arial" w:cs="Arial" w:eastAsia="Arial" w:hAnsi="Arial"/>
                <w:sz w:val="15"/>
                <w:szCs w:val="15"/>
                <w:color w:val="auto"/>
              </w:rPr>
              <w:t>Thad Huston</w:t>
            </w:r>
          </w:p>
        </w:tc>
        <w:tc>
          <w:tcPr>
            <w:tcW w:w="840" w:type="dxa"/>
            <w:vAlign w:val="bottom"/>
          </w:tcPr>
          <w:p>
            <w:pPr>
              <w:jc w:val="right"/>
              <w:spacing w:after="0"/>
              <w:rPr>
                <w:sz w:val="20"/>
                <w:szCs w:val="20"/>
                <w:color w:val="auto"/>
              </w:rPr>
            </w:pPr>
            <w:r>
              <w:rPr>
                <w:rFonts w:ascii="Arial" w:cs="Arial" w:eastAsia="Arial" w:hAnsi="Arial"/>
                <w:sz w:val="15"/>
                <w:szCs w:val="15"/>
                <w:color w:val="auto"/>
              </w:rPr>
              <w:t>20,910</w:t>
            </w:r>
          </w:p>
        </w:tc>
        <w:tc>
          <w:tcPr>
            <w:tcW w:w="1320" w:type="dxa"/>
            <w:vAlign w:val="bottom"/>
          </w:tcPr>
          <w:p>
            <w:pPr>
              <w:jc w:val="right"/>
              <w:ind w:right="44"/>
              <w:spacing w:after="0"/>
              <w:rPr>
                <w:sz w:val="20"/>
                <w:szCs w:val="20"/>
                <w:color w:val="auto"/>
              </w:rPr>
            </w:pPr>
            <w:r>
              <w:rPr>
                <w:rFonts w:ascii="Arial" w:cs="Arial" w:eastAsia="Arial" w:hAnsi="Arial"/>
                <w:sz w:val="15"/>
                <w:szCs w:val="15"/>
                <w:color w:val="auto"/>
              </w:rPr>
              <w:t>11,502</w:t>
            </w:r>
          </w:p>
        </w:tc>
        <w:tc>
          <w:tcPr>
            <w:tcW w:w="960" w:type="dxa"/>
            <w:vAlign w:val="bottom"/>
          </w:tcPr>
          <w:p>
            <w:pPr>
              <w:jc w:val="right"/>
              <w:ind w:right="24"/>
              <w:spacing w:after="0"/>
              <w:rPr>
                <w:sz w:val="20"/>
                <w:szCs w:val="20"/>
                <w:color w:val="auto"/>
              </w:rPr>
            </w:pPr>
            <w:r>
              <w:rPr>
                <w:rFonts w:ascii="Arial" w:cs="Arial" w:eastAsia="Arial" w:hAnsi="Arial"/>
                <w:sz w:val="15"/>
                <w:szCs w:val="15"/>
                <w:color w:val="auto"/>
              </w:rPr>
              <w:t>32,412</w:t>
            </w:r>
          </w:p>
        </w:tc>
        <w:tc>
          <w:tcPr>
            <w:tcW w:w="900" w:type="dxa"/>
            <w:vAlign w:val="bottom"/>
          </w:tcPr>
          <w:p>
            <w:pPr>
              <w:jc w:val="right"/>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22"/>
        </w:trPr>
        <w:tc>
          <w:tcPr>
            <w:tcW w:w="516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5160" w:type="dxa"/>
            <w:vAlign w:val="bottom"/>
            <w:tcBorders>
              <w:bottom w:val="single" w:sz="8" w:color="EFE9FC"/>
            </w:tcBorders>
            <w:shd w:val="clear" w:color="auto" w:fill="EFE9FC"/>
          </w:tcPr>
          <w:p>
            <w:pPr>
              <w:ind w:left="40"/>
              <w:spacing w:after="0"/>
              <w:rPr>
                <w:sz w:val="20"/>
                <w:szCs w:val="20"/>
                <w:color w:val="auto"/>
              </w:rPr>
            </w:pPr>
            <w:r>
              <w:rPr>
                <w:rFonts w:ascii="Arial" w:cs="Arial" w:eastAsia="Arial" w:hAnsi="Arial"/>
                <w:sz w:val="15"/>
                <w:szCs w:val="15"/>
                <w:color w:val="auto"/>
              </w:rPr>
              <w:t>Keyna Skeffington</w:t>
            </w:r>
          </w:p>
        </w:tc>
        <w:tc>
          <w:tcPr>
            <w:tcW w:w="840" w:type="dxa"/>
            <w:vAlign w:val="bottom"/>
            <w:tcBorders>
              <w:bottom w:val="single" w:sz="8" w:color="EFE9FC"/>
            </w:tcBorders>
            <w:shd w:val="clear" w:color="auto" w:fill="EFE9FC"/>
          </w:tcPr>
          <w:p>
            <w:pPr>
              <w:jc w:val="right"/>
              <w:spacing w:after="0"/>
              <w:rPr>
                <w:sz w:val="20"/>
                <w:szCs w:val="20"/>
                <w:color w:val="auto"/>
              </w:rPr>
            </w:pPr>
            <w:r>
              <w:rPr>
                <w:rFonts w:ascii="Arial" w:cs="Arial" w:eastAsia="Arial" w:hAnsi="Arial"/>
                <w:sz w:val="15"/>
                <w:szCs w:val="15"/>
                <w:color w:val="auto"/>
              </w:rPr>
              <w:t>2,216</w:t>
            </w:r>
          </w:p>
        </w:tc>
        <w:tc>
          <w:tcPr>
            <w:tcW w:w="1320" w:type="dxa"/>
            <w:vAlign w:val="bottom"/>
            <w:tcBorders>
              <w:bottom w:val="single" w:sz="8" w:color="EFE9FC"/>
            </w:tcBorders>
            <w:shd w:val="clear" w:color="auto" w:fill="EFE9FC"/>
          </w:tcPr>
          <w:p>
            <w:pPr>
              <w:jc w:val="right"/>
              <w:ind w:right="44"/>
              <w:spacing w:after="0"/>
              <w:rPr>
                <w:sz w:val="20"/>
                <w:szCs w:val="20"/>
                <w:color w:val="auto"/>
              </w:rPr>
            </w:pPr>
            <w:r>
              <w:rPr>
                <w:rFonts w:ascii="Arial" w:cs="Arial" w:eastAsia="Arial" w:hAnsi="Arial"/>
                <w:sz w:val="15"/>
                <w:szCs w:val="15"/>
                <w:color w:val="auto"/>
              </w:rPr>
              <w:t>1,146</w:t>
            </w:r>
          </w:p>
        </w:tc>
        <w:tc>
          <w:tcPr>
            <w:tcW w:w="960" w:type="dxa"/>
            <w:vAlign w:val="bottom"/>
            <w:tcBorders>
              <w:bottom w:val="single" w:sz="8" w:color="EFE9FC"/>
            </w:tcBorders>
            <w:shd w:val="clear" w:color="auto" w:fill="EFE9FC"/>
          </w:tcPr>
          <w:p>
            <w:pPr>
              <w:jc w:val="right"/>
              <w:ind w:right="24"/>
              <w:spacing w:after="0"/>
              <w:rPr>
                <w:sz w:val="20"/>
                <w:szCs w:val="20"/>
                <w:color w:val="auto"/>
              </w:rPr>
            </w:pPr>
            <w:r>
              <w:rPr>
                <w:rFonts w:ascii="Arial" w:cs="Arial" w:eastAsia="Arial" w:hAnsi="Arial"/>
                <w:sz w:val="15"/>
                <w:szCs w:val="15"/>
                <w:color w:val="auto"/>
              </w:rPr>
              <w:t>3,362</w:t>
            </w:r>
          </w:p>
        </w:tc>
        <w:tc>
          <w:tcPr>
            <w:tcW w:w="900" w:type="dxa"/>
            <w:vAlign w:val="bottom"/>
            <w:tcBorders>
              <w:bottom w:val="single" w:sz="8" w:color="EFE9FC"/>
            </w:tcBorders>
            <w:shd w:val="clear" w:color="auto" w:fill="EFE9FC"/>
          </w:tcPr>
          <w:p>
            <w:pPr>
              <w:jc w:val="right"/>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221"/>
        </w:trPr>
        <w:tc>
          <w:tcPr>
            <w:tcW w:w="5160" w:type="dxa"/>
            <w:vAlign w:val="bottom"/>
          </w:tcPr>
          <w:p>
            <w:pPr>
              <w:ind w:left="40"/>
              <w:spacing w:after="0"/>
              <w:rPr>
                <w:sz w:val="20"/>
                <w:szCs w:val="20"/>
                <w:color w:val="auto"/>
              </w:rPr>
            </w:pPr>
            <w:r>
              <w:rPr>
                <w:rFonts w:ascii="Arial" w:cs="Arial" w:eastAsia="Arial" w:hAnsi="Arial"/>
                <w:sz w:val="15"/>
                <w:szCs w:val="15"/>
                <w:color w:val="auto"/>
              </w:rPr>
              <w:t>Edward Andrle</w:t>
            </w:r>
          </w:p>
        </w:tc>
        <w:tc>
          <w:tcPr>
            <w:tcW w:w="840" w:type="dxa"/>
            <w:vAlign w:val="bottom"/>
          </w:tcPr>
          <w:p>
            <w:pPr>
              <w:jc w:val="right"/>
              <w:spacing w:after="0"/>
              <w:rPr>
                <w:sz w:val="20"/>
                <w:szCs w:val="20"/>
                <w:color w:val="auto"/>
              </w:rPr>
            </w:pPr>
            <w:r>
              <w:rPr>
                <w:rFonts w:ascii="Arial" w:cs="Arial" w:eastAsia="Arial" w:hAnsi="Arial"/>
                <w:sz w:val="15"/>
                <w:szCs w:val="15"/>
                <w:color w:val="auto"/>
              </w:rPr>
              <w:t>46,761</w:t>
            </w:r>
          </w:p>
        </w:tc>
        <w:tc>
          <w:tcPr>
            <w:tcW w:w="1320" w:type="dxa"/>
            <w:vAlign w:val="bottom"/>
          </w:tcPr>
          <w:p>
            <w:pPr>
              <w:jc w:val="right"/>
              <w:ind w:right="44"/>
              <w:spacing w:after="0"/>
              <w:rPr>
                <w:sz w:val="20"/>
                <w:szCs w:val="20"/>
                <w:color w:val="auto"/>
              </w:rPr>
            </w:pPr>
            <w:r>
              <w:rPr>
                <w:rFonts w:ascii="Arial" w:cs="Arial" w:eastAsia="Arial" w:hAnsi="Arial"/>
                <w:sz w:val="15"/>
                <w:szCs w:val="15"/>
                <w:color w:val="auto"/>
              </w:rPr>
              <w:t>–</w:t>
            </w:r>
          </w:p>
        </w:tc>
        <w:tc>
          <w:tcPr>
            <w:tcW w:w="960" w:type="dxa"/>
            <w:vAlign w:val="bottom"/>
          </w:tcPr>
          <w:p>
            <w:pPr>
              <w:jc w:val="right"/>
              <w:ind w:right="24"/>
              <w:spacing w:after="0"/>
              <w:rPr>
                <w:sz w:val="20"/>
                <w:szCs w:val="20"/>
                <w:color w:val="auto"/>
              </w:rPr>
            </w:pPr>
            <w:r>
              <w:rPr>
                <w:rFonts w:ascii="Arial" w:cs="Arial" w:eastAsia="Arial" w:hAnsi="Arial"/>
                <w:sz w:val="15"/>
                <w:szCs w:val="15"/>
                <w:color w:val="auto"/>
              </w:rPr>
              <w:t>46,761</w:t>
            </w:r>
          </w:p>
        </w:tc>
        <w:tc>
          <w:tcPr>
            <w:tcW w:w="900" w:type="dxa"/>
            <w:vAlign w:val="bottom"/>
          </w:tcPr>
          <w:p>
            <w:pPr>
              <w:jc w:val="right"/>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22"/>
        </w:trPr>
        <w:tc>
          <w:tcPr>
            <w:tcW w:w="516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5160" w:type="dxa"/>
            <w:vAlign w:val="bottom"/>
            <w:tcBorders>
              <w:bottom w:val="single" w:sz="8" w:color="EFE9FC"/>
            </w:tcBorders>
            <w:shd w:val="clear" w:color="auto" w:fill="EFE9FC"/>
          </w:tcPr>
          <w:p>
            <w:pPr>
              <w:ind w:left="40"/>
              <w:spacing w:after="0"/>
              <w:rPr>
                <w:sz w:val="20"/>
                <w:szCs w:val="20"/>
                <w:color w:val="auto"/>
              </w:rPr>
            </w:pPr>
            <w:r>
              <w:rPr>
                <w:rFonts w:ascii="Arial" w:cs="Arial" w:eastAsia="Arial" w:hAnsi="Arial"/>
                <w:sz w:val="15"/>
                <w:szCs w:val="15"/>
                <w:color w:val="auto"/>
              </w:rPr>
              <w:t>Alistair Simpson</w:t>
            </w:r>
          </w:p>
        </w:tc>
        <w:tc>
          <w:tcPr>
            <w:tcW w:w="840" w:type="dxa"/>
            <w:vAlign w:val="bottom"/>
            <w:tcBorders>
              <w:bottom w:val="single" w:sz="8" w:color="EFE9FC"/>
            </w:tcBorders>
            <w:shd w:val="clear" w:color="auto" w:fill="EFE9FC"/>
          </w:tcPr>
          <w:p>
            <w:pPr>
              <w:jc w:val="right"/>
              <w:spacing w:after="0"/>
              <w:rPr>
                <w:sz w:val="20"/>
                <w:szCs w:val="20"/>
                <w:color w:val="auto"/>
              </w:rPr>
            </w:pPr>
            <w:r>
              <w:rPr>
                <w:rFonts w:ascii="Arial" w:cs="Arial" w:eastAsia="Arial" w:hAnsi="Arial"/>
                <w:sz w:val="15"/>
                <w:szCs w:val="15"/>
                <w:color w:val="auto"/>
              </w:rPr>
              <w:t>3,760</w:t>
            </w:r>
          </w:p>
        </w:tc>
        <w:tc>
          <w:tcPr>
            <w:tcW w:w="1320" w:type="dxa"/>
            <w:vAlign w:val="bottom"/>
            <w:tcBorders>
              <w:bottom w:val="single" w:sz="8" w:color="EFE9FC"/>
            </w:tcBorders>
            <w:shd w:val="clear" w:color="auto" w:fill="EFE9FC"/>
          </w:tcPr>
          <w:p>
            <w:pPr>
              <w:jc w:val="right"/>
              <w:ind w:right="44"/>
              <w:spacing w:after="0"/>
              <w:rPr>
                <w:sz w:val="20"/>
                <w:szCs w:val="20"/>
                <w:color w:val="auto"/>
              </w:rPr>
            </w:pPr>
            <w:r>
              <w:rPr>
                <w:rFonts w:ascii="Arial" w:cs="Arial" w:eastAsia="Arial" w:hAnsi="Arial"/>
                <w:sz w:val="15"/>
                <w:szCs w:val="15"/>
                <w:color w:val="auto"/>
              </w:rPr>
              <w:t>–</w:t>
            </w:r>
          </w:p>
        </w:tc>
        <w:tc>
          <w:tcPr>
            <w:tcW w:w="960" w:type="dxa"/>
            <w:vAlign w:val="bottom"/>
            <w:tcBorders>
              <w:bottom w:val="single" w:sz="8" w:color="EFE9FC"/>
            </w:tcBorders>
            <w:shd w:val="clear" w:color="auto" w:fill="EFE9FC"/>
          </w:tcPr>
          <w:p>
            <w:pPr>
              <w:jc w:val="right"/>
              <w:ind w:right="24"/>
              <w:spacing w:after="0"/>
              <w:rPr>
                <w:sz w:val="20"/>
                <w:szCs w:val="20"/>
                <w:color w:val="auto"/>
              </w:rPr>
            </w:pPr>
            <w:r>
              <w:rPr>
                <w:rFonts w:ascii="Arial" w:cs="Arial" w:eastAsia="Arial" w:hAnsi="Arial"/>
                <w:sz w:val="15"/>
                <w:szCs w:val="15"/>
                <w:color w:val="auto"/>
              </w:rPr>
              <w:t>3,760</w:t>
            </w:r>
          </w:p>
        </w:tc>
        <w:tc>
          <w:tcPr>
            <w:tcW w:w="900" w:type="dxa"/>
            <w:vAlign w:val="bottom"/>
            <w:tcBorders>
              <w:bottom w:val="single" w:sz="8" w:color="EFE9FC"/>
            </w:tcBorders>
            <w:shd w:val="clear" w:color="auto" w:fill="EFE9FC"/>
          </w:tcPr>
          <w:p>
            <w:pPr>
              <w:jc w:val="right"/>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222"/>
        </w:trPr>
        <w:tc>
          <w:tcPr>
            <w:tcW w:w="5160" w:type="dxa"/>
            <w:vAlign w:val="bottom"/>
          </w:tcPr>
          <w:p>
            <w:pPr>
              <w:ind w:left="40"/>
              <w:spacing w:after="0"/>
              <w:rPr>
                <w:sz w:val="20"/>
                <w:szCs w:val="20"/>
                <w:color w:val="auto"/>
              </w:rPr>
            </w:pPr>
            <w:r>
              <w:rPr>
                <w:rFonts w:ascii="Arial" w:cs="Arial" w:eastAsia="Arial" w:hAnsi="Arial"/>
                <w:sz w:val="15"/>
                <w:szCs w:val="15"/>
                <w:b w:val="1"/>
                <w:bCs w:val="1"/>
                <w:i w:val="1"/>
                <w:iCs w:val="1"/>
                <w:color w:val="auto"/>
              </w:rPr>
              <w:t>Directors:</w:t>
            </w:r>
          </w:p>
        </w:tc>
        <w:tc>
          <w:tcPr>
            <w:tcW w:w="84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
        </w:trPr>
        <w:tc>
          <w:tcPr>
            <w:tcW w:w="516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5160" w:type="dxa"/>
            <w:vAlign w:val="bottom"/>
            <w:tcBorders>
              <w:bottom w:val="single" w:sz="8" w:color="EFE9FC"/>
            </w:tcBorders>
            <w:shd w:val="clear" w:color="auto" w:fill="EFE9FC"/>
          </w:tcPr>
          <w:p>
            <w:pPr>
              <w:ind w:left="40"/>
              <w:spacing w:after="0"/>
              <w:rPr>
                <w:sz w:val="20"/>
                <w:szCs w:val="20"/>
                <w:color w:val="auto"/>
              </w:rPr>
            </w:pPr>
            <w:r>
              <w:rPr>
                <w:rFonts w:ascii="Arial" w:cs="Arial" w:eastAsia="Arial" w:hAnsi="Arial"/>
                <w:sz w:val="15"/>
                <w:szCs w:val="15"/>
                <w:color w:val="auto"/>
              </w:rPr>
              <w:t>Francesco Bianchi</w:t>
            </w:r>
          </w:p>
        </w:tc>
        <w:tc>
          <w:tcPr>
            <w:tcW w:w="840" w:type="dxa"/>
            <w:vAlign w:val="bottom"/>
            <w:tcBorders>
              <w:bottom w:val="single" w:sz="8" w:color="EFE9FC"/>
            </w:tcBorders>
            <w:shd w:val="clear" w:color="auto" w:fill="EFE9FC"/>
          </w:tcPr>
          <w:p>
            <w:pPr>
              <w:jc w:val="right"/>
              <w:spacing w:after="0"/>
              <w:rPr>
                <w:sz w:val="20"/>
                <w:szCs w:val="20"/>
                <w:color w:val="auto"/>
              </w:rPr>
            </w:pPr>
            <w:r>
              <w:rPr>
                <w:rFonts w:ascii="Arial" w:cs="Arial" w:eastAsia="Arial" w:hAnsi="Arial"/>
                <w:sz w:val="15"/>
                <w:szCs w:val="15"/>
                <w:color w:val="auto"/>
              </w:rPr>
              <w:t>1,520</w:t>
            </w:r>
          </w:p>
        </w:tc>
        <w:tc>
          <w:tcPr>
            <w:tcW w:w="1320" w:type="dxa"/>
            <w:vAlign w:val="bottom"/>
            <w:tcBorders>
              <w:bottom w:val="single" w:sz="8" w:color="EFE9FC"/>
            </w:tcBorders>
            <w:shd w:val="clear" w:color="auto" w:fill="EFE9FC"/>
          </w:tcPr>
          <w:p>
            <w:pPr>
              <w:jc w:val="right"/>
              <w:ind w:right="44"/>
              <w:spacing w:after="0"/>
              <w:rPr>
                <w:sz w:val="20"/>
                <w:szCs w:val="20"/>
                <w:color w:val="auto"/>
              </w:rPr>
            </w:pPr>
            <w:r>
              <w:rPr>
                <w:rFonts w:ascii="Arial" w:cs="Arial" w:eastAsia="Arial" w:hAnsi="Arial"/>
                <w:sz w:val="15"/>
                <w:szCs w:val="15"/>
                <w:color w:val="auto"/>
              </w:rPr>
              <w:t>–</w:t>
            </w:r>
          </w:p>
        </w:tc>
        <w:tc>
          <w:tcPr>
            <w:tcW w:w="960" w:type="dxa"/>
            <w:vAlign w:val="bottom"/>
            <w:tcBorders>
              <w:bottom w:val="single" w:sz="8" w:color="EFE9FC"/>
            </w:tcBorders>
            <w:shd w:val="clear" w:color="auto" w:fill="EFE9FC"/>
          </w:tcPr>
          <w:p>
            <w:pPr>
              <w:jc w:val="right"/>
              <w:ind w:right="24"/>
              <w:spacing w:after="0"/>
              <w:rPr>
                <w:sz w:val="20"/>
                <w:szCs w:val="20"/>
                <w:color w:val="auto"/>
              </w:rPr>
            </w:pPr>
            <w:r>
              <w:rPr>
                <w:rFonts w:ascii="Arial" w:cs="Arial" w:eastAsia="Arial" w:hAnsi="Arial"/>
                <w:sz w:val="15"/>
                <w:szCs w:val="15"/>
                <w:color w:val="auto"/>
              </w:rPr>
              <w:t>1,520</w:t>
            </w:r>
          </w:p>
        </w:tc>
        <w:tc>
          <w:tcPr>
            <w:tcW w:w="900" w:type="dxa"/>
            <w:vAlign w:val="bottom"/>
            <w:tcBorders>
              <w:bottom w:val="single" w:sz="8" w:color="EFE9FC"/>
            </w:tcBorders>
            <w:shd w:val="clear" w:color="auto" w:fill="EFE9FC"/>
          </w:tcPr>
          <w:p>
            <w:pPr>
              <w:jc w:val="right"/>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222"/>
        </w:trPr>
        <w:tc>
          <w:tcPr>
            <w:tcW w:w="5160" w:type="dxa"/>
            <w:vAlign w:val="bottom"/>
          </w:tcPr>
          <w:p>
            <w:pPr>
              <w:ind w:left="40"/>
              <w:spacing w:after="0"/>
              <w:rPr>
                <w:sz w:val="20"/>
                <w:szCs w:val="20"/>
                <w:color w:val="auto"/>
              </w:rPr>
            </w:pPr>
            <w:r>
              <w:rPr>
                <w:rFonts w:ascii="Arial" w:cs="Arial" w:eastAsia="Arial" w:hAnsi="Arial"/>
                <w:sz w:val="15"/>
                <w:szCs w:val="15"/>
                <w:color w:val="auto"/>
              </w:rPr>
              <w:t>Stacy Enxing Seng</w:t>
            </w:r>
          </w:p>
        </w:tc>
        <w:tc>
          <w:tcPr>
            <w:tcW w:w="840" w:type="dxa"/>
            <w:vAlign w:val="bottom"/>
          </w:tcPr>
          <w:p>
            <w:pPr>
              <w:jc w:val="right"/>
              <w:spacing w:after="0"/>
              <w:rPr>
                <w:sz w:val="20"/>
                <w:szCs w:val="20"/>
                <w:color w:val="auto"/>
              </w:rPr>
            </w:pPr>
            <w:r>
              <w:rPr>
                <w:rFonts w:ascii="Arial" w:cs="Arial" w:eastAsia="Arial" w:hAnsi="Arial"/>
                <w:sz w:val="15"/>
                <w:szCs w:val="15"/>
                <w:color w:val="auto"/>
              </w:rPr>
              <w:t>–</w:t>
            </w:r>
          </w:p>
        </w:tc>
        <w:tc>
          <w:tcPr>
            <w:tcW w:w="1320" w:type="dxa"/>
            <w:vAlign w:val="bottom"/>
          </w:tcPr>
          <w:p>
            <w:pPr>
              <w:jc w:val="right"/>
              <w:ind w:right="44"/>
              <w:spacing w:after="0"/>
              <w:rPr>
                <w:sz w:val="20"/>
                <w:szCs w:val="20"/>
                <w:color w:val="auto"/>
              </w:rPr>
            </w:pPr>
            <w:r>
              <w:rPr>
                <w:rFonts w:ascii="Arial" w:cs="Arial" w:eastAsia="Arial" w:hAnsi="Arial"/>
                <w:sz w:val="15"/>
                <w:szCs w:val="15"/>
                <w:color w:val="auto"/>
              </w:rPr>
              <w:t>–</w:t>
            </w:r>
          </w:p>
        </w:tc>
        <w:tc>
          <w:tcPr>
            <w:tcW w:w="960" w:type="dxa"/>
            <w:vAlign w:val="bottom"/>
          </w:tcPr>
          <w:p>
            <w:pPr>
              <w:jc w:val="right"/>
              <w:ind w:right="24"/>
              <w:spacing w:after="0"/>
              <w:rPr>
                <w:sz w:val="20"/>
                <w:szCs w:val="20"/>
                <w:color w:val="auto"/>
              </w:rPr>
            </w:pPr>
            <w:r>
              <w:rPr>
                <w:rFonts w:ascii="Arial" w:cs="Arial" w:eastAsia="Arial" w:hAnsi="Arial"/>
                <w:sz w:val="15"/>
                <w:szCs w:val="15"/>
                <w:color w:val="auto"/>
              </w:rPr>
              <w:t>–</w:t>
            </w:r>
          </w:p>
        </w:tc>
        <w:tc>
          <w:tcPr>
            <w:tcW w:w="900" w:type="dxa"/>
            <w:vAlign w:val="bottom"/>
          </w:tcPr>
          <w:p>
            <w:pPr>
              <w:jc w:val="right"/>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22"/>
        </w:trPr>
        <w:tc>
          <w:tcPr>
            <w:tcW w:w="516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5160" w:type="dxa"/>
            <w:vAlign w:val="bottom"/>
            <w:tcBorders>
              <w:bottom w:val="single" w:sz="8" w:color="EFE9FC"/>
            </w:tcBorders>
            <w:shd w:val="clear" w:color="auto" w:fill="EFE9FC"/>
          </w:tcPr>
          <w:p>
            <w:pPr>
              <w:ind w:left="40"/>
              <w:spacing w:after="0"/>
              <w:rPr>
                <w:sz w:val="20"/>
                <w:szCs w:val="20"/>
                <w:color w:val="auto"/>
              </w:rPr>
            </w:pPr>
            <w:r>
              <w:rPr>
                <w:rFonts w:ascii="Arial" w:cs="Arial" w:eastAsia="Arial" w:hAnsi="Arial"/>
                <w:sz w:val="15"/>
                <w:szCs w:val="15"/>
                <w:color w:val="auto"/>
              </w:rPr>
              <w:t>William Kozy</w:t>
            </w:r>
          </w:p>
        </w:tc>
        <w:tc>
          <w:tcPr>
            <w:tcW w:w="840" w:type="dxa"/>
            <w:vAlign w:val="bottom"/>
            <w:tcBorders>
              <w:bottom w:val="single" w:sz="8" w:color="EFE9FC"/>
            </w:tcBorders>
            <w:shd w:val="clear" w:color="auto" w:fill="EFE9FC"/>
          </w:tcPr>
          <w:p>
            <w:pPr>
              <w:jc w:val="right"/>
              <w:spacing w:after="0"/>
              <w:rPr>
                <w:sz w:val="20"/>
                <w:szCs w:val="20"/>
                <w:color w:val="auto"/>
              </w:rPr>
            </w:pPr>
            <w:r>
              <w:rPr>
                <w:rFonts w:ascii="Arial" w:cs="Arial" w:eastAsia="Arial" w:hAnsi="Arial"/>
                <w:sz w:val="15"/>
                <w:szCs w:val="15"/>
                <w:color w:val="auto"/>
              </w:rPr>
              <w:t>1,576</w:t>
            </w:r>
          </w:p>
        </w:tc>
        <w:tc>
          <w:tcPr>
            <w:tcW w:w="1320" w:type="dxa"/>
            <w:vAlign w:val="bottom"/>
            <w:tcBorders>
              <w:bottom w:val="single" w:sz="8" w:color="EFE9FC"/>
            </w:tcBorders>
            <w:shd w:val="clear" w:color="auto" w:fill="EFE9FC"/>
          </w:tcPr>
          <w:p>
            <w:pPr>
              <w:jc w:val="right"/>
              <w:ind w:right="44"/>
              <w:spacing w:after="0"/>
              <w:rPr>
                <w:sz w:val="20"/>
                <w:szCs w:val="20"/>
                <w:color w:val="auto"/>
              </w:rPr>
            </w:pPr>
            <w:r>
              <w:rPr>
                <w:rFonts w:ascii="Arial" w:cs="Arial" w:eastAsia="Arial" w:hAnsi="Arial"/>
                <w:sz w:val="15"/>
                <w:szCs w:val="15"/>
                <w:color w:val="auto"/>
              </w:rPr>
              <w:t>–</w:t>
            </w:r>
          </w:p>
        </w:tc>
        <w:tc>
          <w:tcPr>
            <w:tcW w:w="960" w:type="dxa"/>
            <w:vAlign w:val="bottom"/>
            <w:tcBorders>
              <w:bottom w:val="single" w:sz="8" w:color="EFE9FC"/>
            </w:tcBorders>
            <w:shd w:val="clear" w:color="auto" w:fill="EFE9FC"/>
          </w:tcPr>
          <w:p>
            <w:pPr>
              <w:jc w:val="right"/>
              <w:ind w:right="24"/>
              <w:spacing w:after="0"/>
              <w:rPr>
                <w:sz w:val="20"/>
                <w:szCs w:val="20"/>
                <w:color w:val="auto"/>
              </w:rPr>
            </w:pPr>
            <w:r>
              <w:rPr>
                <w:rFonts w:ascii="Arial" w:cs="Arial" w:eastAsia="Arial" w:hAnsi="Arial"/>
                <w:sz w:val="15"/>
                <w:szCs w:val="15"/>
                <w:color w:val="auto"/>
              </w:rPr>
              <w:t>1,576</w:t>
            </w:r>
          </w:p>
        </w:tc>
        <w:tc>
          <w:tcPr>
            <w:tcW w:w="900" w:type="dxa"/>
            <w:vAlign w:val="bottom"/>
            <w:tcBorders>
              <w:bottom w:val="single" w:sz="8" w:color="EFE9FC"/>
            </w:tcBorders>
            <w:shd w:val="clear" w:color="auto" w:fill="EFE9FC"/>
          </w:tcPr>
          <w:p>
            <w:pPr>
              <w:jc w:val="right"/>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256"/>
        </w:trPr>
        <w:tc>
          <w:tcPr>
            <w:tcW w:w="5160" w:type="dxa"/>
            <w:vAlign w:val="bottom"/>
          </w:tcPr>
          <w:p>
            <w:pPr>
              <w:ind w:left="40"/>
              <w:spacing w:after="0" w:line="256" w:lineRule="exact"/>
              <w:rPr>
                <w:sz w:val="20"/>
                <w:szCs w:val="20"/>
                <w:color w:val="auto"/>
              </w:rPr>
            </w:pPr>
            <w:r>
              <w:rPr>
                <w:rFonts w:ascii="Arial" w:cs="Arial" w:eastAsia="Arial" w:hAnsi="Arial"/>
                <w:sz w:val="15"/>
                <w:szCs w:val="15"/>
                <w:color w:val="auto"/>
              </w:rPr>
              <w:t>Daniel Moore</w:t>
            </w:r>
            <w:r>
              <w:rPr>
                <w:rFonts w:ascii="Arial" w:cs="Arial" w:eastAsia="Arial" w:hAnsi="Arial"/>
                <w:sz w:val="23"/>
                <w:szCs w:val="23"/>
                <w:color w:val="auto"/>
                <w:vertAlign w:val="superscript"/>
              </w:rPr>
              <w:t>(3)</w:t>
            </w:r>
          </w:p>
        </w:tc>
        <w:tc>
          <w:tcPr>
            <w:tcW w:w="840" w:type="dxa"/>
            <w:vAlign w:val="bottom"/>
          </w:tcPr>
          <w:p>
            <w:pPr>
              <w:jc w:val="right"/>
              <w:spacing w:after="0"/>
              <w:rPr>
                <w:sz w:val="20"/>
                <w:szCs w:val="20"/>
                <w:color w:val="auto"/>
              </w:rPr>
            </w:pPr>
            <w:r>
              <w:rPr>
                <w:rFonts w:ascii="Arial" w:cs="Arial" w:eastAsia="Arial" w:hAnsi="Arial"/>
                <w:sz w:val="15"/>
                <w:szCs w:val="15"/>
                <w:color w:val="auto"/>
              </w:rPr>
              <w:t>28,352</w:t>
            </w:r>
          </w:p>
        </w:tc>
        <w:tc>
          <w:tcPr>
            <w:tcW w:w="1320" w:type="dxa"/>
            <w:vAlign w:val="bottom"/>
          </w:tcPr>
          <w:p>
            <w:pPr>
              <w:jc w:val="right"/>
              <w:ind w:right="44"/>
              <w:spacing w:after="0"/>
              <w:rPr>
                <w:sz w:val="20"/>
                <w:szCs w:val="20"/>
                <w:color w:val="auto"/>
              </w:rPr>
            </w:pPr>
            <w:r>
              <w:rPr>
                <w:rFonts w:ascii="Arial" w:cs="Arial" w:eastAsia="Arial" w:hAnsi="Arial"/>
                <w:sz w:val="15"/>
                <w:szCs w:val="15"/>
                <w:color w:val="auto"/>
              </w:rPr>
              <w:t>–</w:t>
            </w:r>
          </w:p>
        </w:tc>
        <w:tc>
          <w:tcPr>
            <w:tcW w:w="960" w:type="dxa"/>
            <w:vAlign w:val="bottom"/>
          </w:tcPr>
          <w:p>
            <w:pPr>
              <w:jc w:val="right"/>
              <w:ind w:right="24"/>
              <w:spacing w:after="0"/>
              <w:rPr>
                <w:sz w:val="20"/>
                <w:szCs w:val="20"/>
                <w:color w:val="auto"/>
              </w:rPr>
            </w:pPr>
            <w:r>
              <w:rPr>
                <w:rFonts w:ascii="Arial" w:cs="Arial" w:eastAsia="Arial" w:hAnsi="Arial"/>
                <w:sz w:val="15"/>
                <w:szCs w:val="15"/>
                <w:color w:val="auto"/>
              </w:rPr>
              <w:t>28,352</w:t>
            </w:r>
          </w:p>
        </w:tc>
        <w:tc>
          <w:tcPr>
            <w:tcW w:w="900" w:type="dxa"/>
            <w:vAlign w:val="bottom"/>
          </w:tcPr>
          <w:p>
            <w:pPr>
              <w:jc w:val="right"/>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283"/>
        </w:trPr>
        <w:tc>
          <w:tcPr>
            <w:tcW w:w="5160" w:type="dxa"/>
            <w:vAlign w:val="bottom"/>
            <w:shd w:val="clear" w:color="auto" w:fill="EFE9FC"/>
          </w:tcPr>
          <w:p>
            <w:pPr>
              <w:ind w:left="40"/>
              <w:spacing w:after="0"/>
              <w:rPr>
                <w:sz w:val="20"/>
                <w:szCs w:val="20"/>
                <w:color w:val="auto"/>
              </w:rPr>
            </w:pPr>
            <w:r>
              <w:rPr>
                <w:rFonts w:ascii="Arial" w:cs="Arial" w:eastAsia="Arial" w:hAnsi="Arial"/>
                <w:sz w:val="15"/>
                <w:szCs w:val="15"/>
                <w:color w:val="auto"/>
              </w:rPr>
              <w:t>Hugh Morrison</w:t>
            </w:r>
            <w:r>
              <w:rPr>
                <w:rFonts w:ascii="Arial" w:cs="Arial" w:eastAsia="Arial" w:hAnsi="Arial"/>
                <w:sz w:val="23"/>
                <w:szCs w:val="23"/>
                <w:color w:val="auto"/>
                <w:vertAlign w:val="superscript"/>
              </w:rPr>
              <w:t>(4)</w:t>
            </w:r>
          </w:p>
        </w:tc>
        <w:tc>
          <w:tcPr>
            <w:tcW w:w="840" w:type="dxa"/>
            <w:vAlign w:val="bottom"/>
            <w:shd w:val="clear" w:color="auto" w:fill="EFE9FC"/>
          </w:tcPr>
          <w:p>
            <w:pPr>
              <w:jc w:val="right"/>
              <w:spacing w:after="0"/>
              <w:rPr>
                <w:sz w:val="20"/>
                <w:szCs w:val="20"/>
                <w:color w:val="auto"/>
              </w:rPr>
            </w:pPr>
            <w:r>
              <w:rPr>
                <w:rFonts w:ascii="Arial" w:cs="Arial" w:eastAsia="Arial" w:hAnsi="Arial"/>
                <w:sz w:val="15"/>
                <w:szCs w:val="15"/>
                <w:color w:val="auto"/>
              </w:rPr>
              <w:t>1,520</w:t>
            </w:r>
          </w:p>
        </w:tc>
        <w:tc>
          <w:tcPr>
            <w:tcW w:w="1320" w:type="dxa"/>
            <w:vAlign w:val="bottom"/>
            <w:shd w:val="clear" w:color="auto" w:fill="EFE9FC"/>
          </w:tcPr>
          <w:p>
            <w:pPr>
              <w:jc w:val="right"/>
              <w:ind w:right="44"/>
              <w:spacing w:after="0"/>
              <w:rPr>
                <w:sz w:val="20"/>
                <w:szCs w:val="20"/>
                <w:color w:val="auto"/>
              </w:rPr>
            </w:pPr>
            <w:r>
              <w:rPr>
                <w:rFonts w:ascii="Arial" w:cs="Arial" w:eastAsia="Arial" w:hAnsi="Arial"/>
                <w:sz w:val="15"/>
                <w:szCs w:val="15"/>
                <w:color w:val="auto"/>
              </w:rPr>
              <w:t>–</w:t>
            </w:r>
          </w:p>
        </w:tc>
        <w:tc>
          <w:tcPr>
            <w:tcW w:w="960" w:type="dxa"/>
            <w:vAlign w:val="bottom"/>
            <w:shd w:val="clear" w:color="auto" w:fill="EFE9FC"/>
          </w:tcPr>
          <w:p>
            <w:pPr>
              <w:jc w:val="right"/>
              <w:ind w:right="24"/>
              <w:spacing w:after="0"/>
              <w:rPr>
                <w:sz w:val="20"/>
                <w:szCs w:val="20"/>
                <w:color w:val="auto"/>
              </w:rPr>
            </w:pPr>
            <w:r>
              <w:rPr>
                <w:rFonts w:ascii="Arial" w:cs="Arial" w:eastAsia="Arial" w:hAnsi="Arial"/>
                <w:sz w:val="15"/>
                <w:szCs w:val="15"/>
                <w:color w:val="auto"/>
              </w:rPr>
              <w:t>1,520</w:t>
            </w:r>
          </w:p>
        </w:tc>
        <w:tc>
          <w:tcPr>
            <w:tcW w:w="900" w:type="dxa"/>
            <w:vAlign w:val="bottom"/>
            <w:shd w:val="clear" w:color="auto" w:fill="EFE9FC"/>
          </w:tcPr>
          <w:p>
            <w:pPr>
              <w:jc w:val="right"/>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222"/>
        </w:trPr>
        <w:tc>
          <w:tcPr>
            <w:tcW w:w="5160" w:type="dxa"/>
            <w:vAlign w:val="bottom"/>
          </w:tcPr>
          <w:p>
            <w:pPr>
              <w:ind w:left="40"/>
              <w:spacing w:after="0"/>
              <w:rPr>
                <w:sz w:val="20"/>
                <w:szCs w:val="20"/>
                <w:color w:val="auto"/>
              </w:rPr>
            </w:pPr>
            <w:r>
              <w:rPr>
                <w:rFonts w:ascii="Arial" w:cs="Arial" w:eastAsia="Arial" w:hAnsi="Arial"/>
                <w:sz w:val="15"/>
                <w:szCs w:val="15"/>
                <w:color w:val="auto"/>
              </w:rPr>
              <w:t>Alfred Novak</w:t>
            </w:r>
          </w:p>
        </w:tc>
        <w:tc>
          <w:tcPr>
            <w:tcW w:w="840" w:type="dxa"/>
            <w:vAlign w:val="bottom"/>
          </w:tcPr>
          <w:p>
            <w:pPr>
              <w:jc w:val="right"/>
              <w:spacing w:after="0"/>
              <w:rPr>
                <w:sz w:val="20"/>
                <w:szCs w:val="20"/>
                <w:color w:val="auto"/>
              </w:rPr>
            </w:pPr>
            <w:r>
              <w:rPr>
                <w:rFonts w:ascii="Arial" w:cs="Arial" w:eastAsia="Arial" w:hAnsi="Arial"/>
                <w:sz w:val="15"/>
                <w:szCs w:val="15"/>
                <w:color w:val="auto"/>
              </w:rPr>
              <w:t>9,570</w:t>
            </w:r>
          </w:p>
        </w:tc>
        <w:tc>
          <w:tcPr>
            <w:tcW w:w="1320" w:type="dxa"/>
            <w:vAlign w:val="bottom"/>
          </w:tcPr>
          <w:p>
            <w:pPr>
              <w:jc w:val="right"/>
              <w:ind w:right="44"/>
              <w:spacing w:after="0"/>
              <w:rPr>
                <w:sz w:val="20"/>
                <w:szCs w:val="20"/>
                <w:color w:val="auto"/>
              </w:rPr>
            </w:pPr>
            <w:r>
              <w:rPr>
                <w:rFonts w:ascii="Arial" w:cs="Arial" w:eastAsia="Arial" w:hAnsi="Arial"/>
                <w:sz w:val="15"/>
                <w:szCs w:val="15"/>
                <w:color w:val="auto"/>
              </w:rPr>
              <w:t>–</w:t>
            </w:r>
          </w:p>
        </w:tc>
        <w:tc>
          <w:tcPr>
            <w:tcW w:w="960" w:type="dxa"/>
            <w:vAlign w:val="bottom"/>
          </w:tcPr>
          <w:p>
            <w:pPr>
              <w:jc w:val="right"/>
              <w:ind w:right="24"/>
              <w:spacing w:after="0"/>
              <w:rPr>
                <w:sz w:val="20"/>
                <w:szCs w:val="20"/>
                <w:color w:val="auto"/>
              </w:rPr>
            </w:pPr>
            <w:r>
              <w:rPr>
                <w:rFonts w:ascii="Arial" w:cs="Arial" w:eastAsia="Arial" w:hAnsi="Arial"/>
                <w:sz w:val="15"/>
                <w:szCs w:val="15"/>
                <w:color w:val="auto"/>
              </w:rPr>
              <w:t>9,570</w:t>
            </w:r>
          </w:p>
        </w:tc>
        <w:tc>
          <w:tcPr>
            <w:tcW w:w="900" w:type="dxa"/>
            <w:vAlign w:val="bottom"/>
          </w:tcPr>
          <w:p>
            <w:pPr>
              <w:jc w:val="right"/>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22"/>
        </w:trPr>
        <w:tc>
          <w:tcPr>
            <w:tcW w:w="516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5160" w:type="dxa"/>
            <w:vAlign w:val="bottom"/>
            <w:tcBorders>
              <w:bottom w:val="single" w:sz="8" w:color="EFE9FC"/>
            </w:tcBorders>
            <w:shd w:val="clear" w:color="auto" w:fill="EFE9FC"/>
          </w:tcPr>
          <w:p>
            <w:pPr>
              <w:ind w:left="40"/>
              <w:spacing w:after="0"/>
              <w:rPr>
                <w:sz w:val="20"/>
                <w:szCs w:val="20"/>
                <w:color w:val="auto"/>
              </w:rPr>
            </w:pPr>
            <w:r>
              <w:rPr>
                <w:rFonts w:ascii="Arial" w:cs="Arial" w:eastAsia="Arial" w:hAnsi="Arial"/>
                <w:sz w:val="15"/>
                <w:szCs w:val="15"/>
                <w:color w:val="auto"/>
              </w:rPr>
              <w:t>Sharon O’Kane, Ph.D.</w:t>
            </w:r>
          </w:p>
        </w:tc>
        <w:tc>
          <w:tcPr>
            <w:tcW w:w="840" w:type="dxa"/>
            <w:vAlign w:val="bottom"/>
            <w:tcBorders>
              <w:bottom w:val="single" w:sz="8" w:color="EFE9FC"/>
            </w:tcBorders>
            <w:shd w:val="clear" w:color="auto" w:fill="EFE9FC"/>
          </w:tcPr>
          <w:p>
            <w:pPr>
              <w:jc w:val="right"/>
              <w:spacing w:after="0"/>
              <w:rPr>
                <w:sz w:val="20"/>
                <w:szCs w:val="20"/>
                <w:color w:val="auto"/>
              </w:rPr>
            </w:pPr>
            <w:r>
              <w:rPr>
                <w:rFonts w:ascii="Arial" w:cs="Arial" w:eastAsia="Arial" w:hAnsi="Arial"/>
                <w:sz w:val="15"/>
                <w:szCs w:val="15"/>
                <w:color w:val="auto"/>
              </w:rPr>
              <w:t>4,228</w:t>
            </w:r>
          </w:p>
        </w:tc>
        <w:tc>
          <w:tcPr>
            <w:tcW w:w="1320" w:type="dxa"/>
            <w:vAlign w:val="bottom"/>
            <w:tcBorders>
              <w:bottom w:val="single" w:sz="8" w:color="EFE9FC"/>
            </w:tcBorders>
            <w:shd w:val="clear" w:color="auto" w:fill="EFE9FC"/>
          </w:tcPr>
          <w:p>
            <w:pPr>
              <w:jc w:val="right"/>
              <w:ind w:right="44"/>
              <w:spacing w:after="0"/>
              <w:rPr>
                <w:sz w:val="20"/>
                <w:szCs w:val="20"/>
                <w:color w:val="auto"/>
              </w:rPr>
            </w:pPr>
            <w:r>
              <w:rPr>
                <w:rFonts w:ascii="Arial" w:cs="Arial" w:eastAsia="Arial" w:hAnsi="Arial"/>
                <w:sz w:val="15"/>
                <w:szCs w:val="15"/>
                <w:color w:val="auto"/>
              </w:rPr>
              <w:t>–</w:t>
            </w:r>
          </w:p>
        </w:tc>
        <w:tc>
          <w:tcPr>
            <w:tcW w:w="960" w:type="dxa"/>
            <w:vAlign w:val="bottom"/>
            <w:tcBorders>
              <w:bottom w:val="single" w:sz="8" w:color="EFE9FC"/>
            </w:tcBorders>
            <w:shd w:val="clear" w:color="auto" w:fill="EFE9FC"/>
          </w:tcPr>
          <w:p>
            <w:pPr>
              <w:jc w:val="right"/>
              <w:ind w:right="24"/>
              <w:spacing w:after="0"/>
              <w:rPr>
                <w:sz w:val="20"/>
                <w:szCs w:val="20"/>
                <w:color w:val="auto"/>
              </w:rPr>
            </w:pPr>
            <w:r>
              <w:rPr>
                <w:rFonts w:ascii="Arial" w:cs="Arial" w:eastAsia="Arial" w:hAnsi="Arial"/>
                <w:sz w:val="15"/>
                <w:szCs w:val="15"/>
                <w:color w:val="auto"/>
              </w:rPr>
              <w:t>4,228</w:t>
            </w:r>
          </w:p>
        </w:tc>
        <w:tc>
          <w:tcPr>
            <w:tcW w:w="900" w:type="dxa"/>
            <w:vAlign w:val="bottom"/>
            <w:tcBorders>
              <w:bottom w:val="single" w:sz="8" w:color="EFE9FC"/>
            </w:tcBorders>
            <w:shd w:val="clear" w:color="auto" w:fill="EFE9FC"/>
          </w:tcPr>
          <w:p>
            <w:pPr>
              <w:jc w:val="right"/>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221"/>
        </w:trPr>
        <w:tc>
          <w:tcPr>
            <w:tcW w:w="5160" w:type="dxa"/>
            <w:vAlign w:val="bottom"/>
          </w:tcPr>
          <w:p>
            <w:pPr>
              <w:ind w:left="40"/>
              <w:spacing w:after="0"/>
              <w:rPr>
                <w:sz w:val="20"/>
                <w:szCs w:val="20"/>
                <w:color w:val="auto"/>
              </w:rPr>
            </w:pPr>
            <w:r>
              <w:rPr>
                <w:rFonts w:ascii="Arial" w:cs="Arial" w:eastAsia="Arial" w:hAnsi="Arial"/>
                <w:sz w:val="15"/>
                <w:szCs w:val="15"/>
                <w:color w:val="auto"/>
              </w:rPr>
              <w:t>Arthur Rosenthal, Ph.D.</w:t>
            </w:r>
          </w:p>
        </w:tc>
        <w:tc>
          <w:tcPr>
            <w:tcW w:w="840" w:type="dxa"/>
            <w:vAlign w:val="bottom"/>
          </w:tcPr>
          <w:p>
            <w:pPr>
              <w:jc w:val="right"/>
              <w:spacing w:after="0"/>
              <w:rPr>
                <w:sz w:val="20"/>
                <w:szCs w:val="20"/>
                <w:color w:val="auto"/>
              </w:rPr>
            </w:pPr>
            <w:r>
              <w:rPr>
                <w:rFonts w:ascii="Arial" w:cs="Arial" w:eastAsia="Arial" w:hAnsi="Arial"/>
                <w:sz w:val="15"/>
                <w:szCs w:val="15"/>
                <w:color w:val="auto"/>
              </w:rPr>
              <w:t>18,615</w:t>
            </w:r>
          </w:p>
        </w:tc>
        <w:tc>
          <w:tcPr>
            <w:tcW w:w="1320" w:type="dxa"/>
            <w:vAlign w:val="bottom"/>
          </w:tcPr>
          <w:p>
            <w:pPr>
              <w:jc w:val="right"/>
              <w:ind w:right="44"/>
              <w:spacing w:after="0"/>
              <w:rPr>
                <w:sz w:val="20"/>
                <w:szCs w:val="20"/>
                <w:color w:val="auto"/>
              </w:rPr>
            </w:pPr>
            <w:r>
              <w:rPr>
                <w:rFonts w:ascii="Arial" w:cs="Arial" w:eastAsia="Arial" w:hAnsi="Arial"/>
                <w:sz w:val="15"/>
                <w:szCs w:val="15"/>
                <w:color w:val="auto"/>
              </w:rPr>
              <w:t>–</w:t>
            </w:r>
          </w:p>
        </w:tc>
        <w:tc>
          <w:tcPr>
            <w:tcW w:w="960" w:type="dxa"/>
            <w:vAlign w:val="bottom"/>
          </w:tcPr>
          <w:p>
            <w:pPr>
              <w:jc w:val="right"/>
              <w:ind w:right="24"/>
              <w:spacing w:after="0"/>
              <w:rPr>
                <w:sz w:val="20"/>
                <w:szCs w:val="20"/>
                <w:color w:val="auto"/>
              </w:rPr>
            </w:pPr>
            <w:r>
              <w:rPr>
                <w:rFonts w:ascii="Arial" w:cs="Arial" w:eastAsia="Arial" w:hAnsi="Arial"/>
                <w:sz w:val="15"/>
                <w:szCs w:val="15"/>
                <w:color w:val="auto"/>
              </w:rPr>
              <w:t>18,615</w:t>
            </w:r>
          </w:p>
        </w:tc>
        <w:tc>
          <w:tcPr>
            <w:tcW w:w="900" w:type="dxa"/>
            <w:vAlign w:val="bottom"/>
          </w:tcPr>
          <w:p>
            <w:pPr>
              <w:jc w:val="right"/>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22"/>
        </w:trPr>
        <w:tc>
          <w:tcPr>
            <w:tcW w:w="516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1"/>
        </w:trPr>
        <w:tc>
          <w:tcPr>
            <w:tcW w:w="5160" w:type="dxa"/>
            <w:vAlign w:val="bottom"/>
            <w:tcBorders>
              <w:bottom w:val="single" w:sz="8" w:color="EFE9FC"/>
            </w:tcBorders>
            <w:shd w:val="clear" w:color="auto" w:fill="EFE9FC"/>
          </w:tcPr>
          <w:p>
            <w:pPr>
              <w:ind w:left="40"/>
              <w:spacing w:after="0"/>
              <w:rPr>
                <w:sz w:val="20"/>
                <w:szCs w:val="20"/>
                <w:color w:val="auto"/>
              </w:rPr>
            </w:pPr>
            <w:r>
              <w:rPr>
                <w:rFonts w:ascii="Arial" w:cs="Arial" w:eastAsia="Arial" w:hAnsi="Arial"/>
                <w:sz w:val="15"/>
                <w:szCs w:val="15"/>
                <w:color w:val="auto"/>
              </w:rPr>
              <w:t>Andrea Saia</w:t>
            </w:r>
          </w:p>
        </w:tc>
        <w:tc>
          <w:tcPr>
            <w:tcW w:w="840" w:type="dxa"/>
            <w:vAlign w:val="bottom"/>
            <w:tcBorders>
              <w:bottom w:val="single" w:sz="8" w:color="EFE9FC"/>
            </w:tcBorders>
            <w:shd w:val="clear" w:color="auto" w:fill="EFE9FC"/>
          </w:tcPr>
          <w:p>
            <w:pPr>
              <w:jc w:val="right"/>
              <w:spacing w:after="0"/>
              <w:rPr>
                <w:sz w:val="20"/>
                <w:szCs w:val="20"/>
                <w:color w:val="auto"/>
              </w:rPr>
            </w:pPr>
            <w:r>
              <w:rPr>
                <w:rFonts w:ascii="Arial" w:cs="Arial" w:eastAsia="Arial" w:hAnsi="Arial"/>
                <w:sz w:val="15"/>
                <w:szCs w:val="15"/>
                <w:color w:val="auto"/>
              </w:rPr>
              <w:t>2,998</w:t>
            </w:r>
          </w:p>
        </w:tc>
        <w:tc>
          <w:tcPr>
            <w:tcW w:w="1320" w:type="dxa"/>
            <w:vAlign w:val="bottom"/>
            <w:tcBorders>
              <w:bottom w:val="single" w:sz="8" w:color="EFE9FC"/>
            </w:tcBorders>
            <w:shd w:val="clear" w:color="auto" w:fill="EFE9FC"/>
          </w:tcPr>
          <w:p>
            <w:pPr>
              <w:jc w:val="right"/>
              <w:ind w:right="44"/>
              <w:spacing w:after="0"/>
              <w:rPr>
                <w:sz w:val="20"/>
                <w:szCs w:val="20"/>
                <w:color w:val="auto"/>
              </w:rPr>
            </w:pPr>
            <w:r>
              <w:rPr>
                <w:rFonts w:ascii="Arial" w:cs="Arial" w:eastAsia="Arial" w:hAnsi="Arial"/>
                <w:sz w:val="15"/>
                <w:szCs w:val="15"/>
                <w:color w:val="auto"/>
              </w:rPr>
              <w:t>–</w:t>
            </w:r>
          </w:p>
        </w:tc>
        <w:tc>
          <w:tcPr>
            <w:tcW w:w="960" w:type="dxa"/>
            <w:vAlign w:val="bottom"/>
            <w:tcBorders>
              <w:bottom w:val="single" w:sz="8" w:color="EFE9FC"/>
            </w:tcBorders>
            <w:shd w:val="clear" w:color="auto" w:fill="EFE9FC"/>
          </w:tcPr>
          <w:p>
            <w:pPr>
              <w:jc w:val="right"/>
              <w:ind w:right="24"/>
              <w:spacing w:after="0"/>
              <w:rPr>
                <w:sz w:val="20"/>
                <w:szCs w:val="20"/>
                <w:color w:val="auto"/>
              </w:rPr>
            </w:pPr>
            <w:r>
              <w:rPr>
                <w:rFonts w:ascii="Arial" w:cs="Arial" w:eastAsia="Arial" w:hAnsi="Arial"/>
                <w:sz w:val="15"/>
                <w:szCs w:val="15"/>
                <w:color w:val="auto"/>
              </w:rPr>
              <w:t>2,998</w:t>
            </w:r>
          </w:p>
        </w:tc>
        <w:tc>
          <w:tcPr>
            <w:tcW w:w="900" w:type="dxa"/>
            <w:vAlign w:val="bottom"/>
            <w:tcBorders>
              <w:bottom w:val="single" w:sz="8" w:color="EFE9FC"/>
            </w:tcBorders>
            <w:shd w:val="clear" w:color="auto" w:fill="EFE9FC"/>
          </w:tcPr>
          <w:p>
            <w:pPr>
              <w:jc w:val="right"/>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215"/>
        </w:trPr>
        <w:tc>
          <w:tcPr>
            <w:tcW w:w="5160" w:type="dxa"/>
            <w:vAlign w:val="bottom"/>
            <w:tcBorders>
              <w:top w:val="single" w:sz="8" w:color="EFE9FC"/>
            </w:tcBorders>
          </w:tcPr>
          <w:p>
            <w:pPr>
              <w:ind w:left="40"/>
              <w:spacing w:after="0"/>
              <w:rPr>
                <w:sz w:val="20"/>
                <w:szCs w:val="20"/>
                <w:color w:val="auto"/>
              </w:rPr>
            </w:pPr>
            <w:r>
              <w:rPr>
                <w:rFonts w:ascii="Arial" w:cs="Arial" w:eastAsia="Arial" w:hAnsi="Arial"/>
                <w:sz w:val="15"/>
                <w:szCs w:val="15"/>
                <w:b w:val="1"/>
                <w:bCs w:val="1"/>
                <w:i w:val="1"/>
                <w:iCs w:val="1"/>
                <w:color w:val="auto"/>
              </w:rPr>
              <w:t>All current executive officers and directors as a group (14 persons)</w:t>
            </w:r>
          </w:p>
        </w:tc>
        <w:tc>
          <w:tcPr>
            <w:tcW w:w="840" w:type="dxa"/>
            <w:vAlign w:val="bottom"/>
            <w:tcBorders>
              <w:top w:val="single" w:sz="8" w:color="4800E6"/>
            </w:tcBorders>
          </w:tcPr>
          <w:p>
            <w:pPr>
              <w:jc w:val="right"/>
              <w:spacing w:after="0"/>
              <w:rPr>
                <w:sz w:val="20"/>
                <w:szCs w:val="20"/>
                <w:color w:val="auto"/>
              </w:rPr>
            </w:pPr>
            <w:r>
              <w:rPr>
                <w:rFonts w:ascii="Arial" w:cs="Arial" w:eastAsia="Arial" w:hAnsi="Arial"/>
                <w:sz w:val="15"/>
                <w:szCs w:val="15"/>
                <w:color w:val="auto"/>
              </w:rPr>
              <w:t>217,866</w:t>
            </w:r>
          </w:p>
        </w:tc>
        <w:tc>
          <w:tcPr>
            <w:tcW w:w="1320" w:type="dxa"/>
            <w:vAlign w:val="bottom"/>
            <w:tcBorders>
              <w:top w:val="single" w:sz="8" w:color="4800E6"/>
            </w:tcBorders>
          </w:tcPr>
          <w:p>
            <w:pPr>
              <w:jc w:val="right"/>
              <w:ind w:right="44"/>
              <w:spacing w:after="0"/>
              <w:rPr>
                <w:sz w:val="20"/>
                <w:szCs w:val="20"/>
                <w:color w:val="auto"/>
              </w:rPr>
            </w:pPr>
            <w:r>
              <w:rPr>
                <w:rFonts w:ascii="Arial" w:cs="Arial" w:eastAsia="Arial" w:hAnsi="Arial"/>
                <w:sz w:val="15"/>
                <w:szCs w:val="15"/>
                <w:color w:val="auto"/>
              </w:rPr>
              <w:t>12,648</w:t>
            </w:r>
          </w:p>
        </w:tc>
        <w:tc>
          <w:tcPr>
            <w:tcW w:w="960" w:type="dxa"/>
            <w:vAlign w:val="bottom"/>
            <w:tcBorders>
              <w:top w:val="single" w:sz="8" w:color="4800E6"/>
            </w:tcBorders>
          </w:tcPr>
          <w:p>
            <w:pPr>
              <w:jc w:val="right"/>
              <w:ind w:right="24"/>
              <w:spacing w:after="0"/>
              <w:rPr>
                <w:sz w:val="20"/>
                <w:szCs w:val="20"/>
                <w:color w:val="auto"/>
              </w:rPr>
            </w:pPr>
            <w:r>
              <w:rPr>
                <w:rFonts w:ascii="Arial" w:cs="Arial" w:eastAsia="Arial" w:hAnsi="Arial"/>
                <w:sz w:val="15"/>
                <w:szCs w:val="15"/>
                <w:color w:val="auto"/>
              </w:rPr>
              <w:t>230,514</w:t>
            </w:r>
          </w:p>
        </w:tc>
        <w:tc>
          <w:tcPr>
            <w:tcW w:w="900" w:type="dxa"/>
            <w:vAlign w:val="bottom"/>
            <w:tcBorders>
              <w:top w:val="single" w:sz="8" w:color="4800E6"/>
            </w:tcBorders>
          </w:tcPr>
          <w:p>
            <w:pPr>
              <w:jc w:val="right"/>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22"/>
        </w:trPr>
        <w:tc>
          <w:tcPr>
            <w:tcW w:w="5160" w:type="dxa"/>
            <w:vAlign w:val="bottom"/>
            <w:tcBorders>
              <w:bottom w:val="single" w:sz="8" w:color="EFE9FC"/>
            </w:tcBorders>
          </w:tcPr>
          <w:p>
            <w:pPr>
              <w:spacing w:after="0" w:line="20" w:lineRule="exact"/>
              <w:rPr>
                <w:sz w:val="1"/>
                <w:szCs w:val="1"/>
                <w:color w:val="auto"/>
              </w:rPr>
            </w:pPr>
          </w:p>
        </w:tc>
        <w:tc>
          <w:tcPr>
            <w:tcW w:w="840" w:type="dxa"/>
            <w:vAlign w:val="bottom"/>
            <w:tcBorders>
              <w:bottom w:val="single" w:sz="8" w:color="4800E6"/>
            </w:tcBorders>
          </w:tcPr>
          <w:p>
            <w:pPr>
              <w:spacing w:after="0" w:line="20" w:lineRule="exact"/>
              <w:rPr>
                <w:sz w:val="1"/>
                <w:szCs w:val="1"/>
                <w:color w:val="auto"/>
              </w:rPr>
            </w:pPr>
          </w:p>
        </w:tc>
        <w:tc>
          <w:tcPr>
            <w:tcW w:w="1320" w:type="dxa"/>
            <w:vAlign w:val="bottom"/>
            <w:tcBorders>
              <w:bottom w:val="single" w:sz="8" w:color="4800E6"/>
            </w:tcBorders>
          </w:tcPr>
          <w:p>
            <w:pPr>
              <w:spacing w:after="0" w:line="20" w:lineRule="exact"/>
              <w:rPr>
                <w:sz w:val="1"/>
                <w:szCs w:val="1"/>
                <w:color w:val="auto"/>
              </w:rPr>
            </w:pPr>
          </w:p>
        </w:tc>
        <w:tc>
          <w:tcPr>
            <w:tcW w:w="960" w:type="dxa"/>
            <w:vAlign w:val="bottom"/>
            <w:tcBorders>
              <w:bottom w:val="single" w:sz="8" w:color="4800E6"/>
            </w:tcBorders>
          </w:tcPr>
          <w:p>
            <w:pPr>
              <w:spacing w:after="0" w:line="20" w:lineRule="exact"/>
              <w:rPr>
                <w:sz w:val="1"/>
                <w:szCs w:val="1"/>
                <w:color w:val="auto"/>
              </w:rPr>
            </w:pPr>
          </w:p>
        </w:tc>
        <w:tc>
          <w:tcPr>
            <w:tcW w:w="900" w:type="dxa"/>
            <w:vAlign w:val="bottom"/>
            <w:tcBorders>
              <w:bottom w:val="single" w:sz="8" w:color="4800E6"/>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63"/>
        </w:trPr>
        <w:tc>
          <w:tcPr>
            <w:tcW w:w="5160" w:type="dxa"/>
            <w:vAlign w:val="bottom"/>
            <w:shd w:val="clear" w:color="auto" w:fill="EFE9FC"/>
          </w:tcPr>
          <w:p>
            <w:pPr>
              <w:ind w:left="40"/>
              <w:spacing w:after="0" w:line="250" w:lineRule="exact"/>
              <w:rPr>
                <w:sz w:val="20"/>
                <w:szCs w:val="20"/>
                <w:color w:val="auto"/>
              </w:rPr>
            </w:pPr>
            <w:r>
              <w:rPr>
                <w:rFonts w:ascii="Arial" w:cs="Arial" w:eastAsia="Arial" w:hAnsi="Arial"/>
                <w:sz w:val="15"/>
                <w:szCs w:val="15"/>
                <w:b w:val="1"/>
                <w:bCs w:val="1"/>
                <w:i w:val="1"/>
                <w:iCs w:val="1"/>
                <w:color w:val="auto"/>
              </w:rPr>
              <w:t>5% Holders:</w:t>
            </w:r>
            <w:r>
              <w:rPr>
                <w:rFonts w:ascii="Arial" w:cs="Arial" w:eastAsia="Arial" w:hAnsi="Arial"/>
                <w:sz w:val="23"/>
                <w:szCs w:val="23"/>
                <w:b w:val="1"/>
                <w:bCs w:val="1"/>
                <w:i w:val="1"/>
                <w:iCs w:val="1"/>
                <w:color w:val="auto"/>
                <w:vertAlign w:val="superscript"/>
              </w:rPr>
              <w:t>(5)</w:t>
            </w:r>
          </w:p>
        </w:tc>
        <w:tc>
          <w:tcPr>
            <w:tcW w:w="840" w:type="dxa"/>
            <w:vAlign w:val="bottom"/>
            <w:shd w:val="clear" w:color="auto" w:fill="EFE9FC"/>
          </w:tcPr>
          <w:p>
            <w:pPr>
              <w:spacing w:after="0"/>
              <w:rPr>
                <w:sz w:val="22"/>
                <w:szCs w:val="22"/>
                <w:color w:val="auto"/>
              </w:rPr>
            </w:pPr>
          </w:p>
        </w:tc>
        <w:tc>
          <w:tcPr>
            <w:tcW w:w="1320" w:type="dxa"/>
            <w:vAlign w:val="bottom"/>
            <w:shd w:val="clear" w:color="auto" w:fill="EFE9FC"/>
          </w:tcPr>
          <w:p>
            <w:pPr>
              <w:spacing w:after="0"/>
              <w:rPr>
                <w:sz w:val="22"/>
                <w:szCs w:val="22"/>
                <w:color w:val="auto"/>
              </w:rPr>
            </w:pPr>
          </w:p>
        </w:tc>
        <w:tc>
          <w:tcPr>
            <w:tcW w:w="960" w:type="dxa"/>
            <w:vAlign w:val="bottom"/>
            <w:shd w:val="clear" w:color="auto" w:fill="EFE9FC"/>
          </w:tcPr>
          <w:p>
            <w:pPr>
              <w:spacing w:after="0"/>
              <w:rPr>
                <w:sz w:val="22"/>
                <w:szCs w:val="22"/>
                <w:color w:val="auto"/>
              </w:rPr>
            </w:pPr>
          </w:p>
        </w:tc>
        <w:tc>
          <w:tcPr>
            <w:tcW w:w="900" w:type="dxa"/>
            <w:vAlign w:val="bottom"/>
            <w:shd w:val="clear" w:color="auto" w:fill="EFE9FC"/>
          </w:tcPr>
          <w:p>
            <w:pPr>
              <w:spacing w:after="0"/>
              <w:rPr>
                <w:sz w:val="22"/>
                <w:szCs w:val="22"/>
                <w:color w:val="auto"/>
              </w:rPr>
            </w:pPr>
          </w:p>
        </w:tc>
        <w:tc>
          <w:tcPr>
            <w:tcW w:w="0" w:type="dxa"/>
            <w:vAlign w:val="bottom"/>
          </w:tcPr>
          <w:p>
            <w:pPr>
              <w:spacing w:after="0"/>
              <w:rPr>
                <w:sz w:val="1"/>
                <w:szCs w:val="1"/>
                <w:color w:val="auto"/>
              </w:rPr>
            </w:pPr>
          </w:p>
        </w:tc>
      </w:tr>
      <w:tr>
        <w:trPr>
          <w:trHeight w:val="240"/>
        </w:trPr>
        <w:tc>
          <w:tcPr>
            <w:tcW w:w="5160" w:type="dxa"/>
            <w:vAlign w:val="bottom"/>
          </w:tcPr>
          <w:p>
            <w:pPr>
              <w:ind w:left="40"/>
              <w:spacing w:after="0" w:line="240" w:lineRule="exact"/>
              <w:rPr>
                <w:sz w:val="20"/>
                <w:szCs w:val="20"/>
                <w:color w:val="auto"/>
              </w:rPr>
            </w:pPr>
            <w:r>
              <w:rPr>
                <w:rFonts w:ascii="Arial" w:cs="Arial" w:eastAsia="Arial" w:hAnsi="Arial"/>
                <w:sz w:val="15"/>
                <w:szCs w:val="15"/>
                <w:color w:val="auto"/>
              </w:rPr>
              <w:t>BlackRock, Inc.</w:t>
            </w:r>
            <w:r>
              <w:rPr>
                <w:rFonts w:ascii="Arial" w:cs="Arial" w:eastAsia="Arial" w:hAnsi="Arial"/>
                <w:sz w:val="23"/>
                <w:szCs w:val="23"/>
                <w:color w:val="auto"/>
                <w:vertAlign w:val="superscript"/>
              </w:rPr>
              <w:t>(6)</w:t>
            </w:r>
          </w:p>
        </w:tc>
        <w:tc>
          <w:tcPr>
            <w:tcW w:w="840" w:type="dxa"/>
            <w:vAlign w:val="bottom"/>
          </w:tcPr>
          <w:p>
            <w:pPr>
              <w:jc w:val="right"/>
              <w:spacing w:after="0"/>
              <w:rPr>
                <w:sz w:val="20"/>
                <w:szCs w:val="20"/>
                <w:color w:val="auto"/>
              </w:rPr>
            </w:pPr>
            <w:r>
              <w:rPr>
                <w:rFonts w:ascii="Arial" w:cs="Arial" w:eastAsia="Arial" w:hAnsi="Arial"/>
                <w:sz w:val="15"/>
                <w:szCs w:val="15"/>
                <w:color w:val="auto"/>
              </w:rPr>
              <w:t>5,954,330</w:t>
            </w:r>
          </w:p>
        </w:tc>
        <w:tc>
          <w:tcPr>
            <w:tcW w:w="1320" w:type="dxa"/>
            <w:vAlign w:val="bottom"/>
          </w:tcPr>
          <w:p>
            <w:pPr>
              <w:jc w:val="right"/>
              <w:ind w:right="44"/>
              <w:spacing w:after="0"/>
              <w:rPr>
                <w:sz w:val="20"/>
                <w:szCs w:val="20"/>
                <w:color w:val="auto"/>
              </w:rPr>
            </w:pPr>
            <w:r>
              <w:rPr>
                <w:rFonts w:ascii="Arial" w:cs="Arial" w:eastAsia="Arial" w:hAnsi="Arial"/>
                <w:sz w:val="15"/>
                <w:szCs w:val="15"/>
                <w:color w:val="auto"/>
              </w:rPr>
              <w:t>–</w:t>
            </w:r>
          </w:p>
        </w:tc>
        <w:tc>
          <w:tcPr>
            <w:tcW w:w="960" w:type="dxa"/>
            <w:vAlign w:val="bottom"/>
          </w:tcPr>
          <w:p>
            <w:pPr>
              <w:jc w:val="right"/>
              <w:ind w:right="24"/>
              <w:spacing w:after="0"/>
              <w:rPr>
                <w:sz w:val="20"/>
                <w:szCs w:val="20"/>
                <w:color w:val="auto"/>
              </w:rPr>
            </w:pPr>
            <w:r>
              <w:rPr>
                <w:rFonts w:ascii="Arial" w:cs="Arial" w:eastAsia="Arial" w:hAnsi="Arial"/>
                <w:sz w:val="15"/>
                <w:szCs w:val="15"/>
                <w:color w:val="auto"/>
              </w:rPr>
              <w:t>5,954,330</w:t>
            </w:r>
          </w:p>
        </w:tc>
        <w:tc>
          <w:tcPr>
            <w:tcW w:w="900" w:type="dxa"/>
            <w:vAlign w:val="bottom"/>
          </w:tcPr>
          <w:p>
            <w:pPr>
              <w:jc w:val="right"/>
              <w:spacing w:after="0"/>
              <w:rPr>
                <w:sz w:val="20"/>
                <w:szCs w:val="20"/>
                <w:color w:val="auto"/>
              </w:rPr>
            </w:pPr>
            <w:r>
              <w:rPr>
                <w:rFonts w:ascii="Arial" w:cs="Arial" w:eastAsia="Arial" w:hAnsi="Arial"/>
                <w:sz w:val="15"/>
                <w:szCs w:val="15"/>
                <w:color w:val="auto"/>
              </w:rPr>
              <w:t>12.26%</w:t>
            </w:r>
          </w:p>
        </w:tc>
        <w:tc>
          <w:tcPr>
            <w:tcW w:w="0" w:type="dxa"/>
            <w:vAlign w:val="bottom"/>
          </w:tcPr>
          <w:p>
            <w:pPr>
              <w:spacing w:after="0"/>
              <w:rPr>
                <w:sz w:val="1"/>
                <w:szCs w:val="1"/>
                <w:color w:val="auto"/>
              </w:rPr>
            </w:pPr>
          </w:p>
        </w:tc>
      </w:tr>
      <w:tr>
        <w:trPr>
          <w:trHeight w:val="184"/>
        </w:trPr>
        <w:tc>
          <w:tcPr>
            <w:tcW w:w="5160" w:type="dxa"/>
            <w:vAlign w:val="bottom"/>
          </w:tcPr>
          <w:p>
            <w:pPr>
              <w:ind w:left="40"/>
              <w:spacing w:after="0"/>
              <w:rPr>
                <w:sz w:val="20"/>
                <w:szCs w:val="20"/>
                <w:color w:val="auto"/>
              </w:rPr>
            </w:pPr>
            <w:r>
              <w:rPr>
                <w:rFonts w:ascii="Arial" w:cs="Arial" w:eastAsia="Arial" w:hAnsi="Arial"/>
                <w:sz w:val="15"/>
                <w:szCs w:val="15"/>
                <w:color w:val="auto"/>
              </w:rPr>
              <w:t>New York, NY 10055</w:t>
            </w:r>
          </w:p>
        </w:tc>
        <w:tc>
          <w:tcPr>
            <w:tcW w:w="84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5160" w:type="dxa"/>
            <w:vAlign w:val="bottom"/>
          </w:tcPr>
          <w:p>
            <w:pPr>
              <w:ind w:left="40"/>
              <w:spacing w:after="0"/>
              <w:rPr>
                <w:sz w:val="20"/>
                <w:szCs w:val="20"/>
                <w:color w:val="auto"/>
              </w:rPr>
            </w:pPr>
            <w:r>
              <w:rPr>
                <w:rFonts w:ascii="Arial" w:cs="Arial" w:eastAsia="Arial" w:hAnsi="Arial"/>
                <w:sz w:val="15"/>
                <w:szCs w:val="15"/>
                <w:color w:val="auto"/>
              </w:rPr>
              <w:t>55 East 52nd Street</w:t>
            </w:r>
          </w:p>
        </w:tc>
        <w:tc>
          <w:tcPr>
            <w:tcW w:w="84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
        </w:trPr>
        <w:tc>
          <w:tcPr>
            <w:tcW w:w="516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3"/>
        </w:trPr>
        <w:tc>
          <w:tcPr>
            <w:tcW w:w="5160" w:type="dxa"/>
            <w:vAlign w:val="bottom"/>
            <w:shd w:val="clear" w:color="auto" w:fill="EFE9FC"/>
          </w:tcPr>
          <w:p>
            <w:pPr>
              <w:ind w:left="40"/>
              <w:spacing w:after="0" w:line="253" w:lineRule="exact"/>
              <w:rPr>
                <w:sz w:val="20"/>
                <w:szCs w:val="20"/>
                <w:color w:val="auto"/>
              </w:rPr>
            </w:pPr>
            <w:r>
              <w:rPr>
                <w:rFonts w:ascii="Arial" w:cs="Arial" w:eastAsia="Arial" w:hAnsi="Arial"/>
                <w:sz w:val="15"/>
                <w:szCs w:val="15"/>
                <w:color w:val="auto"/>
              </w:rPr>
              <w:t>Franklin Resources, Inc.</w:t>
            </w:r>
            <w:r>
              <w:rPr>
                <w:rFonts w:ascii="Arial" w:cs="Arial" w:eastAsia="Arial" w:hAnsi="Arial"/>
                <w:sz w:val="23"/>
                <w:szCs w:val="23"/>
                <w:color w:val="auto"/>
                <w:vertAlign w:val="superscript"/>
              </w:rPr>
              <w:t>(7)</w:t>
            </w:r>
          </w:p>
        </w:tc>
        <w:tc>
          <w:tcPr>
            <w:tcW w:w="840" w:type="dxa"/>
            <w:vAlign w:val="bottom"/>
            <w:shd w:val="clear" w:color="auto" w:fill="EFE9FC"/>
          </w:tcPr>
          <w:p>
            <w:pPr>
              <w:jc w:val="right"/>
              <w:spacing w:after="0"/>
              <w:rPr>
                <w:sz w:val="20"/>
                <w:szCs w:val="20"/>
                <w:color w:val="auto"/>
              </w:rPr>
            </w:pPr>
            <w:r>
              <w:rPr>
                <w:rFonts w:ascii="Arial" w:cs="Arial" w:eastAsia="Arial" w:hAnsi="Arial"/>
                <w:sz w:val="15"/>
                <w:szCs w:val="15"/>
                <w:color w:val="auto"/>
              </w:rPr>
              <w:t>3,348,444</w:t>
            </w:r>
          </w:p>
        </w:tc>
        <w:tc>
          <w:tcPr>
            <w:tcW w:w="1320" w:type="dxa"/>
            <w:vAlign w:val="bottom"/>
            <w:shd w:val="clear" w:color="auto" w:fill="EFE9FC"/>
          </w:tcPr>
          <w:p>
            <w:pPr>
              <w:jc w:val="right"/>
              <w:ind w:right="44"/>
              <w:spacing w:after="0"/>
              <w:rPr>
                <w:sz w:val="20"/>
                <w:szCs w:val="20"/>
                <w:color w:val="auto"/>
              </w:rPr>
            </w:pPr>
            <w:r>
              <w:rPr>
                <w:rFonts w:ascii="Arial" w:cs="Arial" w:eastAsia="Arial" w:hAnsi="Arial"/>
                <w:sz w:val="15"/>
                <w:szCs w:val="15"/>
                <w:color w:val="auto"/>
              </w:rPr>
              <w:t>–</w:t>
            </w:r>
          </w:p>
        </w:tc>
        <w:tc>
          <w:tcPr>
            <w:tcW w:w="960" w:type="dxa"/>
            <w:vAlign w:val="bottom"/>
            <w:shd w:val="clear" w:color="auto" w:fill="EFE9FC"/>
          </w:tcPr>
          <w:p>
            <w:pPr>
              <w:jc w:val="right"/>
              <w:ind w:right="24"/>
              <w:spacing w:after="0"/>
              <w:rPr>
                <w:sz w:val="20"/>
                <w:szCs w:val="20"/>
                <w:color w:val="auto"/>
              </w:rPr>
            </w:pPr>
            <w:r>
              <w:rPr>
                <w:rFonts w:ascii="Arial" w:cs="Arial" w:eastAsia="Arial" w:hAnsi="Arial"/>
                <w:sz w:val="15"/>
                <w:szCs w:val="15"/>
                <w:color w:val="auto"/>
              </w:rPr>
              <w:t>3,348,444</w:t>
            </w:r>
          </w:p>
        </w:tc>
        <w:tc>
          <w:tcPr>
            <w:tcW w:w="900" w:type="dxa"/>
            <w:vAlign w:val="bottom"/>
            <w:shd w:val="clear" w:color="auto" w:fill="EFE9FC"/>
          </w:tcPr>
          <w:p>
            <w:pPr>
              <w:jc w:val="right"/>
              <w:spacing w:after="0"/>
              <w:rPr>
                <w:sz w:val="20"/>
                <w:szCs w:val="20"/>
                <w:color w:val="auto"/>
              </w:rPr>
            </w:pPr>
            <w:r>
              <w:rPr>
                <w:rFonts w:ascii="Arial" w:cs="Arial" w:eastAsia="Arial" w:hAnsi="Arial"/>
                <w:sz w:val="15"/>
                <w:szCs w:val="15"/>
                <w:color w:val="auto"/>
              </w:rPr>
              <w:t>6.89%</w:t>
            </w:r>
          </w:p>
        </w:tc>
        <w:tc>
          <w:tcPr>
            <w:tcW w:w="0" w:type="dxa"/>
            <w:vAlign w:val="bottom"/>
          </w:tcPr>
          <w:p>
            <w:pPr>
              <w:spacing w:after="0"/>
              <w:rPr>
                <w:sz w:val="1"/>
                <w:szCs w:val="1"/>
                <w:color w:val="auto"/>
              </w:rPr>
            </w:pPr>
          </w:p>
        </w:tc>
      </w:tr>
      <w:tr>
        <w:trPr>
          <w:trHeight w:val="184"/>
        </w:trPr>
        <w:tc>
          <w:tcPr>
            <w:tcW w:w="5160" w:type="dxa"/>
            <w:vAlign w:val="bottom"/>
            <w:shd w:val="clear" w:color="auto" w:fill="EFE9FC"/>
          </w:tcPr>
          <w:p>
            <w:pPr>
              <w:ind w:left="40"/>
              <w:spacing w:after="0"/>
              <w:rPr>
                <w:sz w:val="20"/>
                <w:szCs w:val="20"/>
                <w:color w:val="auto"/>
              </w:rPr>
            </w:pPr>
            <w:r>
              <w:rPr>
                <w:rFonts w:ascii="Arial" w:cs="Arial" w:eastAsia="Arial" w:hAnsi="Arial"/>
                <w:sz w:val="15"/>
                <w:szCs w:val="15"/>
                <w:color w:val="auto"/>
              </w:rPr>
              <w:t>One Franklin Parkway</w:t>
            </w:r>
          </w:p>
        </w:tc>
        <w:tc>
          <w:tcPr>
            <w:tcW w:w="840" w:type="dxa"/>
            <w:vAlign w:val="bottom"/>
            <w:shd w:val="clear" w:color="auto" w:fill="EFE9FC"/>
          </w:tcPr>
          <w:p>
            <w:pPr>
              <w:spacing w:after="0"/>
              <w:rPr>
                <w:sz w:val="16"/>
                <w:szCs w:val="16"/>
                <w:color w:val="auto"/>
              </w:rPr>
            </w:pPr>
          </w:p>
        </w:tc>
        <w:tc>
          <w:tcPr>
            <w:tcW w:w="1320" w:type="dxa"/>
            <w:vAlign w:val="bottom"/>
            <w:shd w:val="clear" w:color="auto" w:fill="EFE9FC"/>
          </w:tcPr>
          <w:p>
            <w:pPr>
              <w:spacing w:after="0"/>
              <w:rPr>
                <w:sz w:val="16"/>
                <w:szCs w:val="16"/>
                <w:color w:val="auto"/>
              </w:rPr>
            </w:pPr>
          </w:p>
        </w:tc>
        <w:tc>
          <w:tcPr>
            <w:tcW w:w="960" w:type="dxa"/>
            <w:vAlign w:val="bottom"/>
            <w:shd w:val="clear" w:color="auto" w:fill="EFE9FC"/>
          </w:tcPr>
          <w:p>
            <w:pPr>
              <w:spacing w:after="0"/>
              <w:rPr>
                <w:sz w:val="16"/>
                <w:szCs w:val="16"/>
                <w:color w:val="auto"/>
              </w:rPr>
            </w:pPr>
          </w:p>
        </w:tc>
        <w:tc>
          <w:tcPr>
            <w:tcW w:w="900" w:type="dxa"/>
            <w:vAlign w:val="bottom"/>
            <w:shd w:val="clear" w:color="auto" w:fill="EFE9FC"/>
          </w:tcPr>
          <w:p>
            <w:pPr>
              <w:spacing w:after="0"/>
              <w:rPr>
                <w:sz w:val="16"/>
                <w:szCs w:val="16"/>
                <w:color w:val="auto"/>
              </w:rPr>
            </w:pPr>
          </w:p>
        </w:tc>
        <w:tc>
          <w:tcPr>
            <w:tcW w:w="0" w:type="dxa"/>
            <w:vAlign w:val="bottom"/>
          </w:tcPr>
          <w:p>
            <w:pPr>
              <w:spacing w:after="0"/>
              <w:rPr>
                <w:sz w:val="1"/>
                <w:szCs w:val="1"/>
                <w:color w:val="auto"/>
              </w:rPr>
            </w:pPr>
          </w:p>
        </w:tc>
      </w:tr>
      <w:tr>
        <w:trPr>
          <w:trHeight w:val="204"/>
        </w:trPr>
        <w:tc>
          <w:tcPr>
            <w:tcW w:w="5160" w:type="dxa"/>
            <w:vAlign w:val="bottom"/>
            <w:tcBorders>
              <w:bottom w:val="single" w:sz="8" w:color="EFE9FC"/>
            </w:tcBorders>
            <w:shd w:val="clear" w:color="auto" w:fill="EFE9FC"/>
          </w:tcPr>
          <w:p>
            <w:pPr>
              <w:ind w:left="40"/>
              <w:spacing w:after="0"/>
              <w:rPr>
                <w:sz w:val="20"/>
                <w:szCs w:val="20"/>
                <w:color w:val="auto"/>
              </w:rPr>
            </w:pPr>
            <w:r>
              <w:rPr>
                <w:rFonts w:ascii="Arial" w:cs="Arial" w:eastAsia="Arial" w:hAnsi="Arial"/>
                <w:sz w:val="15"/>
                <w:szCs w:val="15"/>
                <w:color w:val="auto"/>
              </w:rPr>
              <w:t>San Mateo, CA 94403-1906</w:t>
            </w:r>
          </w:p>
        </w:tc>
        <w:tc>
          <w:tcPr>
            <w:tcW w:w="840" w:type="dxa"/>
            <w:vAlign w:val="bottom"/>
            <w:tcBorders>
              <w:bottom w:val="single" w:sz="8" w:color="EFE9FC"/>
            </w:tcBorders>
            <w:shd w:val="clear" w:color="auto" w:fill="EFE9FC"/>
          </w:tcPr>
          <w:p>
            <w:pPr>
              <w:spacing w:after="0"/>
              <w:rPr>
                <w:sz w:val="17"/>
                <w:szCs w:val="17"/>
                <w:color w:val="auto"/>
              </w:rPr>
            </w:pPr>
          </w:p>
        </w:tc>
        <w:tc>
          <w:tcPr>
            <w:tcW w:w="1320" w:type="dxa"/>
            <w:vAlign w:val="bottom"/>
            <w:tcBorders>
              <w:bottom w:val="single" w:sz="8" w:color="EFE9FC"/>
            </w:tcBorders>
            <w:shd w:val="clear" w:color="auto" w:fill="EFE9FC"/>
          </w:tcPr>
          <w:p>
            <w:pPr>
              <w:spacing w:after="0"/>
              <w:rPr>
                <w:sz w:val="17"/>
                <w:szCs w:val="17"/>
                <w:color w:val="auto"/>
              </w:rPr>
            </w:pPr>
          </w:p>
        </w:tc>
        <w:tc>
          <w:tcPr>
            <w:tcW w:w="960" w:type="dxa"/>
            <w:vAlign w:val="bottom"/>
            <w:tcBorders>
              <w:bottom w:val="single" w:sz="8" w:color="EFE9FC"/>
            </w:tcBorders>
            <w:shd w:val="clear" w:color="auto" w:fill="EFE9FC"/>
          </w:tcPr>
          <w:p>
            <w:pPr>
              <w:spacing w:after="0"/>
              <w:rPr>
                <w:sz w:val="17"/>
                <w:szCs w:val="17"/>
                <w:color w:val="auto"/>
              </w:rPr>
            </w:pPr>
          </w:p>
        </w:tc>
        <w:tc>
          <w:tcPr>
            <w:tcW w:w="900" w:type="dxa"/>
            <w:vAlign w:val="bottom"/>
            <w:tcBorders>
              <w:bottom w:val="single" w:sz="8" w:color="EFE9FC"/>
            </w:tcBorders>
            <w:shd w:val="clear" w:color="auto" w:fill="EFE9FC"/>
          </w:tcPr>
          <w:p>
            <w:pPr>
              <w:spacing w:after="0"/>
              <w:rPr>
                <w:sz w:val="17"/>
                <w:szCs w:val="17"/>
                <w:color w:val="auto"/>
              </w:rPr>
            </w:pPr>
          </w:p>
        </w:tc>
        <w:tc>
          <w:tcPr>
            <w:tcW w:w="0" w:type="dxa"/>
            <w:vAlign w:val="bottom"/>
          </w:tcPr>
          <w:p>
            <w:pPr>
              <w:spacing w:after="0"/>
              <w:rPr>
                <w:sz w:val="1"/>
                <w:szCs w:val="1"/>
                <w:color w:val="auto"/>
              </w:rPr>
            </w:pPr>
          </w:p>
        </w:tc>
      </w:tr>
      <w:tr>
        <w:trPr>
          <w:trHeight w:val="240"/>
        </w:trPr>
        <w:tc>
          <w:tcPr>
            <w:tcW w:w="5160" w:type="dxa"/>
            <w:vAlign w:val="bottom"/>
          </w:tcPr>
          <w:p>
            <w:pPr>
              <w:ind w:left="40"/>
              <w:spacing w:after="0" w:line="240" w:lineRule="exact"/>
              <w:rPr>
                <w:sz w:val="20"/>
                <w:szCs w:val="20"/>
                <w:color w:val="auto"/>
              </w:rPr>
            </w:pPr>
            <w:r>
              <w:rPr>
                <w:rFonts w:ascii="Arial" w:cs="Arial" w:eastAsia="Arial" w:hAnsi="Arial"/>
                <w:sz w:val="15"/>
                <w:szCs w:val="15"/>
                <w:color w:val="auto"/>
              </w:rPr>
              <w:t>T. Rowe Price Associates, Inc.</w:t>
            </w:r>
            <w:r>
              <w:rPr>
                <w:rFonts w:ascii="Arial" w:cs="Arial" w:eastAsia="Arial" w:hAnsi="Arial"/>
                <w:sz w:val="23"/>
                <w:szCs w:val="23"/>
                <w:color w:val="auto"/>
                <w:vertAlign w:val="superscript"/>
              </w:rPr>
              <w:t>(8)</w:t>
            </w:r>
          </w:p>
        </w:tc>
        <w:tc>
          <w:tcPr>
            <w:tcW w:w="840" w:type="dxa"/>
            <w:vAlign w:val="bottom"/>
          </w:tcPr>
          <w:p>
            <w:pPr>
              <w:jc w:val="right"/>
              <w:spacing w:after="0"/>
              <w:rPr>
                <w:sz w:val="20"/>
                <w:szCs w:val="20"/>
                <w:color w:val="auto"/>
              </w:rPr>
            </w:pPr>
            <w:r>
              <w:rPr>
                <w:rFonts w:ascii="Arial" w:cs="Arial" w:eastAsia="Arial" w:hAnsi="Arial"/>
                <w:sz w:val="15"/>
                <w:szCs w:val="15"/>
                <w:color w:val="auto"/>
              </w:rPr>
              <w:t>2,766,521</w:t>
            </w:r>
          </w:p>
        </w:tc>
        <w:tc>
          <w:tcPr>
            <w:tcW w:w="1320" w:type="dxa"/>
            <w:vAlign w:val="bottom"/>
          </w:tcPr>
          <w:p>
            <w:pPr>
              <w:jc w:val="right"/>
              <w:ind w:right="44"/>
              <w:spacing w:after="0"/>
              <w:rPr>
                <w:sz w:val="20"/>
                <w:szCs w:val="20"/>
                <w:color w:val="auto"/>
              </w:rPr>
            </w:pPr>
            <w:r>
              <w:rPr>
                <w:rFonts w:ascii="Arial" w:cs="Arial" w:eastAsia="Arial" w:hAnsi="Arial"/>
                <w:sz w:val="15"/>
                <w:szCs w:val="15"/>
                <w:color w:val="auto"/>
              </w:rPr>
              <w:t>–</w:t>
            </w:r>
          </w:p>
        </w:tc>
        <w:tc>
          <w:tcPr>
            <w:tcW w:w="960" w:type="dxa"/>
            <w:vAlign w:val="bottom"/>
          </w:tcPr>
          <w:p>
            <w:pPr>
              <w:jc w:val="right"/>
              <w:ind w:right="24"/>
              <w:spacing w:after="0"/>
              <w:rPr>
                <w:sz w:val="20"/>
                <w:szCs w:val="20"/>
                <w:color w:val="auto"/>
              </w:rPr>
            </w:pPr>
            <w:r>
              <w:rPr>
                <w:rFonts w:ascii="Arial" w:cs="Arial" w:eastAsia="Arial" w:hAnsi="Arial"/>
                <w:sz w:val="15"/>
                <w:szCs w:val="15"/>
                <w:color w:val="auto"/>
              </w:rPr>
              <w:t>2,766,521</w:t>
            </w:r>
          </w:p>
        </w:tc>
        <w:tc>
          <w:tcPr>
            <w:tcW w:w="900" w:type="dxa"/>
            <w:vAlign w:val="bottom"/>
          </w:tcPr>
          <w:p>
            <w:pPr>
              <w:jc w:val="right"/>
              <w:spacing w:after="0"/>
              <w:rPr>
                <w:sz w:val="20"/>
                <w:szCs w:val="20"/>
                <w:color w:val="auto"/>
              </w:rPr>
            </w:pPr>
            <w:r>
              <w:rPr>
                <w:rFonts w:ascii="Arial" w:cs="Arial" w:eastAsia="Arial" w:hAnsi="Arial"/>
                <w:sz w:val="15"/>
                <w:szCs w:val="15"/>
                <w:color w:val="auto"/>
              </w:rPr>
              <w:t>5.69%</w:t>
            </w:r>
          </w:p>
        </w:tc>
        <w:tc>
          <w:tcPr>
            <w:tcW w:w="0" w:type="dxa"/>
            <w:vAlign w:val="bottom"/>
          </w:tcPr>
          <w:p>
            <w:pPr>
              <w:spacing w:after="0"/>
              <w:rPr>
                <w:sz w:val="1"/>
                <w:szCs w:val="1"/>
                <w:color w:val="auto"/>
              </w:rPr>
            </w:pPr>
          </w:p>
        </w:tc>
      </w:tr>
      <w:tr>
        <w:trPr>
          <w:trHeight w:val="184"/>
        </w:trPr>
        <w:tc>
          <w:tcPr>
            <w:tcW w:w="5160" w:type="dxa"/>
            <w:vAlign w:val="bottom"/>
          </w:tcPr>
          <w:p>
            <w:pPr>
              <w:ind w:left="40"/>
              <w:spacing w:after="0"/>
              <w:rPr>
                <w:sz w:val="20"/>
                <w:szCs w:val="20"/>
                <w:color w:val="auto"/>
              </w:rPr>
            </w:pPr>
            <w:r>
              <w:rPr>
                <w:rFonts w:ascii="Arial" w:cs="Arial" w:eastAsia="Arial" w:hAnsi="Arial"/>
                <w:sz w:val="15"/>
                <w:szCs w:val="15"/>
                <w:color w:val="auto"/>
              </w:rPr>
              <w:t>100 E. Pratt Street</w:t>
            </w:r>
          </w:p>
        </w:tc>
        <w:tc>
          <w:tcPr>
            <w:tcW w:w="84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5160" w:type="dxa"/>
            <w:vAlign w:val="bottom"/>
          </w:tcPr>
          <w:p>
            <w:pPr>
              <w:ind w:left="40"/>
              <w:spacing w:after="0"/>
              <w:rPr>
                <w:sz w:val="20"/>
                <w:szCs w:val="20"/>
                <w:color w:val="auto"/>
              </w:rPr>
            </w:pPr>
            <w:r>
              <w:rPr>
                <w:rFonts w:ascii="Arial" w:cs="Arial" w:eastAsia="Arial" w:hAnsi="Arial"/>
                <w:sz w:val="15"/>
                <w:szCs w:val="15"/>
                <w:color w:val="auto"/>
              </w:rPr>
              <w:t>Baltimore, MD 21202</w:t>
            </w:r>
          </w:p>
        </w:tc>
        <w:tc>
          <w:tcPr>
            <w:tcW w:w="84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
        </w:trPr>
        <w:tc>
          <w:tcPr>
            <w:tcW w:w="516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3"/>
        </w:trPr>
        <w:tc>
          <w:tcPr>
            <w:tcW w:w="5160" w:type="dxa"/>
            <w:vAlign w:val="bottom"/>
            <w:shd w:val="clear" w:color="auto" w:fill="EFE9FC"/>
          </w:tcPr>
          <w:p>
            <w:pPr>
              <w:ind w:left="40"/>
              <w:spacing w:after="0" w:line="253" w:lineRule="exact"/>
              <w:rPr>
                <w:sz w:val="20"/>
                <w:szCs w:val="20"/>
                <w:color w:val="auto"/>
              </w:rPr>
            </w:pPr>
            <w:r>
              <w:rPr>
                <w:rFonts w:ascii="Arial" w:cs="Arial" w:eastAsia="Arial" w:hAnsi="Arial"/>
                <w:sz w:val="15"/>
                <w:szCs w:val="15"/>
                <w:color w:val="auto"/>
              </w:rPr>
              <w:t>Harris Associates L.P.</w:t>
            </w:r>
            <w:r>
              <w:rPr>
                <w:rFonts w:ascii="Arial" w:cs="Arial" w:eastAsia="Arial" w:hAnsi="Arial"/>
                <w:sz w:val="23"/>
                <w:szCs w:val="23"/>
                <w:color w:val="auto"/>
                <w:vertAlign w:val="superscript"/>
              </w:rPr>
              <w:t>(9)</w:t>
            </w:r>
          </w:p>
        </w:tc>
        <w:tc>
          <w:tcPr>
            <w:tcW w:w="840" w:type="dxa"/>
            <w:vAlign w:val="bottom"/>
            <w:shd w:val="clear" w:color="auto" w:fill="EFE9FC"/>
          </w:tcPr>
          <w:p>
            <w:pPr>
              <w:jc w:val="right"/>
              <w:spacing w:after="0"/>
              <w:rPr>
                <w:sz w:val="20"/>
                <w:szCs w:val="20"/>
                <w:color w:val="auto"/>
              </w:rPr>
            </w:pPr>
            <w:r>
              <w:rPr>
                <w:rFonts w:ascii="Arial" w:cs="Arial" w:eastAsia="Arial" w:hAnsi="Arial"/>
                <w:sz w:val="15"/>
                <w:szCs w:val="15"/>
                <w:color w:val="auto"/>
              </w:rPr>
              <w:t>2,697,007</w:t>
            </w:r>
          </w:p>
        </w:tc>
        <w:tc>
          <w:tcPr>
            <w:tcW w:w="1320" w:type="dxa"/>
            <w:vAlign w:val="bottom"/>
            <w:shd w:val="clear" w:color="auto" w:fill="EFE9FC"/>
          </w:tcPr>
          <w:p>
            <w:pPr>
              <w:jc w:val="right"/>
              <w:ind w:right="44"/>
              <w:spacing w:after="0"/>
              <w:rPr>
                <w:sz w:val="20"/>
                <w:szCs w:val="20"/>
                <w:color w:val="auto"/>
              </w:rPr>
            </w:pPr>
            <w:r>
              <w:rPr>
                <w:rFonts w:ascii="Arial" w:cs="Arial" w:eastAsia="Arial" w:hAnsi="Arial"/>
                <w:sz w:val="15"/>
                <w:szCs w:val="15"/>
                <w:color w:val="auto"/>
              </w:rPr>
              <w:t>–</w:t>
            </w:r>
          </w:p>
        </w:tc>
        <w:tc>
          <w:tcPr>
            <w:tcW w:w="960" w:type="dxa"/>
            <w:vAlign w:val="bottom"/>
            <w:shd w:val="clear" w:color="auto" w:fill="EFE9FC"/>
          </w:tcPr>
          <w:p>
            <w:pPr>
              <w:jc w:val="right"/>
              <w:ind w:right="24"/>
              <w:spacing w:after="0"/>
              <w:rPr>
                <w:sz w:val="20"/>
                <w:szCs w:val="20"/>
                <w:color w:val="auto"/>
              </w:rPr>
            </w:pPr>
            <w:r>
              <w:rPr>
                <w:rFonts w:ascii="Arial" w:cs="Arial" w:eastAsia="Arial" w:hAnsi="Arial"/>
                <w:sz w:val="15"/>
                <w:szCs w:val="15"/>
                <w:color w:val="auto"/>
              </w:rPr>
              <w:t>2,697,007</w:t>
            </w:r>
          </w:p>
        </w:tc>
        <w:tc>
          <w:tcPr>
            <w:tcW w:w="900" w:type="dxa"/>
            <w:vAlign w:val="bottom"/>
            <w:shd w:val="clear" w:color="auto" w:fill="EFE9FC"/>
          </w:tcPr>
          <w:p>
            <w:pPr>
              <w:jc w:val="right"/>
              <w:spacing w:after="0"/>
              <w:rPr>
                <w:sz w:val="20"/>
                <w:szCs w:val="20"/>
                <w:color w:val="auto"/>
              </w:rPr>
            </w:pPr>
            <w:r>
              <w:rPr>
                <w:rFonts w:ascii="Arial" w:cs="Arial" w:eastAsia="Arial" w:hAnsi="Arial"/>
                <w:sz w:val="15"/>
                <w:szCs w:val="15"/>
                <w:color w:val="auto"/>
              </w:rPr>
              <w:t>5.55%</w:t>
            </w:r>
          </w:p>
        </w:tc>
        <w:tc>
          <w:tcPr>
            <w:tcW w:w="0" w:type="dxa"/>
            <w:vAlign w:val="bottom"/>
          </w:tcPr>
          <w:p>
            <w:pPr>
              <w:spacing w:after="0"/>
              <w:rPr>
                <w:sz w:val="1"/>
                <w:szCs w:val="1"/>
                <w:color w:val="auto"/>
              </w:rPr>
            </w:pPr>
          </w:p>
        </w:tc>
      </w:tr>
      <w:tr>
        <w:trPr>
          <w:trHeight w:val="184"/>
        </w:trPr>
        <w:tc>
          <w:tcPr>
            <w:tcW w:w="5160" w:type="dxa"/>
            <w:vAlign w:val="bottom"/>
            <w:shd w:val="clear" w:color="auto" w:fill="EFE9FC"/>
          </w:tcPr>
          <w:p>
            <w:pPr>
              <w:ind w:left="40"/>
              <w:spacing w:after="0"/>
              <w:rPr>
                <w:sz w:val="20"/>
                <w:szCs w:val="20"/>
                <w:color w:val="auto"/>
              </w:rPr>
            </w:pPr>
            <w:r>
              <w:rPr>
                <w:rFonts w:ascii="Arial" w:cs="Arial" w:eastAsia="Arial" w:hAnsi="Arial"/>
                <w:sz w:val="15"/>
                <w:szCs w:val="15"/>
                <w:color w:val="auto"/>
              </w:rPr>
              <w:t>111. S. Wacker, Suite 4000</w:t>
            </w:r>
          </w:p>
        </w:tc>
        <w:tc>
          <w:tcPr>
            <w:tcW w:w="840" w:type="dxa"/>
            <w:vAlign w:val="bottom"/>
            <w:shd w:val="clear" w:color="auto" w:fill="EFE9FC"/>
          </w:tcPr>
          <w:p>
            <w:pPr>
              <w:spacing w:after="0"/>
              <w:rPr>
                <w:sz w:val="16"/>
                <w:szCs w:val="16"/>
                <w:color w:val="auto"/>
              </w:rPr>
            </w:pPr>
          </w:p>
        </w:tc>
        <w:tc>
          <w:tcPr>
            <w:tcW w:w="1320" w:type="dxa"/>
            <w:vAlign w:val="bottom"/>
            <w:shd w:val="clear" w:color="auto" w:fill="EFE9FC"/>
          </w:tcPr>
          <w:p>
            <w:pPr>
              <w:spacing w:after="0"/>
              <w:rPr>
                <w:sz w:val="16"/>
                <w:szCs w:val="16"/>
                <w:color w:val="auto"/>
              </w:rPr>
            </w:pPr>
          </w:p>
        </w:tc>
        <w:tc>
          <w:tcPr>
            <w:tcW w:w="960" w:type="dxa"/>
            <w:vAlign w:val="bottom"/>
            <w:shd w:val="clear" w:color="auto" w:fill="EFE9FC"/>
          </w:tcPr>
          <w:p>
            <w:pPr>
              <w:spacing w:after="0"/>
              <w:rPr>
                <w:sz w:val="16"/>
                <w:szCs w:val="16"/>
                <w:color w:val="auto"/>
              </w:rPr>
            </w:pPr>
          </w:p>
        </w:tc>
        <w:tc>
          <w:tcPr>
            <w:tcW w:w="900" w:type="dxa"/>
            <w:vAlign w:val="bottom"/>
            <w:shd w:val="clear" w:color="auto" w:fill="EFE9FC"/>
          </w:tcPr>
          <w:p>
            <w:pPr>
              <w:spacing w:after="0"/>
              <w:rPr>
                <w:sz w:val="16"/>
                <w:szCs w:val="16"/>
                <w:color w:val="auto"/>
              </w:rPr>
            </w:pPr>
          </w:p>
        </w:tc>
        <w:tc>
          <w:tcPr>
            <w:tcW w:w="0" w:type="dxa"/>
            <w:vAlign w:val="bottom"/>
          </w:tcPr>
          <w:p>
            <w:pPr>
              <w:spacing w:after="0"/>
              <w:rPr>
                <w:sz w:val="1"/>
                <w:szCs w:val="1"/>
                <w:color w:val="auto"/>
              </w:rPr>
            </w:pPr>
          </w:p>
        </w:tc>
      </w:tr>
      <w:tr>
        <w:trPr>
          <w:trHeight w:val="204"/>
        </w:trPr>
        <w:tc>
          <w:tcPr>
            <w:tcW w:w="5160" w:type="dxa"/>
            <w:vAlign w:val="bottom"/>
            <w:tcBorders>
              <w:bottom w:val="single" w:sz="8" w:color="EFE9FC"/>
            </w:tcBorders>
            <w:shd w:val="clear" w:color="auto" w:fill="EFE9FC"/>
          </w:tcPr>
          <w:p>
            <w:pPr>
              <w:ind w:left="40"/>
              <w:spacing w:after="0"/>
              <w:rPr>
                <w:sz w:val="20"/>
                <w:szCs w:val="20"/>
                <w:color w:val="auto"/>
              </w:rPr>
            </w:pPr>
            <w:r>
              <w:rPr>
                <w:rFonts w:ascii="Arial" w:cs="Arial" w:eastAsia="Arial" w:hAnsi="Arial"/>
                <w:sz w:val="15"/>
                <w:szCs w:val="15"/>
                <w:color w:val="auto"/>
              </w:rPr>
              <w:t>Chicago, IL 60606</w:t>
            </w:r>
          </w:p>
        </w:tc>
        <w:tc>
          <w:tcPr>
            <w:tcW w:w="840" w:type="dxa"/>
            <w:vAlign w:val="bottom"/>
            <w:tcBorders>
              <w:bottom w:val="single" w:sz="8" w:color="EFE9FC"/>
            </w:tcBorders>
            <w:shd w:val="clear" w:color="auto" w:fill="EFE9FC"/>
          </w:tcPr>
          <w:p>
            <w:pPr>
              <w:spacing w:after="0"/>
              <w:rPr>
                <w:sz w:val="17"/>
                <w:szCs w:val="17"/>
                <w:color w:val="auto"/>
              </w:rPr>
            </w:pPr>
          </w:p>
        </w:tc>
        <w:tc>
          <w:tcPr>
            <w:tcW w:w="1320" w:type="dxa"/>
            <w:vAlign w:val="bottom"/>
            <w:tcBorders>
              <w:bottom w:val="single" w:sz="8" w:color="EFE9FC"/>
            </w:tcBorders>
            <w:shd w:val="clear" w:color="auto" w:fill="EFE9FC"/>
          </w:tcPr>
          <w:p>
            <w:pPr>
              <w:spacing w:after="0"/>
              <w:rPr>
                <w:sz w:val="17"/>
                <w:szCs w:val="17"/>
                <w:color w:val="auto"/>
              </w:rPr>
            </w:pPr>
          </w:p>
        </w:tc>
        <w:tc>
          <w:tcPr>
            <w:tcW w:w="960" w:type="dxa"/>
            <w:vAlign w:val="bottom"/>
            <w:tcBorders>
              <w:bottom w:val="single" w:sz="8" w:color="EFE9FC"/>
            </w:tcBorders>
            <w:shd w:val="clear" w:color="auto" w:fill="EFE9FC"/>
          </w:tcPr>
          <w:p>
            <w:pPr>
              <w:spacing w:after="0"/>
              <w:rPr>
                <w:sz w:val="17"/>
                <w:szCs w:val="17"/>
                <w:color w:val="auto"/>
              </w:rPr>
            </w:pPr>
          </w:p>
        </w:tc>
        <w:tc>
          <w:tcPr>
            <w:tcW w:w="900" w:type="dxa"/>
            <w:vAlign w:val="bottom"/>
            <w:tcBorders>
              <w:bottom w:val="single" w:sz="8" w:color="EFE9FC"/>
            </w:tcBorders>
            <w:shd w:val="clear" w:color="auto" w:fill="EFE9FC"/>
          </w:tcPr>
          <w:p>
            <w:pPr>
              <w:spacing w:after="0"/>
              <w:rPr>
                <w:sz w:val="17"/>
                <w:szCs w:val="17"/>
                <w:color w:val="auto"/>
              </w:rPr>
            </w:pPr>
          </w:p>
        </w:tc>
        <w:tc>
          <w:tcPr>
            <w:tcW w:w="0" w:type="dxa"/>
            <w:vAlign w:val="bottom"/>
          </w:tcPr>
          <w:p>
            <w:pPr>
              <w:spacing w:after="0"/>
              <w:rPr>
                <w:sz w:val="1"/>
                <w:szCs w:val="1"/>
                <w:color w:val="auto"/>
              </w:rPr>
            </w:pPr>
          </w:p>
        </w:tc>
      </w:tr>
      <w:tr>
        <w:trPr>
          <w:trHeight w:val="240"/>
        </w:trPr>
        <w:tc>
          <w:tcPr>
            <w:tcW w:w="5160" w:type="dxa"/>
            <w:vAlign w:val="bottom"/>
          </w:tcPr>
          <w:p>
            <w:pPr>
              <w:ind w:left="40"/>
              <w:spacing w:after="0" w:line="240" w:lineRule="exact"/>
              <w:rPr>
                <w:sz w:val="20"/>
                <w:szCs w:val="20"/>
                <w:color w:val="auto"/>
              </w:rPr>
            </w:pPr>
            <w:r>
              <w:rPr>
                <w:rFonts w:ascii="Arial" w:cs="Arial" w:eastAsia="Arial" w:hAnsi="Arial"/>
                <w:sz w:val="15"/>
                <w:szCs w:val="15"/>
                <w:color w:val="auto"/>
              </w:rPr>
              <w:t>PRIMECAP Management Company</w:t>
            </w:r>
            <w:r>
              <w:rPr>
                <w:rFonts w:ascii="Arial" w:cs="Arial" w:eastAsia="Arial" w:hAnsi="Arial"/>
                <w:sz w:val="23"/>
                <w:szCs w:val="23"/>
                <w:color w:val="auto"/>
                <w:vertAlign w:val="superscript"/>
              </w:rPr>
              <w:t>(10)</w:t>
            </w:r>
          </w:p>
        </w:tc>
        <w:tc>
          <w:tcPr>
            <w:tcW w:w="840" w:type="dxa"/>
            <w:vAlign w:val="bottom"/>
          </w:tcPr>
          <w:p>
            <w:pPr>
              <w:jc w:val="right"/>
              <w:spacing w:after="0"/>
              <w:rPr>
                <w:sz w:val="20"/>
                <w:szCs w:val="20"/>
                <w:color w:val="auto"/>
              </w:rPr>
            </w:pPr>
            <w:r>
              <w:rPr>
                <w:rFonts w:ascii="Arial" w:cs="Arial" w:eastAsia="Arial" w:hAnsi="Arial"/>
                <w:sz w:val="15"/>
                <w:szCs w:val="15"/>
                <w:color w:val="auto"/>
              </w:rPr>
              <w:t>2,437,830</w:t>
            </w:r>
          </w:p>
        </w:tc>
        <w:tc>
          <w:tcPr>
            <w:tcW w:w="1320" w:type="dxa"/>
            <w:vAlign w:val="bottom"/>
          </w:tcPr>
          <w:p>
            <w:pPr>
              <w:jc w:val="right"/>
              <w:ind w:right="44"/>
              <w:spacing w:after="0"/>
              <w:rPr>
                <w:sz w:val="20"/>
                <w:szCs w:val="20"/>
                <w:color w:val="auto"/>
              </w:rPr>
            </w:pPr>
            <w:r>
              <w:rPr>
                <w:rFonts w:ascii="Arial" w:cs="Arial" w:eastAsia="Arial" w:hAnsi="Arial"/>
                <w:sz w:val="15"/>
                <w:szCs w:val="15"/>
                <w:color w:val="auto"/>
              </w:rPr>
              <w:t>–</w:t>
            </w:r>
          </w:p>
        </w:tc>
        <w:tc>
          <w:tcPr>
            <w:tcW w:w="960" w:type="dxa"/>
            <w:vAlign w:val="bottom"/>
          </w:tcPr>
          <w:p>
            <w:pPr>
              <w:jc w:val="right"/>
              <w:ind w:right="24"/>
              <w:spacing w:after="0"/>
              <w:rPr>
                <w:sz w:val="20"/>
                <w:szCs w:val="20"/>
                <w:color w:val="auto"/>
              </w:rPr>
            </w:pPr>
            <w:r>
              <w:rPr>
                <w:rFonts w:ascii="Arial" w:cs="Arial" w:eastAsia="Arial" w:hAnsi="Arial"/>
                <w:sz w:val="15"/>
                <w:szCs w:val="15"/>
                <w:color w:val="auto"/>
              </w:rPr>
              <w:t>2,437,830</w:t>
            </w:r>
          </w:p>
        </w:tc>
        <w:tc>
          <w:tcPr>
            <w:tcW w:w="900" w:type="dxa"/>
            <w:vAlign w:val="bottom"/>
          </w:tcPr>
          <w:p>
            <w:pPr>
              <w:jc w:val="right"/>
              <w:spacing w:after="0"/>
              <w:rPr>
                <w:sz w:val="20"/>
                <w:szCs w:val="20"/>
                <w:color w:val="auto"/>
              </w:rPr>
            </w:pPr>
            <w:r>
              <w:rPr>
                <w:rFonts w:ascii="Arial" w:cs="Arial" w:eastAsia="Arial" w:hAnsi="Arial"/>
                <w:sz w:val="15"/>
                <w:szCs w:val="15"/>
                <w:color w:val="auto"/>
              </w:rPr>
              <w:t>5.02%</w:t>
            </w:r>
          </w:p>
        </w:tc>
        <w:tc>
          <w:tcPr>
            <w:tcW w:w="0" w:type="dxa"/>
            <w:vAlign w:val="bottom"/>
          </w:tcPr>
          <w:p>
            <w:pPr>
              <w:spacing w:after="0"/>
              <w:rPr>
                <w:sz w:val="1"/>
                <w:szCs w:val="1"/>
                <w:color w:val="auto"/>
              </w:rPr>
            </w:pPr>
          </w:p>
        </w:tc>
      </w:tr>
      <w:tr>
        <w:trPr>
          <w:trHeight w:val="184"/>
        </w:trPr>
        <w:tc>
          <w:tcPr>
            <w:tcW w:w="5160" w:type="dxa"/>
            <w:vAlign w:val="bottom"/>
          </w:tcPr>
          <w:p>
            <w:pPr>
              <w:ind w:left="40"/>
              <w:spacing w:after="0"/>
              <w:rPr>
                <w:sz w:val="20"/>
                <w:szCs w:val="20"/>
                <w:color w:val="auto"/>
              </w:rPr>
            </w:pPr>
            <w:r>
              <w:rPr>
                <w:rFonts w:ascii="Arial" w:cs="Arial" w:eastAsia="Arial" w:hAnsi="Arial"/>
                <w:sz w:val="15"/>
                <w:szCs w:val="15"/>
                <w:color w:val="auto"/>
              </w:rPr>
              <w:t>177 E. Colorado Blvd., 11th Floor</w:t>
            </w:r>
          </w:p>
        </w:tc>
        <w:tc>
          <w:tcPr>
            <w:tcW w:w="84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5160" w:type="dxa"/>
            <w:vAlign w:val="bottom"/>
          </w:tcPr>
          <w:p>
            <w:pPr>
              <w:ind w:left="40"/>
              <w:spacing w:after="0"/>
              <w:rPr>
                <w:sz w:val="20"/>
                <w:szCs w:val="20"/>
                <w:color w:val="auto"/>
              </w:rPr>
            </w:pPr>
            <w:r>
              <w:rPr>
                <w:rFonts w:ascii="Arial" w:cs="Arial" w:eastAsia="Arial" w:hAnsi="Arial"/>
                <w:sz w:val="15"/>
                <w:szCs w:val="15"/>
                <w:color w:val="auto"/>
              </w:rPr>
              <w:t>Pasadena, CA 91105</w:t>
            </w:r>
          </w:p>
        </w:tc>
        <w:tc>
          <w:tcPr>
            <w:tcW w:w="84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485140</wp:posOffset>
            </wp:positionH>
            <wp:positionV relativeFrom="paragraph">
              <wp:posOffset>13335</wp:posOffset>
            </wp:positionV>
            <wp:extent cx="5829300" cy="8890"/>
            <wp:wrapNone/>
            <wp:docPr id="305" name="Picture 3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5"/>
                    <pic:cNvPicPr>
                      <a:picLocks noChangeAspect="1" noChangeArrowheads="1"/>
                    </pic:cNvPicPr>
                  </pic:nvPicPr>
                  <pic:blipFill>
                    <a:blip r:embed="rId312">
                      <a:extLst>
                        <a:ext uri="{28A0092B-C50C-407E-A947-70E740481C1C}"/>
                      </a:extLst>
                    </a:blip>
                    <a:srcRect/>
                    <a:stretch>
                      <a:fillRect/>
                    </a:stretch>
                  </pic:blipFill>
                  <pic:spPr bwMode="auto">
                    <a:xfrm>
                      <a:off x="0" y="0"/>
                      <a:ext cx="5829300" cy="8890"/>
                    </a:xfrm>
                    <a:prstGeom prst="rect">
                      <a:avLst/>
                    </a:prstGeom>
                    <a:noFill/>
                  </pic:spPr>
                </pic:pic>
              </a:graphicData>
            </a:graphic>
          </wp:anchor>
        </w:drawing>
        <w:drawing>
          <wp:anchor simplePos="0" relativeHeight="251657728" behindDoc="1" locked="0" layoutInCell="0" allowOverlap="1">
            <wp:simplePos x="0" y="0"/>
            <wp:positionH relativeFrom="column">
              <wp:posOffset>485140</wp:posOffset>
            </wp:positionH>
            <wp:positionV relativeFrom="paragraph">
              <wp:posOffset>-2214245</wp:posOffset>
            </wp:positionV>
            <wp:extent cx="3274695" cy="8255"/>
            <wp:wrapNone/>
            <wp:docPr id="306" name="Picture 3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6"/>
                    <pic:cNvPicPr>
                      <a:picLocks noChangeAspect="1" noChangeArrowheads="1"/>
                    </pic:cNvPicPr>
                  </pic:nvPicPr>
                  <pic:blipFill>
                    <a:blip r:embed="rId313">
                      <a:extLst>
                        <a:ext uri="{28A0092B-C50C-407E-A947-70E740481C1C}"/>
                      </a:extLst>
                    </a:blip>
                    <a:srcRect/>
                    <a:stretch>
                      <a:fillRect/>
                    </a:stretch>
                  </pic:blipFill>
                  <pic:spPr bwMode="auto">
                    <a:xfrm>
                      <a:off x="0" y="0"/>
                      <a:ext cx="3274695" cy="8255"/>
                    </a:xfrm>
                    <a:prstGeom prst="rect">
                      <a:avLst/>
                    </a:prstGeom>
                    <a:noFill/>
                  </pic:spPr>
                </pic:pic>
              </a:graphicData>
            </a:graphic>
          </wp:anchor>
        </w:drawing>
      </w:r>
    </w:p>
    <w:p>
      <w:pPr>
        <w:spacing w:after="0" w:line="54" w:lineRule="exact"/>
        <w:rPr>
          <w:sz w:val="20"/>
          <w:szCs w:val="20"/>
          <w:color w:val="auto"/>
        </w:rPr>
      </w:pPr>
    </w:p>
    <w:p>
      <w:pPr>
        <w:ind w:left="1040" w:hanging="276"/>
        <w:spacing w:after="0"/>
        <w:tabs>
          <w:tab w:leader="none" w:pos="1040" w:val="left"/>
        </w:tabs>
        <w:numPr>
          <w:ilvl w:val="0"/>
          <w:numId w:val="86"/>
        </w:numPr>
        <w:rPr>
          <w:rFonts w:ascii="Arial" w:cs="Arial" w:eastAsia="Arial" w:hAnsi="Arial"/>
          <w:sz w:val="13"/>
          <w:szCs w:val="13"/>
          <w:i w:val="1"/>
          <w:iCs w:val="1"/>
          <w:color w:val="auto"/>
        </w:rPr>
      </w:pPr>
      <w:r>
        <w:rPr>
          <w:rFonts w:ascii="Arial" w:cs="Arial" w:eastAsia="Arial" w:hAnsi="Arial"/>
          <w:sz w:val="13"/>
          <w:szCs w:val="13"/>
          <w:i w:val="1"/>
          <w:iCs w:val="1"/>
          <w:color w:val="auto"/>
        </w:rPr>
        <w:t>Less than 1%</w:t>
      </w:r>
    </w:p>
    <w:p>
      <w:pPr>
        <w:spacing w:after="0" w:line="27" w:lineRule="exact"/>
        <w:rPr>
          <w:sz w:val="20"/>
          <w:szCs w:val="20"/>
          <w:color w:val="auto"/>
        </w:rPr>
      </w:pPr>
    </w:p>
    <w:p>
      <w:pPr>
        <w:ind w:left="1040" w:right="780" w:hanging="276"/>
        <w:spacing w:after="0" w:line="280" w:lineRule="auto"/>
        <w:tabs>
          <w:tab w:leader="none" w:pos="1040" w:val="left"/>
        </w:tabs>
        <w:numPr>
          <w:ilvl w:val="0"/>
          <w:numId w:val="87"/>
        </w:numPr>
        <w:rPr>
          <w:rFonts w:ascii="Arial" w:cs="Arial" w:eastAsia="Arial" w:hAnsi="Arial"/>
          <w:sz w:val="13"/>
          <w:szCs w:val="13"/>
          <w:i w:val="1"/>
          <w:iCs w:val="1"/>
          <w:color w:val="auto"/>
        </w:rPr>
      </w:pPr>
      <w:r>
        <w:rPr>
          <w:rFonts w:ascii="Arial" w:cs="Arial" w:eastAsia="Arial" w:hAnsi="Arial"/>
          <w:sz w:val="13"/>
          <w:szCs w:val="13"/>
          <w:i w:val="1"/>
          <w:iCs w:val="1"/>
          <w:color w:val="auto"/>
        </w:rPr>
        <w:t>Beneficial ownership is determined in accordance with the SEC’s rules and regulations and generally includes voting or investment power with respect to securities. LivaNova ordinary shares subject to options and warrants currently exercisable, or exercisable within 60 days after April 20,</w:t>
      </w:r>
    </w:p>
    <w:p>
      <w:pPr>
        <w:spacing w:after="0" w:line="264" w:lineRule="exact"/>
        <w:rPr>
          <w:sz w:val="20"/>
          <w:szCs w:val="20"/>
          <w:color w:val="auto"/>
        </w:rPr>
      </w:pPr>
    </w:p>
    <w:tbl>
      <w:tblPr>
        <w:tblLayout w:type="fixed"/>
        <w:tblInd w:w="0" w:type="dxa"/>
        <w:tblCellMar>
          <w:top w:w="0" w:type="dxa"/>
          <w:left w:w="0" w:type="dxa"/>
          <w:bottom w:w="0" w:type="dxa"/>
          <w:right w:w="0" w:type="dxa"/>
        </w:tblCellMar>
      </w:tblPr>
      <w:tr>
        <w:trPr>
          <w:trHeight w:val="116"/>
        </w:trPr>
        <w:tc>
          <w:tcPr>
            <w:tcW w:w="820" w:type="dxa"/>
            <w:vAlign w:val="bottom"/>
            <w:vMerge w:val="restart"/>
          </w:tcPr>
          <w:p>
            <w:pPr>
              <w:spacing w:after="0"/>
              <w:rPr>
                <w:sz w:val="10"/>
                <w:szCs w:val="10"/>
                <w:color w:val="auto"/>
              </w:rPr>
            </w:pPr>
          </w:p>
        </w:tc>
        <w:tc>
          <w:tcPr>
            <w:tcW w:w="3080" w:type="dxa"/>
            <w:vAlign w:val="bottom"/>
            <w:tcBorders>
              <w:bottom w:val="single" w:sz="8" w:color="auto"/>
            </w:tcBorders>
          </w:tcPr>
          <w:p>
            <w:pPr>
              <w:spacing w:after="0"/>
              <w:rPr>
                <w:sz w:val="10"/>
                <w:szCs w:val="10"/>
                <w:color w:val="auto"/>
              </w:rPr>
            </w:pPr>
          </w:p>
        </w:tc>
        <w:tc>
          <w:tcPr>
            <w:tcW w:w="2800" w:type="dxa"/>
            <w:vAlign w:val="bottom"/>
            <w:vMerge w:val="restart"/>
          </w:tcPr>
          <w:p>
            <w:pPr>
              <w:ind w:left="440"/>
              <w:spacing w:after="0"/>
              <w:rPr>
                <w:sz w:val="20"/>
                <w:szCs w:val="20"/>
                <w:color w:val="auto"/>
              </w:rPr>
            </w:pPr>
            <w:r>
              <w:rPr>
                <w:rFonts w:ascii="Arial" w:cs="Arial" w:eastAsia="Arial" w:hAnsi="Arial"/>
                <w:sz w:val="13"/>
                <w:szCs w:val="13"/>
                <w:b w:val="1"/>
                <w:bCs w:val="1"/>
                <w:color w:val="4800E6"/>
              </w:rPr>
              <w:t xml:space="preserve">LIVANOVA </w:t>
            </w:r>
            <w:r>
              <w:rPr>
                <w:rFonts w:ascii="Arial" w:cs="Arial" w:eastAsia="Arial" w:hAnsi="Arial"/>
                <w:sz w:val="13"/>
                <w:szCs w:val="13"/>
                <w:color w:val="000000"/>
              </w:rPr>
              <w:t>|</w:t>
            </w:r>
            <w:r>
              <w:rPr>
                <w:rFonts w:ascii="Arial" w:cs="Arial" w:eastAsia="Arial" w:hAnsi="Arial"/>
                <w:sz w:val="13"/>
                <w:szCs w:val="13"/>
                <w:b w:val="1"/>
                <w:bCs w:val="1"/>
                <w:color w:val="4800E6"/>
              </w:rPr>
              <w:t xml:space="preserve"> </w:t>
            </w:r>
            <w:r>
              <w:rPr>
                <w:rFonts w:ascii="Arial" w:cs="Arial" w:eastAsia="Arial" w:hAnsi="Arial"/>
                <w:sz w:val="13"/>
                <w:szCs w:val="13"/>
                <w:color w:val="4800E6"/>
              </w:rPr>
              <w:t>2020</w:t>
            </w:r>
            <w:r>
              <w:rPr>
                <w:rFonts w:ascii="Arial" w:cs="Arial" w:eastAsia="Arial" w:hAnsi="Arial"/>
                <w:sz w:val="13"/>
                <w:szCs w:val="13"/>
                <w:b w:val="1"/>
                <w:bCs w:val="1"/>
                <w:color w:val="4800E6"/>
              </w:rPr>
              <w:t xml:space="preserve"> </w:t>
            </w:r>
            <w:r>
              <w:rPr>
                <w:rFonts w:ascii="Arial" w:cs="Arial" w:eastAsia="Arial" w:hAnsi="Arial"/>
                <w:sz w:val="13"/>
                <w:szCs w:val="13"/>
                <w:color w:val="000000"/>
              </w:rPr>
              <w:t>Proxy Statement</w:t>
            </w:r>
          </w:p>
        </w:tc>
        <w:tc>
          <w:tcPr>
            <w:tcW w:w="3080" w:type="dxa"/>
            <w:vAlign w:val="bottom"/>
            <w:tcBorders>
              <w:bottom w:val="single" w:sz="8" w:color="auto"/>
            </w:tcBorders>
          </w:tcPr>
          <w:p>
            <w:pPr>
              <w:spacing w:after="0"/>
              <w:rPr>
                <w:sz w:val="10"/>
                <w:szCs w:val="10"/>
                <w:color w:val="auto"/>
              </w:rPr>
            </w:pPr>
          </w:p>
        </w:tc>
        <w:tc>
          <w:tcPr>
            <w:tcW w:w="940" w:type="dxa"/>
            <w:vAlign w:val="bottom"/>
            <w:vMerge w:val="restart"/>
          </w:tcPr>
          <w:p>
            <w:pPr>
              <w:jc w:val="right"/>
              <w:ind w:right="468"/>
              <w:spacing w:after="0"/>
              <w:rPr>
                <w:sz w:val="20"/>
                <w:szCs w:val="20"/>
                <w:color w:val="auto"/>
              </w:rPr>
            </w:pPr>
            <w:r>
              <w:rPr>
                <w:rFonts w:ascii="Arial" w:cs="Arial" w:eastAsia="Arial" w:hAnsi="Arial"/>
                <w:sz w:val="14"/>
                <w:szCs w:val="14"/>
                <w:b w:val="1"/>
                <w:bCs w:val="1"/>
                <w:color w:val="auto"/>
              </w:rPr>
              <w:t>60</w:t>
            </w:r>
          </w:p>
        </w:tc>
        <w:tc>
          <w:tcPr>
            <w:tcW w:w="0" w:type="dxa"/>
            <w:vAlign w:val="bottom"/>
          </w:tcPr>
          <w:p>
            <w:pPr>
              <w:spacing w:after="0"/>
              <w:rPr>
                <w:sz w:val="1"/>
                <w:szCs w:val="1"/>
                <w:color w:val="auto"/>
              </w:rPr>
            </w:pPr>
          </w:p>
        </w:tc>
      </w:tr>
      <w:tr>
        <w:trPr>
          <w:trHeight w:val="63"/>
        </w:trPr>
        <w:tc>
          <w:tcPr>
            <w:tcW w:w="820" w:type="dxa"/>
            <w:vAlign w:val="bottom"/>
            <w:vMerge w:val="continue"/>
          </w:tcPr>
          <w:p>
            <w:pPr>
              <w:spacing w:after="0"/>
              <w:rPr>
                <w:sz w:val="5"/>
                <w:szCs w:val="5"/>
                <w:color w:val="auto"/>
              </w:rPr>
            </w:pPr>
          </w:p>
        </w:tc>
        <w:tc>
          <w:tcPr>
            <w:tcW w:w="3080" w:type="dxa"/>
            <w:vAlign w:val="bottom"/>
          </w:tcPr>
          <w:p>
            <w:pPr>
              <w:spacing w:after="0"/>
              <w:rPr>
                <w:sz w:val="5"/>
                <w:szCs w:val="5"/>
                <w:color w:val="auto"/>
              </w:rPr>
            </w:pPr>
          </w:p>
        </w:tc>
        <w:tc>
          <w:tcPr>
            <w:tcW w:w="2800" w:type="dxa"/>
            <w:vAlign w:val="bottom"/>
            <w:vMerge w:val="continue"/>
          </w:tcPr>
          <w:p>
            <w:pPr>
              <w:spacing w:after="0"/>
              <w:rPr>
                <w:sz w:val="5"/>
                <w:szCs w:val="5"/>
                <w:color w:val="auto"/>
              </w:rPr>
            </w:pPr>
          </w:p>
        </w:tc>
        <w:tc>
          <w:tcPr>
            <w:tcW w:w="3080" w:type="dxa"/>
            <w:vAlign w:val="bottom"/>
          </w:tcPr>
          <w:p>
            <w:pPr>
              <w:spacing w:after="0"/>
              <w:rPr>
                <w:sz w:val="5"/>
                <w:szCs w:val="5"/>
                <w:color w:val="auto"/>
              </w:rPr>
            </w:pPr>
          </w:p>
        </w:tc>
        <w:tc>
          <w:tcPr>
            <w:tcW w:w="94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40"/>
        </w:trPr>
        <w:tc>
          <w:tcPr>
            <w:tcW w:w="820" w:type="dxa"/>
            <w:vAlign w:val="bottom"/>
            <w:tcBorders>
              <w:bottom w:val="single" w:sz="8" w:color="9A9A9A"/>
            </w:tcBorders>
          </w:tcPr>
          <w:p>
            <w:pPr>
              <w:spacing w:after="0"/>
              <w:rPr>
                <w:sz w:val="12"/>
                <w:szCs w:val="12"/>
                <w:color w:val="auto"/>
              </w:rPr>
            </w:pPr>
          </w:p>
        </w:tc>
        <w:tc>
          <w:tcPr>
            <w:tcW w:w="3080" w:type="dxa"/>
            <w:vAlign w:val="bottom"/>
            <w:tcBorders>
              <w:bottom w:val="single" w:sz="8" w:color="9A9A9A"/>
            </w:tcBorders>
          </w:tcPr>
          <w:p>
            <w:pPr>
              <w:spacing w:after="0"/>
              <w:rPr>
                <w:sz w:val="12"/>
                <w:szCs w:val="12"/>
                <w:color w:val="auto"/>
              </w:rPr>
            </w:pPr>
          </w:p>
        </w:tc>
        <w:tc>
          <w:tcPr>
            <w:tcW w:w="2800" w:type="dxa"/>
            <w:vAlign w:val="bottom"/>
            <w:tcBorders>
              <w:bottom w:val="single" w:sz="8" w:color="9A9A9A"/>
            </w:tcBorders>
          </w:tcPr>
          <w:p>
            <w:pPr>
              <w:spacing w:after="0"/>
              <w:rPr>
                <w:sz w:val="12"/>
                <w:szCs w:val="12"/>
                <w:color w:val="auto"/>
              </w:rPr>
            </w:pPr>
          </w:p>
        </w:tc>
        <w:tc>
          <w:tcPr>
            <w:tcW w:w="3080" w:type="dxa"/>
            <w:vAlign w:val="bottom"/>
            <w:tcBorders>
              <w:bottom w:val="single" w:sz="8" w:color="9A9A9A"/>
            </w:tcBorders>
          </w:tcPr>
          <w:p>
            <w:pPr>
              <w:spacing w:after="0"/>
              <w:rPr>
                <w:sz w:val="12"/>
                <w:szCs w:val="12"/>
                <w:color w:val="auto"/>
              </w:rPr>
            </w:pPr>
          </w:p>
        </w:tc>
        <w:tc>
          <w:tcPr>
            <w:tcW w:w="940" w:type="dxa"/>
            <w:vAlign w:val="bottom"/>
            <w:tcBorders>
              <w:bottom w:val="single" w:sz="8" w:color="9A9A9A"/>
            </w:tcBorders>
          </w:tcPr>
          <w:p>
            <w:pPr>
              <w:spacing w:after="0"/>
              <w:rPr>
                <w:sz w:val="12"/>
                <w:szCs w:val="12"/>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6802755</wp:posOffset>
            </wp:positionH>
            <wp:positionV relativeFrom="paragraph">
              <wp:posOffset>-8255</wp:posOffset>
            </wp:positionV>
            <wp:extent cx="8255" cy="8890"/>
            <wp:wrapNone/>
            <wp:docPr id="307" name="Picture 3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7"/>
                    <pic:cNvPicPr>
                      <a:picLocks noChangeAspect="1" noChangeArrowheads="1"/>
                    </pic:cNvPicPr>
                  </pic:nvPicPr>
                  <pic:blipFill>
                    <a:blip r:embed="rId314">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wp:posOffset>
            </wp:positionV>
            <wp:extent cx="8890" cy="17145"/>
            <wp:wrapNone/>
            <wp:docPr id="308" name="Picture 3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8"/>
                    <pic:cNvPicPr>
                      <a:picLocks noChangeAspect="1" noChangeArrowheads="1"/>
                    </pic:cNvPicPr>
                  </pic:nvPicPr>
                  <pic:blipFill>
                    <a:blip r:embed="rId315">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sectPr>
          <w:pgSz w:w="11900" w:h="16838" w:orient="portrait"/>
          <w:cols w:equalWidth="0" w:num="1">
            <w:col w:w="10720"/>
          </w:cols>
          <w:pgMar w:left="320" w:top="132" w:right="859" w:bottom="1440" w:gutter="0" w:footer="0" w:header="0"/>
        </w:sectPr>
      </w:pPr>
    </w:p>
    <w:bookmarkStart w:id="64" w:name="page65"/>
    <w:bookmarkEnd w:id="64"/>
    <w:p>
      <w:pPr>
        <w:spacing w:after="0"/>
        <w:rPr>
          <w:rFonts w:ascii="Arial" w:cs="Arial" w:eastAsia="Arial" w:hAnsi="Arial"/>
          <w:sz w:val="14"/>
          <w:szCs w:val="14"/>
          <w:color w:val="003366"/>
        </w:rPr>
      </w:pPr>
      <w:hyperlink w:anchor="page5">
        <w:r>
          <w:rPr>
            <w:rFonts w:ascii="Arial" w:cs="Arial" w:eastAsia="Arial" w:hAnsi="Arial"/>
            <w:sz w:val="14"/>
            <w:szCs w:val="14"/>
            <w:color w:val="003366"/>
          </w:rPr>
          <w:t>TABLE OF CONTENTS</w:t>
        </w:r>
      </w:hyperlink>
    </w:p>
    <w:p>
      <w:pPr>
        <w:spacing w:after="0" w:line="338" w:lineRule="exact"/>
        <w:rPr>
          <w:sz w:val="20"/>
          <w:szCs w:val="20"/>
          <w:color w:val="auto"/>
        </w:rPr>
      </w:pPr>
    </w:p>
    <w:p>
      <w:pPr>
        <w:ind w:left="760"/>
        <w:spacing w:after="0"/>
        <w:rPr>
          <w:sz w:val="20"/>
          <w:szCs w:val="20"/>
          <w:color w:val="auto"/>
        </w:rPr>
      </w:pPr>
      <w:r>
        <w:rPr>
          <w:rFonts w:ascii="Arial" w:cs="Arial" w:eastAsia="Arial" w:hAnsi="Arial"/>
          <w:sz w:val="13"/>
          <w:szCs w:val="13"/>
          <w:b w:val="1"/>
          <w:bCs w:val="1"/>
          <w:color w:val="auto"/>
        </w:rPr>
        <w:t xml:space="preserve">Share </w:t>
      </w:r>
      <w:r>
        <w:rPr>
          <w:rFonts w:ascii="Arial" w:cs="Arial" w:eastAsia="Arial" w:hAnsi="Arial"/>
          <w:sz w:val="13"/>
          <w:szCs w:val="13"/>
          <w:b w:val="1"/>
          <w:bCs w:val="1"/>
          <w:color w:val="666666"/>
        </w:rPr>
        <w:t>Ownership Information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485140</wp:posOffset>
            </wp:positionH>
            <wp:positionV relativeFrom="paragraph">
              <wp:posOffset>30480</wp:posOffset>
            </wp:positionV>
            <wp:extent cx="5829300" cy="8255"/>
            <wp:wrapNone/>
            <wp:docPr id="309" name="Picture 3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9"/>
                    <pic:cNvPicPr>
                      <a:picLocks noChangeAspect="1" noChangeArrowheads="1"/>
                    </pic:cNvPicPr>
                  </pic:nvPicPr>
                  <pic:blipFill>
                    <a:blip r:embed="rId316">
                      <a:extLst>
                        <a:ext uri="{28A0092B-C50C-407E-A947-70E740481C1C}"/>
                      </a:extLst>
                    </a:blip>
                    <a:srcRect/>
                    <a:stretch>
                      <a:fillRect/>
                    </a:stretch>
                  </pic:blipFill>
                  <pic:spPr bwMode="auto">
                    <a:xfrm>
                      <a:off x="0" y="0"/>
                      <a:ext cx="5829300" cy="8255"/>
                    </a:xfrm>
                    <a:prstGeom prst="rect">
                      <a:avLst/>
                    </a:prstGeom>
                    <a:noFill/>
                  </pic:spPr>
                </pic:pic>
              </a:graphicData>
            </a:graphic>
          </wp:anchor>
        </w:drawing>
      </w:r>
    </w:p>
    <w:p>
      <w:pPr>
        <w:spacing w:after="0" w:line="60" w:lineRule="exact"/>
        <w:rPr>
          <w:sz w:val="20"/>
          <w:szCs w:val="20"/>
          <w:color w:val="auto"/>
        </w:rPr>
      </w:pPr>
    </w:p>
    <w:p>
      <w:pPr>
        <w:ind w:left="760"/>
        <w:spacing w:after="0"/>
        <w:rPr>
          <w:sz w:val="20"/>
          <w:szCs w:val="20"/>
          <w:color w:val="auto"/>
        </w:rPr>
      </w:pPr>
      <w:r>
        <w:rPr>
          <w:rFonts w:ascii="Arial" w:cs="Arial" w:eastAsia="Arial" w:hAnsi="Arial"/>
          <w:sz w:val="13"/>
          <w:szCs w:val="13"/>
          <w:b w:val="1"/>
          <w:bCs w:val="1"/>
          <w:color w:val="4800E6"/>
        </w:rPr>
        <w:t>Delinquent Section 16(a) Reports</w:t>
      </w: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ind w:left="1040" w:right="279"/>
        <w:spacing w:after="0" w:line="249" w:lineRule="auto"/>
        <w:rPr>
          <w:sz w:val="20"/>
          <w:szCs w:val="20"/>
          <w:color w:val="auto"/>
        </w:rPr>
      </w:pPr>
      <w:r>
        <w:rPr>
          <w:rFonts w:ascii="Arial" w:cs="Arial" w:eastAsia="Arial" w:hAnsi="Arial"/>
          <w:sz w:val="13"/>
          <w:szCs w:val="13"/>
          <w:i w:val="1"/>
          <w:iCs w:val="1"/>
          <w:color w:val="auto"/>
        </w:rPr>
        <w:t>2020, are deemed outstanding for purposes of computing the percentage of shares beneficially owned by the person holding such rights, but are not deemed outstanding for computing the percentage of any other person. Except as indicated by footnote, and subject to community property laws where applicable, the persons named in the table have sole voting and investment power with respect to all ordinary shares shown as beneficially owned by them. The address for each executive officer and director of the Company is 20 Eastbourne Terrace London W2 6LG, United Kingdom.</w:t>
      </w:r>
    </w:p>
    <w:p>
      <w:pPr>
        <w:spacing w:after="0" w:line="1" w:lineRule="exact"/>
        <w:rPr>
          <w:sz w:val="20"/>
          <w:szCs w:val="20"/>
          <w:color w:val="auto"/>
        </w:rPr>
      </w:pPr>
    </w:p>
    <w:p>
      <w:pPr>
        <w:ind w:left="1040" w:hanging="276"/>
        <w:spacing w:after="0"/>
        <w:tabs>
          <w:tab w:leader="none" w:pos="1040" w:val="left"/>
        </w:tabs>
        <w:numPr>
          <w:ilvl w:val="0"/>
          <w:numId w:val="88"/>
        </w:numPr>
        <w:rPr>
          <w:rFonts w:ascii="Arial" w:cs="Arial" w:eastAsia="Arial" w:hAnsi="Arial"/>
          <w:sz w:val="13"/>
          <w:szCs w:val="13"/>
          <w:i w:val="1"/>
          <w:iCs w:val="1"/>
          <w:color w:val="auto"/>
        </w:rPr>
      </w:pPr>
      <w:r>
        <w:rPr>
          <w:rFonts w:ascii="Arial" w:cs="Arial" w:eastAsia="Arial" w:hAnsi="Arial"/>
          <w:sz w:val="13"/>
          <w:szCs w:val="13"/>
          <w:i w:val="1"/>
          <w:iCs w:val="1"/>
          <w:color w:val="auto"/>
        </w:rPr>
        <w:t>Based on total shares outstanding of 48,584,653 as of May 14, 2020.</w:t>
      </w:r>
    </w:p>
    <w:p>
      <w:pPr>
        <w:spacing w:after="0" w:line="26" w:lineRule="exact"/>
        <w:rPr>
          <w:rFonts w:ascii="Arial" w:cs="Arial" w:eastAsia="Arial" w:hAnsi="Arial"/>
          <w:sz w:val="13"/>
          <w:szCs w:val="13"/>
          <w:i w:val="1"/>
          <w:iCs w:val="1"/>
          <w:color w:val="auto"/>
        </w:rPr>
      </w:pPr>
    </w:p>
    <w:p>
      <w:pPr>
        <w:ind w:left="1040" w:right="539" w:hanging="276"/>
        <w:spacing w:after="0" w:line="260" w:lineRule="auto"/>
        <w:tabs>
          <w:tab w:leader="none" w:pos="1040" w:val="left"/>
        </w:tabs>
        <w:numPr>
          <w:ilvl w:val="0"/>
          <w:numId w:val="88"/>
        </w:numPr>
        <w:rPr>
          <w:rFonts w:ascii="Arial" w:cs="Arial" w:eastAsia="Arial" w:hAnsi="Arial"/>
          <w:sz w:val="13"/>
          <w:szCs w:val="13"/>
          <w:i w:val="1"/>
          <w:iCs w:val="1"/>
          <w:color w:val="auto"/>
        </w:rPr>
      </w:pPr>
      <w:r>
        <w:rPr>
          <w:rFonts w:ascii="Arial" w:cs="Arial" w:eastAsia="Arial" w:hAnsi="Arial"/>
          <w:sz w:val="13"/>
          <w:szCs w:val="13"/>
          <w:i w:val="1"/>
          <w:iCs w:val="1"/>
          <w:color w:val="auto"/>
        </w:rPr>
        <w:t>The Total Beneficial Ownership column excludes 2,586 shares owned by the DJM Family Partnership, Ltd., in which Mr. Moore’s spouse, Grace M. Moore, owns a limited partner interest and holds sole investment power. Mr. Moore disclaims beneficial ownership over such shares.</w:t>
      </w:r>
    </w:p>
    <w:p>
      <w:pPr>
        <w:ind w:left="1040" w:hanging="276"/>
        <w:spacing w:after="0"/>
        <w:tabs>
          <w:tab w:leader="none" w:pos="1040" w:val="left"/>
        </w:tabs>
        <w:numPr>
          <w:ilvl w:val="0"/>
          <w:numId w:val="88"/>
        </w:numPr>
        <w:rPr>
          <w:rFonts w:ascii="Arial" w:cs="Arial" w:eastAsia="Arial" w:hAnsi="Arial"/>
          <w:sz w:val="13"/>
          <w:szCs w:val="13"/>
          <w:i w:val="1"/>
          <w:iCs w:val="1"/>
          <w:color w:val="auto"/>
        </w:rPr>
      </w:pPr>
      <w:r>
        <w:rPr>
          <w:rFonts w:ascii="Arial" w:cs="Arial" w:eastAsia="Arial" w:hAnsi="Arial"/>
          <w:sz w:val="13"/>
          <w:szCs w:val="13"/>
          <w:i w:val="1"/>
          <w:iCs w:val="1"/>
          <w:color w:val="auto"/>
        </w:rPr>
        <w:t>1,520 shares owned by Mr. Morrison are pledged as collateral in connection with a margin account.</w:t>
      </w:r>
    </w:p>
    <w:p>
      <w:pPr>
        <w:spacing w:after="0" w:line="26" w:lineRule="exact"/>
        <w:rPr>
          <w:rFonts w:ascii="Arial" w:cs="Arial" w:eastAsia="Arial" w:hAnsi="Arial"/>
          <w:sz w:val="13"/>
          <w:szCs w:val="13"/>
          <w:i w:val="1"/>
          <w:iCs w:val="1"/>
          <w:color w:val="auto"/>
        </w:rPr>
      </w:pPr>
    </w:p>
    <w:p>
      <w:pPr>
        <w:ind w:left="1040" w:hanging="276"/>
        <w:spacing w:after="0"/>
        <w:tabs>
          <w:tab w:leader="none" w:pos="1040" w:val="left"/>
        </w:tabs>
        <w:numPr>
          <w:ilvl w:val="0"/>
          <w:numId w:val="88"/>
        </w:numPr>
        <w:rPr>
          <w:rFonts w:ascii="Arial" w:cs="Arial" w:eastAsia="Arial" w:hAnsi="Arial"/>
          <w:sz w:val="13"/>
          <w:szCs w:val="13"/>
          <w:i w:val="1"/>
          <w:iCs w:val="1"/>
          <w:color w:val="auto"/>
        </w:rPr>
      </w:pPr>
      <w:r>
        <w:rPr>
          <w:rFonts w:ascii="Arial" w:cs="Arial" w:eastAsia="Arial" w:hAnsi="Arial"/>
          <w:sz w:val="13"/>
          <w:szCs w:val="13"/>
          <w:i w:val="1"/>
          <w:iCs w:val="1"/>
          <w:color w:val="auto"/>
        </w:rPr>
        <w:t>5% holders are as of April 28, 2020, as reported on Schedules 13G filed with the SEC.</w:t>
      </w:r>
    </w:p>
    <w:p>
      <w:pPr>
        <w:spacing w:after="0" w:line="26" w:lineRule="exact"/>
        <w:rPr>
          <w:rFonts w:ascii="Arial" w:cs="Arial" w:eastAsia="Arial" w:hAnsi="Arial"/>
          <w:sz w:val="13"/>
          <w:szCs w:val="13"/>
          <w:i w:val="1"/>
          <w:iCs w:val="1"/>
          <w:color w:val="auto"/>
        </w:rPr>
      </w:pPr>
    </w:p>
    <w:p>
      <w:pPr>
        <w:ind w:left="1040" w:right="299" w:hanging="276"/>
        <w:spacing w:after="0" w:line="252" w:lineRule="auto"/>
        <w:tabs>
          <w:tab w:leader="none" w:pos="1040" w:val="left"/>
        </w:tabs>
        <w:numPr>
          <w:ilvl w:val="0"/>
          <w:numId w:val="88"/>
        </w:numPr>
        <w:rPr>
          <w:rFonts w:ascii="Arial" w:cs="Arial" w:eastAsia="Arial" w:hAnsi="Arial"/>
          <w:sz w:val="13"/>
          <w:szCs w:val="13"/>
          <w:i w:val="1"/>
          <w:iCs w:val="1"/>
          <w:color w:val="auto"/>
        </w:rPr>
      </w:pPr>
      <w:r>
        <w:rPr>
          <w:rFonts w:ascii="Arial" w:cs="Arial" w:eastAsia="Arial" w:hAnsi="Arial"/>
          <w:sz w:val="13"/>
          <w:szCs w:val="13"/>
          <w:i w:val="1"/>
          <w:iCs w:val="1"/>
          <w:color w:val="auto"/>
        </w:rPr>
        <w:t>The shares set forth in the table reflect the number of shares beneficially owned as of December 31, 2019, based on a Schedule 13G/A filed on February 4, 2020 by BlackRock, Inc. In such Schedule 13G/A, BlackRock, Inc. reported having sole voting power over 5,859,623 shares, shared voting power over no shares, sole dispositive power over 5,954,330 shares and shared dispositive power over no shares.</w:t>
      </w:r>
    </w:p>
    <w:p>
      <w:pPr>
        <w:spacing w:after="0" w:line="1" w:lineRule="exact"/>
        <w:rPr>
          <w:rFonts w:ascii="Arial" w:cs="Arial" w:eastAsia="Arial" w:hAnsi="Arial"/>
          <w:sz w:val="13"/>
          <w:szCs w:val="13"/>
          <w:i w:val="1"/>
          <w:iCs w:val="1"/>
          <w:color w:val="auto"/>
        </w:rPr>
      </w:pPr>
    </w:p>
    <w:p>
      <w:pPr>
        <w:ind w:left="1040" w:right="299" w:hanging="276"/>
        <w:spacing w:after="0" w:line="249" w:lineRule="auto"/>
        <w:tabs>
          <w:tab w:leader="none" w:pos="1040" w:val="left"/>
        </w:tabs>
        <w:numPr>
          <w:ilvl w:val="0"/>
          <w:numId w:val="88"/>
        </w:numPr>
        <w:rPr>
          <w:rFonts w:ascii="Arial" w:cs="Arial" w:eastAsia="Arial" w:hAnsi="Arial"/>
          <w:sz w:val="13"/>
          <w:szCs w:val="13"/>
          <w:i w:val="1"/>
          <w:iCs w:val="1"/>
          <w:color w:val="auto"/>
        </w:rPr>
      </w:pPr>
      <w:r>
        <w:rPr>
          <w:rFonts w:ascii="Arial" w:cs="Arial" w:eastAsia="Arial" w:hAnsi="Arial"/>
          <w:sz w:val="13"/>
          <w:szCs w:val="13"/>
          <w:i w:val="1"/>
          <w:iCs w:val="1"/>
          <w:color w:val="auto"/>
        </w:rPr>
        <w:t>The shares set forth in the table reflect the number of shares beneficially owned as December 31, 2019, based on a Schedule 13G filed on February 5, 2020 by Franklin Resources, Inc. and its affiliates. In such Schedule 13G, Franklin Resources, Inc. and its affiliates reported having sole voting power over 2,419,644 shares, shared voting power over 38,000 shares, sole dispositive power over 3,310,444 shares and shared dispositive power over 38,000 shares.</w:t>
      </w:r>
    </w:p>
    <w:p>
      <w:pPr>
        <w:ind w:left="1040" w:right="239" w:hanging="276"/>
        <w:spacing w:after="0" w:line="252" w:lineRule="auto"/>
        <w:tabs>
          <w:tab w:leader="none" w:pos="1040" w:val="left"/>
        </w:tabs>
        <w:numPr>
          <w:ilvl w:val="0"/>
          <w:numId w:val="88"/>
        </w:numPr>
        <w:rPr>
          <w:rFonts w:ascii="Arial" w:cs="Arial" w:eastAsia="Arial" w:hAnsi="Arial"/>
          <w:sz w:val="13"/>
          <w:szCs w:val="13"/>
          <w:i w:val="1"/>
          <w:iCs w:val="1"/>
          <w:color w:val="auto"/>
        </w:rPr>
      </w:pPr>
      <w:r>
        <w:rPr>
          <w:rFonts w:ascii="Arial" w:cs="Arial" w:eastAsia="Arial" w:hAnsi="Arial"/>
          <w:sz w:val="13"/>
          <w:szCs w:val="13"/>
          <w:i w:val="1"/>
          <w:iCs w:val="1"/>
          <w:color w:val="auto"/>
        </w:rPr>
        <w:t>The shares set forth in the table reflect the number of shares beneficially owned as December 31, 2019, based on a Schedule 13G filed on February 14, 2020 by T. Rowe Price Associates, Inc. In such Schedule 13G, T. Rowe Price Associates, Inc. reported having sole voting power over 828,934 shares, shared voting power over no shares, sole dispositive power over 2,766,521 shares and shared dispositive power over no shares.</w:t>
      </w:r>
    </w:p>
    <w:p>
      <w:pPr>
        <w:spacing w:after="0" w:line="1" w:lineRule="exact"/>
        <w:rPr>
          <w:rFonts w:ascii="Arial" w:cs="Arial" w:eastAsia="Arial" w:hAnsi="Arial"/>
          <w:sz w:val="13"/>
          <w:szCs w:val="13"/>
          <w:i w:val="1"/>
          <w:iCs w:val="1"/>
          <w:color w:val="auto"/>
        </w:rPr>
      </w:pPr>
    </w:p>
    <w:p>
      <w:pPr>
        <w:ind w:left="1040" w:right="239" w:hanging="276"/>
        <w:spacing w:after="0" w:line="252" w:lineRule="auto"/>
        <w:tabs>
          <w:tab w:leader="none" w:pos="1040" w:val="left"/>
        </w:tabs>
        <w:numPr>
          <w:ilvl w:val="0"/>
          <w:numId w:val="88"/>
        </w:numPr>
        <w:rPr>
          <w:rFonts w:ascii="Arial" w:cs="Arial" w:eastAsia="Arial" w:hAnsi="Arial"/>
          <w:sz w:val="13"/>
          <w:szCs w:val="13"/>
          <w:i w:val="1"/>
          <w:iCs w:val="1"/>
          <w:color w:val="auto"/>
        </w:rPr>
      </w:pPr>
      <w:r>
        <w:rPr>
          <w:rFonts w:ascii="Arial" w:cs="Arial" w:eastAsia="Arial" w:hAnsi="Arial"/>
          <w:sz w:val="13"/>
          <w:szCs w:val="13"/>
          <w:i w:val="1"/>
          <w:iCs w:val="1"/>
          <w:color w:val="auto"/>
        </w:rPr>
        <w:t>The shares set forth in the table reflect the number of shares beneficially owned as December 31, 2019, based on a Schedule 13G filed on February 14, 2020 by Harris Associates L.P. In such Schedule 13G, Harris Associates L.P. reported having sole voting power over 1,845,813 shares, shared voting power over no shares, sole dispositive power over 2,697,007 shares and shared dispositive power over no shares.</w:t>
      </w:r>
    </w:p>
    <w:p>
      <w:pPr>
        <w:spacing w:after="0" w:line="1" w:lineRule="exact"/>
        <w:rPr>
          <w:rFonts w:ascii="Arial" w:cs="Arial" w:eastAsia="Arial" w:hAnsi="Arial"/>
          <w:sz w:val="13"/>
          <w:szCs w:val="13"/>
          <w:i w:val="1"/>
          <w:iCs w:val="1"/>
          <w:color w:val="auto"/>
        </w:rPr>
      </w:pPr>
    </w:p>
    <w:p>
      <w:pPr>
        <w:ind w:left="1040" w:right="239" w:hanging="276"/>
        <w:spacing w:after="0" w:line="259" w:lineRule="auto"/>
        <w:tabs>
          <w:tab w:leader="none" w:pos="1040" w:val="left"/>
        </w:tabs>
        <w:numPr>
          <w:ilvl w:val="0"/>
          <w:numId w:val="88"/>
        </w:numPr>
        <w:rPr>
          <w:rFonts w:ascii="Arial" w:cs="Arial" w:eastAsia="Arial" w:hAnsi="Arial"/>
          <w:sz w:val="13"/>
          <w:szCs w:val="13"/>
          <w:i w:val="1"/>
          <w:iCs w:val="1"/>
          <w:color w:val="auto"/>
        </w:rPr>
      </w:pPr>
      <w:r>
        <w:rPr>
          <w:rFonts w:ascii="Arial" w:cs="Arial" w:eastAsia="Arial" w:hAnsi="Arial"/>
          <w:sz w:val="13"/>
          <w:szCs w:val="13"/>
          <w:i w:val="1"/>
          <w:iCs w:val="1"/>
          <w:color w:val="auto"/>
        </w:rPr>
        <w:t>The shares set forth in the table reflect the number of shares beneficially owned as March 31, 2020, based on a Schedule 13G filed on April 24, 2020 by PRIMECAP Management Company. In such Schedule 13G, PRIMECAP Management Company reported having sole voting power over 2,437,830 shares, shared voting power over no shares, sole dispositive power over 2,437,830 shares and shared dispositive power over no shares.</w:t>
      </w:r>
    </w:p>
    <w:p>
      <w:pPr>
        <w:spacing w:after="0" w:line="366" w:lineRule="exact"/>
        <w:rPr>
          <w:sz w:val="20"/>
          <w:szCs w:val="20"/>
          <w:color w:val="auto"/>
        </w:rPr>
      </w:pPr>
    </w:p>
    <w:p>
      <w:pPr>
        <w:ind w:left="760"/>
        <w:spacing w:after="0"/>
        <w:rPr>
          <w:sz w:val="20"/>
          <w:szCs w:val="20"/>
          <w:color w:val="auto"/>
        </w:rPr>
      </w:pPr>
      <w:r>
        <w:rPr>
          <w:rFonts w:ascii="Arial" w:cs="Arial" w:eastAsia="Arial" w:hAnsi="Arial"/>
          <w:sz w:val="31"/>
          <w:szCs w:val="31"/>
          <w:b w:val="1"/>
          <w:bCs w:val="1"/>
          <w:color w:val="4800E6"/>
        </w:rPr>
        <w:t>Delinquent Section 16(a) Reports</w:t>
      </w:r>
    </w:p>
    <w:p>
      <w:pPr>
        <w:spacing w:after="0" w:line="146" w:lineRule="exact"/>
        <w:rPr>
          <w:sz w:val="20"/>
          <w:szCs w:val="20"/>
          <w:color w:val="auto"/>
        </w:rPr>
      </w:pPr>
    </w:p>
    <w:p>
      <w:pPr>
        <w:ind w:left="760" w:right="219"/>
        <w:spacing w:after="0" w:line="251" w:lineRule="auto"/>
        <w:rPr>
          <w:sz w:val="20"/>
          <w:szCs w:val="20"/>
          <w:color w:val="auto"/>
        </w:rPr>
      </w:pPr>
      <w:r>
        <w:rPr>
          <w:rFonts w:ascii="Arial" w:cs="Arial" w:eastAsia="Arial" w:hAnsi="Arial"/>
          <w:sz w:val="16"/>
          <w:szCs w:val="16"/>
          <w:color w:val="auto"/>
        </w:rPr>
        <w:t>Section 16(a) of the Exchange Act requires our officers and directors, and persons who beneficially own more than 10% of a registered class of our equity securities, to file reports of ownership on Form 3 and changes in ownership on Form 4 or Form 5 with the SEC. Such officers, directors and greater-than-10% shareholders are also required by securities laws to furnish us with copies of all Section 16(a) forms they file.</w:t>
      </w:r>
    </w:p>
    <w:p>
      <w:pPr>
        <w:spacing w:after="0" w:line="81" w:lineRule="exact"/>
        <w:rPr>
          <w:sz w:val="20"/>
          <w:szCs w:val="20"/>
          <w:color w:val="auto"/>
        </w:rPr>
      </w:pPr>
    </w:p>
    <w:p>
      <w:pPr>
        <w:jc w:val="both"/>
        <w:ind w:left="760" w:right="219"/>
        <w:spacing w:after="0" w:line="262" w:lineRule="auto"/>
        <w:rPr>
          <w:sz w:val="20"/>
          <w:szCs w:val="20"/>
          <w:color w:val="auto"/>
        </w:rPr>
      </w:pPr>
      <w:r>
        <w:rPr>
          <w:rFonts w:ascii="Arial" w:cs="Arial" w:eastAsia="Arial" w:hAnsi="Arial"/>
          <w:sz w:val="15"/>
          <w:szCs w:val="15"/>
          <w:color w:val="auto"/>
        </w:rPr>
        <w:t>Based solely on a review of Forms 3, 4, and 5 (including amendments to such forms) furnished to us during and with respect to the year ended December 31, 2019, no director, officer or beneficial owner of more than 10% of our registered shares failed to file on a timely basis reports required by Section 16(a) of the Exchange Act in the year ended December 31, 2019 with the exception of one Form 3 that, as a result of an administrative error, failed to include certain derivative securities owned by Trui Hebbelinck.</w:t>
      </w:r>
    </w:p>
    <w:p>
      <w:pPr>
        <w:spacing w:after="0" w:line="3" w:lineRule="exact"/>
        <w:rPr>
          <w:sz w:val="20"/>
          <w:szCs w:val="20"/>
          <w:color w:val="auto"/>
        </w:rPr>
      </w:pPr>
    </w:p>
    <w:p>
      <w:pPr>
        <w:ind w:left="760" w:right="259"/>
        <w:spacing w:after="0" w:line="253" w:lineRule="auto"/>
        <w:rPr>
          <w:sz w:val="20"/>
          <w:szCs w:val="20"/>
          <w:color w:val="auto"/>
        </w:rPr>
      </w:pPr>
      <w:r>
        <w:rPr>
          <w:rFonts w:ascii="Arial" w:cs="Arial" w:eastAsia="Arial" w:hAnsi="Arial"/>
          <w:sz w:val="16"/>
          <w:szCs w:val="16"/>
          <w:color w:val="auto"/>
        </w:rPr>
        <w:t>Additionally, it was determined that a Form 3 filed to report securities owned by Keyna Skeffington on July 27, 2017 failed to include certain derivative securities as a result of an administrative error. The Form 3 filings of Ms. Hebbelinck and Ms. Skeffington were amended to report such derivative securities.</w:t>
      </w:r>
    </w:p>
    <w:p>
      <w:pPr>
        <w:sectPr>
          <w:pgSz w:w="11900" w:h="16838" w:orient="portrait"/>
          <w:cols w:equalWidth="0" w:num="1">
            <w:col w:w="10139"/>
          </w:cols>
          <w:pgMar w:left="320" w:top="132"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ind w:left="480"/>
        <w:spacing w:after="0"/>
        <w:tabs>
          <w:tab w:leader="none" w:pos="4400" w:val="left"/>
          <w:tab w:leader="none" w:pos="8760" w:val="left"/>
        </w:tabs>
        <w:rPr>
          <w:sz w:val="20"/>
          <w:szCs w:val="20"/>
          <w:color w:val="auto"/>
        </w:rPr>
      </w:pPr>
      <w:r>
        <w:rPr>
          <w:rFonts w:ascii="Arial" w:cs="Arial" w:eastAsia="Arial" w:hAnsi="Arial"/>
          <w:sz w:val="29"/>
          <w:szCs w:val="29"/>
          <w:b w:val="1"/>
          <w:bCs w:val="1"/>
          <w:color w:val="auto"/>
          <w:vertAlign w:val="subscript"/>
        </w:rPr>
        <w:t>61</w:t>
      </w:r>
      <w:r>
        <w:rPr>
          <w:sz w:val="20"/>
          <w:szCs w:val="20"/>
          <w:color w:val="auto"/>
        </w:rPr>
        <w:tab/>
      </w:r>
      <w:r>
        <w:rPr>
          <w:rFonts w:ascii="Arial" w:cs="Arial" w:eastAsia="Arial" w:hAnsi="Arial"/>
          <w:sz w:val="13"/>
          <w:szCs w:val="13"/>
          <w:b w:val="1"/>
          <w:bCs w:val="1"/>
          <w:color w:val="4800E6"/>
        </w:rPr>
        <w:t xml:space="preserve">LIVANOVA </w:t>
      </w:r>
      <w:r>
        <w:rPr>
          <w:rFonts w:ascii="Arial" w:cs="Arial" w:eastAsia="Arial" w:hAnsi="Arial"/>
          <w:sz w:val="13"/>
          <w:szCs w:val="13"/>
          <w:color w:val="000000"/>
        </w:rPr>
        <w:t>|</w:t>
      </w:r>
      <w:r>
        <w:rPr>
          <w:rFonts w:ascii="Arial" w:cs="Arial" w:eastAsia="Arial" w:hAnsi="Arial"/>
          <w:sz w:val="13"/>
          <w:szCs w:val="13"/>
          <w:b w:val="1"/>
          <w:bCs w:val="1"/>
          <w:color w:val="4800E6"/>
        </w:rPr>
        <w:t xml:space="preserve"> </w:t>
      </w:r>
      <w:r>
        <w:rPr>
          <w:rFonts w:ascii="Arial" w:cs="Arial" w:eastAsia="Arial" w:hAnsi="Arial"/>
          <w:sz w:val="13"/>
          <w:szCs w:val="13"/>
          <w:color w:val="4800E6"/>
        </w:rPr>
        <w:t>2020</w:t>
      </w:r>
      <w:r>
        <w:rPr>
          <w:rFonts w:ascii="Arial" w:cs="Arial" w:eastAsia="Arial" w:hAnsi="Arial"/>
          <w:sz w:val="13"/>
          <w:szCs w:val="13"/>
          <w:b w:val="1"/>
          <w:bCs w:val="1"/>
          <w:color w:val="4800E6"/>
        </w:rPr>
        <w:t xml:space="preserve"> </w:t>
      </w:r>
      <w:r>
        <w:rPr>
          <w:rFonts w:ascii="Arial" w:cs="Arial" w:eastAsia="Arial" w:hAnsi="Arial"/>
          <w:sz w:val="13"/>
          <w:szCs w:val="13"/>
          <w:color w:val="000000"/>
        </w:rPr>
        <w:t>Proxy Statement</w:t>
      </w:r>
      <w:r>
        <w:rPr>
          <w:sz w:val="20"/>
          <w:szCs w:val="20"/>
          <w:color w:val="auto"/>
        </w:rPr>
        <w:tab/>
      </w:r>
      <w:r>
        <w:rPr>
          <w:rFonts w:ascii="Arial" w:cs="Arial" w:eastAsia="Arial" w:hAnsi="Arial"/>
          <w:sz w:val="12"/>
          <w:szCs w:val="12"/>
          <w:b w:val="1"/>
          <w:bCs w:val="1"/>
          <w:color w:val="4800E6"/>
        </w:rPr>
        <w:t>www.livanova.com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561975</wp:posOffset>
            </wp:positionH>
            <wp:positionV relativeFrom="paragraph">
              <wp:posOffset>94615</wp:posOffset>
            </wp:positionV>
            <wp:extent cx="1954530" cy="8890"/>
            <wp:wrapNone/>
            <wp:docPr id="310" name="Picture 3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0"/>
                    <pic:cNvPicPr>
                      <a:picLocks noChangeAspect="1" noChangeArrowheads="1"/>
                    </pic:cNvPicPr>
                  </pic:nvPicPr>
                  <pic:blipFill>
                    <a:blip r:embed="rId317">
                      <a:extLst>
                        <a:ext uri="{28A0092B-C50C-407E-A947-70E740481C1C}"/>
                      </a:extLst>
                    </a:blip>
                    <a:srcRect/>
                    <a:stretch>
                      <a:fillRect/>
                    </a:stretch>
                  </pic:blipFill>
                  <pic:spPr bwMode="auto">
                    <a:xfrm>
                      <a:off x="0" y="0"/>
                      <a:ext cx="1954530" cy="8890"/>
                    </a:xfrm>
                    <a:prstGeom prst="rect">
                      <a:avLst/>
                    </a:prstGeom>
                    <a:noFill/>
                  </pic:spPr>
                </pic:pic>
              </a:graphicData>
            </a:graphic>
          </wp:anchor>
        </w:drawing>
        <w:drawing>
          <wp:anchor simplePos="0" relativeHeight="251657728" behindDoc="1" locked="0" layoutInCell="0" allowOverlap="1">
            <wp:simplePos x="0" y="0"/>
            <wp:positionH relativeFrom="column">
              <wp:posOffset>4316730</wp:posOffset>
            </wp:positionH>
            <wp:positionV relativeFrom="paragraph">
              <wp:posOffset>94615</wp:posOffset>
            </wp:positionV>
            <wp:extent cx="1028700" cy="8890"/>
            <wp:wrapNone/>
            <wp:docPr id="311" name="Picture 3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1"/>
                    <pic:cNvPicPr>
                      <a:picLocks noChangeAspect="1" noChangeArrowheads="1"/>
                    </pic:cNvPicPr>
                  </pic:nvPicPr>
                  <pic:blipFill>
                    <a:blip r:embed="rId318">
                      <a:extLst>
                        <a:ext uri="{28A0092B-C50C-407E-A947-70E740481C1C}"/>
                      </a:extLst>
                    </a:blip>
                    <a:srcRect/>
                    <a:stretch>
                      <a:fillRect/>
                    </a:stretch>
                  </pic:blipFill>
                  <pic:spPr bwMode="auto">
                    <a:xfrm>
                      <a:off x="0" y="0"/>
                      <a:ext cx="102870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231775</wp:posOffset>
            </wp:positionV>
            <wp:extent cx="6806565" cy="17145"/>
            <wp:wrapNone/>
            <wp:docPr id="312" name="Picture 3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2"/>
                    <pic:cNvPicPr>
                      <a:picLocks noChangeAspect="1" noChangeArrowheads="1"/>
                    </pic:cNvPicPr>
                  </pic:nvPicPr>
                  <pic:blipFill>
                    <a:blip r:embed="rId319">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10139"/>
          </w:cols>
          <w:pgMar w:left="320" w:top="132" w:right="1440" w:bottom="1440" w:gutter="0" w:footer="0" w:header="0"/>
          <w:type w:val="continuous"/>
        </w:sectPr>
      </w:pPr>
    </w:p>
    <w:bookmarkStart w:id="65" w:name="page66"/>
    <w:bookmarkEnd w:id="65"/>
    <w:p>
      <w:pPr>
        <w:spacing w:after="0"/>
        <w:rPr>
          <w:rFonts w:ascii="Arial" w:cs="Arial" w:eastAsia="Arial" w:hAnsi="Arial"/>
          <w:sz w:val="14"/>
          <w:szCs w:val="14"/>
          <w:color w:val="003366"/>
        </w:rPr>
      </w:pPr>
      <w:hyperlink w:anchor="page5">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ind w:left="760"/>
        <w:spacing w:after="0"/>
        <w:rPr>
          <w:sz w:val="20"/>
          <w:szCs w:val="20"/>
          <w:color w:val="auto"/>
        </w:rPr>
      </w:pPr>
      <w:r>
        <w:rPr>
          <w:rFonts w:ascii="Arial" w:cs="Arial" w:eastAsia="Arial" w:hAnsi="Arial"/>
          <w:sz w:val="47"/>
          <w:szCs w:val="47"/>
          <w:b w:val="1"/>
          <w:bCs w:val="1"/>
          <w:color w:val="4800E6"/>
        </w:rPr>
        <w:t>Other Proposals</w:t>
      </w:r>
    </w:p>
    <w:p>
      <w:pPr>
        <w:spacing w:after="0" w:line="200" w:lineRule="exact"/>
        <w:rPr>
          <w:sz w:val="20"/>
          <w:szCs w:val="20"/>
          <w:color w:val="auto"/>
        </w:rPr>
      </w:pPr>
    </w:p>
    <w:p>
      <w:pPr>
        <w:spacing w:after="0" w:line="218" w:lineRule="exact"/>
        <w:rPr>
          <w:sz w:val="20"/>
          <w:szCs w:val="20"/>
          <w:color w:val="auto"/>
        </w:rPr>
      </w:pPr>
    </w:p>
    <w:p>
      <w:pPr>
        <w:ind w:left="760" w:right="380"/>
        <w:spacing w:after="0" w:line="281" w:lineRule="auto"/>
        <w:rPr>
          <w:sz w:val="20"/>
          <w:szCs w:val="20"/>
          <w:color w:val="auto"/>
        </w:rPr>
      </w:pPr>
      <w:r>
        <w:rPr>
          <w:rFonts w:ascii="Arial" w:cs="Arial" w:eastAsia="Arial" w:hAnsi="Arial"/>
          <w:sz w:val="46"/>
          <w:szCs w:val="46"/>
          <w:b w:val="1"/>
          <w:bCs w:val="1"/>
          <w:color w:val="4800E6"/>
        </w:rPr>
        <w:t xml:space="preserve">Proposal No. 7 </w:t>
      </w:r>
      <w:r>
        <w:rPr>
          <w:rFonts w:ascii="Arial" w:cs="Arial" w:eastAsia="Arial" w:hAnsi="Arial"/>
          <w:sz w:val="46"/>
          <w:szCs w:val="46"/>
          <w:b w:val="1"/>
          <w:bCs w:val="1"/>
          <w:color w:val="666666"/>
        </w:rPr>
        <w:t>Advisory Vote to Approve</w:t>
      </w:r>
      <w:r>
        <w:rPr>
          <w:rFonts w:ascii="Arial" w:cs="Arial" w:eastAsia="Arial" w:hAnsi="Arial"/>
          <w:sz w:val="46"/>
          <w:szCs w:val="46"/>
          <w:b w:val="1"/>
          <w:bCs w:val="1"/>
          <w:color w:val="4800E6"/>
        </w:rPr>
        <w:t xml:space="preserve"> </w:t>
      </w:r>
      <w:r>
        <w:rPr>
          <w:rFonts w:ascii="Arial" w:cs="Arial" w:eastAsia="Arial" w:hAnsi="Arial"/>
          <w:sz w:val="46"/>
          <w:szCs w:val="46"/>
          <w:b w:val="1"/>
          <w:bCs w:val="1"/>
          <w:color w:val="666666"/>
        </w:rPr>
        <w:t>the UK Directors’ Remuneration Report</w:t>
      </w:r>
    </w:p>
    <w:p>
      <w:pPr>
        <w:spacing w:after="0" w:line="1" w:lineRule="exact"/>
        <w:rPr>
          <w:sz w:val="20"/>
          <w:szCs w:val="20"/>
          <w:color w:val="auto"/>
        </w:rPr>
      </w:pPr>
    </w:p>
    <w:p>
      <w:pPr>
        <w:ind w:left="760" w:right="320"/>
        <w:spacing w:after="0" w:line="248" w:lineRule="auto"/>
        <w:rPr>
          <w:sz w:val="20"/>
          <w:szCs w:val="20"/>
          <w:color w:val="auto"/>
        </w:rPr>
      </w:pPr>
      <w:r>
        <w:rPr>
          <w:rFonts w:ascii="Arial" w:cs="Arial" w:eastAsia="Arial" w:hAnsi="Arial"/>
          <w:sz w:val="16"/>
          <w:szCs w:val="16"/>
          <w:color w:val="auto"/>
        </w:rPr>
        <w:t>The Board considers that appropriate remuneration of directors plays a vital part in helping us to achieve our overall objectives, and accordingly, and in compliance with the Companies Act, we are providing shareholders with the opportunity to vote on an advisory resolution approving the directors’ remuneration report included in our UK Annual Report. This proposal is similar to Proposal 2 regarding the compensation of our NEOs. However, the directors’ remuneration report is concerned solely with the remuneration of our executive and non-executive directors and is required under the Companies Act. We encourage shareholders to read the directors’ remuneration report as set forth in the UK Annual Report and the directors’ remuneration policy approved by shareholders in 2019 (which governs the 2019 directors’ remuneration report). The Board and the Compensation Committee believe that the policies and procedures articulated in the directors’ remuneration report are effective in achieving our compensation objectives, and serve to attract and retain high-quality non-executive directors.</w:t>
      </w:r>
    </w:p>
    <w:p>
      <w:pPr>
        <w:spacing w:after="0" w:line="84" w:lineRule="exact"/>
        <w:rPr>
          <w:sz w:val="20"/>
          <w:szCs w:val="20"/>
          <w:color w:val="auto"/>
        </w:rPr>
      </w:pPr>
    </w:p>
    <w:p>
      <w:pPr>
        <w:ind w:left="760" w:right="240"/>
        <w:spacing w:after="0" w:line="253" w:lineRule="auto"/>
        <w:rPr>
          <w:sz w:val="20"/>
          <w:szCs w:val="20"/>
          <w:color w:val="auto"/>
        </w:rPr>
      </w:pPr>
      <w:r>
        <w:rPr>
          <w:rFonts w:ascii="Arial" w:cs="Arial" w:eastAsia="Arial" w:hAnsi="Arial"/>
          <w:sz w:val="16"/>
          <w:szCs w:val="16"/>
          <w:color w:val="auto"/>
        </w:rPr>
        <w:t>The directors’ remuneration report for 2019 is set out on pages 42 to 56 of the UK Annual Report. The names of directors whose remuneration is the object of this proposal are set out on page 48 of the UK Annual Report. All UK incorporated companies that are “quoted companies” under the Companies Act are required to put their directors’ remuneration report to shareholders.</w:t>
      </w:r>
    </w:p>
    <w:p>
      <w:pPr>
        <w:spacing w:after="0" w:line="80" w:lineRule="exact"/>
        <w:rPr>
          <w:sz w:val="20"/>
          <w:szCs w:val="20"/>
          <w:color w:val="auto"/>
        </w:rPr>
      </w:pPr>
    </w:p>
    <w:p>
      <w:pPr>
        <w:ind w:left="760" w:right="320"/>
        <w:spacing w:after="0" w:line="250" w:lineRule="auto"/>
        <w:rPr>
          <w:sz w:val="20"/>
          <w:szCs w:val="20"/>
          <w:color w:val="auto"/>
        </w:rPr>
      </w:pPr>
      <w:r>
        <w:rPr>
          <w:rFonts w:ascii="Arial" w:cs="Arial" w:eastAsia="Arial" w:hAnsi="Arial"/>
          <w:sz w:val="16"/>
          <w:szCs w:val="16"/>
          <w:color w:val="auto"/>
        </w:rPr>
        <w:t>This vote is advisory only, pursuant to the Companies Act, and the directors’ entitlement to receive remuneration is not conditional on it. Payments made or promised to directors will not have to be repaid, reduced or withheld in the event that the resolution is not passed. The resolution and vote are a means of providing shareholder feedback to the Board. The Compensation Committee will review and consider the outcome of the vote in connection with the ongoing review of our executive director and non-executive director compensation programs.</w:t>
      </w:r>
    </w:p>
    <w:p>
      <w:pPr>
        <w:spacing w:after="0" w:line="375" w:lineRule="exact"/>
        <w:rPr>
          <w:sz w:val="20"/>
          <w:szCs w:val="20"/>
          <w:color w:val="auto"/>
        </w:rPr>
      </w:pPr>
    </w:p>
    <w:p>
      <w:pPr>
        <w:ind w:left="760"/>
        <w:spacing w:after="0"/>
        <w:rPr>
          <w:sz w:val="20"/>
          <w:szCs w:val="20"/>
          <w:color w:val="auto"/>
        </w:rPr>
      </w:pPr>
      <w:r>
        <w:rPr>
          <w:rFonts w:ascii="Arial" w:cs="Arial" w:eastAsia="Arial" w:hAnsi="Arial"/>
          <w:sz w:val="31"/>
          <w:szCs w:val="31"/>
          <w:b w:val="1"/>
          <w:bCs w:val="1"/>
          <w:color w:val="4800E6"/>
        </w:rPr>
        <w:t>Vote Required</w:t>
      </w:r>
    </w:p>
    <w:p>
      <w:pPr>
        <w:spacing w:after="0" w:line="132" w:lineRule="exact"/>
        <w:rPr>
          <w:sz w:val="20"/>
          <w:szCs w:val="20"/>
          <w:color w:val="auto"/>
        </w:rPr>
      </w:pPr>
    </w:p>
    <w:p>
      <w:pPr>
        <w:ind w:left="760" w:right="380"/>
        <w:spacing w:after="0" w:line="260" w:lineRule="auto"/>
        <w:rPr>
          <w:sz w:val="20"/>
          <w:szCs w:val="20"/>
          <w:color w:val="auto"/>
        </w:rPr>
      </w:pPr>
      <w:r>
        <w:rPr>
          <w:rFonts w:ascii="Arial" w:cs="Arial" w:eastAsia="Arial" w:hAnsi="Arial"/>
          <w:sz w:val="16"/>
          <w:szCs w:val="16"/>
          <w:color w:val="auto"/>
        </w:rPr>
        <w:t>The advisory vote regarding approval of the UK directors’ remuneration report requires the affirmative vote of a majority of shares present at the AGM, in person or by proxy, and entitled to vote on the proposal.</w:t>
      </w:r>
    </w:p>
    <w:p>
      <w:pPr>
        <w:spacing w:after="0" w:line="368" w:lineRule="exact"/>
        <w:rPr>
          <w:sz w:val="20"/>
          <w:szCs w:val="20"/>
          <w:color w:val="auto"/>
        </w:rPr>
      </w:pPr>
    </w:p>
    <w:p>
      <w:pPr>
        <w:ind w:left="760"/>
        <w:spacing w:after="0"/>
        <w:rPr>
          <w:sz w:val="20"/>
          <w:szCs w:val="20"/>
          <w:color w:val="auto"/>
        </w:rPr>
      </w:pPr>
      <w:r>
        <w:rPr>
          <w:rFonts w:ascii="Arial" w:cs="Arial" w:eastAsia="Arial" w:hAnsi="Arial"/>
          <w:sz w:val="31"/>
          <w:szCs w:val="31"/>
          <w:b w:val="1"/>
          <w:bCs w:val="1"/>
          <w:color w:val="4800E6"/>
        </w:rPr>
        <w:t>Board Recommendation</w:t>
      </w:r>
    </w:p>
    <w:p>
      <w:pPr>
        <w:spacing w:after="0" w:line="99" w:lineRule="exact"/>
        <w:rPr>
          <w:sz w:val="20"/>
          <w:szCs w:val="20"/>
          <w:color w:val="auto"/>
        </w:rPr>
      </w:pPr>
    </w:p>
    <w:p>
      <w:pPr>
        <w:ind w:left="1080"/>
        <w:spacing w:after="0"/>
        <w:rPr>
          <w:sz w:val="20"/>
          <w:szCs w:val="20"/>
          <w:color w:val="auto"/>
        </w:rPr>
      </w:pPr>
      <w:r>
        <w:rPr>
          <w:rFonts w:ascii="Arial" w:cs="Arial" w:eastAsia="Arial" w:hAnsi="Arial"/>
          <w:sz w:val="16"/>
          <w:szCs w:val="16"/>
          <w:color w:val="auto"/>
        </w:rPr>
        <w:t xml:space="preserve">THE BOARD RECOMMENDS A </w:t>
      </w:r>
      <w:r>
        <w:rPr>
          <w:rFonts w:ascii="Arial" w:cs="Arial" w:eastAsia="Arial" w:hAnsi="Arial"/>
          <w:sz w:val="16"/>
          <w:szCs w:val="16"/>
          <w:b w:val="1"/>
          <w:bCs w:val="1"/>
          <w:color w:val="FF4C4C"/>
        </w:rPr>
        <w:t>VOTE FOR</w:t>
      </w:r>
      <w:r>
        <w:rPr>
          <w:rFonts w:ascii="Arial" w:cs="Arial" w:eastAsia="Arial" w:hAnsi="Arial"/>
          <w:sz w:val="16"/>
          <w:szCs w:val="16"/>
          <w:color w:val="auto"/>
        </w:rPr>
        <w:t xml:space="preserve"> THE APPROVAL OF THE 2019 UK DIRECTORS’ REMUNERATION REPORT.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485140</wp:posOffset>
            </wp:positionH>
            <wp:positionV relativeFrom="paragraph">
              <wp:posOffset>-113030</wp:posOffset>
            </wp:positionV>
            <wp:extent cx="137160" cy="137160"/>
            <wp:wrapNone/>
            <wp:docPr id="313" name="Picture 3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3"/>
                    <pic:cNvPicPr>
                      <a:picLocks noChangeAspect="1" noChangeArrowheads="1"/>
                    </pic:cNvPicPr>
                  </pic:nvPicPr>
                  <pic:blipFill>
                    <a:blip r:embed="rId320">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ectPr>
          <w:pgSz w:w="11900" w:h="16838" w:orient="portrait"/>
          <w:cols w:equalWidth="0" w:num="1">
            <w:col w:w="10180"/>
          </w:cols>
          <w:pgMar w:left="320" w:top="132" w:right="139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ind w:left="4340"/>
        <w:spacing w:after="0"/>
        <w:tabs>
          <w:tab w:leader="none" w:pos="10000" w:val="left"/>
        </w:tabs>
        <w:rPr>
          <w:sz w:val="20"/>
          <w:szCs w:val="20"/>
          <w:color w:val="auto"/>
        </w:rPr>
      </w:pPr>
      <w:r>
        <w:rPr>
          <w:rFonts w:ascii="Arial" w:cs="Arial" w:eastAsia="Arial" w:hAnsi="Arial"/>
          <w:sz w:val="13"/>
          <w:szCs w:val="13"/>
          <w:b w:val="1"/>
          <w:bCs w:val="1"/>
          <w:color w:val="4800E6"/>
        </w:rPr>
        <w:t xml:space="preserve">LIVANOVA </w:t>
      </w:r>
      <w:r>
        <w:rPr>
          <w:rFonts w:ascii="Arial" w:cs="Arial" w:eastAsia="Arial" w:hAnsi="Arial"/>
          <w:sz w:val="13"/>
          <w:szCs w:val="13"/>
          <w:color w:val="000000"/>
        </w:rPr>
        <w:t>|</w:t>
      </w:r>
      <w:r>
        <w:rPr>
          <w:rFonts w:ascii="Arial" w:cs="Arial" w:eastAsia="Arial" w:hAnsi="Arial"/>
          <w:sz w:val="13"/>
          <w:szCs w:val="13"/>
          <w:b w:val="1"/>
          <w:bCs w:val="1"/>
          <w:color w:val="4800E6"/>
        </w:rPr>
        <w:t xml:space="preserve"> </w:t>
      </w:r>
      <w:r>
        <w:rPr>
          <w:rFonts w:ascii="Arial" w:cs="Arial" w:eastAsia="Arial" w:hAnsi="Arial"/>
          <w:sz w:val="13"/>
          <w:szCs w:val="13"/>
          <w:color w:val="4800E6"/>
        </w:rPr>
        <w:t>2020</w:t>
      </w:r>
      <w:r>
        <w:rPr>
          <w:rFonts w:ascii="Arial" w:cs="Arial" w:eastAsia="Arial" w:hAnsi="Arial"/>
          <w:sz w:val="13"/>
          <w:szCs w:val="13"/>
          <w:b w:val="1"/>
          <w:bCs w:val="1"/>
          <w:color w:val="4800E6"/>
        </w:rPr>
        <w:t xml:space="preserve"> </w:t>
      </w:r>
      <w:r>
        <w:rPr>
          <w:rFonts w:ascii="Arial" w:cs="Arial" w:eastAsia="Arial" w:hAnsi="Arial"/>
          <w:sz w:val="13"/>
          <w:szCs w:val="13"/>
          <w:color w:val="000000"/>
        </w:rPr>
        <w:t>Proxy Statement</w:t>
      </w:r>
      <w:r>
        <w:rPr>
          <w:sz w:val="20"/>
          <w:szCs w:val="20"/>
          <w:color w:val="auto"/>
        </w:rPr>
        <w:tab/>
      </w:r>
      <w:r>
        <w:rPr>
          <w:rFonts w:ascii="Arial" w:cs="Arial" w:eastAsia="Arial" w:hAnsi="Arial"/>
          <w:sz w:val="21"/>
          <w:szCs w:val="21"/>
          <w:b w:val="1"/>
          <w:bCs w:val="1"/>
          <w:color w:val="auto"/>
          <w:vertAlign w:val="subscript"/>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519430</wp:posOffset>
            </wp:positionH>
            <wp:positionV relativeFrom="paragraph">
              <wp:posOffset>47625</wp:posOffset>
            </wp:positionV>
            <wp:extent cx="1954530" cy="8890"/>
            <wp:wrapNone/>
            <wp:docPr id="314" name="Picture 3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4"/>
                    <pic:cNvPicPr>
                      <a:picLocks noChangeAspect="1" noChangeArrowheads="1"/>
                    </pic:cNvPicPr>
                  </pic:nvPicPr>
                  <pic:blipFill>
                    <a:blip r:embed="rId321">
                      <a:extLst>
                        <a:ext uri="{28A0092B-C50C-407E-A947-70E740481C1C}"/>
                      </a:extLst>
                    </a:blip>
                    <a:srcRect/>
                    <a:stretch>
                      <a:fillRect/>
                    </a:stretch>
                  </pic:blipFill>
                  <pic:spPr bwMode="auto">
                    <a:xfrm>
                      <a:off x="0" y="0"/>
                      <a:ext cx="1954530" cy="8890"/>
                    </a:xfrm>
                    <a:prstGeom prst="rect">
                      <a:avLst/>
                    </a:prstGeom>
                    <a:noFill/>
                  </pic:spPr>
                </pic:pic>
              </a:graphicData>
            </a:graphic>
          </wp:anchor>
        </w:drawing>
        <w:drawing>
          <wp:anchor simplePos="0" relativeHeight="251657728" behindDoc="1" locked="0" layoutInCell="0" allowOverlap="1">
            <wp:simplePos x="0" y="0"/>
            <wp:positionH relativeFrom="column">
              <wp:posOffset>4257040</wp:posOffset>
            </wp:positionH>
            <wp:positionV relativeFrom="paragraph">
              <wp:posOffset>47625</wp:posOffset>
            </wp:positionV>
            <wp:extent cx="1954530" cy="8890"/>
            <wp:wrapNone/>
            <wp:docPr id="315" name="Picture 3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5"/>
                    <pic:cNvPicPr>
                      <a:picLocks noChangeAspect="1" noChangeArrowheads="1"/>
                    </pic:cNvPicPr>
                  </pic:nvPicPr>
                  <pic:blipFill>
                    <a:blip r:embed="rId322">
                      <a:extLst>
                        <a:ext uri="{28A0092B-C50C-407E-A947-70E740481C1C}"/>
                      </a:extLst>
                    </a:blip>
                    <a:srcRect/>
                    <a:stretch>
                      <a:fillRect/>
                    </a:stretch>
                  </pic:blipFill>
                  <pic:spPr bwMode="auto">
                    <a:xfrm>
                      <a:off x="0" y="0"/>
                      <a:ext cx="195453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184785</wp:posOffset>
            </wp:positionV>
            <wp:extent cx="6806565" cy="17145"/>
            <wp:wrapNone/>
            <wp:docPr id="316" name="Picture 3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6"/>
                    <pic:cNvPicPr>
                      <a:picLocks noChangeAspect="1" noChangeArrowheads="1"/>
                    </pic:cNvPicPr>
                  </pic:nvPicPr>
                  <pic:blipFill>
                    <a:blip r:embed="rId323">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10180"/>
          </w:cols>
          <w:pgMar w:left="320" w:top="132" w:right="1399" w:bottom="1440" w:gutter="0" w:footer="0" w:header="0"/>
          <w:type w:val="continuous"/>
        </w:sectPr>
      </w:pPr>
    </w:p>
    <w:bookmarkStart w:id="66" w:name="page67"/>
    <w:bookmarkEnd w:id="66"/>
    <w:p>
      <w:pPr>
        <w:spacing w:after="0"/>
        <w:rPr>
          <w:rFonts w:ascii="Arial" w:cs="Arial" w:eastAsia="Arial" w:hAnsi="Arial"/>
          <w:sz w:val="14"/>
          <w:szCs w:val="14"/>
          <w:color w:val="003366"/>
        </w:rPr>
      </w:pPr>
      <w:hyperlink w:anchor="page5">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ind w:left="760" w:right="339"/>
        <w:spacing w:after="0" w:line="278" w:lineRule="auto"/>
        <w:rPr>
          <w:sz w:val="20"/>
          <w:szCs w:val="20"/>
          <w:color w:val="auto"/>
        </w:rPr>
      </w:pPr>
      <w:r>
        <w:rPr>
          <w:rFonts w:ascii="Arial" w:cs="Arial" w:eastAsia="Arial" w:hAnsi="Arial"/>
          <w:sz w:val="47"/>
          <w:szCs w:val="47"/>
          <w:b w:val="1"/>
          <w:bCs w:val="1"/>
          <w:color w:val="4800E6"/>
        </w:rPr>
        <w:t xml:space="preserve">Proposal No. 8 </w:t>
      </w:r>
      <w:r>
        <w:rPr>
          <w:rFonts w:ascii="Arial" w:cs="Arial" w:eastAsia="Arial" w:hAnsi="Arial"/>
          <w:sz w:val="47"/>
          <w:szCs w:val="47"/>
          <w:b w:val="1"/>
          <w:bCs w:val="1"/>
          <w:color w:val="666666"/>
        </w:rPr>
        <w:t>To Receive and Adopt the</w:t>
      </w:r>
      <w:r>
        <w:rPr>
          <w:rFonts w:ascii="Arial" w:cs="Arial" w:eastAsia="Arial" w:hAnsi="Arial"/>
          <w:sz w:val="47"/>
          <w:szCs w:val="47"/>
          <w:b w:val="1"/>
          <w:bCs w:val="1"/>
          <w:color w:val="4800E6"/>
        </w:rPr>
        <w:t xml:space="preserve"> </w:t>
      </w:r>
      <w:r>
        <w:rPr>
          <w:rFonts w:ascii="Arial" w:cs="Arial" w:eastAsia="Arial" w:hAnsi="Arial"/>
          <w:sz w:val="47"/>
          <w:szCs w:val="47"/>
          <w:b w:val="1"/>
          <w:bCs w:val="1"/>
          <w:color w:val="666666"/>
        </w:rPr>
        <w:t>UK Annual Report and Accounts</w:t>
      </w:r>
    </w:p>
    <w:p>
      <w:pPr>
        <w:spacing w:after="0" w:line="1" w:lineRule="exact"/>
        <w:rPr>
          <w:sz w:val="20"/>
          <w:szCs w:val="20"/>
          <w:color w:val="auto"/>
        </w:rPr>
      </w:pPr>
    </w:p>
    <w:p>
      <w:pPr>
        <w:ind w:left="760" w:right="319"/>
        <w:spacing w:after="0" w:line="250" w:lineRule="auto"/>
        <w:rPr>
          <w:sz w:val="20"/>
          <w:szCs w:val="20"/>
          <w:color w:val="auto"/>
        </w:rPr>
      </w:pPr>
      <w:r>
        <w:rPr>
          <w:rFonts w:ascii="Arial" w:cs="Arial" w:eastAsia="Arial" w:hAnsi="Arial"/>
          <w:sz w:val="16"/>
          <w:szCs w:val="16"/>
          <w:color w:val="auto"/>
        </w:rPr>
        <w:t>The Board is required to present at the Annual Meeting of Shareholders the Company’s audited UK Annual Report for the year ended December 31, 2019. In accordance with its obligations under English law, the Company will provide shareholders at the AGM the opportunity to receive and adopt the UK Annual Report and ask any relevant and appropriate questions of the representative of PricewaterhouseCoopers LLP, a limited liability partnership organized in the UK (“PwC UK”) in attendance at the AGM.</w:t>
      </w:r>
    </w:p>
    <w:p>
      <w:pPr>
        <w:spacing w:after="0" w:line="375" w:lineRule="exact"/>
        <w:rPr>
          <w:sz w:val="20"/>
          <w:szCs w:val="20"/>
          <w:color w:val="auto"/>
        </w:rPr>
      </w:pPr>
    </w:p>
    <w:p>
      <w:pPr>
        <w:ind w:left="760"/>
        <w:spacing w:after="0"/>
        <w:rPr>
          <w:sz w:val="20"/>
          <w:szCs w:val="20"/>
          <w:color w:val="auto"/>
        </w:rPr>
      </w:pPr>
      <w:r>
        <w:rPr>
          <w:rFonts w:ascii="Arial" w:cs="Arial" w:eastAsia="Arial" w:hAnsi="Arial"/>
          <w:sz w:val="31"/>
          <w:szCs w:val="31"/>
          <w:b w:val="1"/>
          <w:bCs w:val="1"/>
          <w:color w:val="4800E6"/>
        </w:rPr>
        <w:t>Vote Required</w:t>
      </w:r>
    </w:p>
    <w:p>
      <w:pPr>
        <w:spacing w:after="0" w:line="146" w:lineRule="exact"/>
        <w:rPr>
          <w:sz w:val="20"/>
          <w:szCs w:val="20"/>
          <w:color w:val="auto"/>
        </w:rPr>
      </w:pPr>
    </w:p>
    <w:p>
      <w:pPr>
        <w:ind w:left="760" w:right="399"/>
        <w:spacing w:after="0" w:line="260" w:lineRule="auto"/>
        <w:rPr>
          <w:sz w:val="20"/>
          <w:szCs w:val="20"/>
          <w:color w:val="auto"/>
        </w:rPr>
      </w:pPr>
      <w:r>
        <w:rPr>
          <w:rFonts w:ascii="Arial" w:cs="Arial" w:eastAsia="Arial" w:hAnsi="Arial"/>
          <w:sz w:val="16"/>
          <w:szCs w:val="16"/>
          <w:color w:val="auto"/>
        </w:rPr>
        <w:t>The vote regarding approval of the UK Annual Report requires the affirmative vote of a majority of shares present at the AGM, in person or by proxy, and entitled to vote on the proposal.</w:t>
      </w:r>
    </w:p>
    <w:p>
      <w:pPr>
        <w:spacing w:after="0" w:line="368" w:lineRule="exact"/>
        <w:rPr>
          <w:sz w:val="20"/>
          <w:szCs w:val="20"/>
          <w:color w:val="auto"/>
        </w:rPr>
      </w:pPr>
    </w:p>
    <w:p>
      <w:pPr>
        <w:ind w:left="760"/>
        <w:spacing w:after="0"/>
        <w:rPr>
          <w:sz w:val="20"/>
          <w:szCs w:val="20"/>
          <w:color w:val="auto"/>
        </w:rPr>
      </w:pPr>
      <w:r>
        <w:rPr>
          <w:rFonts w:ascii="Arial" w:cs="Arial" w:eastAsia="Arial" w:hAnsi="Arial"/>
          <w:sz w:val="31"/>
          <w:szCs w:val="31"/>
          <w:b w:val="1"/>
          <w:bCs w:val="1"/>
          <w:color w:val="4800E6"/>
        </w:rPr>
        <w:t>Board Recommendation</w:t>
      </w:r>
    </w:p>
    <w:p>
      <w:pPr>
        <w:spacing w:after="0" w:line="99" w:lineRule="exact"/>
        <w:rPr>
          <w:sz w:val="20"/>
          <w:szCs w:val="20"/>
          <w:color w:val="auto"/>
        </w:rPr>
      </w:pPr>
    </w:p>
    <w:p>
      <w:pPr>
        <w:ind w:left="1080"/>
        <w:spacing w:after="0"/>
        <w:rPr>
          <w:sz w:val="20"/>
          <w:szCs w:val="20"/>
          <w:color w:val="auto"/>
        </w:rPr>
      </w:pPr>
      <w:r>
        <w:rPr>
          <w:rFonts w:ascii="Arial" w:cs="Arial" w:eastAsia="Arial" w:hAnsi="Arial"/>
          <w:sz w:val="16"/>
          <w:szCs w:val="16"/>
          <w:color w:val="auto"/>
        </w:rPr>
        <w:t xml:space="preserve">THE BOARD RECOMMENDS A </w:t>
      </w:r>
      <w:r>
        <w:rPr>
          <w:rFonts w:ascii="Arial" w:cs="Arial" w:eastAsia="Arial" w:hAnsi="Arial"/>
          <w:sz w:val="16"/>
          <w:szCs w:val="16"/>
          <w:b w:val="1"/>
          <w:bCs w:val="1"/>
          <w:color w:val="FF4C4C"/>
        </w:rPr>
        <w:t>VOTE FOR</w:t>
      </w:r>
      <w:r>
        <w:rPr>
          <w:rFonts w:ascii="Arial" w:cs="Arial" w:eastAsia="Arial" w:hAnsi="Arial"/>
          <w:sz w:val="16"/>
          <w:szCs w:val="16"/>
          <w:color w:val="auto"/>
        </w:rPr>
        <w:t xml:space="preserve"> THE RECEIPT AND ADOPTION OF THE UK ANNUAL REPORT.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485140</wp:posOffset>
            </wp:positionH>
            <wp:positionV relativeFrom="paragraph">
              <wp:posOffset>-113030</wp:posOffset>
            </wp:positionV>
            <wp:extent cx="137160" cy="137160"/>
            <wp:wrapNone/>
            <wp:docPr id="317" name="Picture 3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7"/>
                    <pic:cNvPicPr>
                      <a:picLocks noChangeAspect="1" noChangeArrowheads="1"/>
                    </pic:cNvPicPr>
                  </pic:nvPicPr>
                  <pic:blipFill>
                    <a:blip r:embed="rId324">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ectPr>
          <w:pgSz w:w="11900" w:h="16838" w:orient="portrait"/>
          <w:cols w:equalWidth="0" w:num="1">
            <w:col w:w="10139"/>
          </w:cols>
          <w:pgMar w:left="320" w:top="132"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ind w:left="480"/>
        <w:spacing w:after="0"/>
        <w:tabs>
          <w:tab w:leader="none" w:pos="4400" w:val="left"/>
          <w:tab w:leader="none" w:pos="8760" w:val="left"/>
        </w:tabs>
        <w:rPr>
          <w:sz w:val="20"/>
          <w:szCs w:val="20"/>
          <w:color w:val="auto"/>
        </w:rPr>
      </w:pPr>
      <w:r>
        <w:rPr>
          <w:rFonts w:ascii="Arial" w:cs="Arial" w:eastAsia="Arial" w:hAnsi="Arial"/>
          <w:sz w:val="29"/>
          <w:szCs w:val="29"/>
          <w:b w:val="1"/>
          <w:bCs w:val="1"/>
          <w:color w:val="auto"/>
          <w:vertAlign w:val="subscript"/>
        </w:rPr>
        <w:t>63</w:t>
      </w:r>
      <w:r>
        <w:rPr>
          <w:sz w:val="20"/>
          <w:szCs w:val="20"/>
          <w:color w:val="auto"/>
        </w:rPr>
        <w:tab/>
      </w:r>
      <w:r>
        <w:rPr>
          <w:rFonts w:ascii="Arial" w:cs="Arial" w:eastAsia="Arial" w:hAnsi="Arial"/>
          <w:sz w:val="13"/>
          <w:szCs w:val="13"/>
          <w:b w:val="1"/>
          <w:bCs w:val="1"/>
          <w:color w:val="4800E6"/>
        </w:rPr>
        <w:t xml:space="preserve">LIVANOVA </w:t>
      </w:r>
      <w:r>
        <w:rPr>
          <w:rFonts w:ascii="Arial" w:cs="Arial" w:eastAsia="Arial" w:hAnsi="Arial"/>
          <w:sz w:val="13"/>
          <w:szCs w:val="13"/>
          <w:color w:val="000000"/>
        </w:rPr>
        <w:t>|</w:t>
      </w:r>
      <w:r>
        <w:rPr>
          <w:rFonts w:ascii="Arial" w:cs="Arial" w:eastAsia="Arial" w:hAnsi="Arial"/>
          <w:sz w:val="13"/>
          <w:szCs w:val="13"/>
          <w:b w:val="1"/>
          <w:bCs w:val="1"/>
          <w:color w:val="4800E6"/>
        </w:rPr>
        <w:t xml:space="preserve"> </w:t>
      </w:r>
      <w:r>
        <w:rPr>
          <w:rFonts w:ascii="Arial" w:cs="Arial" w:eastAsia="Arial" w:hAnsi="Arial"/>
          <w:sz w:val="13"/>
          <w:szCs w:val="13"/>
          <w:color w:val="4800E6"/>
        </w:rPr>
        <w:t>2020</w:t>
      </w:r>
      <w:r>
        <w:rPr>
          <w:rFonts w:ascii="Arial" w:cs="Arial" w:eastAsia="Arial" w:hAnsi="Arial"/>
          <w:sz w:val="13"/>
          <w:szCs w:val="13"/>
          <w:b w:val="1"/>
          <w:bCs w:val="1"/>
          <w:color w:val="4800E6"/>
        </w:rPr>
        <w:t xml:space="preserve"> </w:t>
      </w:r>
      <w:r>
        <w:rPr>
          <w:rFonts w:ascii="Arial" w:cs="Arial" w:eastAsia="Arial" w:hAnsi="Arial"/>
          <w:sz w:val="13"/>
          <w:szCs w:val="13"/>
          <w:color w:val="000000"/>
        </w:rPr>
        <w:t>Proxy Statement</w:t>
      </w:r>
      <w:r>
        <w:rPr>
          <w:sz w:val="20"/>
          <w:szCs w:val="20"/>
          <w:color w:val="auto"/>
        </w:rPr>
        <w:tab/>
      </w:r>
      <w:r>
        <w:rPr>
          <w:rFonts w:ascii="Arial" w:cs="Arial" w:eastAsia="Arial" w:hAnsi="Arial"/>
          <w:sz w:val="12"/>
          <w:szCs w:val="12"/>
          <w:b w:val="1"/>
          <w:bCs w:val="1"/>
          <w:color w:val="4800E6"/>
        </w:rPr>
        <w:t>www.livanova.com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561975</wp:posOffset>
            </wp:positionH>
            <wp:positionV relativeFrom="paragraph">
              <wp:posOffset>94615</wp:posOffset>
            </wp:positionV>
            <wp:extent cx="1954530" cy="8890"/>
            <wp:wrapNone/>
            <wp:docPr id="318" name="Picture 3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8"/>
                    <pic:cNvPicPr>
                      <a:picLocks noChangeAspect="1" noChangeArrowheads="1"/>
                    </pic:cNvPicPr>
                  </pic:nvPicPr>
                  <pic:blipFill>
                    <a:blip r:embed="rId325">
                      <a:extLst>
                        <a:ext uri="{28A0092B-C50C-407E-A947-70E740481C1C}"/>
                      </a:extLst>
                    </a:blip>
                    <a:srcRect/>
                    <a:stretch>
                      <a:fillRect/>
                    </a:stretch>
                  </pic:blipFill>
                  <pic:spPr bwMode="auto">
                    <a:xfrm>
                      <a:off x="0" y="0"/>
                      <a:ext cx="1954530" cy="8890"/>
                    </a:xfrm>
                    <a:prstGeom prst="rect">
                      <a:avLst/>
                    </a:prstGeom>
                    <a:noFill/>
                  </pic:spPr>
                </pic:pic>
              </a:graphicData>
            </a:graphic>
          </wp:anchor>
        </w:drawing>
        <w:drawing>
          <wp:anchor simplePos="0" relativeHeight="251657728" behindDoc="1" locked="0" layoutInCell="0" allowOverlap="1">
            <wp:simplePos x="0" y="0"/>
            <wp:positionH relativeFrom="column">
              <wp:posOffset>4316730</wp:posOffset>
            </wp:positionH>
            <wp:positionV relativeFrom="paragraph">
              <wp:posOffset>94615</wp:posOffset>
            </wp:positionV>
            <wp:extent cx="1028700" cy="8890"/>
            <wp:wrapNone/>
            <wp:docPr id="319" name="Picture 3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9"/>
                    <pic:cNvPicPr>
                      <a:picLocks noChangeAspect="1" noChangeArrowheads="1"/>
                    </pic:cNvPicPr>
                  </pic:nvPicPr>
                  <pic:blipFill>
                    <a:blip r:embed="rId326">
                      <a:extLst>
                        <a:ext uri="{28A0092B-C50C-407E-A947-70E740481C1C}"/>
                      </a:extLst>
                    </a:blip>
                    <a:srcRect/>
                    <a:stretch>
                      <a:fillRect/>
                    </a:stretch>
                  </pic:blipFill>
                  <pic:spPr bwMode="auto">
                    <a:xfrm>
                      <a:off x="0" y="0"/>
                      <a:ext cx="102870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231775</wp:posOffset>
            </wp:positionV>
            <wp:extent cx="6806565" cy="17145"/>
            <wp:wrapNone/>
            <wp:docPr id="320" name="Picture 3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0"/>
                    <pic:cNvPicPr>
                      <a:picLocks noChangeAspect="1" noChangeArrowheads="1"/>
                    </pic:cNvPicPr>
                  </pic:nvPicPr>
                  <pic:blipFill>
                    <a:blip r:embed="rId327">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10139"/>
          </w:cols>
          <w:pgMar w:left="320" w:top="132" w:right="1440" w:bottom="1440" w:gutter="0" w:footer="0" w:header="0"/>
          <w:type w:val="continuous"/>
        </w:sectPr>
      </w:pPr>
    </w:p>
    <w:bookmarkStart w:id="67" w:name="page68"/>
    <w:bookmarkEnd w:id="67"/>
    <w:p>
      <w:pPr>
        <w:spacing w:after="0"/>
        <w:rPr>
          <w:rFonts w:ascii="Arial" w:cs="Arial" w:eastAsia="Arial" w:hAnsi="Arial"/>
          <w:sz w:val="14"/>
          <w:szCs w:val="14"/>
          <w:color w:val="003366"/>
        </w:rPr>
      </w:pPr>
      <w:hyperlink w:anchor="page5">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ind w:left="760" w:right="1420"/>
        <w:spacing w:after="0" w:line="272" w:lineRule="auto"/>
        <w:rPr>
          <w:sz w:val="20"/>
          <w:szCs w:val="20"/>
          <w:color w:val="auto"/>
        </w:rPr>
      </w:pPr>
      <w:r>
        <w:rPr>
          <w:rFonts w:ascii="Arial" w:cs="Arial" w:eastAsia="Arial" w:hAnsi="Arial"/>
          <w:sz w:val="46"/>
          <w:szCs w:val="46"/>
          <w:b w:val="1"/>
          <w:bCs w:val="1"/>
          <w:color w:val="4800E6"/>
        </w:rPr>
        <w:t xml:space="preserve">Proposal No. 9 </w:t>
      </w:r>
      <w:r>
        <w:rPr>
          <w:rFonts w:ascii="Arial" w:cs="Arial" w:eastAsia="Arial" w:hAnsi="Arial"/>
          <w:sz w:val="46"/>
          <w:szCs w:val="46"/>
          <w:b w:val="1"/>
          <w:bCs w:val="1"/>
          <w:color w:val="666666"/>
        </w:rPr>
        <w:t>Re-appointment of</w:t>
      </w:r>
      <w:r>
        <w:rPr>
          <w:rFonts w:ascii="Arial" w:cs="Arial" w:eastAsia="Arial" w:hAnsi="Arial"/>
          <w:sz w:val="46"/>
          <w:szCs w:val="46"/>
          <w:b w:val="1"/>
          <w:bCs w:val="1"/>
          <w:color w:val="4800E6"/>
        </w:rPr>
        <w:t xml:space="preserve"> </w:t>
      </w:r>
      <w:r>
        <w:rPr>
          <w:rFonts w:ascii="Arial" w:cs="Arial" w:eastAsia="Arial" w:hAnsi="Arial"/>
          <w:sz w:val="46"/>
          <w:szCs w:val="46"/>
          <w:b w:val="1"/>
          <w:bCs w:val="1"/>
          <w:color w:val="666666"/>
        </w:rPr>
        <w:t>PricewaterhouseCoopers LLP as the Company’s UK Statutory Auditor</w:t>
      </w:r>
    </w:p>
    <w:p>
      <w:pPr>
        <w:spacing w:after="0" w:line="8" w:lineRule="exact"/>
        <w:rPr>
          <w:sz w:val="20"/>
          <w:szCs w:val="20"/>
          <w:color w:val="auto"/>
        </w:rPr>
      </w:pPr>
    </w:p>
    <w:p>
      <w:pPr>
        <w:ind w:left="760" w:right="300"/>
        <w:spacing w:after="0" w:line="249" w:lineRule="auto"/>
        <w:rPr>
          <w:sz w:val="20"/>
          <w:szCs w:val="20"/>
          <w:color w:val="auto"/>
        </w:rPr>
      </w:pPr>
      <w:r>
        <w:rPr>
          <w:rFonts w:ascii="Arial" w:cs="Arial" w:eastAsia="Arial" w:hAnsi="Arial"/>
          <w:sz w:val="16"/>
          <w:szCs w:val="16"/>
          <w:color w:val="auto"/>
        </w:rPr>
        <w:t>Under the Companies Act, the Company is required to appoint the UK statutory auditor at each meeting at which the UK Annual Report and accounts are presented to shareholders, to hold office until the conclusion of the next such meeting. PwC UK has served as the Company’s UK statutory auditor since completion of the merger of Sorin and Cyberonics on October 19, 2015. The Audit and Compliance Committee has recommended to the Board the re-appointment of PwC UK as the Company’s UK statutory auditor and has confirmed to the Board that its recommendation is free from third party influence and that no restrictive contractual provisions have been imposed on the Company limiting the choice of auditor.</w:t>
      </w:r>
    </w:p>
    <w:p>
      <w:pPr>
        <w:spacing w:after="0" w:line="377" w:lineRule="exact"/>
        <w:rPr>
          <w:sz w:val="20"/>
          <w:szCs w:val="20"/>
          <w:color w:val="auto"/>
        </w:rPr>
      </w:pPr>
    </w:p>
    <w:p>
      <w:pPr>
        <w:ind w:left="760"/>
        <w:spacing w:after="0"/>
        <w:rPr>
          <w:sz w:val="20"/>
          <w:szCs w:val="20"/>
          <w:color w:val="auto"/>
        </w:rPr>
      </w:pPr>
      <w:r>
        <w:rPr>
          <w:rFonts w:ascii="Arial" w:cs="Arial" w:eastAsia="Arial" w:hAnsi="Arial"/>
          <w:sz w:val="31"/>
          <w:szCs w:val="31"/>
          <w:b w:val="1"/>
          <w:bCs w:val="1"/>
          <w:color w:val="4800E6"/>
        </w:rPr>
        <w:t>Vote Required</w:t>
      </w:r>
    </w:p>
    <w:p>
      <w:pPr>
        <w:spacing w:after="0" w:line="146" w:lineRule="exact"/>
        <w:rPr>
          <w:sz w:val="20"/>
          <w:szCs w:val="20"/>
          <w:color w:val="auto"/>
        </w:rPr>
      </w:pPr>
    </w:p>
    <w:p>
      <w:pPr>
        <w:ind w:left="760" w:right="280"/>
        <w:spacing w:after="0" w:line="253" w:lineRule="auto"/>
        <w:rPr>
          <w:sz w:val="20"/>
          <w:szCs w:val="20"/>
          <w:color w:val="auto"/>
        </w:rPr>
      </w:pPr>
      <w:r>
        <w:rPr>
          <w:rFonts w:ascii="Arial" w:cs="Arial" w:eastAsia="Arial" w:hAnsi="Arial"/>
          <w:sz w:val="16"/>
          <w:szCs w:val="16"/>
          <w:color w:val="auto"/>
        </w:rPr>
        <w:t>The re-appointment of PwC UK as our UK statutory auditor requires an affirmative vote of a majority of shares present at the AGM, in person or by proxy, and entitled to vote on the proposal. If this ordinary resolution is not approved, the Board may appoint an auditor to fill the vacancy.</w:t>
      </w:r>
    </w:p>
    <w:p>
      <w:pPr>
        <w:spacing w:after="0" w:line="374" w:lineRule="exact"/>
        <w:rPr>
          <w:sz w:val="20"/>
          <w:szCs w:val="20"/>
          <w:color w:val="auto"/>
        </w:rPr>
      </w:pPr>
    </w:p>
    <w:p>
      <w:pPr>
        <w:ind w:left="760"/>
        <w:spacing w:after="0"/>
        <w:rPr>
          <w:sz w:val="20"/>
          <w:szCs w:val="20"/>
          <w:color w:val="auto"/>
        </w:rPr>
      </w:pPr>
      <w:r>
        <w:rPr>
          <w:rFonts w:ascii="Arial" w:cs="Arial" w:eastAsia="Arial" w:hAnsi="Arial"/>
          <w:sz w:val="31"/>
          <w:szCs w:val="31"/>
          <w:b w:val="1"/>
          <w:bCs w:val="1"/>
          <w:color w:val="4800E6"/>
        </w:rPr>
        <w:t>Board Recommendation</w:t>
      </w:r>
    </w:p>
    <w:p>
      <w:pPr>
        <w:spacing w:after="0" w:line="99" w:lineRule="exact"/>
        <w:rPr>
          <w:sz w:val="20"/>
          <w:szCs w:val="20"/>
          <w:color w:val="auto"/>
        </w:rPr>
      </w:pPr>
    </w:p>
    <w:p>
      <w:pPr>
        <w:ind w:left="1080" w:right="260"/>
        <w:spacing w:after="0" w:line="295" w:lineRule="auto"/>
        <w:rPr>
          <w:sz w:val="20"/>
          <w:szCs w:val="20"/>
          <w:color w:val="auto"/>
        </w:rPr>
      </w:pPr>
      <w:r>
        <w:rPr>
          <w:rFonts w:ascii="Arial" w:cs="Arial" w:eastAsia="Arial" w:hAnsi="Arial"/>
          <w:sz w:val="16"/>
          <w:szCs w:val="16"/>
          <w:color w:val="auto"/>
        </w:rPr>
        <w:t xml:space="preserve">THE BOARD AND THE AUDIT AND COMPLIANCE COMMITTEE RECOMMEND A </w:t>
      </w:r>
      <w:r>
        <w:rPr>
          <w:rFonts w:ascii="Arial" w:cs="Arial" w:eastAsia="Arial" w:hAnsi="Arial"/>
          <w:sz w:val="16"/>
          <w:szCs w:val="16"/>
          <w:b w:val="1"/>
          <w:bCs w:val="1"/>
          <w:color w:val="FF4C4C"/>
        </w:rPr>
        <w:t>VOTE FOR</w:t>
      </w:r>
      <w:r>
        <w:rPr>
          <w:rFonts w:ascii="Arial" w:cs="Arial" w:eastAsia="Arial" w:hAnsi="Arial"/>
          <w:sz w:val="16"/>
          <w:szCs w:val="16"/>
          <w:color w:val="auto"/>
        </w:rPr>
        <w:t xml:space="preserve"> THE RE-APPOINTMENT OF PWC UK AS THE COMPANY’S UK STATUTORY AUDITOR UNDER THE COMPANIES ACT TO HOLD OFFICE FROM THE CONCLUSION OF THE MEETING UNTIL THE CONCLUSION OF THE NEXT AGM AT WHICH ACCOUNTS ARE LAID BEFORE THE 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485140</wp:posOffset>
            </wp:positionH>
            <wp:positionV relativeFrom="paragraph">
              <wp:posOffset>-570865</wp:posOffset>
            </wp:positionV>
            <wp:extent cx="137160" cy="137160"/>
            <wp:wrapNone/>
            <wp:docPr id="321" name="Picture 3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1"/>
                    <pic:cNvPicPr>
                      <a:picLocks noChangeAspect="1" noChangeArrowheads="1"/>
                    </pic:cNvPicPr>
                  </pic:nvPicPr>
                  <pic:blipFill>
                    <a:blip r:embed="rId328">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ectPr>
          <w:pgSz w:w="11900" w:h="16838" w:orient="portrait"/>
          <w:cols w:equalWidth="0" w:num="1">
            <w:col w:w="10180"/>
          </w:cols>
          <w:pgMar w:left="320" w:top="132" w:right="139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ind w:left="4340"/>
        <w:spacing w:after="0"/>
        <w:tabs>
          <w:tab w:leader="none" w:pos="10000" w:val="left"/>
        </w:tabs>
        <w:rPr>
          <w:sz w:val="20"/>
          <w:szCs w:val="20"/>
          <w:color w:val="auto"/>
        </w:rPr>
      </w:pPr>
      <w:r>
        <w:rPr>
          <w:rFonts w:ascii="Arial" w:cs="Arial" w:eastAsia="Arial" w:hAnsi="Arial"/>
          <w:sz w:val="13"/>
          <w:szCs w:val="13"/>
          <w:b w:val="1"/>
          <w:bCs w:val="1"/>
          <w:color w:val="4800E6"/>
        </w:rPr>
        <w:t xml:space="preserve">LIVANOVA </w:t>
      </w:r>
      <w:r>
        <w:rPr>
          <w:rFonts w:ascii="Arial" w:cs="Arial" w:eastAsia="Arial" w:hAnsi="Arial"/>
          <w:sz w:val="13"/>
          <w:szCs w:val="13"/>
          <w:color w:val="000000"/>
        </w:rPr>
        <w:t>|</w:t>
      </w:r>
      <w:r>
        <w:rPr>
          <w:rFonts w:ascii="Arial" w:cs="Arial" w:eastAsia="Arial" w:hAnsi="Arial"/>
          <w:sz w:val="13"/>
          <w:szCs w:val="13"/>
          <w:b w:val="1"/>
          <w:bCs w:val="1"/>
          <w:color w:val="4800E6"/>
        </w:rPr>
        <w:t xml:space="preserve"> </w:t>
      </w:r>
      <w:r>
        <w:rPr>
          <w:rFonts w:ascii="Arial" w:cs="Arial" w:eastAsia="Arial" w:hAnsi="Arial"/>
          <w:sz w:val="13"/>
          <w:szCs w:val="13"/>
          <w:color w:val="4800E6"/>
        </w:rPr>
        <w:t>2020</w:t>
      </w:r>
      <w:r>
        <w:rPr>
          <w:rFonts w:ascii="Arial" w:cs="Arial" w:eastAsia="Arial" w:hAnsi="Arial"/>
          <w:sz w:val="13"/>
          <w:szCs w:val="13"/>
          <w:b w:val="1"/>
          <w:bCs w:val="1"/>
          <w:color w:val="4800E6"/>
        </w:rPr>
        <w:t xml:space="preserve"> </w:t>
      </w:r>
      <w:r>
        <w:rPr>
          <w:rFonts w:ascii="Arial" w:cs="Arial" w:eastAsia="Arial" w:hAnsi="Arial"/>
          <w:sz w:val="13"/>
          <w:szCs w:val="13"/>
          <w:color w:val="000000"/>
        </w:rPr>
        <w:t>Proxy Statement</w:t>
      </w:r>
      <w:r>
        <w:rPr>
          <w:sz w:val="20"/>
          <w:szCs w:val="20"/>
          <w:color w:val="auto"/>
        </w:rPr>
        <w:tab/>
      </w:r>
      <w:r>
        <w:rPr>
          <w:rFonts w:ascii="Arial" w:cs="Arial" w:eastAsia="Arial" w:hAnsi="Arial"/>
          <w:sz w:val="21"/>
          <w:szCs w:val="21"/>
          <w:b w:val="1"/>
          <w:bCs w:val="1"/>
          <w:color w:val="auto"/>
          <w:vertAlign w:val="subscript"/>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519430</wp:posOffset>
            </wp:positionH>
            <wp:positionV relativeFrom="paragraph">
              <wp:posOffset>47625</wp:posOffset>
            </wp:positionV>
            <wp:extent cx="1954530" cy="8255"/>
            <wp:wrapNone/>
            <wp:docPr id="322" name="Picture 3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2"/>
                    <pic:cNvPicPr>
                      <a:picLocks noChangeAspect="1" noChangeArrowheads="1"/>
                    </pic:cNvPicPr>
                  </pic:nvPicPr>
                  <pic:blipFill>
                    <a:blip r:embed="rId329">
                      <a:extLst>
                        <a:ext uri="{28A0092B-C50C-407E-A947-70E740481C1C}"/>
                      </a:extLst>
                    </a:blip>
                    <a:srcRect/>
                    <a:stretch>
                      <a:fillRect/>
                    </a:stretch>
                  </pic:blipFill>
                  <pic:spPr bwMode="auto">
                    <a:xfrm>
                      <a:off x="0" y="0"/>
                      <a:ext cx="1954530" cy="8255"/>
                    </a:xfrm>
                    <a:prstGeom prst="rect">
                      <a:avLst/>
                    </a:prstGeom>
                    <a:noFill/>
                  </pic:spPr>
                </pic:pic>
              </a:graphicData>
            </a:graphic>
          </wp:anchor>
        </w:drawing>
        <w:drawing>
          <wp:anchor simplePos="0" relativeHeight="251657728" behindDoc="1" locked="0" layoutInCell="0" allowOverlap="1">
            <wp:simplePos x="0" y="0"/>
            <wp:positionH relativeFrom="column">
              <wp:posOffset>4257040</wp:posOffset>
            </wp:positionH>
            <wp:positionV relativeFrom="paragraph">
              <wp:posOffset>47625</wp:posOffset>
            </wp:positionV>
            <wp:extent cx="1954530" cy="8255"/>
            <wp:wrapNone/>
            <wp:docPr id="323" name="Picture 3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3"/>
                    <pic:cNvPicPr>
                      <a:picLocks noChangeAspect="1" noChangeArrowheads="1"/>
                    </pic:cNvPicPr>
                  </pic:nvPicPr>
                  <pic:blipFill>
                    <a:blip r:embed="rId330">
                      <a:extLst>
                        <a:ext uri="{28A0092B-C50C-407E-A947-70E740481C1C}"/>
                      </a:extLst>
                    </a:blip>
                    <a:srcRect/>
                    <a:stretch>
                      <a:fillRect/>
                    </a:stretch>
                  </pic:blipFill>
                  <pic:spPr bwMode="auto">
                    <a:xfrm>
                      <a:off x="0" y="0"/>
                      <a:ext cx="195453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184785</wp:posOffset>
            </wp:positionV>
            <wp:extent cx="6806565" cy="17145"/>
            <wp:wrapNone/>
            <wp:docPr id="324" name="Picture 3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4"/>
                    <pic:cNvPicPr>
                      <a:picLocks noChangeAspect="1" noChangeArrowheads="1"/>
                    </pic:cNvPicPr>
                  </pic:nvPicPr>
                  <pic:blipFill>
                    <a:blip r:embed="rId331">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10180"/>
          </w:cols>
          <w:pgMar w:left="320" w:top="132" w:right="1399" w:bottom="1440" w:gutter="0" w:footer="0" w:header="0"/>
          <w:type w:val="continuous"/>
        </w:sectPr>
      </w:pPr>
    </w:p>
    <w:bookmarkStart w:id="68" w:name="page69"/>
    <w:bookmarkEnd w:id="68"/>
    <w:p>
      <w:pPr>
        <w:spacing w:after="0"/>
        <w:rPr>
          <w:rFonts w:ascii="Arial" w:cs="Arial" w:eastAsia="Arial" w:hAnsi="Arial"/>
          <w:sz w:val="14"/>
          <w:szCs w:val="14"/>
          <w:color w:val="003366"/>
        </w:rPr>
      </w:pPr>
      <w:hyperlink w:anchor="page5">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ind w:left="760" w:right="519"/>
        <w:spacing w:after="0" w:line="254" w:lineRule="auto"/>
        <w:rPr>
          <w:sz w:val="20"/>
          <w:szCs w:val="20"/>
          <w:color w:val="auto"/>
        </w:rPr>
      </w:pPr>
      <w:r>
        <w:rPr>
          <w:rFonts w:ascii="Arial" w:cs="Arial" w:eastAsia="Arial" w:hAnsi="Arial"/>
          <w:sz w:val="47"/>
          <w:szCs w:val="47"/>
          <w:b w:val="1"/>
          <w:bCs w:val="1"/>
          <w:color w:val="4800E6"/>
        </w:rPr>
        <w:t xml:space="preserve">Proposal No. 10 </w:t>
      </w:r>
      <w:r>
        <w:rPr>
          <w:rFonts w:ascii="Arial" w:cs="Arial" w:eastAsia="Arial" w:hAnsi="Arial"/>
          <w:sz w:val="47"/>
          <w:szCs w:val="47"/>
          <w:b w:val="1"/>
          <w:bCs w:val="1"/>
          <w:color w:val="666666"/>
        </w:rPr>
        <w:t>Authorization of the</w:t>
      </w:r>
      <w:r>
        <w:rPr>
          <w:rFonts w:ascii="Arial" w:cs="Arial" w:eastAsia="Arial" w:hAnsi="Arial"/>
          <w:sz w:val="47"/>
          <w:szCs w:val="47"/>
          <w:b w:val="1"/>
          <w:bCs w:val="1"/>
          <w:color w:val="4800E6"/>
        </w:rPr>
        <w:t xml:space="preserve"> </w:t>
      </w:r>
      <w:r>
        <w:rPr>
          <w:rFonts w:ascii="Arial" w:cs="Arial" w:eastAsia="Arial" w:hAnsi="Arial"/>
          <w:sz w:val="47"/>
          <w:szCs w:val="47"/>
          <w:b w:val="1"/>
          <w:bCs w:val="1"/>
          <w:color w:val="666666"/>
        </w:rPr>
        <w:t>Directors and/or the Audit and Compliance Committee to Determine the Remuneration of PwC UK in its Capacity as UK Statutory Auditor</w:t>
      </w:r>
    </w:p>
    <w:p>
      <w:pPr>
        <w:spacing w:after="0" w:line="54" w:lineRule="exact"/>
        <w:rPr>
          <w:sz w:val="20"/>
          <w:szCs w:val="20"/>
          <w:color w:val="auto"/>
        </w:rPr>
      </w:pPr>
    </w:p>
    <w:p>
      <w:pPr>
        <w:ind w:left="760" w:right="259"/>
        <w:spacing w:after="0" w:line="251" w:lineRule="auto"/>
        <w:rPr>
          <w:sz w:val="20"/>
          <w:szCs w:val="20"/>
          <w:color w:val="auto"/>
        </w:rPr>
      </w:pPr>
      <w:r>
        <w:rPr>
          <w:rFonts w:ascii="Arial" w:cs="Arial" w:eastAsia="Arial" w:hAnsi="Arial"/>
          <w:sz w:val="16"/>
          <w:szCs w:val="16"/>
          <w:color w:val="auto"/>
        </w:rPr>
        <w:t>Under the Companies Act, the remuneration of our UK statutory auditor must be fixed in a general meeting or in such manner as may be determined in a general meeting. We are asking our shareholders to authorize the Board and/or the Audit and Compliance Committee of the Company to determine the remuneration of PwC UK in its capacity as the Company’s UK statutory auditor under the Companies Act.</w:t>
      </w:r>
    </w:p>
    <w:p>
      <w:pPr>
        <w:spacing w:after="0" w:line="375" w:lineRule="exact"/>
        <w:rPr>
          <w:sz w:val="20"/>
          <w:szCs w:val="20"/>
          <w:color w:val="auto"/>
        </w:rPr>
      </w:pPr>
    </w:p>
    <w:p>
      <w:pPr>
        <w:ind w:left="760"/>
        <w:spacing w:after="0"/>
        <w:rPr>
          <w:sz w:val="20"/>
          <w:szCs w:val="20"/>
          <w:color w:val="auto"/>
        </w:rPr>
      </w:pPr>
      <w:r>
        <w:rPr>
          <w:rFonts w:ascii="Arial" w:cs="Arial" w:eastAsia="Arial" w:hAnsi="Arial"/>
          <w:sz w:val="31"/>
          <w:szCs w:val="31"/>
          <w:b w:val="1"/>
          <w:bCs w:val="1"/>
          <w:color w:val="4800E6"/>
        </w:rPr>
        <w:t>Vote Required</w:t>
      </w:r>
    </w:p>
    <w:p>
      <w:pPr>
        <w:spacing w:after="0" w:line="146" w:lineRule="exact"/>
        <w:rPr>
          <w:sz w:val="20"/>
          <w:szCs w:val="20"/>
          <w:color w:val="auto"/>
        </w:rPr>
      </w:pPr>
    </w:p>
    <w:p>
      <w:pPr>
        <w:ind w:left="760" w:right="539"/>
        <w:spacing w:after="0" w:line="260" w:lineRule="auto"/>
        <w:rPr>
          <w:sz w:val="20"/>
          <w:szCs w:val="20"/>
          <w:color w:val="auto"/>
        </w:rPr>
      </w:pPr>
      <w:r>
        <w:rPr>
          <w:rFonts w:ascii="Arial" w:cs="Arial" w:eastAsia="Arial" w:hAnsi="Arial"/>
          <w:sz w:val="16"/>
          <w:szCs w:val="16"/>
          <w:color w:val="auto"/>
        </w:rPr>
        <w:t>This authorization requires an affirmative vote of a majority of shares present at the annual meeting, in person or by proxy, and entitled to vote on the proposal.</w:t>
      </w:r>
    </w:p>
    <w:p>
      <w:pPr>
        <w:spacing w:after="0" w:line="368" w:lineRule="exact"/>
        <w:rPr>
          <w:sz w:val="20"/>
          <w:szCs w:val="20"/>
          <w:color w:val="auto"/>
        </w:rPr>
      </w:pPr>
    </w:p>
    <w:p>
      <w:pPr>
        <w:ind w:left="760"/>
        <w:spacing w:after="0"/>
        <w:rPr>
          <w:sz w:val="20"/>
          <w:szCs w:val="20"/>
          <w:color w:val="auto"/>
        </w:rPr>
      </w:pPr>
      <w:r>
        <w:rPr>
          <w:rFonts w:ascii="Arial" w:cs="Arial" w:eastAsia="Arial" w:hAnsi="Arial"/>
          <w:sz w:val="31"/>
          <w:szCs w:val="31"/>
          <w:b w:val="1"/>
          <w:bCs w:val="1"/>
          <w:color w:val="4800E6"/>
        </w:rPr>
        <w:t>Board Recommendation</w:t>
      </w:r>
    </w:p>
    <w:p>
      <w:pPr>
        <w:spacing w:after="0" w:line="99" w:lineRule="exact"/>
        <w:rPr>
          <w:sz w:val="20"/>
          <w:szCs w:val="20"/>
          <w:color w:val="auto"/>
        </w:rPr>
      </w:pPr>
    </w:p>
    <w:p>
      <w:pPr>
        <w:ind w:left="1080" w:right="899"/>
        <w:spacing w:after="0" w:line="359" w:lineRule="auto"/>
        <w:rPr>
          <w:sz w:val="20"/>
          <w:szCs w:val="20"/>
          <w:color w:val="auto"/>
        </w:rPr>
      </w:pPr>
      <w:r>
        <w:rPr>
          <w:rFonts w:ascii="Arial" w:cs="Arial" w:eastAsia="Arial" w:hAnsi="Arial"/>
          <w:sz w:val="15"/>
          <w:szCs w:val="15"/>
          <w:color w:val="auto"/>
        </w:rPr>
        <w:t xml:space="preserve">THE BOARD RECOMMENDS A </w:t>
      </w:r>
      <w:r>
        <w:rPr>
          <w:rFonts w:ascii="Arial" w:cs="Arial" w:eastAsia="Arial" w:hAnsi="Arial"/>
          <w:sz w:val="15"/>
          <w:szCs w:val="15"/>
          <w:b w:val="1"/>
          <w:bCs w:val="1"/>
          <w:color w:val="FF4C4C"/>
        </w:rPr>
        <w:t>VOTE FOR</w:t>
      </w:r>
      <w:r>
        <w:rPr>
          <w:rFonts w:ascii="Arial" w:cs="Arial" w:eastAsia="Arial" w:hAnsi="Arial"/>
          <w:sz w:val="15"/>
          <w:szCs w:val="15"/>
          <w:color w:val="auto"/>
        </w:rPr>
        <w:t xml:space="preserve"> THE AUTHORIZATION OF THE BOARD AND/OR THE AUDIT AND COMPLIANCE COMMITTEE TO DETERMINE THE COMPANY’S UK STATUTORY AUDITOR’S REMUNERATION.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485140</wp:posOffset>
            </wp:positionH>
            <wp:positionV relativeFrom="paragraph">
              <wp:posOffset>-323850</wp:posOffset>
            </wp:positionV>
            <wp:extent cx="137160" cy="137160"/>
            <wp:wrapNone/>
            <wp:docPr id="325" name="Picture 3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5"/>
                    <pic:cNvPicPr>
                      <a:picLocks noChangeAspect="1" noChangeArrowheads="1"/>
                    </pic:cNvPicPr>
                  </pic:nvPicPr>
                  <pic:blipFill>
                    <a:blip r:embed="rId332">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ectPr>
          <w:pgSz w:w="11900" w:h="16838" w:orient="portrait"/>
          <w:cols w:equalWidth="0" w:num="1">
            <w:col w:w="10139"/>
          </w:cols>
          <w:pgMar w:left="320" w:top="132"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ind w:left="480"/>
        <w:spacing w:after="0"/>
        <w:tabs>
          <w:tab w:leader="none" w:pos="4400" w:val="left"/>
          <w:tab w:leader="none" w:pos="8760" w:val="left"/>
        </w:tabs>
        <w:rPr>
          <w:sz w:val="20"/>
          <w:szCs w:val="20"/>
          <w:color w:val="auto"/>
        </w:rPr>
      </w:pPr>
      <w:r>
        <w:rPr>
          <w:rFonts w:ascii="Arial" w:cs="Arial" w:eastAsia="Arial" w:hAnsi="Arial"/>
          <w:sz w:val="29"/>
          <w:szCs w:val="29"/>
          <w:b w:val="1"/>
          <w:bCs w:val="1"/>
          <w:color w:val="auto"/>
          <w:vertAlign w:val="subscript"/>
        </w:rPr>
        <w:t>65</w:t>
      </w:r>
      <w:r>
        <w:rPr>
          <w:sz w:val="20"/>
          <w:szCs w:val="20"/>
          <w:color w:val="auto"/>
        </w:rPr>
        <w:tab/>
      </w:r>
      <w:r>
        <w:rPr>
          <w:rFonts w:ascii="Arial" w:cs="Arial" w:eastAsia="Arial" w:hAnsi="Arial"/>
          <w:sz w:val="13"/>
          <w:szCs w:val="13"/>
          <w:b w:val="1"/>
          <w:bCs w:val="1"/>
          <w:color w:val="4800E6"/>
        </w:rPr>
        <w:t xml:space="preserve">LIVANOVA </w:t>
      </w:r>
      <w:r>
        <w:rPr>
          <w:rFonts w:ascii="Arial" w:cs="Arial" w:eastAsia="Arial" w:hAnsi="Arial"/>
          <w:sz w:val="13"/>
          <w:szCs w:val="13"/>
          <w:color w:val="000000"/>
        </w:rPr>
        <w:t>|</w:t>
      </w:r>
      <w:r>
        <w:rPr>
          <w:rFonts w:ascii="Arial" w:cs="Arial" w:eastAsia="Arial" w:hAnsi="Arial"/>
          <w:sz w:val="13"/>
          <w:szCs w:val="13"/>
          <w:b w:val="1"/>
          <w:bCs w:val="1"/>
          <w:color w:val="4800E6"/>
        </w:rPr>
        <w:t xml:space="preserve"> </w:t>
      </w:r>
      <w:r>
        <w:rPr>
          <w:rFonts w:ascii="Arial" w:cs="Arial" w:eastAsia="Arial" w:hAnsi="Arial"/>
          <w:sz w:val="13"/>
          <w:szCs w:val="13"/>
          <w:color w:val="4800E6"/>
        </w:rPr>
        <w:t>2020</w:t>
      </w:r>
      <w:r>
        <w:rPr>
          <w:rFonts w:ascii="Arial" w:cs="Arial" w:eastAsia="Arial" w:hAnsi="Arial"/>
          <w:sz w:val="13"/>
          <w:szCs w:val="13"/>
          <w:b w:val="1"/>
          <w:bCs w:val="1"/>
          <w:color w:val="4800E6"/>
        </w:rPr>
        <w:t xml:space="preserve"> </w:t>
      </w:r>
      <w:r>
        <w:rPr>
          <w:rFonts w:ascii="Arial" w:cs="Arial" w:eastAsia="Arial" w:hAnsi="Arial"/>
          <w:sz w:val="13"/>
          <w:szCs w:val="13"/>
          <w:color w:val="000000"/>
        </w:rPr>
        <w:t>Proxy Statement</w:t>
      </w:r>
      <w:r>
        <w:rPr>
          <w:sz w:val="20"/>
          <w:szCs w:val="20"/>
          <w:color w:val="auto"/>
        </w:rPr>
        <w:tab/>
      </w:r>
      <w:r>
        <w:rPr>
          <w:rFonts w:ascii="Arial" w:cs="Arial" w:eastAsia="Arial" w:hAnsi="Arial"/>
          <w:sz w:val="12"/>
          <w:szCs w:val="12"/>
          <w:b w:val="1"/>
          <w:bCs w:val="1"/>
          <w:color w:val="4800E6"/>
        </w:rPr>
        <w:t>www.livanova.com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561975</wp:posOffset>
            </wp:positionH>
            <wp:positionV relativeFrom="paragraph">
              <wp:posOffset>94615</wp:posOffset>
            </wp:positionV>
            <wp:extent cx="1954530" cy="8890"/>
            <wp:wrapNone/>
            <wp:docPr id="326" name="Picture 3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6"/>
                    <pic:cNvPicPr>
                      <a:picLocks noChangeAspect="1" noChangeArrowheads="1"/>
                    </pic:cNvPicPr>
                  </pic:nvPicPr>
                  <pic:blipFill>
                    <a:blip r:embed="rId333">
                      <a:extLst>
                        <a:ext uri="{28A0092B-C50C-407E-A947-70E740481C1C}"/>
                      </a:extLst>
                    </a:blip>
                    <a:srcRect/>
                    <a:stretch>
                      <a:fillRect/>
                    </a:stretch>
                  </pic:blipFill>
                  <pic:spPr bwMode="auto">
                    <a:xfrm>
                      <a:off x="0" y="0"/>
                      <a:ext cx="1954530" cy="8890"/>
                    </a:xfrm>
                    <a:prstGeom prst="rect">
                      <a:avLst/>
                    </a:prstGeom>
                    <a:noFill/>
                  </pic:spPr>
                </pic:pic>
              </a:graphicData>
            </a:graphic>
          </wp:anchor>
        </w:drawing>
        <w:drawing>
          <wp:anchor simplePos="0" relativeHeight="251657728" behindDoc="1" locked="0" layoutInCell="0" allowOverlap="1">
            <wp:simplePos x="0" y="0"/>
            <wp:positionH relativeFrom="column">
              <wp:posOffset>4316730</wp:posOffset>
            </wp:positionH>
            <wp:positionV relativeFrom="paragraph">
              <wp:posOffset>94615</wp:posOffset>
            </wp:positionV>
            <wp:extent cx="1028700" cy="8890"/>
            <wp:wrapNone/>
            <wp:docPr id="327" name="Picture 3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7"/>
                    <pic:cNvPicPr>
                      <a:picLocks noChangeAspect="1" noChangeArrowheads="1"/>
                    </pic:cNvPicPr>
                  </pic:nvPicPr>
                  <pic:blipFill>
                    <a:blip r:embed="rId334">
                      <a:extLst>
                        <a:ext uri="{28A0092B-C50C-407E-A947-70E740481C1C}"/>
                      </a:extLst>
                    </a:blip>
                    <a:srcRect/>
                    <a:stretch>
                      <a:fillRect/>
                    </a:stretch>
                  </pic:blipFill>
                  <pic:spPr bwMode="auto">
                    <a:xfrm>
                      <a:off x="0" y="0"/>
                      <a:ext cx="102870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231775</wp:posOffset>
            </wp:positionV>
            <wp:extent cx="6806565" cy="17145"/>
            <wp:wrapNone/>
            <wp:docPr id="328" name="Picture 3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8"/>
                    <pic:cNvPicPr>
                      <a:picLocks noChangeAspect="1" noChangeArrowheads="1"/>
                    </pic:cNvPicPr>
                  </pic:nvPicPr>
                  <pic:blipFill>
                    <a:blip r:embed="rId335">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10139"/>
          </w:cols>
          <w:pgMar w:left="320" w:top="132" w:right="1440" w:bottom="1440" w:gutter="0" w:footer="0" w:header="0"/>
          <w:type w:val="continuous"/>
        </w:sectPr>
      </w:pPr>
    </w:p>
    <w:bookmarkStart w:id="69" w:name="page70"/>
    <w:bookmarkEnd w:id="69"/>
    <w:p>
      <w:pPr>
        <w:spacing w:after="0"/>
        <w:rPr>
          <w:rFonts w:ascii="Arial" w:cs="Arial" w:eastAsia="Arial" w:hAnsi="Arial"/>
          <w:sz w:val="14"/>
          <w:szCs w:val="14"/>
          <w:color w:val="003366"/>
        </w:rPr>
      </w:pPr>
      <w:hyperlink w:anchor="page5">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ind w:left="760"/>
        <w:spacing w:after="0"/>
        <w:rPr>
          <w:sz w:val="20"/>
          <w:szCs w:val="20"/>
          <w:color w:val="auto"/>
        </w:rPr>
      </w:pPr>
      <w:r>
        <w:rPr>
          <w:rFonts w:ascii="Arial" w:cs="Arial" w:eastAsia="Arial" w:hAnsi="Arial"/>
          <w:sz w:val="47"/>
          <w:szCs w:val="47"/>
          <w:b w:val="1"/>
          <w:bCs w:val="1"/>
          <w:color w:val="4800E6"/>
        </w:rPr>
        <w:t xml:space="preserve">General </w:t>
      </w:r>
      <w:r>
        <w:rPr>
          <w:rFonts w:ascii="Arial" w:cs="Arial" w:eastAsia="Arial" w:hAnsi="Arial"/>
          <w:sz w:val="47"/>
          <w:szCs w:val="47"/>
          <w:b w:val="1"/>
          <w:bCs w:val="1"/>
          <w:color w:val="666666"/>
        </w:rPr>
        <w:t>Matters</w:t>
      </w:r>
    </w:p>
    <w:p>
      <w:pPr>
        <w:spacing w:after="0" w:line="200" w:lineRule="exact"/>
        <w:rPr>
          <w:sz w:val="20"/>
          <w:szCs w:val="20"/>
          <w:color w:val="auto"/>
        </w:rPr>
      </w:pPr>
    </w:p>
    <w:p>
      <w:pPr>
        <w:spacing w:after="0" w:line="253" w:lineRule="exact"/>
        <w:rPr>
          <w:sz w:val="20"/>
          <w:szCs w:val="20"/>
          <w:color w:val="auto"/>
        </w:rPr>
      </w:pPr>
    </w:p>
    <w:p>
      <w:pPr>
        <w:ind w:left="760"/>
        <w:spacing w:after="0"/>
        <w:rPr>
          <w:sz w:val="20"/>
          <w:szCs w:val="20"/>
          <w:color w:val="auto"/>
        </w:rPr>
      </w:pPr>
      <w:r>
        <w:rPr>
          <w:rFonts w:ascii="Arial" w:cs="Arial" w:eastAsia="Arial" w:hAnsi="Arial"/>
          <w:sz w:val="31"/>
          <w:szCs w:val="31"/>
          <w:b w:val="1"/>
          <w:bCs w:val="1"/>
          <w:color w:val="4800E6"/>
        </w:rPr>
        <w:t>Shareholder Proposals for the 2021 AGM</w:t>
      </w:r>
    </w:p>
    <w:p>
      <w:pPr>
        <w:spacing w:after="0" w:line="146" w:lineRule="exact"/>
        <w:rPr>
          <w:sz w:val="20"/>
          <w:szCs w:val="20"/>
          <w:color w:val="auto"/>
        </w:rPr>
      </w:pPr>
    </w:p>
    <w:p>
      <w:pPr>
        <w:ind w:left="760" w:right="980"/>
        <w:spacing w:after="0" w:line="251" w:lineRule="auto"/>
        <w:rPr>
          <w:sz w:val="20"/>
          <w:szCs w:val="20"/>
          <w:color w:val="auto"/>
        </w:rPr>
      </w:pPr>
      <w:r>
        <w:rPr>
          <w:rFonts w:ascii="Arial" w:cs="Arial" w:eastAsia="Arial" w:hAnsi="Arial"/>
          <w:sz w:val="16"/>
          <w:szCs w:val="16"/>
          <w:color w:val="auto"/>
        </w:rPr>
        <w:t>Shareholders who, in accordance with Rule 14a-8 of the Exchange Act, wish to present proposals for inclusion in the proxy materials to be published by us in connection with our 2021 AGM must submit their proposals to the Office of the Company Secretary of LivaNova at 20 Eastbourne Terrace, London W2 6LG by March 1, 2021. As the rules of the SEC make clear, simply submitting a proposal does not guarantee its inclusion in our proxy statement.</w:t>
      </w:r>
    </w:p>
    <w:p>
      <w:pPr>
        <w:spacing w:after="0" w:line="81" w:lineRule="exact"/>
        <w:rPr>
          <w:sz w:val="20"/>
          <w:szCs w:val="20"/>
          <w:color w:val="auto"/>
        </w:rPr>
      </w:pPr>
    </w:p>
    <w:p>
      <w:pPr>
        <w:ind w:left="760" w:right="800"/>
        <w:spacing w:after="0" w:line="248" w:lineRule="auto"/>
        <w:rPr>
          <w:sz w:val="20"/>
          <w:szCs w:val="20"/>
          <w:color w:val="auto"/>
        </w:rPr>
      </w:pPr>
      <w:r>
        <w:rPr>
          <w:rFonts w:ascii="Arial" w:cs="Arial" w:eastAsia="Arial" w:hAnsi="Arial"/>
          <w:sz w:val="16"/>
          <w:szCs w:val="16"/>
          <w:color w:val="auto"/>
        </w:rPr>
        <w:t>In accordance with our Articles of Association (our “Articles”), and without prejudice to the rights of a shareholder of record under the Companies Act, in order to nominate a candidate for election as a director or properly bring business before our 2021 AGM, a shareholder’s notice of the matter the shareholder wishes to present must be delivered to the Office of the Company Secretary of LivaNova at 20 Eastbourne Terrace, London W2 6LG, not less than 90 nor more than 120 days prior to the first anniversary of the date of this year’s AGM, subject to certain exceptions. As a result, any notice given by or on behalf of a shareholder pursuant to these provisions of our Articles (and not submitted pursuant to Rule 14a-8) must be received no earlier than March 1, 2021, and no later than April 1, 2021. The requirements for advance notice of shareholder proposals under our Articles do not apply to proposals properly submitted under Rule 14a-8 under the Exchange Act, as those shareholder proposals are governed by Rule 14a-8. Shareholders are advised to review our Articles, for further details on the requirements and procedures to submit shareholder proposals.</w:t>
      </w:r>
    </w:p>
    <w:p>
      <w:pPr>
        <w:spacing w:after="0" w:line="70" w:lineRule="exact"/>
        <w:rPr>
          <w:sz w:val="20"/>
          <w:szCs w:val="20"/>
          <w:color w:val="auto"/>
        </w:rPr>
      </w:pPr>
    </w:p>
    <w:p>
      <w:pPr>
        <w:ind w:left="760" w:right="960"/>
        <w:spacing w:after="0" w:line="260" w:lineRule="auto"/>
        <w:rPr>
          <w:sz w:val="20"/>
          <w:szCs w:val="20"/>
          <w:color w:val="auto"/>
        </w:rPr>
      </w:pPr>
      <w:r>
        <w:rPr>
          <w:rFonts w:ascii="Arial" w:cs="Arial" w:eastAsia="Arial" w:hAnsi="Arial"/>
          <w:sz w:val="16"/>
          <w:szCs w:val="16"/>
          <w:color w:val="auto"/>
        </w:rPr>
        <w:t>We reserve the right to reject, rule out of order or take other appropriate action with respect to any proposal that does not comply with Rule 14a-8, our Articles or any other requirements, as applicable.</w:t>
      </w:r>
    </w:p>
    <w:p>
      <w:pPr>
        <w:spacing w:after="0" w:line="74" w:lineRule="exact"/>
        <w:rPr>
          <w:sz w:val="20"/>
          <w:szCs w:val="20"/>
          <w:color w:val="auto"/>
        </w:rPr>
      </w:pPr>
    </w:p>
    <w:p>
      <w:pPr>
        <w:ind w:left="760" w:right="920"/>
        <w:spacing w:after="0" w:line="251" w:lineRule="auto"/>
        <w:rPr>
          <w:sz w:val="20"/>
          <w:szCs w:val="20"/>
          <w:color w:val="auto"/>
        </w:rPr>
      </w:pPr>
      <w:r>
        <w:rPr>
          <w:rFonts w:ascii="Arial" w:cs="Arial" w:eastAsia="Arial" w:hAnsi="Arial"/>
          <w:sz w:val="16"/>
          <w:szCs w:val="16"/>
          <w:color w:val="auto"/>
        </w:rPr>
        <w:t>Under section 338 of the Companies Act, shareholders meeting the threshold requirements in that section may require that we include a resolution in the Notice of AGM. Provided that the appropriate thresholds are met, notice of the resolution must be received by us at the Office of the Company Secretary of LivaNova at 20 Eastbourne Terrace, London W2 6LG at least six weeks prior to the date of the AGM or, if later, at the time notice of the AGM is delivered to shareholders.</w:t>
      </w:r>
    </w:p>
    <w:p>
      <w:pPr>
        <w:spacing w:after="0" w:line="375" w:lineRule="exact"/>
        <w:rPr>
          <w:sz w:val="20"/>
          <w:szCs w:val="20"/>
          <w:color w:val="auto"/>
        </w:rPr>
      </w:pPr>
    </w:p>
    <w:p>
      <w:pPr>
        <w:ind w:left="760" w:right="2820"/>
        <w:spacing w:after="0" w:line="278" w:lineRule="auto"/>
        <w:rPr>
          <w:sz w:val="20"/>
          <w:szCs w:val="20"/>
          <w:color w:val="auto"/>
        </w:rPr>
      </w:pPr>
      <w:r>
        <w:rPr>
          <w:rFonts w:ascii="Arial" w:cs="Arial" w:eastAsia="Arial" w:hAnsi="Arial"/>
          <w:sz w:val="31"/>
          <w:szCs w:val="31"/>
          <w:b w:val="1"/>
          <w:bCs w:val="1"/>
          <w:color w:val="4800E6"/>
        </w:rPr>
        <w:t>Saving Resources: Householding and Electronic Communications</w:t>
      </w:r>
    </w:p>
    <w:p>
      <w:pPr>
        <w:spacing w:after="0" w:line="14" w:lineRule="exact"/>
        <w:rPr>
          <w:sz w:val="20"/>
          <w:szCs w:val="20"/>
          <w:color w:val="auto"/>
        </w:rPr>
      </w:pPr>
    </w:p>
    <w:p>
      <w:pPr>
        <w:jc w:val="both"/>
        <w:ind w:left="760" w:right="780"/>
        <w:spacing w:after="0" w:line="251" w:lineRule="auto"/>
        <w:rPr>
          <w:sz w:val="20"/>
          <w:szCs w:val="20"/>
          <w:color w:val="auto"/>
        </w:rPr>
      </w:pPr>
      <w:r>
        <w:rPr>
          <w:rFonts w:ascii="Arial" w:cs="Arial" w:eastAsia="Arial" w:hAnsi="Arial"/>
          <w:sz w:val="16"/>
          <w:szCs w:val="16"/>
          <w:color w:val="auto"/>
        </w:rPr>
        <w:t>We are mindful that sending notices, documents, or information to shareholders by non-electronic means is costly to us in terms of administration, printing and postage costs and has a greater environmental impact than electronic communications. In some cases, duplicate materials going to the same address add to these costs. Both US securities laws and English company law provide ways for us to cut costs and benefit the environment, and we are pleased to embrace these opportunities.</w:t>
      </w:r>
    </w:p>
    <w:p>
      <w:pPr>
        <w:spacing w:after="0" w:line="146" w:lineRule="exact"/>
        <w:rPr>
          <w:sz w:val="20"/>
          <w:szCs w:val="20"/>
          <w:color w:val="auto"/>
        </w:rPr>
      </w:pPr>
    </w:p>
    <w:p>
      <w:pPr>
        <w:ind w:left="760"/>
        <w:spacing w:after="0"/>
        <w:rPr>
          <w:sz w:val="20"/>
          <w:szCs w:val="20"/>
          <w:color w:val="auto"/>
        </w:rPr>
      </w:pPr>
      <w:r>
        <w:rPr>
          <w:rFonts w:ascii="Arial" w:cs="Arial" w:eastAsia="Arial" w:hAnsi="Arial"/>
          <w:sz w:val="20"/>
          <w:szCs w:val="20"/>
          <w:b w:val="1"/>
          <w:bCs w:val="1"/>
          <w:i w:val="1"/>
          <w:iCs w:val="1"/>
          <w:color w:val="FF4C4C"/>
        </w:rPr>
        <w:t>Internet Availability of Proxy Materials</w:t>
      </w:r>
    </w:p>
    <w:p>
      <w:pPr>
        <w:spacing w:after="0" w:line="124" w:lineRule="exact"/>
        <w:rPr>
          <w:sz w:val="20"/>
          <w:szCs w:val="20"/>
          <w:color w:val="auto"/>
        </w:rPr>
      </w:pPr>
    </w:p>
    <w:p>
      <w:pPr>
        <w:ind w:left="760" w:right="900"/>
        <w:spacing w:after="0" w:line="268" w:lineRule="auto"/>
        <w:rPr>
          <w:sz w:val="20"/>
          <w:szCs w:val="20"/>
          <w:color w:val="auto"/>
        </w:rPr>
      </w:pPr>
      <w:r>
        <w:rPr>
          <w:rFonts w:ascii="Arial" w:cs="Arial" w:eastAsia="Arial" w:hAnsi="Arial"/>
          <w:sz w:val="15"/>
          <w:szCs w:val="15"/>
          <w:color w:val="auto"/>
        </w:rPr>
        <w:t>Pursuant to rules adopted by the SEC, we are making this proxy statement available to our shareholders electronically via the Internet. On or about May 20, 2020, we will mail the Notice of Internet Availability of Proxy Materials (the “Notice”) to shareholders of our ordinary shares at the close of business on the Record Date, other than those shareholders who previously requested electronic or paper delivery of communications from us. The Notice contains instructions on how to access an electronic copy of our proxy materials, including this proxy statement and our UK Annual Report and US Annual Report. The Notice also contains instructions on how to request a paper copy of the proxy statement. We believe that this process will allow us to provide you with the information you need in a timely manner, while conserving natural resources and lowering the costs of the AGM.</w:t>
      </w:r>
    </w:p>
    <w:p>
      <w:pPr>
        <w:spacing w:after="0" w:line="148" w:lineRule="exact"/>
        <w:rPr>
          <w:sz w:val="20"/>
          <w:szCs w:val="20"/>
          <w:color w:val="auto"/>
        </w:rPr>
      </w:pPr>
    </w:p>
    <w:p>
      <w:pPr>
        <w:ind w:left="760"/>
        <w:spacing w:after="0"/>
        <w:rPr>
          <w:sz w:val="20"/>
          <w:szCs w:val="20"/>
          <w:color w:val="auto"/>
        </w:rPr>
      </w:pPr>
      <w:r>
        <w:rPr>
          <w:rFonts w:ascii="Arial" w:cs="Arial" w:eastAsia="Arial" w:hAnsi="Arial"/>
          <w:sz w:val="20"/>
          <w:szCs w:val="20"/>
          <w:b w:val="1"/>
          <w:bCs w:val="1"/>
          <w:i w:val="1"/>
          <w:iCs w:val="1"/>
          <w:color w:val="FF4C4C"/>
        </w:rPr>
        <w:t>Electronic Communications</w:t>
      </w:r>
    </w:p>
    <w:p>
      <w:pPr>
        <w:spacing w:after="0" w:line="110" w:lineRule="exact"/>
        <w:rPr>
          <w:sz w:val="20"/>
          <w:szCs w:val="20"/>
          <w:color w:val="auto"/>
        </w:rPr>
      </w:pPr>
    </w:p>
    <w:p>
      <w:pPr>
        <w:ind w:left="760" w:right="800"/>
        <w:spacing w:after="0" w:line="248" w:lineRule="auto"/>
        <w:rPr>
          <w:sz w:val="20"/>
          <w:szCs w:val="20"/>
          <w:color w:val="auto"/>
        </w:rPr>
      </w:pPr>
      <w:r>
        <w:rPr>
          <w:rFonts w:ascii="Arial" w:cs="Arial" w:eastAsia="Arial" w:hAnsi="Arial"/>
          <w:sz w:val="16"/>
          <w:szCs w:val="16"/>
          <w:color w:val="auto"/>
        </w:rPr>
        <w:t>At our 2016 AGM, shareholders voted in favor of a resolution to authorize the Company, under English law, to send notices, documents, or information to shareholders of record by electronic means. In conjunction with our registrars, Computershare Inc., in early 2018 we offered to our shareholders of record the option of receiving an email notification each time we publish new shareholder documents on our website. Those shareholders who have supplied us with an email address will no longer receive copies of certain paper documents, such as our UK Annual Report and US Annual Report. Instead they will receive an email containing links to our website where electronic copies of the documents can be viewed and downloaded. Others have opted to receive paper notices of documents available on our website, and those who did not respond to our letter will by default continue to receive notifications in the same way.</w:t>
      </w:r>
    </w:p>
    <w:p>
      <w:pPr>
        <w:spacing w:after="0" w:line="291" w:lineRule="exact"/>
        <w:rPr>
          <w:sz w:val="20"/>
          <w:szCs w:val="20"/>
          <w:color w:val="auto"/>
        </w:rPr>
      </w:pPr>
    </w:p>
    <w:tbl>
      <w:tblPr>
        <w:tblLayout w:type="fixed"/>
        <w:tblInd w:w="0" w:type="dxa"/>
        <w:tblCellMar>
          <w:top w:w="0" w:type="dxa"/>
          <w:left w:w="0" w:type="dxa"/>
          <w:bottom w:w="0" w:type="dxa"/>
          <w:right w:w="0" w:type="dxa"/>
        </w:tblCellMar>
      </w:tblPr>
      <w:tr>
        <w:trPr>
          <w:trHeight w:val="130"/>
        </w:trPr>
        <w:tc>
          <w:tcPr>
            <w:tcW w:w="820" w:type="dxa"/>
            <w:vAlign w:val="bottom"/>
            <w:vMerge w:val="restart"/>
          </w:tcPr>
          <w:p>
            <w:pPr>
              <w:spacing w:after="0"/>
              <w:rPr>
                <w:sz w:val="11"/>
                <w:szCs w:val="11"/>
                <w:color w:val="auto"/>
              </w:rPr>
            </w:pPr>
          </w:p>
        </w:tc>
        <w:tc>
          <w:tcPr>
            <w:tcW w:w="3080" w:type="dxa"/>
            <w:vAlign w:val="bottom"/>
            <w:tcBorders>
              <w:bottom w:val="single" w:sz="8" w:color="auto"/>
            </w:tcBorders>
          </w:tcPr>
          <w:p>
            <w:pPr>
              <w:spacing w:after="0"/>
              <w:rPr>
                <w:sz w:val="11"/>
                <w:szCs w:val="11"/>
                <w:color w:val="auto"/>
              </w:rPr>
            </w:pPr>
          </w:p>
        </w:tc>
        <w:tc>
          <w:tcPr>
            <w:tcW w:w="2800" w:type="dxa"/>
            <w:vAlign w:val="bottom"/>
            <w:vMerge w:val="restart"/>
          </w:tcPr>
          <w:p>
            <w:pPr>
              <w:ind w:left="440"/>
              <w:spacing w:after="0"/>
              <w:rPr>
                <w:sz w:val="20"/>
                <w:szCs w:val="20"/>
                <w:color w:val="auto"/>
              </w:rPr>
            </w:pPr>
            <w:r>
              <w:rPr>
                <w:rFonts w:ascii="Arial" w:cs="Arial" w:eastAsia="Arial" w:hAnsi="Arial"/>
                <w:sz w:val="13"/>
                <w:szCs w:val="13"/>
                <w:b w:val="1"/>
                <w:bCs w:val="1"/>
                <w:color w:val="4800E6"/>
              </w:rPr>
              <w:t xml:space="preserve">LIVANOVA </w:t>
            </w:r>
            <w:r>
              <w:rPr>
                <w:rFonts w:ascii="Arial" w:cs="Arial" w:eastAsia="Arial" w:hAnsi="Arial"/>
                <w:sz w:val="13"/>
                <w:szCs w:val="13"/>
                <w:color w:val="000000"/>
              </w:rPr>
              <w:t>|</w:t>
            </w:r>
            <w:r>
              <w:rPr>
                <w:rFonts w:ascii="Arial" w:cs="Arial" w:eastAsia="Arial" w:hAnsi="Arial"/>
                <w:sz w:val="13"/>
                <w:szCs w:val="13"/>
                <w:b w:val="1"/>
                <w:bCs w:val="1"/>
                <w:color w:val="4800E6"/>
              </w:rPr>
              <w:t xml:space="preserve"> </w:t>
            </w:r>
            <w:r>
              <w:rPr>
                <w:rFonts w:ascii="Arial" w:cs="Arial" w:eastAsia="Arial" w:hAnsi="Arial"/>
                <w:sz w:val="13"/>
                <w:szCs w:val="13"/>
                <w:color w:val="4800E6"/>
              </w:rPr>
              <w:t>2020</w:t>
            </w:r>
            <w:r>
              <w:rPr>
                <w:rFonts w:ascii="Arial" w:cs="Arial" w:eastAsia="Arial" w:hAnsi="Arial"/>
                <w:sz w:val="13"/>
                <w:szCs w:val="13"/>
                <w:b w:val="1"/>
                <w:bCs w:val="1"/>
                <w:color w:val="4800E6"/>
              </w:rPr>
              <w:t xml:space="preserve"> </w:t>
            </w:r>
            <w:r>
              <w:rPr>
                <w:rFonts w:ascii="Arial" w:cs="Arial" w:eastAsia="Arial" w:hAnsi="Arial"/>
                <w:sz w:val="13"/>
                <w:szCs w:val="13"/>
                <w:color w:val="000000"/>
              </w:rPr>
              <w:t>Proxy Statement</w:t>
            </w:r>
          </w:p>
        </w:tc>
        <w:tc>
          <w:tcPr>
            <w:tcW w:w="3080" w:type="dxa"/>
            <w:vAlign w:val="bottom"/>
            <w:tcBorders>
              <w:bottom w:val="single" w:sz="8" w:color="auto"/>
            </w:tcBorders>
          </w:tcPr>
          <w:p>
            <w:pPr>
              <w:spacing w:after="0"/>
              <w:rPr>
                <w:sz w:val="11"/>
                <w:szCs w:val="11"/>
                <w:color w:val="auto"/>
              </w:rPr>
            </w:pPr>
          </w:p>
        </w:tc>
        <w:tc>
          <w:tcPr>
            <w:tcW w:w="940" w:type="dxa"/>
            <w:vAlign w:val="bottom"/>
            <w:vMerge w:val="restart"/>
          </w:tcPr>
          <w:p>
            <w:pPr>
              <w:jc w:val="right"/>
              <w:ind w:right="468"/>
              <w:spacing w:after="0"/>
              <w:rPr>
                <w:sz w:val="20"/>
                <w:szCs w:val="20"/>
                <w:color w:val="auto"/>
              </w:rPr>
            </w:pPr>
            <w:r>
              <w:rPr>
                <w:rFonts w:ascii="Arial" w:cs="Arial" w:eastAsia="Arial" w:hAnsi="Arial"/>
                <w:sz w:val="14"/>
                <w:szCs w:val="14"/>
                <w:b w:val="1"/>
                <w:bCs w:val="1"/>
                <w:color w:val="auto"/>
              </w:rPr>
              <w:t>66</w:t>
            </w:r>
          </w:p>
        </w:tc>
        <w:tc>
          <w:tcPr>
            <w:tcW w:w="0" w:type="dxa"/>
            <w:vAlign w:val="bottom"/>
          </w:tcPr>
          <w:p>
            <w:pPr>
              <w:spacing w:after="0"/>
              <w:rPr>
                <w:sz w:val="1"/>
                <w:szCs w:val="1"/>
                <w:color w:val="auto"/>
              </w:rPr>
            </w:pPr>
          </w:p>
        </w:tc>
      </w:tr>
      <w:tr>
        <w:trPr>
          <w:trHeight w:val="49"/>
        </w:trPr>
        <w:tc>
          <w:tcPr>
            <w:tcW w:w="820" w:type="dxa"/>
            <w:vAlign w:val="bottom"/>
            <w:vMerge w:val="continue"/>
          </w:tcPr>
          <w:p>
            <w:pPr>
              <w:spacing w:after="0"/>
              <w:rPr>
                <w:sz w:val="4"/>
                <w:szCs w:val="4"/>
                <w:color w:val="auto"/>
              </w:rPr>
            </w:pPr>
          </w:p>
        </w:tc>
        <w:tc>
          <w:tcPr>
            <w:tcW w:w="3080" w:type="dxa"/>
            <w:vAlign w:val="bottom"/>
          </w:tcPr>
          <w:p>
            <w:pPr>
              <w:spacing w:after="0"/>
              <w:rPr>
                <w:sz w:val="4"/>
                <w:szCs w:val="4"/>
                <w:color w:val="auto"/>
              </w:rPr>
            </w:pPr>
          </w:p>
        </w:tc>
        <w:tc>
          <w:tcPr>
            <w:tcW w:w="2800" w:type="dxa"/>
            <w:vAlign w:val="bottom"/>
            <w:vMerge w:val="continue"/>
          </w:tcPr>
          <w:p>
            <w:pPr>
              <w:spacing w:after="0"/>
              <w:rPr>
                <w:sz w:val="4"/>
                <w:szCs w:val="4"/>
                <w:color w:val="auto"/>
              </w:rPr>
            </w:pPr>
          </w:p>
        </w:tc>
        <w:tc>
          <w:tcPr>
            <w:tcW w:w="3080" w:type="dxa"/>
            <w:vAlign w:val="bottom"/>
          </w:tcPr>
          <w:p>
            <w:pPr>
              <w:spacing w:after="0"/>
              <w:rPr>
                <w:sz w:val="4"/>
                <w:szCs w:val="4"/>
                <w:color w:val="auto"/>
              </w:rPr>
            </w:pPr>
          </w:p>
        </w:tc>
        <w:tc>
          <w:tcPr>
            <w:tcW w:w="94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54"/>
        </w:trPr>
        <w:tc>
          <w:tcPr>
            <w:tcW w:w="820" w:type="dxa"/>
            <w:vAlign w:val="bottom"/>
            <w:tcBorders>
              <w:bottom w:val="single" w:sz="8" w:color="9A9A9A"/>
            </w:tcBorders>
          </w:tcPr>
          <w:p>
            <w:pPr>
              <w:spacing w:after="0"/>
              <w:rPr>
                <w:sz w:val="13"/>
                <w:szCs w:val="13"/>
                <w:color w:val="auto"/>
              </w:rPr>
            </w:pPr>
          </w:p>
        </w:tc>
        <w:tc>
          <w:tcPr>
            <w:tcW w:w="3080" w:type="dxa"/>
            <w:vAlign w:val="bottom"/>
            <w:tcBorders>
              <w:bottom w:val="single" w:sz="8" w:color="9A9A9A"/>
            </w:tcBorders>
          </w:tcPr>
          <w:p>
            <w:pPr>
              <w:spacing w:after="0"/>
              <w:rPr>
                <w:sz w:val="13"/>
                <w:szCs w:val="13"/>
                <w:color w:val="auto"/>
              </w:rPr>
            </w:pPr>
          </w:p>
        </w:tc>
        <w:tc>
          <w:tcPr>
            <w:tcW w:w="2800" w:type="dxa"/>
            <w:vAlign w:val="bottom"/>
            <w:tcBorders>
              <w:bottom w:val="single" w:sz="8" w:color="9A9A9A"/>
            </w:tcBorders>
          </w:tcPr>
          <w:p>
            <w:pPr>
              <w:spacing w:after="0"/>
              <w:rPr>
                <w:sz w:val="13"/>
                <w:szCs w:val="13"/>
                <w:color w:val="auto"/>
              </w:rPr>
            </w:pPr>
          </w:p>
        </w:tc>
        <w:tc>
          <w:tcPr>
            <w:tcW w:w="3080" w:type="dxa"/>
            <w:vAlign w:val="bottom"/>
            <w:tcBorders>
              <w:bottom w:val="single" w:sz="8" w:color="9A9A9A"/>
            </w:tcBorders>
          </w:tcPr>
          <w:p>
            <w:pPr>
              <w:spacing w:after="0"/>
              <w:rPr>
                <w:sz w:val="13"/>
                <w:szCs w:val="13"/>
                <w:color w:val="auto"/>
              </w:rPr>
            </w:pPr>
          </w:p>
        </w:tc>
        <w:tc>
          <w:tcPr>
            <w:tcW w:w="940" w:type="dxa"/>
            <w:vAlign w:val="bottom"/>
            <w:tcBorders>
              <w:bottom w:val="single" w:sz="8" w:color="9A9A9A"/>
            </w:tcBorders>
          </w:tcPr>
          <w:p>
            <w:pPr>
              <w:spacing w:after="0"/>
              <w:rPr>
                <w:sz w:val="13"/>
                <w:szCs w:val="1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6802755</wp:posOffset>
            </wp:positionH>
            <wp:positionV relativeFrom="paragraph">
              <wp:posOffset>-7620</wp:posOffset>
            </wp:positionV>
            <wp:extent cx="8255" cy="8255"/>
            <wp:wrapNone/>
            <wp:docPr id="329" name="Picture 3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9"/>
                    <pic:cNvPicPr>
                      <a:picLocks noChangeAspect="1" noChangeArrowheads="1"/>
                    </pic:cNvPicPr>
                  </pic:nvPicPr>
                  <pic:blipFill>
                    <a:blip r:embed="rId33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wp:posOffset>
            </wp:positionV>
            <wp:extent cx="8890" cy="17145"/>
            <wp:wrapNone/>
            <wp:docPr id="330" name="Picture 3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0"/>
                    <pic:cNvPicPr>
                      <a:picLocks noChangeAspect="1" noChangeArrowheads="1"/>
                    </pic:cNvPicPr>
                  </pic:nvPicPr>
                  <pic:blipFill>
                    <a:blip r:embed="rId337">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sectPr>
          <w:pgSz w:w="11900" w:h="16838" w:orient="portrait"/>
          <w:cols w:equalWidth="0" w:num="1">
            <w:col w:w="10720"/>
          </w:cols>
          <w:pgMar w:left="320" w:top="132" w:right="859" w:bottom="1440" w:gutter="0" w:footer="0" w:header="0"/>
        </w:sectPr>
      </w:pPr>
    </w:p>
    <w:bookmarkStart w:id="70" w:name="page71"/>
    <w:bookmarkEnd w:id="70"/>
    <w:p>
      <w:pPr>
        <w:spacing w:after="0"/>
        <w:rPr>
          <w:rFonts w:ascii="Arial" w:cs="Arial" w:eastAsia="Arial" w:hAnsi="Arial"/>
          <w:sz w:val="14"/>
          <w:szCs w:val="14"/>
          <w:color w:val="003366"/>
        </w:rPr>
      </w:pPr>
      <w:hyperlink w:anchor="page5">
        <w:r>
          <w:rPr>
            <w:rFonts w:ascii="Arial" w:cs="Arial" w:eastAsia="Arial" w:hAnsi="Arial"/>
            <w:sz w:val="14"/>
            <w:szCs w:val="14"/>
            <w:color w:val="003366"/>
          </w:rPr>
          <w:t>TABLE OF CONTENTS</w:t>
        </w:r>
      </w:hyperlink>
    </w:p>
    <w:p>
      <w:pPr>
        <w:spacing w:after="0" w:line="338" w:lineRule="exact"/>
        <w:rPr>
          <w:sz w:val="20"/>
          <w:szCs w:val="20"/>
          <w:color w:val="auto"/>
        </w:rPr>
      </w:pPr>
    </w:p>
    <w:p>
      <w:pPr>
        <w:ind w:left="760"/>
        <w:spacing w:after="0"/>
        <w:rPr>
          <w:sz w:val="20"/>
          <w:szCs w:val="20"/>
          <w:color w:val="auto"/>
        </w:rPr>
      </w:pPr>
      <w:r>
        <w:rPr>
          <w:rFonts w:ascii="Arial" w:cs="Arial" w:eastAsia="Arial" w:hAnsi="Arial"/>
          <w:sz w:val="13"/>
          <w:szCs w:val="13"/>
          <w:b w:val="1"/>
          <w:bCs w:val="1"/>
          <w:color w:val="auto"/>
        </w:rPr>
        <w:t xml:space="preserve">General </w:t>
      </w:r>
      <w:r>
        <w:rPr>
          <w:rFonts w:ascii="Arial" w:cs="Arial" w:eastAsia="Arial" w:hAnsi="Arial"/>
          <w:sz w:val="13"/>
          <w:szCs w:val="13"/>
          <w:b w:val="1"/>
          <w:bCs w:val="1"/>
          <w:color w:val="666666"/>
        </w:rPr>
        <w:t>Matters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485140</wp:posOffset>
            </wp:positionH>
            <wp:positionV relativeFrom="paragraph">
              <wp:posOffset>30480</wp:posOffset>
            </wp:positionV>
            <wp:extent cx="5829300" cy="8890"/>
            <wp:wrapNone/>
            <wp:docPr id="331" name="Picture 3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1"/>
                    <pic:cNvPicPr>
                      <a:picLocks noChangeAspect="1" noChangeArrowheads="1"/>
                    </pic:cNvPicPr>
                  </pic:nvPicPr>
                  <pic:blipFill>
                    <a:blip r:embed="rId338">
                      <a:extLst>
                        <a:ext uri="{28A0092B-C50C-407E-A947-70E740481C1C}"/>
                      </a:extLst>
                    </a:blip>
                    <a:srcRect/>
                    <a:stretch>
                      <a:fillRect/>
                    </a:stretch>
                  </pic:blipFill>
                  <pic:spPr bwMode="auto">
                    <a:xfrm>
                      <a:off x="0" y="0"/>
                      <a:ext cx="5829300" cy="8890"/>
                    </a:xfrm>
                    <a:prstGeom prst="rect">
                      <a:avLst/>
                    </a:prstGeom>
                    <a:noFill/>
                  </pic:spPr>
                </pic:pic>
              </a:graphicData>
            </a:graphic>
          </wp:anchor>
        </w:drawing>
      </w:r>
    </w:p>
    <w:p>
      <w:pPr>
        <w:spacing w:after="0" w:line="60" w:lineRule="exact"/>
        <w:rPr>
          <w:sz w:val="20"/>
          <w:szCs w:val="20"/>
          <w:color w:val="auto"/>
        </w:rPr>
      </w:pPr>
    </w:p>
    <w:p>
      <w:pPr>
        <w:ind w:left="760"/>
        <w:spacing w:after="0"/>
        <w:rPr>
          <w:sz w:val="20"/>
          <w:szCs w:val="20"/>
          <w:color w:val="auto"/>
        </w:rPr>
      </w:pPr>
      <w:r>
        <w:rPr>
          <w:rFonts w:ascii="Arial" w:cs="Arial" w:eastAsia="Arial" w:hAnsi="Arial"/>
          <w:sz w:val="13"/>
          <w:szCs w:val="13"/>
          <w:b w:val="1"/>
          <w:bCs w:val="1"/>
          <w:color w:val="4800E6"/>
        </w:rPr>
        <w:t>Frequently Asked Questions About the AGM</w:t>
      </w: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ind w:left="760"/>
        <w:spacing w:after="0"/>
        <w:rPr>
          <w:sz w:val="20"/>
          <w:szCs w:val="20"/>
          <w:color w:val="auto"/>
        </w:rPr>
      </w:pPr>
      <w:r>
        <w:rPr>
          <w:rFonts w:ascii="Arial" w:cs="Arial" w:eastAsia="Arial" w:hAnsi="Arial"/>
          <w:sz w:val="20"/>
          <w:szCs w:val="20"/>
          <w:b w:val="1"/>
          <w:bCs w:val="1"/>
          <w:i w:val="1"/>
          <w:iCs w:val="1"/>
          <w:color w:val="FF4C4C"/>
        </w:rPr>
        <w:t>Householding of Proxy Materials</w:t>
      </w:r>
    </w:p>
    <w:p>
      <w:pPr>
        <w:spacing w:after="0" w:line="124" w:lineRule="exact"/>
        <w:rPr>
          <w:sz w:val="20"/>
          <w:szCs w:val="20"/>
          <w:color w:val="auto"/>
        </w:rPr>
      </w:pPr>
    </w:p>
    <w:p>
      <w:pPr>
        <w:ind w:left="760" w:right="279"/>
        <w:spacing w:after="0" w:line="247" w:lineRule="auto"/>
        <w:rPr>
          <w:sz w:val="20"/>
          <w:szCs w:val="20"/>
          <w:color w:val="auto"/>
        </w:rPr>
      </w:pPr>
      <w:r>
        <w:rPr>
          <w:rFonts w:ascii="Arial" w:cs="Arial" w:eastAsia="Arial" w:hAnsi="Arial"/>
          <w:sz w:val="16"/>
          <w:szCs w:val="16"/>
          <w:color w:val="auto"/>
        </w:rPr>
        <w:t>The SEC has adopted rules regarding delivery of proxy statements and annual reports to shareholders sharing the same address. We may satisfy these delivery rules by delivering a single proxy statement and annual report to an address shared by two or more of our shareholders who are not participating in electronic proxy material delivery. This delivery method, referred to as “householding,” results in significant cost savings for us. In order to take advantage of this opportunity, we have delivered only one proxy statement and annual report to multiple shareholders who share an address unless we have received contrary instructions from one or more of the shareholders. We will deliver promptly, upon written or oral request, a separate copy of the proxy statement and annual report to a shareholder at a shared address to which a single copy of the documents was delivered. If shareholders receive one set of materials due to householding, they may revoke their consent for future mailings at any time by contacting Computershare Inc., for registered holders, either by calling toll-free at 1-866-498-2549 or by writing to Computershare Inc. at P.O. Box 505008, Louisville, KY, USA 40233. Shareholders will be removed from the householding program within 30 days of their response, following which they will receive an individual copy of our proxy materials. If you are a beneficial owner, you will need to contact your broker, bank or other nominee to make such requests. Shareholders can also opt-in to householding if they are current receiving multiple sets of materials to the same address, or change their previous elections by using the above contact information.</w:t>
      </w:r>
    </w:p>
    <w:p>
      <w:pPr>
        <w:spacing w:after="0" w:line="384" w:lineRule="exact"/>
        <w:rPr>
          <w:sz w:val="20"/>
          <w:szCs w:val="20"/>
          <w:color w:val="auto"/>
        </w:rPr>
      </w:pPr>
    </w:p>
    <w:p>
      <w:pPr>
        <w:ind w:left="760"/>
        <w:spacing w:after="0"/>
        <w:rPr>
          <w:sz w:val="20"/>
          <w:szCs w:val="20"/>
          <w:color w:val="auto"/>
        </w:rPr>
      </w:pPr>
      <w:r>
        <w:rPr>
          <w:rFonts w:ascii="Arial" w:cs="Arial" w:eastAsia="Arial" w:hAnsi="Arial"/>
          <w:sz w:val="31"/>
          <w:szCs w:val="31"/>
          <w:b w:val="1"/>
          <w:bCs w:val="1"/>
          <w:color w:val="4800E6"/>
        </w:rPr>
        <w:t>Annual Reports and Proxy Materials</w:t>
      </w:r>
    </w:p>
    <w:p>
      <w:pPr>
        <w:spacing w:after="0" w:line="146" w:lineRule="exact"/>
        <w:rPr>
          <w:sz w:val="20"/>
          <w:szCs w:val="20"/>
          <w:color w:val="auto"/>
        </w:rPr>
      </w:pPr>
    </w:p>
    <w:p>
      <w:pPr>
        <w:ind w:left="760" w:right="259"/>
        <w:spacing w:after="0" w:line="268" w:lineRule="auto"/>
        <w:rPr>
          <w:sz w:val="20"/>
          <w:szCs w:val="20"/>
          <w:color w:val="auto"/>
        </w:rPr>
      </w:pPr>
      <w:r>
        <w:rPr>
          <w:rFonts w:ascii="Arial" w:cs="Arial" w:eastAsia="Arial" w:hAnsi="Arial"/>
          <w:sz w:val="15"/>
          <w:szCs w:val="15"/>
          <w:color w:val="auto"/>
        </w:rPr>
        <w:t>On May 20, 2020, we will have begun mailing the Notice and this proxy statement, the accompanying proxy card (as to CDIs as defined herein, a Form of Proxy), our UK Annual Report, and our US Annual Report on Form 10-K . Copies of these materials filed with the SEC may be accessed free of charge through our website (</w:t>
      </w:r>
      <w:r>
        <w:rPr>
          <w:rFonts w:ascii="Arial" w:cs="Arial" w:eastAsia="Arial" w:hAnsi="Arial"/>
          <w:sz w:val="15"/>
          <w:szCs w:val="15"/>
          <w:i w:val="1"/>
          <w:iCs w:val="1"/>
          <w:color w:val="auto"/>
        </w:rPr>
        <w:t>www.livanova.com</w:t>
      </w:r>
      <w:r>
        <w:rPr>
          <w:rFonts w:ascii="Arial" w:cs="Arial" w:eastAsia="Arial" w:hAnsi="Arial"/>
          <w:sz w:val="15"/>
          <w:szCs w:val="15"/>
          <w:color w:val="auto"/>
        </w:rPr>
        <w:t xml:space="preserve">). Requests for mailed copies of the US Annual Report and/or the UK Annual Report may also be submitted to the Office of the Company Secretary of LivaNova at 20 Eastbourne Terrace, London W2 6LG, United Kingdom (exhibits will be furnished upon payment of a nominal fee, which fee will be limited to the expenses we incur in providing you with the requested exhibits). Our US Annual on Form 10-K, including the exhibits thereto, is also available through the SEC’s web site at </w:t>
      </w:r>
      <w:r>
        <w:rPr>
          <w:rFonts w:ascii="Arial" w:cs="Arial" w:eastAsia="Arial" w:hAnsi="Arial"/>
          <w:sz w:val="15"/>
          <w:szCs w:val="15"/>
          <w:i w:val="1"/>
          <w:iCs w:val="1"/>
          <w:color w:val="auto"/>
        </w:rPr>
        <w:t>www.sec.gov,</w:t>
      </w:r>
      <w:r>
        <w:rPr>
          <w:rFonts w:ascii="Arial" w:cs="Arial" w:eastAsia="Arial" w:hAnsi="Arial"/>
          <w:sz w:val="15"/>
          <w:szCs w:val="15"/>
          <w:color w:val="auto"/>
        </w:rPr>
        <w:t xml:space="preserve"> as is this proxy statement, filed on Schedule DEF 14A.</w:t>
      </w:r>
    </w:p>
    <w:p>
      <w:pPr>
        <w:spacing w:after="0" w:line="363" w:lineRule="exact"/>
        <w:rPr>
          <w:sz w:val="20"/>
          <w:szCs w:val="20"/>
          <w:color w:val="auto"/>
        </w:rPr>
      </w:pPr>
    </w:p>
    <w:p>
      <w:pPr>
        <w:ind w:left="760"/>
        <w:spacing w:after="0"/>
        <w:rPr>
          <w:sz w:val="20"/>
          <w:szCs w:val="20"/>
          <w:color w:val="auto"/>
        </w:rPr>
      </w:pPr>
      <w:r>
        <w:rPr>
          <w:rFonts w:ascii="Arial" w:cs="Arial" w:eastAsia="Arial" w:hAnsi="Arial"/>
          <w:sz w:val="31"/>
          <w:szCs w:val="31"/>
          <w:b w:val="1"/>
          <w:bCs w:val="1"/>
          <w:color w:val="4800E6"/>
        </w:rPr>
        <w:t>Expenses of Solicitation</w:t>
      </w:r>
    </w:p>
    <w:p>
      <w:pPr>
        <w:spacing w:after="0" w:line="132" w:lineRule="exact"/>
        <w:rPr>
          <w:sz w:val="20"/>
          <w:szCs w:val="20"/>
          <w:color w:val="auto"/>
        </w:rPr>
      </w:pPr>
    </w:p>
    <w:p>
      <w:pPr>
        <w:ind w:left="760" w:right="199"/>
        <w:spacing w:after="0" w:line="249" w:lineRule="auto"/>
        <w:rPr>
          <w:sz w:val="20"/>
          <w:szCs w:val="20"/>
          <w:color w:val="auto"/>
        </w:rPr>
      </w:pPr>
      <w:r>
        <w:rPr>
          <w:rFonts w:ascii="Arial" w:cs="Arial" w:eastAsia="Arial" w:hAnsi="Arial"/>
          <w:sz w:val="16"/>
          <w:szCs w:val="16"/>
          <w:color w:val="auto"/>
        </w:rPr>
        <w:t>This solicitation is made by the Company. We will bear the costs of soliciting proxies, including the reimbursement to record holders of their expenses in forwarding proxy materials to beneficial holders. Directors, officers and employees of LivaNova and its subsidiaries may solicit proxies personally, telephonically, electronically or by other means of communication but will receive no additional compensation for such solicitation. We have engaged the Proxy Advisory Group, LLC, to assist in the solicitation of proxies and provide related advice and informational support, for a services fee, plus customary disbursements, which are not expected to exceed $15,000 in total.</w:t>
      </w:r>
    </w:p>
    <w:p>
      <w:pPr>
        <w:spacing w:after="0" w:line="377" w:lineRule="exact"/>
        <w:rPr>
          <w:sz w:val="20"/>
          <w:szCs w:val="20"/>
          <w:color w:val="auto"/>
        </w:rPr>
      </w:pPr>
    </w:p>
    <w:p>
      <w:pPr>
        <w:ind w:left="760"/>
        <w:spacing w:after="0"/>
        <w:rPr>
          <w:sz w:val="20"/>
          <w:szCs w:val="20"/>
          <w:color w:val="auto"/>
        </w:rPr>
      </w:pPr>
      <w:r>
        <w:rPr>
          <w:rFonts w:ascii="Arial" w:cs="Arial" w:eastAsia="Arial" w:hAnsi="Arial"/>
          <w:sz w:val="31"/>
          <w:szCs w:val="31"/>
          <w:b w:val="1"/>
          <w:bCs w:val="1"/>
          <w:color w:val="4800E6"/>
        </w:rPr>
        <w:t>Frequently Asked Questions About the AGM</w:t>
      </w:r>
    </w:p>
    <w:p>
      <w:pPr>
        <w:spacing w:after="0" w:line="224" w:lineRule="exact"/>
        <w:rPr>
          <w:sz w:val="20"/>
          <w:szCs w:val="20"/>
          <w:color w:val="auto"/>
        </w:rPr>
      </w:pPr>
    </w:p>
    <w:p>
      <w:pPr>
        <w:ind w:left="760"/>
        <w:spacing w:after="0"/>
        <w:rPr>
          <w:sz w:val="20"/>
          <w:szCs w:val="20"/>
          <w:color w:val="auto"/>
        </w:rPr>
      </w:pPr>
      <w:r>
        <w:rPr>
          <w:rFonts w:ascii="Arial" w:cs="Arial" w:eastAsia="Arial" w:hAnsi="Arial"/>
          <w:sz w:val="20"/>
          <w:szCs w:val="20"/>
          <w:b w:val="1"/>
          <w:bCs w:val="1"/>
          <w:i w:val="1"/>
          <w:iCs w:val="1"/>
          <w:color w:val="FF4C4C"/>
        </w:rPr>
        <w:t>What is a proxy statement and what is a proxy?</w:t>
      </w:r>
    </w:p>
    <w:p>
      <w:pPr>
        <w:spacing w:after="0" w:line="124" w:lineRule="exact"/>
        <w:rPr>
          <w:sz w:val="20"/>
          <w:szCs w:val="20"/>
          <w:color w:val="auto"/>
        </w:rPr>
      </w:pPr>
    </w:p>
    <w:p>
      <w:pPr>
        <w:ind w:left="760" w:right="219"/>
        <w:spacing w:after="0" w:line="251" w:lineRule="auto"/>
        <w:rPr>
          <w:sz w:val="20"/>
          <w:szCs w:val="20"/>
          <w:color w:val="auto"/>
        </w:rPr>
      </w:pPr>
      <w:r>
        <w:rPr>
          <w:rFonts w:ascii="Arial" w:cs="Arial" w:eastAsia="Arial" w:hAnsi="Arial"/>
          <w:sz w:val="16"/>
          <w:szCs w:val="16"/>
          <w:color w:val="auto"/>
        </w:rPr>
        <w:t>A proxy statement is a document that the rules and regulations of the United States including the SEC require us to give to you when we ask you to give a proxy designating individuals to vote on your behalf. A proxy is your legal designation to another person to vote shares that you own. That other person is called a proxy. If you delegate someone as your proxy in a written document, that document is also called a proxy or proxy card.</w:t>
      </w:r>
    </w:p>
    <w:p>
      <w:pPr>
        <w:spacing w:after="0" w:line="146" w:lineRule="exact"/>
        <w:rPr>
          <w:sz w:val="20"/>
          <w:szCs w:val="20"/>
          <w:color w:val="auto"/>
        </w:rPr>
      </w:pPr>
    </w:p>
    <w:p>
      <w:pPr>
        <w:ind w:left="760"/>
        <w:spacing w:after="0"/>
        <w:rPr>
          <w:sz w:val="20"/>
          <w:szCs w:val="20"/>
          <w:color w:val="auto"/>
        </w:rPr>
      </w:pPr>
      <w:r>
        <w:rPr>
          <w:rFonts w:ascii="Arial" w:cs="Arial" w:eastAsia="Arial" w:hAnsi="Arial"/>
          <w:sz w:val="20"/>
          <w:szCs w:val="20"/>
          <w:b w:val="1"/>
          <w:bCs w:val="1"/>
          <w:i w:val="1"/>
          <w:iCs w:val="1"/>
          <w:color w:val="FF4C4C"/>
        </w:rPr>
        <w:t>Why did I receive these proxy materials?</w:t>
      </w:r>
    </w:p>
    <w:p>
      <w:pPr>
        <w:spacing w:after="0" w:line="124" w:lineRule="exact"/>
        <w:rPr>
          <w:sz w:val="20"/>
          <w:szCs w:val="20"/>
          <w:color w:val="auto"/>
        </w:rPr>
      </w:pPr>
    </w:p>
    <w:p>
      <w:pPr>
        <w:ind w:left="760" w:right="199"/>
        <w:spacing w:after="0" w:line="278" w:lineRule="auto"/>
        <w:rPr>
          <w:sz w:val="20"/>
          <w:szCs w:val="20"/>
          <w:color w:val="auto"/>
        </w:rPr>
      </w:pPr>
      <w:r>
        <w:rPr>
          <w:rFonts w:ascii="Arial" w:cs="Arial" w:eastAsia="Arial" w:hAnsi="Arial"/>
          <w:sz w:val="15"/>
          <w:szCs w:val="15"/>
          <w:color w:val="auto"/>
        </w:rPr>
        <w:t>We have delivered these printed versions of the notice of AGM in this proxy statement, proxy cards, the UK Annual Report, and the US Annual Report of LivaNova (the “proxy materials”) to our shareholders of record and beneficial holders of our shares as of the Record Date, in connection with the solicitation of proxies for use at the AGM, or at any adjournment or postponement thereof.</w:t>
      </w:r>
    </w:p>
    <w:p>
      <w:pPr>
        <w:spacing w:after="0" w:line="62" w:lineRule="exact"/>
        <w:rPr>
          <w:sz w:val="20"/>
          <w:szCs w:val="20"/>
          <w:color w:val="auto"/>
        </w:rPr>
      </w:pPr>
    </w:p>
    <w:p>
      <w:pPr>
        <w:jc w:val="both"/>
        <w:ind w:left="760" w:right="239"/>
        <w:spacing w:after="0" w:line="253" w:lineRule="auto"/>
        <w:rPr>
          <w:sz w:val="20"/>
          <w:szCs w:val="20"/>
          <w:color w:val="auto"/>
        </w:rPr>
      </w:pPr>
      <w:r>
        <w:rPr>
          <w:rFonts w:ascii="Arial" w:cs="Arial" w:eastAsia="Arial" w:hAnsi="Arial"/>
          <w:sz w:val="16"/>
          <w:szCs w:val="16"/>
          <w:color w:val="auto"/>
        </w:rPr>
        <w:t>In addition, we have provided brokers, dealers, bankers, voting trustees and their nominees, at our expense, with additional copies of the proxy materials so that our shareholders of record can, as needed, supply these materials to the beneficial owners of shares as of the Record Date.</w:t>
      </w:r>
    </w:p>
    <w:p>
      <w:pPr>
        <w:ind w:left="480"/>
        <w:spacing w:after="0"/>
        <w:tabs>
          <w:tab w:leader="none" w:pos="4400" w:val="left"/>
          <w:tab w:leader="none" w:pos="8760" w:val="left"/>
        </w:tabs>
        <w:rPr>
          <w:sz w:val="20"/>
          <w:szCs w:val="20"/>
          <w:color w:val="auto"/>
        </w:rPr>
      </w:pPr>
      <w:r>
        <w:rPr>
          <w:rFonts w:ascii="Arial" w:cs="Arial" w:eastAsia="Arial" w:hAnsi="Arial"/>
          <w:sz w:val="29"/>
          <w:szCs w:val="29"/>
          <w:b w:val="1"/>
          <w:bCs w:val="1"/>
          <w:color w:val="auto"/>
          <w:vertAlign w:val="subscript"/>
        </w:rPr>
        <w:t>67</w:t>
      </w:r>
      <w:r>
        <w:rPr>
          <w:sz w:val="20"/>
          <w:szCs w:val="20"/>
          <w:color w:val="auto"/>
        </w:rPr>
        <w:tab/>
      </w:r>
      <w:r>
        <w:rPr>
          <w:rFonts w:ascii="Arial" w:cs="Arial" w:eastAsia="Arial" w:hAnsi="Arial"/>
          <w:sz w:val="13"/>
          <w:szCs w:val="13"/>
          <w:b w:val="1"/>
          <w:bCs w:val="1"/>
          <w:color w:val="4800E6"/>
        </w:rPr>
        <w:t xml:space="preserve">LIVANOVA </w:t>
      </w:r>
      <w:r>
        <w:rPr>
          <w:rFonts w:ascii="Arial" w:cs="Arial" w:eastAsia="Arial" w:hAnsi="Arial"/>
          <w:sz w:val="13"/>
          <w:szCs w:val="13"/>
          <w:color w:val="000000"/>
        </w:rPr>
        <w:t>|</w:t>
      </w:r>
      <w:r>
        <w:rPr>
          <w:rFonts w:ascii="Arial" w:cs="Arial" w:eastAsia="Arial" w:hAnsi="Arial"/>
          <w:sz w:val="13"/>
          <w:szCs w:val="13"/>
          <w:b w:val="1"/>
          <w:bCs w:val="1"/>
          <w:color w:val="4800E6"/>
        </w:rPr>
        <w:t xml:space="preserve"> </w:t>
      </w:r>
      <w:r>
        <w:rPr>
          <w:rFonts w:ascii="Arial" w:cs="Arial" w:eastAsia="Arial" w:hAnsi="Arial"/>
          <w:sz w:val="13"/>
          <w:szCs w:val="13"/>
          <w:color w:val="4800E6"/>
        </w:rPr>
        <w:t>2020</w:t>
      </w:r>
      <w:r>
        <w:rPr>
          <w:rFonts w:ascii="Arial" w:cs="Arial" w:eastAsia="Arial" w:hAnsi="Arial"/>
          <w:sz w:val="13"/>
          <w:szCs w:val="13"/>
          <w:b w:val="1"/>
          <w:bCs w:val="1"/>
          <w:color w:val="4800E6"/>
        </w:rPr>
        <w:t xml:space="preserve"> </w:t>
      </w:r>
      <w:r>
        <w:rPr>
          <w:rFonts w:ascii="Arial" w:cs="Arial" w:eastAsia="Arial" w:hAnsi="Arial"/>
          <w:sz w:val="13"/>
          <w:szCs w:val="13"/>
          <w:color w:val="000000"/>
        </w:rPr>
        <w:t>Proxy Statement</w:t>
      </w:r>
      <w:r>
        <w:rPr>
          <w:sz w:val="20"/>
          <w:szCs w:val="20"/>
          <w:color w:val="auto"/>
        </w:rPr>
        <w:tab/>
      </w:r>
      <w:r>
        <w:rPr>
          <w:rFonts w:ascii="Arial" w:cs="Arial" w:eastAsia="Arial" w:hAnsi="Arial"/>
          <w:sz w:val="12"/>
          <w:szCs w:val="12"/>
          <w:b w:val="1"/>
          <w:bCs w:val="1"/>
          <w:color w:val="4800E6"/>
        </w:rPr>
        <w:t>www.livanova.com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561975</wp:posOffset>
            </wp:positionH>
            <wp:positionV relativeFrom="paragraph">
              <wp:posOffset>86360</wp:posOffset>
            </wp:positionV>
            <wp:extent cx="1954530" cy="8890"/>
            <wp:wrapNone/>
            <wp:docPr id="332" name="Picture 3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2"/>
                    <pic:cNvPicPr>
                      <a:picLocks noChangeAspect="1" noChangeArrowheads="1"/>
                    </pic:cNvPicPr>
                  </pic:nvPicPr>
                  <pic:blipFill>
                    <a:blip r:embed="rId339">
                      <a:extLst>
                        <a:ext uri="{28A0092B-C50C-407E-A947-70E740481C1C}"/>
                      </a:extLst>
                    </a:blip>
                    <a:srcRect/>
                    <a:stretch>
                      <a:fillRect/>
                    </a:stretch>
                  </pic:blipFill>
                  <pic:spPr bwMode="auto">
                    <a:xfrm>
                      <a:off x="0" y="0"/>
                      <a:ext cx="1954530" cy="8890"/>
                    </a:xfrm>
                    <a:prstGeom prst="rect">
                      <a:avLst/>
                    </a:prstGeom>
                    <a:noFill/>
                  </pic:spPr>
                </pic:pic>
              </a:graphicData>
            </a:graphic>
          </wp:anchor>
        </w:drawing>
        <w:drawing>
          <wp:anchor simplePos="0" relativeHeight="251657728" behindDoc="1" locked="0" layoutInCell="0" allowOverlap="1">
            <wp:simplePos x="0" y="0"/>
            <wp:positionH relativeFrom="column">
              <wp:posOffset>4316730</wp:posOffset>
            </wp:positionH>
            <wp:positionV relativeFrom="paragraph">
              <wp:posOffset>86360</wp:posOffset>
            </wp:positionV>
            <wp:extent cx="1028700" cy="8890"/>
            <wp:wrapNone/>
            <wp:docPr id="333" name="Picture 3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3"/>
                    <pic:cNvPicPr>
                      <a:picLocks noChangeAspect="1" noChangeArrowheads="1"/>
                    </pic:cNvPicPr>
                  </pic:nvPicPr>
                  <pic:blipFill>
                    <a:blip r:embed="rId340">
                      <a:extLst>
                        <a:ext uri="{28A0092B-C50C-407E-A947-70E740481C1C}"/>
                      </a:extLst>
                    </a:blip>
                    <a:srcRect/>
                    <a:stretch>
                      <a:fillRect/>
                    </a:stretch>
                  </pic:blipFill>
                  <pic:spPr bwMode="auto">
                    <a:xfrm>
                      <a:off x="0" y="0"/>
                      <a:ext cx="102870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223520</wp:posOffset>
            </wp:positionV>
            <wp:extent cx="6806565" cy="17145"/>
            <wp:wrapNone/>
            <wp:docPr id="334" name="Picture 3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4"/>
                    <pic:cNvPicPr>
                      <a:picLocks noChangeAspect="1" noChangeArrowheads="1"/>
                    </pic:cNvPicPr>
                  </pic:nvPicPr>
                  <pic:blipFill>
                    <a:blip r:embed="rId341">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10139"/>
          </w:cols>
          <w:pgMar w:left="320" w:top="132" w:right="1440" w:bottom="1440" w:gutter="0" w:footer="0" w:header="0"/>
        </w:sectPr>
      </w:pPr>
    </w:p>
    <w:bookmarkStart w:id="71" w:name="page72"/>
    <w:bookmarkEnd w:id="71"/>
    <w:p>
      <w:pPr>
        <w:spacing w:after="0"/>
        <w:rPr>
          <w:rFonts w:ascii="Arial" w:cs="Arial" w:eastAsia="Arial" w:hAnsi="Arial"/>
          <w:sz w:val="14"/>
          <w:szCs w:val="14"/>
          <w:color w:val="003366"/>
        </w:rPr>
      </w:pPr>
      <w:hyperlink w:anchor="page5">
        <w:r>
          <w:rPr>
            <w:rFonts w:ascii="Arial" w:cs="Arial" w:eastAsia="Arial" w:hAnsi="Arial"/>
            <w:sz w:val="14"/>
            <w:szCs w:val="14"/>
            <w:color w:val="003366"/>
          </w:rPr>
          <w:t>TABLE OF CONTENTS</w:t>
        </w:r>
      </w:hyperlink>
    </w:p>
    <w:p>
      <w:pPr>
        <w:spacing w:after="0" w:line="338" w:lineRule="exact"/>
        <w:rPr>
          <w:sz w:val="20"/>
          <w:szCs w:val="20"/>
          <w:color w:val="auto"/>
        </w:rPr>
      </w:pPr>
    </w:p>
    <w:p>
      <w:pPr>
        <w:jc w:val="right"/>
        <w:ind w:right="780"/>
        <w:spacing w:after="0"/>
        <w:rPr>
          <w:sz w:val="20"/>
          <w:szCs w:val="20"/>
          <w:color w:val="auto"/>
        </w:rPr>
      </w:pPr>
      <w:r>
        <w:rPr>
          <w:rFonts w:ascii="Arial" w:cs="Arial" w:eastAsia="Arial" w:hAnsi="Arial"/>
          <w:sz w:val="13"/>
          <w:szCs w:val="13"/>
          <w:b w:val="1"/>
          <w:bCs w:val="1"/>
          <w:color w:val="auto"/>
        </w:rPr>
        <w:t xml:space="preserve">General </w:t>
      </w:r>
      <w:r>
        <w:rPr>
          <w:rFonts w:ascii="Arial" w:cs="Arial" w:eastAsia="Arial" w:hAnsi="Arial"/>
          <w:sz w:val="13"/>
          <w:szCs w:val="13"/>
          <w:b w:val="1"/>
          <w:bCs w:val="1"/>
          <w:color w:val="666666"/>
        </w:rPr>
        <w:t>Matters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485140</wp:posOffset>
            </wp:positionH>
            <wp:positionV relativeFrom="paragraph">
              <wp:posOffset>30480</wp:posOffset>
            </wp:positionV>
            <wp:extent cx="5829300" cy="8890"/>
            <wp:wrapNone/>
            <wp:docPr id="335" name="Picture 3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5"/>
                    <pic:cNvPicPr>
                      <a:picLocks noChangeAspect="1" noChangeArrowheads="1"/>
                    </pic:cNvPicPr>
                  </pic:nvPicPr>
                  <pic:blipFill>
                    <a:blip r:embed="rId342">
                      <a:extLst>
                        <a:ext uri="{28A0092B-C50C-407E-A947-70E740481C1C}"/>
                      </a:extLst>
                    </a:blip>
                    <a:srcRect/>
                    <a:stretch>
                      <a:fillRect/>
                    </a:stretch>
                  </pic:blipFill>
                  <pic:spPr bwMode="auto">
                    <a:xfrm>
                      <a:off x="0" y="0"/>
                      <a:ext cx="5829300" cy="8890"/>
                    </a:xfrm>
                    <a:prstGeom prst="rect">
                      <a:avLst/>
                    </a:prstGeom>
                    <a:noFill/>
                  </pic:spPr>
                </pic:pic>
              </a:graphicData>
            </a:graphic>
          </wp:anchor>
        </w:drawing>
      </w:r>
    </w:p>
    <w:p>
      <w:pPr>
        <w:spacing w:after="0" w:line="60" w:lineRule="exact"/>
        <w:rPr>
          <w:sz w:val="20"/>
          <w:szCs w:val="20"/>
          <w:color w:val="auto"/>
        </w:rPr>
      </w:pPr>
    </w:p>
    <w:p>
      <w:pPr>
        <w:jc w:val="right"/>
        <w:ind w:right="780"/>
        <w:spacing w:after="0"/>
        <w:rPr>
          <w:sz w:val="20"/>
          <w:szCs w:val="20"/>
          <w:color w:val="auto"/>
        </w:rPr>
      </w:pPr>
      <w:r>
        <w:rPr>
          <w:rFonts w:ascii="Arial" w:cs="Arial" w:eastAsia="Arial" w:hAnsi="Arial"/>
          <w:sz w:val="13"/>
          <w:szCs w:val="13"/>
          <w:b w:val="1"/>
          <w:bCs w:val="1"/>
          <w:color w:val="4800E6"/>
        </w:rPr>
        <w:t>Frequently Asked Questions About the AGM</w:t>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ind w:left="760" w:right="900"/>
        <w:spacing w:after="0" w:line="251" w:lineRule="auto"/>
        <w:rPr>
          <w:sz w:val="20"/>
          <w:szCs w:val="20"/>
          <w:color w:val="auto"/>
        </w:rPr>
      </w:pPr>
      <w:r>
        <w:rPr>
          <w:rFonts w:ascii="Arial" w:cs="Arial" w:eastAsia="Arial" w:hAnsi="Arial"/>
          <w:sz w:val="16"/>
          <w:szCs w:val="16"/>
          <w:color w:val="auto"/>
        </w:rPr>
        <w:t>Copies of the proxy materials have also been supplied, at our expense, to Computershare Investor Services PLC (the “Voting Agent”), acting as voting agent on behalf of the custodian, being CREST International Nominees Limited (“CREST Nominees”) as custodian for Euroclear UK &amp; Ireland Ltd (“Euroclear”) as the depositary and issuer of the CREST Depository Interests (“CDIs”) to be supplied to the holders of CDIs.</w:t>
      </w:r>
    </w:p>
    <w:p>
      <w:pPr>
        <w:spacing w:after="0" w:line="159" w:lineRule="exact"/>
        <w:rPr>
          <w:sz w:val="20"/>
          <w:szCs w:val="20"/>
          <w:color w:val="auto"/>
        </w:rPr>
      </w:pPr>
    </w:p>
    <w:p>
      <w:pPr>
        <w:ind w:left="760"/>
        <w:spacing w:after="0"/>
        <w:rPr>
          <w:sz w:val="20"/>
          <w:szCs w:val="20"/>
          <w:color w:val="auto"/>
        </w:rPr>
      </w:pPr>
      <w:r>
        <w:rPr>
          <w:rFonts w:ascii="Arial" w:cs="Arial" w:eastAsia="Arial" w:hAnsi="Arial"/>
          <w:sz w:val="20"/>
          <w:szCs w:val="20"/>
          <w:b w:val="1"/>
          <w:bCs w:val="1"/>
          <w:i w:val="1"/>
          <w:iCs w:val="1"/>
          <w:color w:val="FF4C4C"/>
        </w:rPr>
        <w:t>Will any other matters be decided at the AGM?</w:t>
      </w:r>
    </w:p>
    <w:p>
      <w:pPr>
        <w:spacing w:after="0" w:line="124" w:lineRule="exact"/>
        <w:rPr>
          <w:sz w:val="20"/>
          <w:szCs w:val="20"/>
          <w:color w:val="auto"/>
        </w:rPr>
      </w:pPr>
    </w:p>
    <w:p>
      <w:pPr>
        <w:ind w:left="760" w:right="820"/>
        <w:spacing w:after="0" w:line="251" w:lineRule="auto"/>
        <w:rPr>
          <w:sz w:val="20"/>
          <w:szCs w:val="20"/>
          <w:color w:val="auto"/>
        </w:rPr>
      </w:pPr>
      <w:r>
        <w:rPr>
          <w:rFonts w:ascii="Arial" w:cs="Arial" w:eastAsia="Arial" w:hAnsi="Arial"/>
          <w:sz w:val="16"/>
          <w:szCs w:val="16"/>
          <w:color w:val="auto"/>
        </w:rPr>
        <w:t>At the date of this proxy statement, we do not know of any other matters to be raised at the AGM other than those described in this proxy statement. If any other matters are, in accordance with the Companies Act, other applicable law or our Articles, properly presented for consideration at the AGM, such matters will, subject to the Companies Act, the Articles and applicable law, be considered at the AGM and the individuals named in the proxy card will vote on such matters in their discretion.</w:t>
      </w:r>
    </w:p>
    <w:p>
      <w:pPr>
        <w:spacing w:after="0" w:line="146" w:lineRule="exact"/>
        <w:rPr>
          <w:sz w:val="20"/>
          <w:szCs w:val="20"/>
          <w:color w:val="auto"/>
        </w:rPr>
      </w:pPr>
    </w:p>
    <w:p>
      <w:pPr>
        <w:ind w:left="760" w:right="1640"/>
        <w:spacing w:after="0" w:line="271" w:lineRule="auto"/>
        <w:rPr>
          <w:sz w:val="20"/>
          <w:szCs w:val="20"/>
          <w:color w:val="auto"/>
        </w:rPr>
      </w:pPr>
      <w:r>
        <w:rPr>
          <w:rFonts w:ascii="Arial" w:cs="Arial" w:eastAsia="Arial" w:hAnsi="Arial"/>
          <w:sz w:val="20"/>
          <w:szCs w:val="20"/>
          <w:b w:val="1"/>
          <w:bCs w:val="1"/>
          <w:i w:val="1"/>
          <w:iCs w:val="1"/>
          <w:color w:val="FF4C4C"/>
        </w:rPr>
        <w:t>What is the difference between holding ordinary shares as a shareholder of record, or as a beneficial owner and holder of CDIs?</w:t>
      </w:r>
    </w:p>
    <w:p>
      <w:pPr>
        <w:spacing w:after="0" w:line="64" w:lineRule="exact"/>
        <w:rPr>
          <w:sz w:val="20"/>
          <w:szCs w:val="20"/>
          <w:color w:val="auto"/>
        </w:rPr>
      </w:pPr>
    </w:p>
    <w:p>
      <w:pPr>
        <w:ind w:left="760" w:right="880"/>
        <w:spacing w:after="0" w:line="247" w:lineRule="auto"/>
        <w:rPr>
          <w:sz w:val="20"/>
          <w:szCs w:val="20"/>
          <w:color w:val="auto"/>
        </w:rPr>
      </w:pPr>
      <w:r>
        <w:rPr>
          <w:rFonts w:ascii="Arial" w:cs="Arial" w:eastAsia="Arial" w:hAnsi="Arial"/>
          <w:sz w:val="16"/>
          <w:szCs w:val="16"/>
          <w:color w:val="auto"/>
        </w:rPr>
        <w:t>If a shareholder is registered on the register of members of the Company as holding ordinary shares, that shareholder is considered, with respect to those ordinary shares, the shareholder of record. As of May 4, 2020, our shareholders of record were Cede &amp; Co., the nominee for the Depositary Trust Company (“DTC”), and 60 other shareholders of record. In order to become a shareholder of record of ordinary shares, a beneficial owner must withdraw the relevant ordinary shares from the DTC system. Beneficial owners are reminded that any transfer of the ordinary shares out of the DTC system will generally be subject to UK stamp duty or stamp duty reserve tax (“SDRT”) at a rate of 0.5% of any consideration, which is payable by the transferee of the ordinary shares (i.e., any third party into whose name the ordinary shares are transferred). However, where no consideration is given for the transfer of the ordinary shares out of the DTC system (i.e., where beneficial ownership of the ordinary shares is not changing and there is no third party paying consideration for the ordinary shares), no charge to UK stamp duty or SDRT should arise. In addition, if such ordinary shares are subsequently redeposited into the DTC system, the redeposit will attract UK stamp duty or SDRT at a higher 1.5% rate. Beneficial owners are, therefore, strongly discouraged from withdrawing their ordinary shares from the DTC system.</w:t>
      </w:r>
    </w:p>
    <w:p>
      <w:pPr>
        <w:spacing w:after="0" w:line="90" w:lineRule="exact"/>
        <w:rPr>
          <w:sz w:val="20"/>
          <w:szCs w:val="20"/>
          <w:color w:val="auto"/>
        </w:rPr>
      </w:pPr>
    </w:p>
    <w:p>
      <w:pPr>
        <w:ind w:left="760" w:right="780"/>
        <w:spacing w:after="0" w:line="273" w:lineRule="auto"/>
        <w:rPr>
          <w:sz w:val="20"/>
          <w:szCs w:val="20"/>
          <w:color w:val="auto"/>
        </w:rPr>
      </w:pPr>
      <w:r>
        <w:rPr>
          <w:rFonts w:ascii="Arial" w:cs="Arial" w:eastAsia="Arial" w:hAnsi="Arial"/>
          <w:sz w:val="15"/>
          <w:szCs w:val="15"/>
          <w:color w:val="auto"/>
        </w:rPr>
        <w:t>If your ordinary shares are held for you in a stock brokerage account or by a broker, bank or other nominee, you are considered the beneficial owner of shares held in street name, and these proxy materials are being made available or forwarded to you by your broker, bank or other nominee through whom you hold the ordinary shares. As the beneficial owner, you have the right to direct your broker, bank or other nominee on how to vote your ordinary shares by following the instructions for voting on the proxy card.</w:t>
      </w:r>
    </w:p>
    <w:p>
      <w:pPr>
        <w:spacing w:after="0" w:line="52" w:lineRule="exact"/>
        <w:rPr>
          <w:sz w:val="20"/>
          <w:szCs w:val="20"/>
          <w:color w:val="auto"/>
        </w:rPr>
      </w:pPr>
    </w:p>
    <w:p>
      <w:pPr>
        <w:ind w:left="760" w:right="920"/>
        <w:spacing w:after="0" w:line="249" w:lineRule="auto"/>
        <w:rPr>
          <w:sz w:val="20"/>
          <w:szCs w:val="20"/>
          <w:color w:val="auto"/>
        </w:rPr>
      </w:pPr>
      <w:r>
        <w:rPr>
          <w:rFonts w:ascii="Arial" w:cs="Arial" w:eastAsia="Arial" w:hAnsi="Arial"/>
          <w:sz w:val="16"/>
          <w:szCs w:val="16"/>
          <w:color w:val="auto"/>
        </w:rPr>
        <w:t>In addition, in connection with the admission to trading of the ordinary shares on the London Stock Exchange, we entered into depositary arrangements to enable holders to settle interests in ordinary shares through the CREST system without the need for the underlying ordinary shares to be withdrawn from the DTC system. When trading in LivaNova’s ordinary shares on the London Stock Exchange was canceled, any holders of depositary interests who took no action to withdraw their interests from the depositary facility operated by Computershare Investor Services PLC by the date of termination of that facility had their interests replaced through CREST with CDIs. These CDIs represent underlying ordinary shares on a one-for-one basis.</w:t>
      </w:r>
    </w:p>
    <w:p>
      <w:pPr>
        <w:spacing w:after="0" w:line="162" w:lineRule="exact"/>
        <w:rPr>
          <w:sz w:val="20"/>
          <w:szCs w:val="20"/>
          <w:color w:val="auto"/>
        </w:rPr>
      </w:pPr>
    </w:p>
    <w:p>
      <w:pPr>
        <w:ind w:left="760"/>
        <w:spacing w:after="0"/>
        <w:rPr>
          <w:sz w:val="20"/>
          <w:szCs w:val="20"/>
          <w:color w:val="auto"/>
        </w:rPr>
      </w:pPr>
      <w:r>
        <w:rPr>
          <w:rFonts w:ascii="Arial" w:cs="Arial" w:eastAsia="Arial" w:hAnsi="Arial"/>
          <w:sz w:val="20"/>
          <w:szCs w:val="20"/>
          <w:b w:val="1"/>
          <w:bCs w:val="1"/>
          <w:i w:val="1"/>
          <w:iCs w:val="1"/>
          <w:color w:val="FF4C4C"/>
        </w:rPr>
        <w:t>Who is entitled to vote at the AGM?</w:t>
      </w:r>
    </w:p>
    <w:p>
      <w:pPr>
        <w:spacing w:after="0" w:line="124" w:lineRule="exact"/>
        <w:rPr>
          <w:sz w:val="20"/>
          <w:szCs w:val="20"/>
          <w:color w:val="auto"/>
        </w:rPr>
      </w:pPr>
    </w:p>
    <w:p>
      <w:pPr>
        <w:ind w:left="760" w:right="940"/>
        <w:spacing w:after="0" w:line="260" w:lineRule="auto"/>
        <w:rPr>
          <w:sz w:val="20"/>
          <w:szCs w:val="20"/>
          <w:color w:val="auto"/>
        </w:rPr>
      </w:pPr>
      <w:r>
        <w:rPr>
          <w:rFonts w:ascii="Arial" w:cs="Arial" w:eastAsia="Arial" w:hAnsi="Arial"/>
          <w:sz w:val="16"/>
          <w:szCs w:val="16"/>
          <w:color w:val="auto"/>
        </w:rPr>
        <w:t>Shareholders of record and beneficial holders as of the Record Date are entitled to attend (virtually) and vote at the AGM. Please note the following special cases:</w:t>
      </w:r>
    </w:p>
    <w:p>
      <w:pPr>
        <w:spacing w:after="0" w:line="6" w:lineRule="exact"/>
        <w:rPr>
          <w:sz w:val="20"/>
          <w:szCs w:val="20"/>
          <w:color w:val="auto"/>
        </w:rPr>
      </w:pPr>
    </w:p>
    <w:p>
      <w:pPr>
        <w:ind w:left="920" w:right="780" w:hanging="156"/>
        <w:spacing w:after="0" w:line="251" w:lineRule="auto"/>
        <w:tabs>
          <w:tab w:leader="none" w:pos="920" w:val="left"/>
        </w:tabs>
        <w:numPr>
          <w:ilvl w:val="0"/>
          <w:numId w:val="89"/>
        </w:numPr>
        <w:rPr>
          <w:rFonts w:ascii="Arial" w:cs="Arial" w:eastAsia="Arial" w:hAnsi="Arial"/>
          <w:sz w:val="16"/>
          <w:szCs w:val="16"/>
          <w:color w:val="4800E6"/>
        </w:rPr>
      </w:pPr>
      <w:r>
        <w:rPr>
          <w:rFonts w:ascii="Arial" w:cs="Arial" w:eastAsia="Arial" w:hAnsi="Arial"/>
          <w:sz w:val="16"/>
          <w:szCs w:val="16"/>
          <w:color w:val="auto"/>
        </w:rPr>
        <w:t>Any corporation that is a shareholder of record may by resolution of its directors or other governing body authorize such person as it thinks fit to act as its representative at the AGM and the person so authorized shall (on production of a certified copy of such resolution at the AGM) be entitled to exercise the same powers on behalf of the corporation as that corporation could exercise if it were an individual shareholder of the Company.</w:t>
      </w:r>
    </w:p>
    <w:p>
      <w:pPr>
        <w:spacing w:after="0" w:line="26" w:lineRule="exact"/>
        <w:rPr>
          <w:rFonts w:ascii="Arial" w:cs="Arial" w:eastAsia="Arial" w:hAnsi="Arial"/>
          <w:sz w:val="16"/>
          <w:szCs w:val="16"/>
          <w:color w:val="4800E6"/>
        </w:rPr>
      </w:pPr>
    </w:p>
    <w:p>
      <w:pPr>
        <w:jc w:val="both"/>
        <w:ind w:left="920" w:right="780" w:hanging="156"/>
        <w:spacing w:after="0" w:line="251" w:lineRule="auto"/>
        <w:tabs>
          <w:tab w:leader="none" w:pos="920" w:val="left"/>
        </w:tabs>
        <w:numPr>
          <w:ilvl w:val="0"/>
          <w:numId w:val="89"/>
        </w:numPr>
        <w:rPr>
          <w:rFonts w:ascii="Arial" w:cs="Arial" w:eastAsia="Arial" w:hAnsi="Arial"/>
          <w:sz w:val="16"/>
          <w:szCs w:val="16"/>
          <w:color w:val="4800E6"/>
        </w:rPr>
      </w:pPr>
      <w:r>
        <w:rPr>
          <w:rFonts w:ascii="Arial" w:cs="Arial" w:eastAsia="Arial" w:hAnsi="Arial"/>
          <w:sz w:val="16"/>
          <w:szCs w:val="16"/>
          <w:color w:val="auto"/>
        </w:rPr>
        <w:t>Beneficial owners of ordinary shares as of the Record Date have the right to direct their broker or other agent on how to vote the ordinary shares in their account. They are also invited to attend the AGM. However, as beneficial owners are not shareholders of record of the relevant ordinary shares, they may not vote their ordinary shares at the AGM unless they request and obtain a legal proxy from their broker or agent.</w:t>
      </w:r>
    </w:p>
    <w:p>
      <w:pPr>
        <w:spacing w:after="0" w:line="26" w:lineRule="exact"/>
        <w:rPr>
          <w:rFonts w:ascii="Arial" w:cs="Arial" w:eastAsia="Arial" w:hAnsi="Arial"/>
          <w:sz w:val="16"/>
          <w:szCs w:val="16"/>
          <w:color w:val="4800E6"/>
        </w:rPr>
      </w:pPr>
    </w:p>
    <w:p>
      <w:pPr>
        <w:ind w:left="920" w:right="780" w:hanging="156"/>
        <w:spacing w:after="0" w:line="249" w:lineRule="auto"/>
        <w:tabs>
          <w:tab w:leader="none" w:pos="920" w:val="left"/>
        </w:tabs>
        <w:numPr>
          <w:ilvl w:val="0"/>
          <w:numId w:val="89"/>
        </w:numPr>
        <w:rPr>
          <w:rFonts w:ascii="Arial" w:cs="Arial" w:eastAsia="Arial" w:hAnsi="Arial"/>
          <w:sz w:val="16"/>
          <w:szCs w:val="16"/>
          <w:color w:val="4800E6"/>
        </w:rPr>
      </w:pPr>
      <w:r>
        <w:rPr>
          <w:rFonts w:ascii="Arial" w:cs="Arial" w:eastAsia="Arial" w:hAnsi="Arial"/>
          <w:sz w:val="16"/>
          <w:szCs w:val="16"/>
          <w:color w:val="auto"/>
        </w:rPr>
        <w:t xml:space="preserve">Holders of CDIs may instruct the Voting Agent on behalf of CREST Nominees, as custodian in the DTC clearance system for Euroclear, as the depository and issuer of the CDIs, as to how to exercise the votes attaching to the ordinary shares underlying such CDIs by voting through </w:t>
      </w:r>
      <w:r>
        <w:rPr>
          <w:rFonts w:ascii="Arial" w:cs="Arial" w:eastAsia="Arial" w:hAnsi="Arial"/>
          <w:sz w:val="16"/>
          <w:szCs w:val="16"/>
          <w:i w:val="1"/>
          <w:iCs w:val="1"/>
          <w:color w:val="auto"/>
        </w:rPr>
        <w:t>www.envisionreports.com/livn</w:t>
      </w:r>
      <w:r>
        <w:rPr>
          <w:rFonts w:ascii="Arial" w:cs="Arial" w:eastAsia="Arial" w:hAnsi="Arial"/>
          <w:sz w:val="16"/>
          <w:szCs w:val="16"/>
          <w:color w:val="auto"/>
        </w:rPr>
        <w:t xml:space="preserve"> or returning a completed Form of Proxy (the “CDI Form of Proxy”) to Computershare Investor Services Plc, acting as Voting Agent on behalf of CREST Nominees. Alternatively, holders of CDIs can vote using the CREST system. After the Voting Agent has received instructions on how to vote on the proposals from the holders of CDIs, it will complete an omnibus proxy card reflecting such instructions and send it to the transfer agent.</w:t>
      </w:r>
    </w:p>
    <w:p>
      <w:pPr>
        <w:spacing w:after="0" w:line="289" w:lineRule="exact"/>
        <w:rPr>
          <w:sz w:val="20"/>
          <w:szCs w:val="20"/>
          <w:color w:val="auto"/>
        </w:rPr>
      </w:pPr>
    </w:p>
    <w:tbl>
      <w:tblPr>
        <w:tblLayout w:type="fixed"/>
        <w:tblInd w:w="0" w:type="dxa"/>
        <w:tblCellMar>
          <w:top w:w="0" w:type="dxa"/>
          <w:left w:w="0" w:type="dxa"/>
          <w:bottom w:w="0" w:type="dxa"/>
          <w:right w:w="0" w:type="dxa"/>
        </w:tblCellMar>
      </w:tblPr>
      <w:tr>
        <w:trPr>
          <w:trHeight w:val="116"/>
        </w:trPr>
        <w:tc>
          <w:tcPr>
            <w:tcW w:w="820" w:type="dxa"/>
            <w:vAlign w:val="bottom"/>
            <w:vMerge w:val="restart"/>
          </w:tcPr>
          <w:p>
            <w:pPr>
              <w:spacing w:after="0"/>
              <w:rPr>
                <w:sz w:val="10"/>
                <w:szCs w:val="10"/>
                <w:color w:val="auto"/>
              </w:rPr>
            </w:pPr>
          </w:p>
        </w:tc>
        <w:tc>
          <w:tcPr>
            <w:tcW w:w="3080" w:type="dxa"/>
            <w:vAlign w:val="bottom"/>
            <w:tcBorders>
              <w:bottom w:val="single" w:sz="8" w:color="auto"/>
            </w:tcBorders>
          </w:tcPr>
          <w:p>
            <w:pPr>
              <w:spacing w:after="0"/>
              <w:rPr>
                <w:sz w:val="10"/>
                <w:szCs w:val="10"/>
                <w:color w:val="auto"/>
              </w:rPr>
            </w:pPr>
          </w:p>
        </w:tc>
        <w:tc>
          <w:tcPr>
            <w:tcW w:w="2800" w:type="dxa"/>
            <w:vAlign w:val="bottom"/>
            <w:vMerge w:val="restart"/>
          </w:tcPr>
          <w:p>
            <w:pPr>
              <w:ind w:left="440"/>
              <w:spacing w:after="0"/>
              <w:rPr>
                <w:sz w:val="20"/>
                <w:szCs w:val="20"/>
                <w:color w:val="auto"/>
              </w:rPr>
            </w:pPr>
            <w:r>
              <w:rPr>
                <w:rFonts w:ascii="Arial" w:cs="Arial" w:eastAsia="Arial" w:hAnsi="Arial"/>
                <w:sz w:val="13"/>
                <w:szCs w:val="13"/>
                <w:b w:val="1"/>
                <w:bCs w:val="1"/>
                <w:color w:val="4800E6"/>
              </w:rPr>
              <w:t xml:space="preserve">LIVANOVA </w:t>
            </w:r>
            <w:r>
              <w:rPr>
                <w:rFonts w:ascii="Arial" w:cs="Arial" w:eastAsia="Arial" w:hAnsi="Arial"/>
                <w:sz w:val="13"/>
                <w:szCs w:val="13"/>
                <w:color w:val="000000"/>
              </w:rPr>
              <w:t>|</w:t>
            </w:r>
            <w:r>
              <w:rPr>
                <w:rFonts w:ascii="Arial" w:cs="Arial" w:eastAsia="Arial" w:hAnsi="Arial"/>
                <w:sz w:val="13"/>
                <w:szCs w:val="13"/>
                <w:b w:val="1"/>
                <w:bCs w:val="1"/>
                <w:color w:val="4800E6"/>
              </w:rPr>
              <w:t xml:space="preserve"> </w:t>
            </w:r>
            <w:r>
              <w:rPr>
                <w:rFonts w:ascii="Arial" w:cs="Arial" w:eastAsia="Arial" w:hAnsi="Arial"/>
                <w:sz w:val="13"/>
                <w:szCs w:val="13"/>
                <w:color w:val="4800E6"/>
              </w:rPr>
              <w:t>2020</w:t>
            </w:r>
            <w:r>
              <w:rPr>
                <w:rFonts w:ascii="Arial" w:cs="Arial" w:eastAsia="Arial" w:hAnsi="Arial"/>
                <w:sz w:val="13"/>
                <w:szCs w:val="13"/>
                <w:b w:val="1"/>
                <w:bCs w:val="1"/>
                <w:color w:val="4800E6"/>
              </w:rPr>
              <w:t xml:space="preserve"> </w:t>
            </w:r>
            <w:r>
              <w:rPr>
                <w:rFonts w:ascii="Arial" w:cs="Arial" w:eastAsia="Arial" w:hAnsi="Arial"/>
                <w:sz w:val="13"/>
                <w:szCs w:val="13"/>
                <w:color w:val="000000"/>
              </w:rPr>
              <w:t>Proxy Statement</w:t>
            </w:r>
          </w:p>
        </w:tc>
        <w:tc>
          <w:tcPr>
            <w:tcW w:w="3080" w:type="dxa"/>
            <w:vAlign w:val="bottom"/>
            <w:tcBorders>
              <w:bottom w:val="single" w:sz="8" w:color="auto"/>
            </w:tcBorders>
          </w:tcPr>
          <w:p>
            <w:pPr>
              <w:spacing w:after="0"/>
              <w:rPr>
                <w:sz w:val="10"/>
                <w:szCs w:val="10"/>
                <w:color w:val="auto"/>
              </w:rPr>
            </w:pPr>
          </w:p>
        </w:tc>
        <w:tc>
          <w:tcPr>
            <w:tcW w:w="940" w:type="dxa"/>
            <w:vAlign w:val="bottom"/>
            <w:vMerge w:val="restart"/>
          </w:tcPr>
          <w:p>
            <w:pPr>
              <w:jc w:val="right"/>
              <w:ind w:right="468"/>
              <w:spacing w:after="0"/>
              <w:rPr>
                <w:sz w:val="20"/>
                <w:szCs w:val="20"/>
                <w:color w:val="auto"/>
              </w:rPr>
            </w:pPr>
            <w:r>
              <w:rPr>
                <w:rFonts w:ascii="Arial" w:cs="Arial" w:eastAsia="Arial" w:hAnsi="Arial"/>
                <w:sz w:val="14"/>
                <w:szCs w:val="14"/>
                <w:b w:val="1"/>
                <w:bCs w:val="1"/>
                <w:color w:val="auto"/>
              </w:rPr>
              <w:t>68</w:t>
            </w:r>
          </w:p>
        </w:tc>
        <w:tc>
          <w:tcPr>
            <w:tcW w:w="0" w:type="dxa"/>
            <w:vAlign w:val="bottom"/>
          </w:tcPr>
          <w:p>
            <w:pPr>
              <w:spacing w:after="0"/>
              <w:rPr>
                <w:sz w:val="1"/>
                <w:szCs w:val="1"/>
                <w:color w:val="auto"/>
              </w:rPr>
            </w:pPr>
          </w:p>
        </w:tc>
      </w:tr>
      <w:tr>
        <w:trPr>
          <w:trHeight w:val="63"/>
        </w:trPr>
        <w:tc>
          <w:tcPr>
            <w:tcW w:w="820" w:type="dxa"/>
            <w:vAlign w:val="bottom"/>
            <w:vMerge w:val="continue"/>
          </w:tcPr>
          <w:p>
            <w:pPr>
              <w:spacing w:after="0"/>
              <w:rPr>
                <w:sz w:val="5"/>
                <w:szCs w:val="5"/>
                <w:color w:val="auto"/>
              </w:rPr>
            </w:pPr>
          </w:p>
        </w:tc>
        <w:tc>
          <w:tcPr>
            <w:tcW w:w="3080" w:type="dxa"/>
            <w:vAlign w:val="bottom"/>
          </w:tcPr>
          <w:p>
            <w:pPr>
              <w:spacing w:after="0"/>
              <w:rPr>
                <w:sz w:val="5"/>
                <w:szCs w:val="5"/>
                <w:color w:val="auto"/>
              </w:rPr>
            </w:pPr>
          </w:p>
        </w:tc>
        <w:tc>
          <w:tcPr>
            <w:tcW w:w="2800" w:type="dxa"/>
            <w:vAlign w:val="bottom"/>
            <w:vMerge w:val="continue"/>
          </w:tcPr>
          <w:p>
            <w:pPr>
              <w:spacing w:after="0"/>
              <w:rPr>
                <w:sz w:val="5"/>
                <w:szCs w:val="5"/>
                <w:color w:val="auto"/>
              </w:rPr>
            </w:pPr>
          </w:p>
        </w:tc>
        <w:tc>
          <w:tcPr>
            <w:tcW w:w="3080" w:type="dxa"/>
            <w:vAlign w:val="bottom"/>
          </w:tcPr>
          <w:p>
            <w:pPr>
              <w:spacing w:after="0"/>
              <w:rPr>
                <w:sz w:val="5"/>
                <w:szCs w:val="5"/>
                <w:color w:val="auto"/>
              </w:rPr>
            </w:pPr>
          </w:p>
        </w:tc>
        <w:tc>
          <w:tcPr>
            <w:tcW w:w="94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40"/>
        </w:trPr>
        <w:tc>
          <w:tcPr>
            <w:tcW w:w="820" w:type="dxa"/>
            <w:vAlign w:val="bottom"/>
            <w:tcBorders>
              <w:bottom w:val="single" w:sz="8" w:color="9A9A9A"/>
            </w:tcBorders>
          </w:tcPr>
          <w:p>
            <w:pPr>
              <w:spacing w:after="0"/>
              <w:rPr>
                <w:sz w:val="12"/>
                <w:szCs w:val="12"/>
                <w:color w:val="auto"/>
              </w:rPr>
            </w:pPr>
          </w:p>
        </w:tc>
        <w:tc>
          <w:tcPr>
            <w:tcW w:w="3080" w:type="dxa"/>
            <w:vAlign w:val="bottom"/>
            <w:tcBorders>
              <w:bottom w:val="single" w:sz="8" w:color="9A9A9A"/>
            </w:tcBorders>
          </w:tcPr>
          <w:p>
            <w:pPr>
              <w:spacing w:after="0"/>
              <w:rPr>
                <w:sz w:val="12"/>
                <w:szCs w:val="12"/>
                <w:color w:val="auto"/>
              </w:rPr>
            </w:pPr>
          </w:p>
        </w:tc>
        <w:tc>
          <w:tcPr>
            <w:tcW w:w="2800" w:type="dxa"/>
            <w:vAlign w:val="bottom"/>
            <w:tcBorders>
              <w:bottom w:val="single" w:sz="8" w:color="9A9A9A"/>
            </w:tcBorders>
          </w:tcPr>
          <w:p>
            <w:pPr>
              <w:spacing w:after="0"/>
              <w:rPr>
                <w:sz w:val="12"/>
                <w:szCs w:val="12"/>
                <w:color w:val="auto"/>
              </w:rPr>
            </w:pPr>
          </w:p>
        </w:tc>
        <w:tc>
          <w:tcPr>
            <w:tcW w:w="3080" w:type="dxa"/>
            <w:vAlign w:val="bottom"/>
            <w:tcBorders>
              <w:bottom w:val="single" w:sz="8" w:color="9A9A9A"/>
            </w:tcBorders>
          </w:tcPr>
          <w:p>
            <w:pPr>
              <w:spacing w:after="0"/>
              <w:rPr>
                <w:sz w:val="12"/>
                <w:szCs w:val="12"/>
                <w:color w:val="auto"/>
              </w:rPr>
            </w:pPr>
          </w:p>
        </w:tc>
        <w:tc>
          <w:tcPr>
            <w:tcW w:w="940" w:type="dxa"/>
            <w:vAlign w:val="bottom"/>
            <w:tcBorders>
              <w:bottom w:val="single" w:sz="8" w:color="9A9A9A"/>
            </w:tcBorders>
          </w:tcPr>
          <w:p>
            <w:pPr>
              <w:spacing w:after="0"/>
              <w:rPr>
                <w:sz w:val="12"/>
                <w:szCs w:val="12"/>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6802755</wp:posOffset>
            </wp:positionH>
            <wp:positionV relativeFrom="paragraph">
              <wp:posOffset>-8255</wp:posOffset>
            </wp:positionV>
            <wp:extent cx="8255" cy="8890"/>
            <wp:wrapNone/>
            <wp:docPr id="336" name="Picture 3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6"/>
                    <pic:cNvPicPr>
                      <a:picLocks noChangeAspect="1" noChangeArrowheads="1"/>
                    </pic:cNvPicPr>
                  </pic:nvPicPr>
                  <pic:blipFill>
                    <a:blip r:embed="rId343">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wp:posOffset>
            </wp:positionV>
            <wp:extent cx="8890" cy="17145"/>
            <wp:wrapNone/>
            <wp:docPr id="337" name="Picture 3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7"/>
                    <pic:cNvPicPr>
                      <a:picLocks noChangeAspect="1" noChangeArrowheads="1"/>
                    </pic:cNvPicPr>
                  </pic:nvPicPr>
                  <pic:blipFill>
                    <a:blip r:embed="rId344">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sectPr>
          <w:pgSz w:w="11900" w:h="16838" w:orient="portrait"/>
          <w:cols w:equalWidth="0" w:num="1">
            <w:col w:w="10720"/>
          </w:cols>
          <w:pgMar w:left="320" w:top="132" w:right="859" w:bottom="1440" w:gutter="0" w:footer="0" w:header="0"/>
        </w:sectPr>
      </w:pPr>
    </w:p>
    <w:bookmarkStart w:id="72" w:name="page73"/>
    <w:bookmarkEnd w:id="72"/>
    <w:p>
      <w:pPr>
        <w:spacing w:after="0"/>
        <w:rPr>
          <w:rFonts w:ascii="Arial" w:cs="Arial" w:eastAsia="Arial" w:hAnsi="Arial"/>
          <w:sz w:val="14"/>
          <w:szCs w:val="14"/>
          <w:color w:val="003366"/>
        </w:rPr>
      </w:pPr>
      <w:hyperlink w:anchor="page5">
        <w:r>
          <w:rPr>
            <w:rFonts w:ascii="Arial" w:cs="Arial" w:eastAsia="Arial" w:hAnsi="Arial"/>
            <w:sz w:val="14"/>
            <w:szCs w:val="14"/>
            <w:color w:val="003366"/>
          </w:rPr>
          <w:t>TABLE OF CONTENTS</w:t>
        </w:r>
      </w:hyperlink>
    </w:p>
    <w:p>
      <w:pPr>
        <w:spacing w:after="0" w:line="338" w:lineRule="exact"/>
        <w:rPr>
          <w:sz w:val="20"/>
          <w:szCs w:val="20"/>
          <w:color w:val="auto"/>
        </w:rPr>
      </w:pPr>
    </w:p>
    <w:p>
      <w:pPr>
        <w:ind w:left="760"/>
        <w:spacing w:after="0"/>
        <w:rPr>
          <w:sz w:val="20"/>
          <w:szCs w:val="20"/>
          <w:color w:val="auto"/>
        </w:rPr>
      </w:pPr>
      <w:r>
        <w:rPr>
          <w:rFonts w:ascii="Arial" w:cs="Arial" w:eastAsia="Arial" w:hAnsi="Arial"/>
          <w:sz w:val="13"/>
          <w:szCs w:val="13"/>
          <w:b w:val="1"/>
          <w:bCs w:val="1"/>
          <w:color w:val="auto"/>
        </w:rPr>
        <w:t xml:space="preserve">General </w:t>
      </w:r>
      <w:r>
        <w:rPr>
          <w:rFonts w:ascii="Arial" w:cs="Arial" w:eastAsia="Arial" w:hAnsi="Arial"/>
          <w:sz w:val="13"/>
          <w:szCs w:val="13"/>
          <w:b w:val="1"/>
          <w:bCs w:val="1"/>
          <w:color w:val="666666"/>
        </w:rPr>
        <w:t>Matters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485140</wp:posOffset>
            </wp:positionH>
            <wp:positionV relativeFrom="paragraph">
              <wp:posOffset>30480</wp:posOffset>
            </wp:positionV>
            <wp:extent cx="5829300" cy="8890"/>
            <wp:wrapNone/>
            <wp:docPr id="338" name="Picture 3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8"/>
                    <pic:cNvPicPr>
                      <a:picLocks noChangeAspect="1" noChangeArrowheads="1"/>
                    </pic:cNvPicPr>
                  </pic:nvPicPr>
                  <pic:blipFill>
                    <a:blip r:embed="rId345">
                      <a:extLst>
                        <a:ext uri="{28A0092B-C50C-407E-A947-70E740481C1C}"/>
                      </a:extLst>
                    </a:blip>
                    <a:srcRect/>
                    <a:stretch>
                      <a:fillRect/>
                    </a:stretch>
                  </pic:blipFill>
                  <pic:spPr bwMode="auto">
                    <a:xfrm>
                      <a:off x="0" y="0"/>
                      <a:ext cx="5829300" cy="8890"/>
                    </a:xfrm>
                    <a:prstGeom prst="rect">
                      <a:avLst/>
                    </a:prstGeom>
                    <a:noFill/>
                  </pic:spPr>
                </pic:pic>
              </a:graphicData>
            </a:graphic>
          </wp:anchor>
        </w:drawing>
      </w:r>
    </w:p>
    <w:p>
      <w:pPr>
        <w:spacing w:after="0" w:line="60" w:lineRule="exact"/>
        <w:rPr>
          <w:sz w:val="20"/>
          <w:szCs w:val="20"/>
          <w:color w:val="auto"/>
        </w:rPr>
      </w:pPr>
    </w:p>
    <w:p>
      <w:pPr>
        <w:ind w:left="760"/>
        <w:spacing w:after="0"/>
        <w:rPr>
          <w:sz w:val="20"/>
          <w:szCs w:val="20"/>
          <w:color w:val="auto"/>
        </w:rPr>
      </w:pPr>
      <w:r>
        <w:rPr>
          <w:rFonts w:ascii="Arial" w:cs="Arial" w:eastAsia="Arial" w:hAnsi="Arial"/>
          <w:sz w:val="13"/>
          <w:szCs w:val="13"/>
          <w:b w:val="1"/>
          <w:bCs w:val="1"/>
          <w:color w:val="4800E6"/>
        </w:rPr>
        <w:t>Frequently Asked Questions About the AGM</w:t>
      </w: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ind w:left="760"/>
        <w:spacing w:after="0"/>
        <w:rPr>
          <w:sz w:val="20"/>
          <w:szCs w:val="20"/>
          <w:color w:val="auto"/>
        </w:rPr>
      </w:pPr>
      <w:r>
        <w:rPr>
          <w:rFonts w:ascii="Arial" w:cs="Arial" w:eastAsia="Arial" w:hAnsi="Arial"/>
          <w:sz w:val="20"/>
          <w:szCs w:val="20"/>
          <w:b w:val="1"/>
          <w:bCs w:val="1"/>
          <w:i w:val="1"/>
          <w:iCs w:val="1"/>
          <w:color w:val="FF4C4C"/>
        </w:rPr>
        <w:t>What are the total voting rights in the Company?</w:t>
      </w:r>
    </w:p>
    <w:p>
      <w:pPr>
        <w:spacing w:after="0" w:line="124" w:lineRule="exact"/>
        <w:rPr>
          <w:sz w:val="20"/>
          <w:szCs w:val="20"/>
          <w:color w:val="auto"/>
        </w:rPr>
      </w:pPr>
    </w:p>
    <w:p>
      <w:pPr>
        <w:jc w:val="both"/>
        <w:ind w:left="760" w:right="299"/>
        <w:spacing w:after="0" w:line="253" w:lineRule="auto"/>
        <w:rPr>
          <w:sz w:val="20"/>
          <w:szCs w:val="20"/>
          <w:color w:val="auto"/>
        </w:rPr>
      </w:pPr>
      <w:r>
        <w:rPr>
          <w:rFonts w:ascii="Arial" w:cs="Arial" w:eastAsia="Arial" w:hAnsi="Arial"/>
          <w:sz w:val="16"/>
          <w:szCs w:val="16"/>
          <w:color w:val="auto"/>
        </w:rPr>
        <w:t>As of May 14, 2020, being the last practicable date prior to the publication of this proxy statement, there were 48,584,653 ordinary shares in issue and entitled to vote. Each Ordinary Share is entitled to one vote on each matter properly brought before the AGM. Therefore, the total voting rights in the Company as at May 14, 2020 are 48,584,653.</w:t>
      </w:r>
    </w:p>
    <w:p>
      <w:pPr>
        <w:spacing w:after="0" w:line="158" w:lineRule="exact"/>
        <w:rPr>
          <w:sz w:val="20"/>
          <w:szCs w:val="20"/>
          <w:color w:val="auto"/>
        </w:rPr>
      </w:pPr>
    </w:p>
    <w:p>
      <w:pPr>
        <w:ind w:left="760"/>
        <w:spacing w:after="0"/>
        <w:rPr>
          <w:sz w:val="20"/>
          <w:szCs w:val="20"/>
          <w:color w:val="auto"/>
        </w:rPr>
      </w:pPr>
      <w:r>
        <w:rPr>
          <w:rFonts w:ascii="Arial" w:cs="Arial" w:eastAsia="Arial" w:hAnsi="Arial"/>
          <w:sz w:val="20"/>
          <w:szCs w:val="20"/>
          <w:b w:val="1"/>
          <w:bCs w:val="1"/>
          <w:i w:val="1"/>
          <w:iCs w:val="1"/>
          <w:color w:val="FF4C4C"/>
        </w:rPr>
        <w:t>How do I vote if I am a shareholder of record?</w:t>
      </w:r>
    </w:p>
    <w:p>
      <w:pPr>
        <w:spacing w:after="0" w:line="110" w:lineRule="exact"/>
        <w:rPr>
          <w:sz w:val="20"/>
          <w:szCs w:val="20"/>
          <w:color w:val="auto"/>
        </w:rPr>
      </w:pPr>
    </w:p>
    <w:p>
      <w:pPr>
        <w:ind w:left="760" w:right="239"/>
        <w:spacing w:after="0" w:line="250" w:lineRule="auto"/>
        <w:rPr>
          <w:sz w:val="20"/>
          <w:szCs w:val="20"/>
          <w:color w:val="auto"/>
        </w:rPr>
      </w:pPr>
      <w:r>
        <w:rPr>
          <w:rFonts w:ascii="Arial" w:cs="Arial" w:eastAsia="Arial" w:hAnsi="Arial"/>
          <w:sz w:val="16"/>
          <w:szCs w:val="16"/>
          <w:color w:val="auto"/>
        </w:rPr>
        <w:t>If you are a shareholder of record who is entitled to attend and vote at the AGM, you may vote your ordinary shares virtually at the AGM or appoint another person or persons as your proxy to exercise any or all of your rights to attend and vote at the AGM. You may appoint more than one proxy in relation to the AGM (provided that each proxy is appointed to exercise the rights attached to a different Ordinary Share(s)). Such proxy need not be a shareholder of record, but must attend the AGM to represent you and must vote as you instruct for your vote to be counted.</w:t>
      </w:r>
    </w:p>
    <w:p>
      <w:pPr>
        <w:spacing w:after="0" w:line="81" w:lineRule="exact"/>
        <w:rPr>
          <w:sz w:val="20"/>
          <w:szCs w:val="20"/>
          <w:color w:val="auto"/>
        </w:rPr>
      </w:pPr>
    </w:p>
    <w:p>
      <w:pPr>
        <w:ind w:left="760"/>
        <w:spacing w:after="0"/>
        <w:rPr>
          <w:sz w:val="20"/>
          <w:szCs w:val="20"/>
          <w:color w:val="auto"/>
        </w:rPr>
      </w:pPr>
      <w:r>
        <w:rPr>
          <w:rFonts w:ascii="Arial" w:cs="Arial" w:eastAsia="Arial" w:hAnsi="Arial"/>
          <w:sz w:val="16"/>
          <w:szCs w:val="16"/>
          <w:color w:val="auto"/>
        </w:rPr>
        <w:t>You may appoint a proxy to vote on your behalf using one of the following methods:</w:t>
      </w:r>
    </w:p>
    <w:p>
      <w:pPr>
        <w:spacing w:after="0" w:line="46" w:lineRule="exact"/>
        <w:rPr>
          <w:sz w:val="20"/>
          <w:szCs w:val="20"/>
          <w:color w:val="auto"/>
        </w:rPr>
      </w:pPr>
    </w:p>
    <w:p>
      <w:pPr>
        <w:ind w:left="920" w:right="459" w:hanging="156"/>
        <w:spacing w:after="0" w:line="260" w:lineRule="auto"/>
        <w:tabs>
          <w:tab w:leader="none" w:pos="920" w:val="left"/>
        </w:tabs>
        <w:numPr>
          <w:ilvl w:val="0"/>
          <w:numId w:val="90"/>
        </w:numPr>
        <w:rPr>
          <w:rFonts w:ascii="Arial" w:cs="Arial" w:eastAsia="Arial" w:hAnsi="Arial"/>
          <w:sz w:val="16"/>
          <w:szCs w:val="16"/>
          <w:color w:val="4800E6"/>
        </w:rPr>
      </w:pPr>
      <w:r>
        <w:rPr>
          <w:rFonts w:ascii="Arial" w:cs="Arial" w:eastAsia="Arial" w:hAnsi="Arial"/>
          <w:sz w:val="16"/>
          <w:szCs w:val="16"/>
          <w:color w:val="auto"/>
        </w:rPr>
        <w:t>by returning the proxy card, or other instrument appointing a proxy, completed in accordance with the instructions therein and signed to Proxy Services, c/o Computershare Investor Services, PO Box 505008, Louisville, KY, USA 40233.</w:t>
      </w:r>
    </w:p>
    <w:p>
      <w:pPr>
        <w:spacing w:after="0" w:line="3" w:lineRule="exact"/>
        <w:rPr>
          <w:rFonts w:ascii="Arial" w:cs="Arial" w:eastAsia="Arial" w:hAnsi="Arial"/>
          <w:sz w:val="16"/>
          <w:szCs w:val="16"/>
          <w:color w:val="4800E6"/>
        </w:rPr>
      </w:pPr>
    </w:p>
    <w:p>
      <w:pPr>
        <w:ind w:left="920" w:hanging="156"/>
        <w:spacing w:after="0"/>
        <w:tabs>
          <w:tab w:leader="none" w:pos="920" w:val="left"/>
        </w:tabs>
        <w:numPr>
          <w:ilvl w:val="0"/>
          <w:numId w:val="90"/>
        </w:numPr>
        <w:rPr>
          <w:rFonts w:ascii="Arial" w:cs="Arial" w:eastAsia="Arial" w:hAnsi="Arial"/>
          <w:sz w:val="16"/>
          <w:szCs w:val="16"/>
          <w:color w:val="4800E6"/>
        </w:rPr>
      </w:pPr>
      <w:r>
        <w:rPr>
          <w:rFonts w:ascii="Arial" w:cs="Arial" w:eastAsia="Arial" w:hAnsi="Arial"/>
          <w:sz w:val="16"/>
          <w:szCs w:val="16"/>
          <w:color w:val="auto"/>
        </w:rPr>
        <w:t xml:space="preserve">by submission via the Internet by going to </w:t>
      </w:r>
      <w:r>
        <w:rPr>
          <w:rFonts w:ascii="Arial" w:cs="Arial" w:eastAsia="Arial" w:hAnsi="Arial"/>
          <w:sz w:val="16"/>
          <w:szCs w:val="16"/>
          <w:i w:val="1"/>
          <w:iCs w:val="1"/>
          <w:color w:val="auto"/>
        </w:rPr>
        <w:t>www.envisionreports.com/livn</w:t>
      </w:r>
      <w:r>
        <w:rPr>
          <w:rFonts w:ascii="Arial" w:cs="Arial" w:eastAsia="Arial" w:hAnsi="Arial"/>
          <w:sz w:val="16"/>
          <w:szCs w:val="16"/>
          <w:color w:val="auto"/>
        </w:rPr>
        <w:t xml:space="preserve"> and following the instructions provided; or</w:t>
      </w:r>
    </w:p>
    <w:p>
      <w:pPr>
        <w:spacing w:after="0" w:line="61" w:lineRule="exact"/>
        <w:rPr>
          <w:rFonts w:ascii="Arial" w:cs="Arial" w:eastAsia="Arial" w:hAnsi="Arial"/>
          <w:sz w:val="16"/>
          <w:szCs w:val="16"/>
          <w:color w:val="4800E6"/>
        </w:rPr>
      </w:pPr>
    </w:p>
    <w:p>
      <w:pPr>
        <w:ind w:left="920" w:hanging="156"/>
        <w:spacing w:after="0"/>
        <w:tabs>
          <w:tab w:leader="none" w:pos="920" w:val="left"/>
        </w:tabs>
        <w:numPr>
          <w:ilvl w:val="0"/>
          <w:numId w:val="90"/>
        </w:numPr>
        <w:rPr>
          <w:rFonts w:ascii="Arial" w:cs="Arial" w:eastAsia="Arial" w:hAnsi="Arial"/>
          <w:sz w:val="16"/>
          <w:szCs w:val="16"/>
          <w:color w:val="4800E6"/>
        </w:rPr>
      </w:pPr>
      <w:r>
        <w:rPr>
          <w:rFonts w:ascii="Arial" w:cs="Arial" w:eastAsia="Arial" w:hAnsi="Arial"/>
          <w:sz w:val="16"/>
          <w:szCs w:val="16"/>
          <w:color w:val="auto"/>
        </w:rPr>
        <w:t>by telephone, using the number shown on the notice or proxy card;</w:t>
      </w:r>
    </w:p>
    <w:p>
      <w:pPr>
        <w:spacing w:after="0" w:line="29" w:lineRule="exact"/>
        <w:rPr>
          <w:rFonts w:ascii="Arial" w:cs="Arial" w:eastAsia="Arial" w:hAnsi="Arial"/>
          <w:sz w:val="16"/>
          <w:szCs w:val="16"/>
          <w:color w:val="4800E6"/>
        </w:rPr>
      </w:pPr>
    </w:p>
    <w:p>
      <w:pPr>
        <w:ind w:left="920" w:right="419" w:hanging="156"/>
        <w:spacing w:after="0" w:line="263" w:lineRule="auto"/>
        <w:tabs>
          <w:tab w:leader="none" w:pos="920" w:val="left"/>
        </w:tabs>
        <w:numPr>
          <w:ilvl w:val="0"/>
          <w:numId w:val="90"/>
        </w:numPr>
        <w:rPr>
          <w:rFonts w:ascii="Arial" w:cs="Arial" w:eastAsia="Arial" w:hAnsi="Arial"/>
          <w:sz w:val="16"/>
          <w:szCs w:val="16"/>
          <w:color w:val="4800E6"/>
        </w:rPr>
      </w:pPr>
      <w:r>
        <w:rPr>
          <w:rFonts w:ascii="Arial" w:cs="Arial" w:eastAsia="Arial" w:hAnsi="Arial"/>
          <w:sz w:val="16"/>
          <w:szCs w:val="16"/>
          <w:color w:val="auto"/>
        </w:rPr>
        <w:t xml:space="preserve">during the AGM, you may submit a ballot at </w:t>
      </w:r>
      <w:r>
        <w:rPr>
          <w:rFonts w:ascii="Arial" w:cs="Arial" w:eastAsia="Arial" w:hAnsi="Arial"/>
          <w:sz w:val="16"/>
          <w:szCs w:val="16"/>
          <w:i w:val="1"/>
          <w:iCs w:val="1"/>
          <w:color w:val="auto"/>
        </w:rPr>
        <w:t>www.meetingcenter.io/260382039</w:t>
      </w:r>
      <w:r>
        <w:rPr>
          <w:rFonts w:ascii="Arial" w:cs="Arial" w:eastAsia="Arial" w:hAnsi="Arial"/>
          <w:sz w:val="16"/>
          <w:szCs w:val="16"/>
          <w:color w:val="auto"/>
        </w:rPr>
        <w:t xml:space="preserve"> (Password: LIVN2020). You will need to review the information included on your Notice or on your proxy card or in the instructions accompanying your proxy materials. The password for the meeting is LIVN2020.</w:t>
      </w:r>
    </w:p>
    <w:p>
      <w:pPr>
        <w:spacing w:after="0" w:line="59" w:lineRule="exact"/>
        <w:rPr>
          <w:sz w:val="20"/>
          <w:szCs w:val="20"/>
          <w:color w:val="auto"/>
        </w:rPr>
      </w:pPr>
    </w:p>
    <w:p>
      <w:pPr>
        <w:ind w:left="760"/>
        <w:spacing w:after="0"/>
        <w:rPr>
          <w:sz w:val="20"/>
          <w:szCs w:val="20"/>
          <w:color w:val="auto"/>
        </w:rPr>
      </w:pPr>
      <w:r>
        <w:rPr>
          <w:rFonts w:ascii="Arial" w:cs="Arial" w:eastAsia="Arial" w:hAnsi="Arial"/>
          <w:sz w:val="16"/>
          <w:szCs w:val="16"/>
          <w:color w:val="auto"/>
        </w:rPr>
        <w:t>To be effective, the proxy appointment must be received by 13:00 British Summer Time on June 29, 2020.</w:t>
      </w:r>
    </w:p>
    <w:p>
      <w:pPr>
        <w:spacing w:after="0" w:line="100" w:lineRule="exact"/>
        <w:rPr>
          <w:sz w:val="20"/>
          <w:szCs w:val="20"/>
          <w:color w:val="auto"/>
        </w:rPr>
      </w:pPr>
    </w:p>
    <w:p>
      <w:pPr>
        <w:ind w:left="760"/>
        <w:spacing w:after="0"/>
        <w:rPr>
          <w:sz w:val="20"/>
          <w:szCs w:val="20"/>
          <w:color w:val="auto"/>
        </w:rPr>
      </w:pPr>
      <w:r>
        <w:rPr>
          <w:rFonts w:ascii="Arial" w:cs="Arial" w:eastAsia="Arial" w:hAnsi="Arial"/>
          <w:sz w:val="16"/>
          <w:szCs w:val="16"/>
          <w:color w:val="auto"/>
        </w:rPr>
        <w:t>Details of how to appoint the chairman of the AGM, or another person, as your proxy are set out in the proxy card.</w:t>
      </w:r>
    </w:p>
    <w:p>
      <w:pPr>
        <w:spacing w:after="0" w:line="100" w:lineRule="exact"/>
        <w:rPr>
          <w:sz w:val="20"/>
          <w:szCs w:val="20"/>
          <w:color w:val="auto"/>
        </w:rPr>
      </w:pPr>
    </w:p>
    <w:p>
      <w:pPr>
        <w:ind w:left="760" w:right="359"/>
        <w:spacing w:after="0" w:line="248" w:lineRule="auto"/>
        <w:rPr>
          <w:sz w:val="20"/>
          <w:szCs w:val="20"/>
          <w:color w:val="auto"/>
        </w:rPr>
      </w:pPr>
      <w:r>
        <w:rPr>
          <w:rFonts w:ascii="Arial" w:cs="Arial" w:eastAsia="Arial" w:hAnsi="Arial"/>
          <w:sz w:val="16"/>
          <w:szCs w:val="16"/>
          <w:color w:val="auto"/>
        </w:rPr>
        <w:t>Please sign the proxy card exactly as your name appears on the card. If a shareholder of record is a corporation, limited liability company or partnership, the proxy card should be signed in the full corporate, limited liability company or partnership name by a duly authorized person. If the proxy card is signed pursuant to a power of attorney or by an executor, administrator, trustee or guardian, please state the signatory’s full title and provide a certificate or other proof of appointment. In the case of joint holders, the vote of the senior holder who tenders a vote, whether in person or by proxy, shall be accepted to the exclusion of the votes of the other joint holders and seniority shall be determined by the order in which the names of the holders stand in the register of members.</w:t>
      </w:r>
    </w:p>
    <w:p>
      <w:pPr>
        <w:spacing w:after="0" w:line="73" w:lineRule="exact"/>
        <w:rPr>
          <w:sz w:val="20"/>
          <w:szCs w:val="20"/>
          <w:color w:val="auto"/>
        </w:rPr>
      </w:pPr>
    </w:p>
    <w:p>
      <w:pPr>
        <w:ind w:left="760" w:right="199"/>
        <w:spacing w:after="0" w:line="253" w:lineRule="auto"/>
        <w:rPr>
          <w:sz w:val="20"/>
          <w:szCs w:val="20"/>
          <w:color w:val="auto"/>
        </w:rPr>
      </w:pPr>
      <w:r>
        <w:rPr>
          <w:rFonts w:ascii="Arial" w:cs="Arial" w:eastAsia="Arial" w:hAnsi="Arial"/>
          <w:sz w:val="16"/>
          <w:szCs w:val="16"/>
          <w:color w:val="auto"/>
        </w:rPr>
        <w:t>The return of a completed proxy card, or the submission of proxy instructions via the Internet or by telephone, will not prevent a shareholder of record from attending (virtually) and voting at the AGM. If you have appointed a proxy and attend the AGM (virtually) and vote in person, your proxy appointment will automatically be terminated.</w:t>
      </w:r>
    </w:p>
    <w:p>
      <w:pPr>
        <w:spacing w:after="0" w:line="80" w:lineRule="exact"/>
        <w:rPr>
          <w:sz w:val="20"/>
          <w:szCs w:val="20"/>
          <w:color w:val="auto"/>
        </w:rPr>
      </w:pPr>
    </w:p>
    <w:p>
      <w:pPr>
        <w:ind w:left="760" w:right="219"/>
        <w:spacing w:after="0" w:line="253" w:lineRule="auto"/>
        <w:rPr>
          <w:sz w:val="20"/>
          <w:szCs w:val="20"/>
          <w:color w:val="auto"/>
        </w:rPr>
      </w:pPr>
      <w:r>
        <w:rPr>
          <w:rFonts w:ascii="Arial" w:cs="Arial" w:eastAsia="Arial" w:hAnsi="Arial"/>
          <w:sz w:val="16"/>
          <w:szCs w:val="16"/>
          <w:color w:val="auto"/>
        </w:rPr>
        <w:t>If you properly give instructions as to your proxy appointment by executing and returning a paper proxy card or through the Internet or by telephone, and your proxy appointment is not subsequently revoked, your ordinary shares will be voted in accordance with your instructions.</w:t>
      </w:r>
    </w:p>
    <w:p>
      <w:pPr>
        <w:spacing w:after="0" w:line="80" w:lineRule="exact"/>
        <w:rPr>
          <w:sz w:val="20"/>
          <w:szCs w:val="20"/>
          <w:color w:val="auto"/>
        </w:rPr>
      </w:pPr>
    </w:p>
    <w:p>
      <w:pPr>
        <w:ind w:left="760" w:right="439"/>
        <w:spacing w:after="0" w:line="260" w:lineRule="auto"/>
        <w:rPr>
          <w:sz w:val="20"/>
          <w:szCs w:val="20"/>
          <w:color w:val="auto"/>
        </w:rPr>
      </w:pPr>
      <w:r>
        <w:rPr>
          <w:rFonts w:ascii="Arial" w:cs="Arial" w:eastAsia="Arial" w:hAnsi="Arial"/>
          <w:sz w:val="16"/>
          <w:szCs w:val="16"/>
          <w:color w:val="auto"/>
        </w:rPr>
        <w:t>If you are a shareholder of record and you execute and return a proxy card, but do not give instructions, your proxy will be voted FOR each of the proposals.</w:t>
      </w:r>
    </w:p>
    <w:p>
      <w:pPr>
        <w:spacing w:after="0" w:line="60" w:lineRule="exact"/>
        <w:rPr>
          <w:sz w:val="20"/>
          <w:szCs w:val="20"/>
          <w:color w:val="auto"/>
        </w:rPr>
      </w:pPr>
    </w:p>
    <w:p>
      <w:pPr>
        <w:ind w:left="760" w:right="259"/>
        <w:spacing w:after="0" w:line="260" w:lineRule="auto"/>
        <w:rPr>
          <w:sz w:val="20"/>
          <w:szCs w:val="20"/>
          <w:color w:val="auto"/>
        </w:rPr>
      </w:pPr>
      <w:r>
        <w:rPr>
          <w:rFonts w:ascii="Arial" w:cs="Arial" w:eastAsia="Arial" w:hAnsi="Arial"/>
          <w:sz w:val="16"/>
          <w:szCs w:val="16"/>
          <w:color w:val="auto"/>
        </w:rPr>
        <w:t>If you have not received a proxy card and believe that you should have one, please contact your broker, bank or other nominee for more information.</w:t>
      </w:r>
    </w:p>
    <w:p>
      <w:pPr>
        <w:spacing w:after="0" w:line="74" w:lineRule="exact"/>
        <w:rPr>
          <w:sz w:val="20"/>
          <w:szCs w:val="20"/>
          <w:color w:val="auto"/>
        </w:rPr>
      </w:pPr>
    </w:p>
    <w:p>
      <w:pPr>
        <w:ind w:left="760" w:right="219"/>
        <w:spacing w:after="0" w:line="253" w:lineRule="auto"/>
        <w:rPr>
          <w:sz w:val="20"/>
          <w:szCs w:val="20"/>
          <w:color w:val="auto"/>
        </w:rPr>
      </w:pPr>
      <w:r>
        <w:rPr>
          <w:rFonts w:ascii="Arial" w:cs="Arial" w:eastAsia="Arial" w:hAnsi="Arial"/>
          <w:sz w:val="16"/>
          <w:szCs w:val="16"/>
          <w:color w:val="auto"/>
        </w:rPr>
        <w:t xml:space="preserve">If you have not already voted your shares in advance, you will be able to vote your shares electronically during the AGM by clicking on the “Cast Your Vote” link on the Meeting Center site. </w:t>
      </w:r>
      <w:r>
        <w:rPr>
          <w:rFonts w:ascii="Arial" w:cs="Arial" w:eastAsia="Arial" w:hAnsi="Arial"/>
          <w:sz w:val="16"/>
          <w:szCs w:val="16"/>
          <w:b w:val="1"/>
          <w:bCs w:val="1"/>
          <w:color w:val="auto"/>
        </w:rPr>
        <w:t>Whether or not you plan to attend the AGM, we urge you to vote and</w:t>
      </w:r>
      <w:r>
        <w:rPr>
          <w:rFonts w:ascii="Arial" w:cs="Arial" w:eastAsia="Arial" w:hAnsi="Arial"/>
          <w:sz w:val="16"/>
          <w:szCs w:val="16"/>
          <w:color w:val="auto"/>
        </w:rPr>
        <w:t xml:space="preserve"> </w:t>
      </w:r>
      <w:r>
        <w:rPr>
          <w:rFonts w:ascii="Arial" w:cs="Arial" w:eastAsia="Arial" w:hAnsi="Arial"/>
          <w:sz w:val="16"/>
          <w:szCs w:val="16"/>
          <w:b w:val="1"/>
          <w:bCs w:val="1"/>
          <w:color w:val="auto"/>
        </w:rPr>
        <w:t>submit your proxy in advance of the meeting by one of the methods described in the proxy materials.</w:t>
      </w:r>
    </w:p>
    <w:p>
      <w:pPr>
        <w:spacing w:after="0" w:line="158" w:lineRule="exact"/>
        <w:rPr>
          <w:sz w:val="20"/>
          <w:szCs w:val="20"/>
          <w:color w:val="auto"/>
        </w:rPr>
      </w:pPr>
    </w:p>
    <w:p>
      <w:pPr>
        <w:ind w:left="760"/>
        <w:spacing w:after="0"/>
        <w:rPr>
          <w:sz w:val="20"/>
          <w:szCs w:val="20"/>
          <w:color w:val="auto"/>
        </w:rPr>
      </w:pPr>
      <w:r>
        <w:rPr>
          <w:rFonts w:ascii="Arial" w:cs="Arial" w:eastAsia="Arial" w:hAnsi="Arial"/>
          <w:sz w:val="20"/>
          <w:szCs w:val="20"/>
          <w:b w:val="1"/>
          <w:bCs w:val="1"/>
          <w:i w:val="1"/>
          <w:iCs w:val="1"/>
          <w:color w:val="FF4C4C"/>
        </w:rPr>
        <w:t>How do I vote if I am a beneficial owner?</w:t>
      </w:r>
    </w:p>
    <w:p>
      <w:pPr>
        <w:spacing w:after="0" w:line="110" w:lineRule="exact"/>
        <w:rPr>
          <w:sz w:val="20"/>
          <w:szCs w:val="20"/>
          <w:color w:val="auto"/>
        </w:rPr>
      </w:pPr>
    </w:p>
    <w:p>
      <w:pPr>
        <w:ind w:left="760" w:right="219"/>
        <w:spacing w:after="0" w:line="253" w:lineRule="auto"/>
        <w:rPr>
          <w:sz w:val="20"/>
          <w:szCs w:val="20"/>
          <w:color w:val="auto"/>
        </w:rPr>
      </w:pPr>
      <w:r>
        <w:rPr>
          <w:rFonts w:ascii="Arial" w:cs="Arial" w:eastAsia="Arial" w:hAnsi="Arial"/>
          <w:sz w:val="16"/>
          <w:szCs w:val="16"/>
          <w:color w:val="auto"/>
        </w:rPr>
        <w:t>If you are a beneficial owner, you should follow the directions provided by your broker, bank or other nominee. You may submit instructions by telephone or through the Internet to your broker, bank or other nominee, or request and return a paper proxy card to your broker, bank or other nominee.</w:t>
      </w:r>
    </w:p>
    <w:p>
      <w:pPr>
        <w:spacing w:after="0" w:line="80" w:lineRule="exact"/>
        <w:rPr>
          <w:sz w:val="20"/>
          <w:szCs w:val="20"/>
          <w:color w:val="auto"/>
        </w:rPr>
      </w:pPr>
    </w:p>
    <w:p>
      <w:pPr>
        <w:ind w:left="760" w:right="199"/>
        <w:spacing w:after="0" w:line="250" w:lineRule="auto"/>
        <w:rPr>
          <w:sz w:val="20"/>
          <w:szCs w:val="20"/>
          <w:color w:val="auto"/>
        </w:rPr>
      </w:pPr>
      <w:r>
        <w:rPr>
          <w:rFonts w:ascii="Arial" w:cs="Arial" w:eastAsia="Arial" w:hAnsi="Arial"/>
          <w:sz w:val="16"/>
          <w:szCs w:val="16"/>
          <w:color w:val="auto"/>
        </w:rPr>
        <w:t>If you are a beneficial owner and you wish to vote virtually at the AGM, you must obtain a legal proxy from your broker, bank or other nominee. To register, you must obtain a legal proxy, executed in your favor, from the holder of record and submit proof of your legal proxy reflecting the number of ordinary shares you held as of the Record Date, along with your name and email address, to Computershare. Please forward the email from your broker, or attach an image of your legal proxy to legalproxy@computershare.com. Requests for registration must be labeled as “Legal Proxy” and be received no later than</w:t>
      </w:r>
    </w:p>
    <w:p>
      <w:pPr>
        <w:ind w:left="480"/>
        <w:spacing w:after="0"/>
        <w:tabs>
          <w:tab w:leader="none" w:pos="4400" w:val="left"/>
          <w:tab w:leader="none" w:pos="8760" w:val="left"/>
        </w:tabs>
        <w:rPr>
          <w:sz w:val="20"/>
          <w:szCs w:val="20"/>
          <w:color w:val="auto"/>
        </w:rPr>
      </w:pPr>
      <w:r>
        <w:rPr>
          <w:rFonts w:ascii="Arial" w:cs="Arial" w:eastAsia="Arial" w:hAnsi="Arial"/>
          <w:sz w:val="29"/>
          <w:szCs w:val="29"/>
          <w:b w:val="1"/>
          <w:bCs w:val="1"/>
          <w:color w:val="auto"/>
          <w:vertAlign w:val="subscript"/>
        </w:rPr>
        <w:t>69</w:t>
      </w:r>
      <w:r>
        <w:rPr>
          <w:sz w:val="20"/>
          <w:szCs w:val="20"/>
          <w:color w:val="auto"/>
        </w:rPr>
        <w:tab/>
      </w:r>
      <w:r>
        <w:rPr>
          <w:rFonts w:ascii="Arial" w:cs="Arial" w:eastAsia="Arial" w:hAnsi="Arial"/>
          <w:sz w:val="13"/>
          <w:szCs w:val="13"/>
          <w:b w:val="1"/>
          <w:bCs w:val="1"/>
          <w:color w:val="4800E6"/>
        </w:rPr>
        <w:t xml:space="preserve">LIVANOVA </w:t>
      </w:r>
      <w:r>
        <w:rPr>
          <w:rFonts w:ascii="Arial" w:cs="Arial" w:eastAsia="Arial" w:hAnsi="Arial"/>
          <w:sz w:val="13"/>
          <w:szCs w:val="13"/>
          <w:color w:val="000000"/>
        </w:rPr>
        <w:t>|</w:t>
      </w:r>
      <w:r>
        <w:rPr>
          <w:rFonts w:ascii="Arial" w:cs="Arial" w:eastAsia="Arial" w:hAnsi="Arial"/>
          <w:sz w:val="13"/>
          <w:szCs w:val="13"/>
          <w:b w:val="1"/>
          <w:bCs w:val="1"/>
          <w:color w:val="4800E6"/>
        </w:rPr>
        <w:t xml:space="preserve"> </w:t>
      </w:r>
      <w:r>
        <w:rPr>
          <w:rFonts w:ascii="Arial" w:cs="Arial" w:eastAsia="Arial" w:hAnsi="Arial"/>
          <w:sz w:val="13"/>
          <w:szCs w:val="13"/>
          <w:color w:val="4800E6"/>
        </w:rPr>
        <w:t>2020</w:t>
      </w:r>
      <w:r>
        <w:rPr>
          <w:rFonts w:ascii="Arial" w:cs="Arial" w:eastAsia="Arial" w:hAnsi="Arial"/>
          <w:sz w:val="13"/>
          <w:szCs w:val="13"/>
          <w:b w:val="1"/>
          <w:bCs w:val="1"/>
          <w:color w:val="4800E6"/>
        </w:rPr>
        <w:t xml:space="preserve"> </w:t>
      </w:r>
      <w:r>
        <w:rPr>
          <w:rFonts w:ascii="Arial" w:cs="Arial" w:eastAsia="Arial" w:hAnsi="Arial"/>
          <w:sz w:val="13"/>
          <w:szCs w:val="13"/>
          <w:color w:val="000000"/>
        </w:rPr>
        <w:t>Proxy Statement</w:t>
      </w:r>
      <w:r>
        <w:rPr>
          <w:sz w:val="20"/>
          <w:szCs w:val="20"/>
          <w:color w:val="auto"/>
        </w:rPr>
        <w:tab/>
      </w:r>
      <w:r>
        <w:rPr>
          <w:rFonts w:ascii="Arial" w:cs="Arial" w:eastAsia="Arial" w:hAnsi="Arial"/>
          <w:sz w:val="12"/>
          <w:szCs w:val="12"/>
          <w:b w:val="1"/>
          <w:bCs w:val="1"/>
          <w:color w:val="4800E6"/>
        </w:rPr>
        <w:t>www.livanova.com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561975</wp:posOffset>
            </wp:positionH>
            <wp:positionV relativeFrom="paragraph">
              <wp:posOffset>94615</wp:posOffset>
            </wp:positionV>
            <wp:extent cx="1954530" cy="8890"/>
            <wp:wrapNone/>
            <wp:docPr id="339" name="Picture 3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9"/>
                    <pic:cNvPicPr>
                      <a:picLocks noChangeAspect="1" noChangeArrowheads="1"/>
                    </pic:cNvPicPr>
                  </pic:nvPicPr>
                  <pic:blipFill>
                    <a:blip r:embed="rId346">
                      <a:extLst>
                        <a:ext uri="{28A0092B-C50C-407E-A947-70E740481C1C}"/>
                      </a:extLst>
                    </a:blip>
                    <a:srcRect/>
                    <a:stretch>
                      <a:fillRect/>
                    </a:stretch>
                  </pic:blipFill>
                  <pic:spPr bwMode="auto">
                    <a:xfrm>
                      <a:off x="0" y="0"/>
                      <a:ext cx="1954530" cy="8890"/>
                    </a:xfrm>
                    <a:prstGeom prst="rect">
                      <a:avLst/>
                    </a:prstGeom>
                    <a:noFill/>
                  </pic:spPr>
                </pic:pic>
              </a:graphicData>
            </a:graphic>
          </wp:anchor>
        </w:drawing>
        <w:drawing>
          <wp:anchor simplePos="0" relativeHeight="251657728" behindDoc="1" locked="0" layoutInCell="0" allowOverlap="1">
            <wp:simplePos x="0" y="0"/>
            <wp:positionH relativeFrom="column">
              <wp:posOffset>4316730</wp:posOffset>
            </wp:positionH>
            <wp:positionV relativeFrom="paragraph">
              <wp:posOffset>94615</wp:posOffset>
            </wp:positionV>
            <wp:extent cx="1028700" cy="8890"/>
            <wp:wrapNone/>
            <wp:docPr id="340" name="Picture 3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0"/>
                    <pic:cNvPicPr>
                      <a:picLocks noChangeAspect="1" noChangeArrowheads="1"/>
                    </pic:cNvPicPr>
                  </pic:nvPicPr>
                  <pic:blipFill>
                    <a:blip r:embed="rId347">
                      <a:extLst>
                        <a:ext uri="{28A0092B-C50C-407E-A947-70E740481C1C}"/>
                      </a:extLst>
                    </a:blip>
                    <a:srcRect/>
                    <a:stretch>
                      <a:fillRect/>
                    </a:stretch>
                  </pic:blipFill>
                  <pic:spPr bwMode="auto">
                    <a:xfrm>
                      <a:off x="0" y="0"/>
                      <a:ext cx="102870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222885</wp:posOffset>
            </wp:positionV>
            <wp:extent cx="6806565" cy="17145"/>
            <wp:wrapNone/>
            <wp:docPr id="341" name="Picture 3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1"/>
                    <pic:cNvPicPr>
                      <a:picLocks noChangeAspect="1" noChangeArrowheads="1"/>
                    </pic:cNvPicPr>
                  </pic:nvPicPr>
                  <pic:blipFill>
                    <a:blip r:embed="rId348">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10139"/>
          </w:cols>
          <w:pgMar w:left="320" w:top="132" w:right="1440" w:bottom="1440" w:gutter="0" w:footer="0" w:header="0"/>
        </w:sectPr>
      </w:pPr>
    </w:p>
    <w:bookmarkStart w:id="73" w:name="page74"/>
    <w:bookmarkEnd w:id="73"/>
    <w:p>
      <w:pPr>
        <w:spacing w:after="0"/>
        <w:rPr>
          <w:rFonts w:ascii="Arial" w:cs="Arial" w:eastAsia="Arial" w:hAnsi="Arial"/>
          <w:sz w:val="14"/>
          <w:szCs w:val="14"/>
          <w:color w:val="003366"/>
        </w:rPr>
      </w:pPr>
      <w:hyperlink w:anchor="page5">
        <w:r>
          <w:rPr>
            <w:rFonts w:ascii="Arial" w:cs="Arial" w:eastAsia="Arial" w:hAnsi="Arial"/>
            <w:sz w:val="14"/>
            <w:szCs w:val="14"/>
            <w:color w:val="003366"/>
          </w:rPr>
          <w:t>TABLE OF CONTENTS</w:t>
        </w:r>
      </w:hyperlink>
    </w:p>
    <w:p>
      <w:pPr>
        <w:spacing w:after="0" w:line="338" w:lineRule="exact"/>
        <w:rPr>
          <w:sz w:val="20"/>
          <w:szCs w:val="20"/>
          <w:color w:val="auto"/>
        </w:rPr>
      </w:pPr>
    </w:p>
    <w:p>
      <w:pPr>
        <w:jc w:val="right"/>
        <w:ind w:right="780"/>
        <w:spacing w:after="0"/>
        <w:rPr>
          <w:sz w:val="20"/>
          <w:szCs w:val="20"/>
          <w:color w:val="auto"/>
        </w:rPr>
      </w:pPr>
      <w:r>
        <w:rPr>
          <w:rFonts w:ascii="Arial" w:cs="Arial" w:eastAsia="Arial" w:hAnsi="Arial"/>
          <w:sz w:val="13"/>
          <w:szCs w:val="13"/>
          <w:b w:val="1"/>
          <w:bCs w:val="1"/>
          <w:color w:val="auto"/>
        </w:rPr>
        <w:t xml:space="preserve">General </w:t>
      </w:r>
      <w:r>
        <w:rPr>
          <w:rFonts w:ascii="Arial" w:cs="Arial" w:eastAsia="Arial" w:hAnsi="Arial"/>
          <w:sz w:val="13"/>
          <w:szCs w:val="13"/>
          <w:b w:val="1"/>
          <w:bCs w:val="1"/>
          <w:color w:val="666666"/>
        </w:rPr>
        <w:t>Matters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485140</wp:posOffset>
            </wp:positionH>
            <wp:positionV relativeFrom="paragraph">
              <wp:posOffset>30480</wp:posOffset>
            </wp:positionV>
            <wp:extent cx="5829300" cy="8890"/>
            <wp:wrapNone/>
            <wp:docPr id="342" name="Picture 3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2"/>
                    <pic:cNvPicPr>
                      <a:picLocks noChangeAspect="1" noChangeArrowheads="1"/>
                    </pic:cNvPicPr>
                  </pic:nvPicPr>
                  <pic:blipFill>
                    <a:blip r:embed="rId349">
                      <a:extLst>
                        <a:ext uri="{28A0092B-C50C-407E-A947-70E740481C1C}"/>
                      </a:extLst>
                    </a:blip>
                    <a:srcRect/>
                    <a:stretch>
                      <a:fillRect/>
                    </a:stretch>
                  </pic:blipFill>
                  <pic:spPr bwMode="auto">
                    <a:xfrm>
                      <a:off x="0" y="0"/>
                      <a:ext cx="5829300" cy="8890"/>
                    </a:xfrm>
                    <a:prstGeom prst="rect">
                      <a:avLst/>
                    </a:prstGeom>
                    <a:noFill/>
                  </pic:spPr>
                </pic:pic>
              </a:graphicData>
            </a:graphic>
          </wp:anchor>
        </w:drawing>
      </w:r>
    </w:p>
    <w:p>
      <w:pPr>
        <w:spacing w:after="0" w:line="60" w:lineRule="exact"/>
        <w:rPr>
          <w:sz w:val="20"/>
          <w:szCs w:val="20"/>
          <w:color w:val="auto"/>
        </w:rPr>
      </w:pPr>
    </w:p>
    <w:p>
      <w:pPr>
        <w:jc w:val="right"/>
        <w:ind w:right="780"/>
        <w:spacing w:after="0"/>
        <w:rPr>
          <w:sz w:val="20"/>
          <w:szCs w:val="20"/>
          <w:color w:val="auto"/>
        </w:rPr>
      </w:pPr>
      <w:r>
        <w:rPr>
          <w:rFonts w:ascii="Arial" w:cs="Arial" w:eastAsia="Arial" w:hAnsi="Arial"/>
          <w:sz w:val="13"/>
          <w:szCs w:val="13"/>
          <w:b w:val="1"/>
          <w:bCs w:val="1"/>
          <w:color w:val="4800E6"/>
        </w:rPr>
        <w:t>Frequently Asked Questions About the AGM</w:t>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ind w:left="760" w:right="840"/>
        <w:spacing w:after="0" w:line="253" w:lineRule="auto"/>
        <w:rPr>
          <w:sz w:val="20"/>
          <w:szCs w:val="20"/>
          <w:color w:val="auto"/>
        </w:rPr>
      </w:pPr>
      <w:r>
        <w:rPr>
          <w:rFonts w:ascii="Arial" w:cs="Arial" w:eastAsia="Arial" w:hAnsi="Arial"/>
          <w:sz w:val="16"/>
          <w:szCs w:val="16"/>
          <w:color w:val="auto"/>
        </w:rPr>
        <w:t xml:space="preserve">5:00 p.m. Eastern, on June 24, 2020. You will then receive a confirmation of your registration, with a control number, by email from Computershare. At the time of the AGM, go to </w:t>
      </w:r>
      <w:r>
        <w:rPr>
          <w:rFonts w:ascii="Arial" w:cs="Arial" w:eastAsia="Arial" w:hAnsi="Arial"/>
          <w:sz w:val="16"/>
          <w:szCs w:val="16"/>
          <w:i w:val="1"/>
          <w:iCs w:val="1"/>
          <w:color w:val="auto"/>
        </w:rPr>
        <w:t>www.meetingcenter.io/260382039</w:t>
      </w:r>
      <w:r>
        <w:rPr>
          <w:rFonts w:ascii="Arial" w:cs="Arial" w:eastAsia="Arial" w:hAnsi="Arial"/>
          <w:sz w:val="16"/>
          <w:szCs w:val="16"/>
          <w:color w:val="auto"/>
        </w:rPr>
        <w:t xml:space="preserve"> and enter your control number and the meeting password LIVN2020.</w:t>
      </w:r>
    </w:p>
    <w:p>
      <w:pPr>
        <w:spacing w:after="0" w:line="158" w:lineRule="exact"/>
        <w:rPr>
          <w:sz w:val="20"/>
          <w:szCs w:val="20"/>
          <w:color w:val="auto"/>
        </w:rPr>
      </w:pPr>
    </w:p>
    <w:p>
      <w:pPr>
        <w:ind w:left="760"/>
        <w:spacing w:after="0"/>
        <w:rPr>
          <w:sz w:val="20"/>
          <w:szCs w:val="20"/>
          <w:color w:val="auto"/>
        </w:rPr>
      </w:pPr>
      <w:r>
        <w:rPr>
          <w:rFonts w:ascii="Arial" w:cs="Arial" w:eastAsia="Arial" w:hAnsi="Arial"/>
          <w:sz w:val="20"/>
          <w:szCs w:val="20"/>
          <w:b w:val="1"/>
          <w:bCs w:val="1"/>
          <w:i w:val="1"/>
          <w:iCs w:val="1"/>
          <w:color w:val="FF4C4C"/>
        </w:rPr>
        <w:t>How do I vote if I am a holder of CDIs?</w:t>
      </w:r>
    </w:p>
    <w:p>
      <w:pPr>
        <w:spacing w:after="0" w:line="124" w:lineRule="exact"/>
        <w:rPr>
          <w:sz w:val="20"/>
          <w:szCs w:val="20"/>
          <w:color w:val="auto"/>
        </w:rPr>
      </w:pPr>
    </w:p>
    <w:p>
      <w:pPr>
        <w:ind w:left="760" w:right="2260"/>
        <w:spacing w:after="0" w:line="260" w:lineRule="auto"/>
        <w:rPr>
          <w:sz w:val="20"/>
          <w:szCs w:val="20"/>
          <w:color w:val="auto"/>
        </w:rPr>
      </w:pPr>
      <w:r>
        <w:rPr>
          <w:rFonts w:ascii="Arial" w:cs="Arial" w:eastAsia="Arial" w:hAnsi="Arial"/>
          <w:sz w:val="16"/>
          <w:szCs w:val="16"/>
          <w:color w:val="auto"/>
        </w:rPr>
        <w:t xml:space="preserve">If you are a holder of CDIs, you should follow the instructions on the notice of meeting and vote your shares at </w:t>
      </w:r>
      <w:r>
        <w:rPr>
          <w:rFonts w:ascii="Arial" w:cs="Arial" w:eastAsia="Arial" w:hAnsi="Arial"/>
          <w:sz w:val="16"/>
          <w:szCs w:val="16"/>
          <w:i w:val="1"/>
          <w:iCs w:val="1"/>
          <w:color w:val="auto"/>
        </w:rPr>
        <w:t>www.envisionreports.com/livn</w:t>
      </w:r>
      <w:r>
        <w:rPr>
          <w:rFonts w:ascii="Arial" w:cs="Arial" w:eastAsia="Arial" w:hAnsi="Arial"/>
          <w:sz w:val="16"/>
          <w:szCs w:val="16"/>
          <w:color w:val="auto"/>
        </w:rPr>
        <w:t>.</w:t>
      </w:r>
    </w:p>
    <w:p>
      <w:pPr>
        <w:spacing w:after="0" w:line="60" w:lineRule="exact"/>
        <w:rPr>
          <w:sz w:val="20"/>
          <w:szCs w:val="20"/>
          <w:color w:val="auto"/>
        </w:rPr>
      </w:pPr>
    </w:p>
    <w:p>
      <w:pPr>
        <w:ind w:left="760" w:right="820"/>
        <w:spacing w:after="0" w:line="248" w:lineRule="auto"/>
        <w:rPr>
          <w:sz w:val="20"/>
          <w:szCs w:val="20"/>
          <w:color w:val="auto"/>
        </w:rPr>
      </w:pPr>
      <w:r>
        <w:rPr>
          <w:rFonts w:ascii="Arial" w:cs="Arial" w:eastAsia="Arial" w:hAnsi="Arial"/>
          <w:sz w:val="16"/>
          <w:szCs w:val="16"/>
          <w:color w:val="auto"/>
        </w:rPr>
        <w:t xml:space="preserve">Alternatively, holders of CDIs may transmit voting instructions by utilizing the CREST voting service in accordance with the procedures described in the CREST Manual. CREST personal members or other CREST sponsored members, and those CREST members who have appointed a voting service provider, should refer to their CREST sponsor or voting service provider, who will be able to take appropriate action on their behalf. In order for instructions made using the CREST voting service to be valid, the appropriate CREST message (a “CREST Voting Instruction”) must be properly authenticated in accordance with Euroclear’s specifications and must contain the information required for such instructions, as described in the CREST Manual (available via </w:t>
      </w:r>
      <w:r>
        <w:rPr>
          <w:rFonts w:ascii="Arial" w:cs="Arial" w:eastAsia="Arial" w:hAnsi="Arial"/>
          <w:sz w:val="16"/>
          <w:szCs w:val="16"/>
          <w:i w:val="1"/>
          <w:iCs w:val="1"/>
          <w:color w:val="auto"/>
        </w:rPr>
        <w:t>www.euroclear.com</w:t>
      </w:r>
      <w:r>
        <w:rPr>
          <w:rFonts w:ascii="Arial" w:cs="Arial" w:eastAsia="Arial" w:hAnsi="Arial"/>
          <w:sz w:val="16"/>
          <w:szCs w:val="16"/>
          <w:color w:val="auto"/>
        </w:rPr>
        <w:t>).</w:t>
      </w:r>
    </w:p>
    <w:p>
      <w:pPr>
        <w:spacing w:after="0" w:line="87" w:lineRule="exact"/>
        <w:rPr>
          <w:sz w:val="20"/>
          <w:szCs w:val="20"/>
          <w:color w:val="auto"/>
        </w:rPr>
      </w:pPr>
    </w:p>
    <w:p>
      <w:pPr>
        <w:ind w:left="760" w:right="1000"/>
        <w:spacing w:after="0" w:line="248" w:lineRule="auto"/>
        <w:rPr>
          <w:sz w:val="20"/>
          <w:szCs w:val="20"/>
          <w:color w:val="auto"/>
        </w:rPr>
      </w:pPr>
      <w:r>
        <w:rPr>
          <w:rFonts w:ascii="Arial" w:cs="Arial" w:eastAsia="Arial" w:hAnsi="Arial"/>
          <w:sz w:val="16"/>
          <w:szCs w:val="16"/>
          <w:color w:val="auto"/>
        </w:rPr>
        <w:t>To be effective, the CREST Voting Instruction must be transmitted so as to be received by the Voting Agent (ID: 3RA50) no later than 13:00 British Summer Time on June 24, 2020 (or, in the event of an adjourned meeting, four business days before the adjourned meeting (excluding weekends and public holidays in the UK and the US). For this purpose, the time of receipt will be taken to be the time (as determined by the time stamp applied to the CREST Voting Instruction by the CREST applications host) from which our agent is able to retrieve the CREST Voting Instruction by inquiry to CREST in the manner prescribed by CREST. After this time, any change of voting instructions made through CREST should be communicated to the Voting Agent by other means.</w:t>
      </w:r>
    </w:p>
    <w:p>
      <w:pPr>
        <w:spacing w:after="0" w:line="87" w:lineRule="exact"/>
        <w:rPr>
          <w:sz w:val="20"/>
          <w:szCs w:val="20"/>
          <w:color w:val="auto"/>
        </w:rPr>
      </w:pPr>
    </w:p>
    <w:p>
      <w:pPr>
        <w:ind w:left="760" w:right="900"/>
        <w:spacing w:after="0" w:line="248" w:lineRule="auto"/>
        <w:rPr>
          <w:sz w:val="20"/>
          <w:szCs w:val="20"/>
          <w:color w:val="auto"/>
        </w:rPr>
      </w:pPr>
      <w:r>
        <w:rPr>
          <w:rFonts w:ascii="Arial" w:cs="Arial" w:eastAsia="Arial" w:hAnsi="Arial"/>
          <w:sz w:val="16"/>
          <w:szCs w:val="16"/>
          <w:color w:val="auto"/>
        </w:rPr>
        <w:t>Holders of CDIs and, where applicable, their CREST sponsors or voting service providers should note that Euroclear does not make available special procedures in CREST for any particular messages. Normal system timings and limitations will therefore apply in relation to the transmission of CREST Voting Instructions. It is the responsibility of the CDI holder concerned to take (or, if the CDI holder is a CREST personal member or sponsored member or has appointed a voting service provider, to procure that CREST sponsor or voting service provider takes) such action as shall be necessary to ensure that a CREST Voting Instruction is transmitted by means of the CREST voting service by any particular time. In this connection, CDI holders and, where applicable, their CREST sponsors or voting service providers are referred, in particular, to those sections of the CREST Manual concerning practical limitations of the CREST system and timings.</w:t>
      </w:r>
    </w:p>
    <w:p>
      <w:pPr>
        <w:spacing w:after="0" w:line="72" w:lineRule="exact"/>
        <w:rPr>
          <w:sz w:val="20"/>
          <w:szCs w:val="20"/>
          <w:color w:val="auto"/>
        </w:rPr>
      </w:pPr>
    </w:p>
    <w:p>
      <w:pPr>
        <w:ind w:left="760" w:right="1300"/>
        <w:spacing w:after="0" w:line="260" w:lineRule="auto"/>
        <w:rPr>
          <w:sz w:val="20"/>
          <w:szCs w:val="20"/>
          <w:color w:val="auto"/>
        </w:rPr>
      </w:pPr>
      <w:r>
        <w:rPr>
          <w:rFonts w:ascii="Arial" w:cs="Arial" w:eastAsia="Arial" w:hAnsi="Arial"/>
          <w:sz w:val="16"/>
          <w:szCs w:val="16"/>
          <w:color w:val="auto"/>
        </w:rPr>
        <w:t>We may treat as invalid a CREST Voting Instruction in the circumstances set out in Regulation 35(5)(a) of the Uncertificated Securities Regulations 2001.</w:t>
      </w:r>
    </w:p>
    <w:p>
      <w:pPr>
        <w:spacing w:after="0" w:line="74" w:lineRule="exact"/>
        <w:rPr>
          <w:sz w:val="20"/>
          <w:szCs w:val="20"/>
          <w:color w:val="auto"/>
        </w:rPr>
      </w:pPr>
    </w:p>
    <w:p>
      <w:pPr>
        <w:jc w:val="both"/>
        <w:ind w:left="760" w:right="900"/>
        <w:spacing w:after="0" w:line="260" w:lineRule="auto"/>
        <w:rPr>
          <w:sz w:val="20"/>
          <w:szCs w:val="20"/>
          <w:color w:val="auto"/>
        </w:rPr>
      </w:pPr>
      <w:r>
        <w:rPr>
          <w:rFonts w:ascii="Arial" w:cs="Arial" w:eastAsia="Arial" w:hAnsi="Arial"/>
          <w:sz w:val="16"/>
          <w:szCs w:val="16"/>
          <w:color w:val="auto"/>
        </w:rPr>
        <w:t>After the Voting Agent has received instructions as to how to vote on the resolutions from the CDI holders, it will then complete an omnibus proxy card reflecting such instructions.</w:t>
      </w:r>
    </w:p>
    <w:p>
      <w:pPr>
        <w:spacing w:after="0" w:line="74" w:lineRule="exact"/>
        <w:rPr>
          <w:sz w:val="20"/>
          <w:szCs w:val="20"/>
          <w:color w:val="auto"/>
        </w:rPr>
      </w:pPr>
    </w:p>
    <w:p>
      <w:pPr>
        <w:jc w:val="both"/>
        <w:ind w:left="760" w:right="900"/>
        <w:spacing w:after="0" w:line="253" w:lineRule="auto"/>
        <w:rPr>
          <w:sz w:val="20"/>
          <w:szCs w:val="20"/>
          <w:color w:val="auto"/>
        </w:rPr>
      </w:pPr>
      <w:r>
        <w:rPr>
          <w:rFonts w:ascii="Arial" w:cs="Arial" w:eastAsia="Arial" w:hAnsi="Arial"/>
          <w:sz w:val="16"/>
          <w:szCs w:val="16"/>
          <w:color w:val="auto"/>
        </w:rPr>
        <w:t>If you are a holder of CDIs and you wish to vote in person at the AGM, please contact the Voting Agent, Computershare Investor Services PLC (contact details for whom are set in the Form of Direction to be sent by Computershare Investor Services PLC to all holders of CDIs) to obtain a letter of representation to allow you to attend, speak at and vote at the AGM.</w:t>
      </w:r>
    </w:p>
    <w:p>
      <w:pPr>
        <w:spacing w:after="0" w:line="145" w:lineRule="exact"/>
        <w:rPr>
          <w:sz w:val="20"/>
          <w:szCs w:val="20"/>
          <w:color w:val="auto"/>
        </w:rPr>
      </w:pPr>
    </w:p>
    <w:p>
      <w:pPr>
        <w:ind w:left="760"/>
        <w:spacing w:after="0"/>
        <w:rPr>
          <w:sz w:val="20"/>
          <w:szCs w:val="20"/>
          <w:color w:val="auto"/>
        </w:rPr>
      </w:pPr>
      <w:r>
        <w:rPr>
          <w:rFonts w:ascii="Arial" w:cs="Arial" w:eastAsia="Arial" w:hAnsi="Arial"/>
          <w:sz w:val="20"/>
          <w:szCs w:val="20"/>
          <w:b w:val="1"/>
          <w:bCs w:val="1"/>
          <w:i w:val="1"/>
          <w:iCs w:val="1"/>
          <w:color w:val="FF4C4C"/>
        </w:rPr>
        <w:t>What should I do if I receive more than one Notice, proxy card or Form of Proxy?</w:t>
      </w:r>
    </w:p>
    <w:p>
      <w:pPr>
        <w:spacing w:after="0" w:line="124" w:lineRule="exact"/>
        <w:rPr>
          <w:sz w:val="20"/>
          <w:szCs w:val="20"/>
          <w:color w:val="auto"/>
        </w:rPr>
      </w:pPr>
    </w:p>
    <w:p>
      <w:pPr>
        <w:ind w:left="760" w:right="780"/>
        <w:spacing w:after="0" w:line="250" w:lineRule="auto"/>
        <w:rPr>
          <w:sz w:val="20"/>
          <w:szCs w:val="20"/>
          <w:color w:val="auto"/>
        </w:rPr>
      </w:pPr>
      <w:r>
        <w:rPr>
          <w:rFonts w:ascii="Arial" w:cs="Arial" w:eastAsia="Arial" w:hAnsi="Arial"/>
          <w:sz w:val="16"/>
          <w:szCs w:val="16"/>
          <w:color w:val="auto"/>
        </w:rPr>
        <w:t>If you own some ordinary shares directly in your name as a registered holder and other ordinary shares as a beneficial owner holding through a broker, bank or other nominee, or if you own ordinary shares through more than one broker, bank or other nominee, you may receive multiple Notices and/or proxy cards. It is necessary for you to fill-in, sign and return all of the proxy cards included in the proxy materials you receive (or vote over the Internet or by telephone for each card) and vote separately for each Notice you receive in order for all your shares to be voted.</w:t>
      </w:r>
    </w:p>
    <w:p>
      <w:pPr>
        <w:spacing w:after="0" w:line="160" w:lineRule="exact"/>
        <w:rPr>
          <w:sz w:val="20"/>
          <w:szCs w:val="20"/>
          <w:color w:val="auto"/>
        </w:rPr>
      </w:pPr>
    </w:p>
    <w:p>
      <w:pPr>
        <w:ind w:left="760"/>
        <w:spacing w:after="0"/>
        <w:rPr>
          <w:sz w:val="20"/>
          <w:szCs w:val="20"/>
          <w:color w:val="auto"/>
        </w:rPr>
      </w:pPr>
      <w:r>
        <w:rPr>
          <w:rFonts w:ascii="Arial" w:cs="Arial" w:eastAsia="Arial" w:hAnsi="Arial"/>
          <w:sz w:val="20"/>
          <w:szCs w:val="20"/>
          <w:b w:val="1"/>
          <w:bCs w:val="1"/>
          <w:i w:val="1"/>
          <w:iCs w:val="1"/>
          <w:color w:val="FF4C4C"/>
        </w:rPr>
        <w:t>How is a quorum determined?</w:t>
      </w:r>
    </w:p>
    <w:p>
      <w:pPr>
        <w:spacing w:after="0" w:line="110" w:lineRule="exact"/>
        <w:rPr>
          <w:sz w:val="20"/>
          <w:szCs w:val="20"/>
          <w:color w:val="auto"/>
        </w:rPr>
      </w:pPr>
    </w:p>
    <w:p>
      <w:pPr>
        <w:ind w:left="760" w:right="860"/>
        <w:spacing w:after="0" w:line="251" w:lineRule="auto"/>
        <w:rPr>
          <w:sz w:val="20"/>
          <w:szCs w:val="20"/>
          <w:color w:val="auto"/>
        </w:rPr>
      </w:pPr>
      <w:r>
        <w:rPr>
          <w:rFonts w:ascii="Arial" w:cs="Arial" w:eastAsia="Arial" w:hAnsi="Arial"/>
          <w:sz w:val="16"/>
          <w:szCs w:val="16"/>
          <w:color w:val="auto"/>
        </w:rPr>
        <w:t>The presence of the holders of record of shares in the Company who together represent at least the majority of the voting rights of all the shareholders of record entitled to vote, present in person or by proxy, at the AGM is necessary to constitute a quorum. Abstentions and broker non-votes will be counted as present and entitled to vote for the purposes of determining a quorum at the AGM.</w:t>
      </w:r>
    </w:p>
    <w:p>
      <w:pPr>
        <w:spacing w:after="0" w:line="159" w:lineRule="exact"/>
        <w:rPr>
          <w:sz w:val="20"/>
          <w:szCs w:val="20"/>
          <w:color w:val="auto"/>
        </w:rPr>
      </w:pPr>
    </w:p>
    <w:p>
      <w:pPr>
        <w:ind w:left="760"/>
        <w:spacing w:after="0"/>
        <w:rPr>
          <w:sz w:val="20"/>
          <w:szCs w:val="20"/>
          <w:color w:val="auto"/>
        </w:rPr>
      </w:pPr>
      <w:r>
        <w:rPr>
          <w:rFonts w:ascii="Arial" w:cs="Arial" w:eastAsia="Arial" w:hAnsi="Arial"/>
          <w:sz w:val="20"/>
          <w:szCs w:val="20"/>
          <w:b w:val="1"/>
          <w:bCs w:val="1"/>
          <w:i w:val="1"/>
          <w:iCs w:val="1"/>
          <w:color w:val="FF4C4C"/>
        </w:rPr>
        <w:t>What are “routine” and “non-routine” matters and what are “broker non-votes”?</w:t>
      </w:r>
    </w:p>
    <w:p>
      <w:pPr>
        <w:spacing w:after="0" w:line="124" w:lineRule="exact"/>
        <w:rPr>
          <w:sz w:val="20"/>
          <w:szCs w:val="20"/>
          <w:color w:val="auto"/>
        </w:rPr>
      </w:pPr>
    </w:p>
    <w:p>
      <w:pPr>
        <w:ind w:left="760" w:right="940"/>
        <w:spacing w:after="0" w:line="253" w:lineRule="auto"/>
        <w:rPr>
          <w:sz w:val="20"/>
          <w:szCs w:val="20"/>
          <w:color w:val="auto"/>
        </w:rPr>
      </w:pPr>
      <w:r>
        <w:rPr>
          <w:rFonts w:ascii="Arial" w:cs="Arial" w:eastAsia="Arial" w:hAnsi="Arial"/>
          <w:sz w:val="16"/>
          <w:szCs w:val="16"/>
          <w:color w:val="auto"/>
        </w:rPr>
        <w:t>Under the rules and interpretations of the New York Stock Exchange (which by extension imposed by the SEC apply to all US brokers), “non-routine” matters are matters that may substantially affect the rights or privileges of shareholders, such as mergers, shareholder proposals, elections of directors (even if not contested) and executive compensation, including advisory</w:t>
      </w:r>
    </w:p>
    <w:p>
      <w:pPr>
        <w:spacing w:after="0" w:line="285" w:lineRule="exact"/>
        <w:rPr>
          <w:sz w:val="20"/>
          <w:szCs w:val="20"/>
          <w:color w:val="auto"/>
        </w:rPr>
      </w:pPr>
    </w:p>
    <w:tbl>
      <w:tblPr>
        <w:tblLayout w:type="fixed"/>
        <w:tblInd w:w="0" w:type="dxa"/>
        <w:tblCellMar>
          <w:top w:w="0" w:type="dxa"/>
          <w:left w:w="0" w:type="dxa"/>
          <w:bottom w:w="0" w:type="dxa"/>
          <w:right w:w="0" w:type="dxa"/>
        </w:tblCellMar>
      </w:tblPr>
      <w:tr>
        <w:trPr>
          <w:trHeight w:val="116"/>
        </w:trPr>
        <w:tc>
          <w:tcPr>
            <w:tcW w:w="820" w:type="dxa"/>
            <w:vAlign w:val="bottom"/>
            <w:vMerge w:val="restart"/>
          </w:tcPr>
          <w:p>
            <w:pPr>
              <w:spacing w:after="0"/>
              <w:rPr>
                <w:sz w:val="10"/>
                <w:szCs w:val="10"/>
                <w:color w:val="auto"/>
              </w:rPr>
            </w:pPr>
          </w:p>
        </w:tc>
        <w:tc>
          <w:tcPr>
            <w:tcW w:w="3080" w:type="dxa"/>
            <w:vAlign w:val="bottom"/>
            <w:tcBorders>
              <w:bottom w:val="single" w:sz="8" w:color="auto"/>
            </w:tcBorders>
          </w:tcPr>
          <w:p>
            <w:pPr>
              <w:spacing w:after="0"/>
              <w:rPr>
                <w:sz w:val="10"/>
                <w:szCs w:val="10"/>
                <w:color w:val="auto"/>
              </w:rPr>
            </w:pPr>
          </w:p>
        </w:tc>
        <w:tc>
          <w:tcPr>
            <w:tcW w:w="2800" w:type="dxa"/>
            <w:vAlign w:val="bottom"/>
            <w:vMerge w:val="restart"/>
          </w:tcPr>
          <w:p>
            <w:pPr>
              <w:ind w:left="440"/>
              <w:spacing w:after="0"/>
              <w:rPr>
                <w:sz w:val="20"/>
                <w:szCs w:val="20"/>
                <w:color w:val="auto"/>
              </w:rPr>
            </w:pPr>
            <w:r>
              <w:rPr>
                <w:rFonts w:ascii="Arial" w:cs="Arial" w:eastAsia="Arial" w:hAnsi="Arial"/>
                <w:sz w:val="13"/>
                <w:szCs w:val="13"/>
                <w:b w:val="1"/>
                <w:bCs w:val="1"/>
                <w:color w:val="4800E6"/>
              </w:rPr>
              <w:t xml:space="preserve">LIVANOVA </w:t>
            </w:r>
            <w:r>
              <w:rPr>
                <w:rFonts w:ascii="Arial" w:cs="Arial" w:eastAsia="Arial" w:hAnsi="Arial"/>
                <w:sz w:val="13"/>
                <w:szCs w:val="13"/>
                <w:color w:val="000000"/>
              </w:rPr>
              <w:t>|</w:t>
            </w:r>
            <w:r>
              <w:rPr>
                <w:rFonts w:ascii="Arial" w:cs="Arial" w:eastAsia="Arial" w:hAnsi="Arial"/>
                <w:sz w:val="13"/>
                <w:szCs w:val="13"/>
                <w:b w:val="1"/>
                <w:bCs w:val="1"/>
                <w:color w:val="4800E6"/>
              </w:rPr>
              <w:t xml:space="preserve"> </w:t>
            </w:r>
            <w:r>
              <w:rPr>
                <w:rFonts w:ascii="Arial" w:cs="Arial" w:eastAsia="Arial" w:hAnsi="Arial"/>
                <w:sz w:val="13"/>
                <w:szCs w:val="13"/>
                <w:color w:val="4800E6"/>
              </w:rPr>
              <w:t>2020</w:t>
            </w:r>
            <w:r>
              <w:rPr>
                <w:rFonts w:ascii="Arial" w:cs="Arial" w:eastAsia="Arial" w:hAnsi="Arial"/>
                <w:sz w:val="13"/>
                <w:szCs w:val="13"/>
                <w:b w:val="1"/>
                <w:bCs w:val="1"/>
                <w:color w:val="4800E6"/>
              </w:rPr>
              <w:t xml:space="preserve"> </w:t>
            </w:r>
            <w:r>
              <w:rPr>
                <w:rFonts w:ascii="Arial" w:cs="Arial" w:eastAsia="Arial" w:hAnsi="Arial"/>
                <w:sz w:val="13"/>
                <w:szCs w:val="13"/>
                <w:color w:val="000000"/>
              </w:rPr>
              <w:t>Proxy Statement</w:t>
            </w:r>
          </w:p>
        </w:tc>
        <w:tc>
          <w:tcPr>
            <w:tcW w:w="3080" w:type="dxa"/>
            <w:vAlign w:val="bottom"/>
            <w:tcBorders>
              <w:bottom w:val="single" w:sz="8" w:color="auto"/>
            </w:tcBorders>
          </w:tcPr>
          <w:p>
            <w:pPr>
              <w:spacing w:after="0"/>
              <w:rPr>
                <w:sz w:val="10"/>
                <w:szCs w:val="10"/>
                <w:color w:val="auto"/>
              </w:rPr>
            </w:pPr>
          </w:p>
        </w:tc>
        <w:tc>
          <w:tcPr>
            <w:tcW w:w="940" w:type="dxa"/>
            <w:vAlign w:val="bottom"/>
            <w:vMerge w:val="restart"/>
          </w:tcPr>
          <w:p>
            <w:pPr>
              <w:jc w:val="right"/>
              <w:ind w:right="468"/>
              <w:spacing w:after="0"/>
              <w:rPr>
                <w:sz w:val="20"/>
                <w:szCs w:val="20"/>
                <w:color w:val="auto"/>
              </w:rPr>
            </w:pPr>
            <w:r>
              <w:rPr>
                <w:rFonts w:ascii="Arial" w:cs="Arial" w:eastAsia="Arial" w:hAnsi="Arial"/>
                <w:sz w:val="14"/>
                <w:szCs w:val="14"/>
                <w:b w:val="1"/>
                <w:bCs w:val="1"/>
                <w:color w:val="auto"/>
              </w:rPr>
              <w:t>70</w:t>
            </w:r>
          </w:p>
        </w:tc>
        <w:tc>
          <w:tcPr>
            <w:tcW w:w="0" w:type="dxa"/>
            <w:vAlign w:val="bottom"/>
          </w:tcPr>
          <w:p>
            <w:pPr>
              <w:spacing w:after="0"/>
              <w:rPr>
                <w:sz w:val="1"/>
                <w:szCs w:val="1"/>
                <w:color w:val="auto"/>
              </w:rPr>
            </w:pPr>
          </w:p>
        </w:tc>
      </w:tr>
      <w:tr>
        <w:trPr>
          <w:trHeight w:val="63"/>
        </w:trPr>
        <w:tc>
          <w:tcPr>
            <w:tcW w:w="820" w:type="dxa"/>
            <w:vAlign w:val="bottom"/>
            <w:vMerge w:val="continue"/>
          </w:tcPr>
          <w:p>
            <w:pPr>
              <w:spacing w:after="0"/>
              <w:rPr>
                <w:sz w:val="5"/>
                <w:szCs w:val="5"/>
                <w:color w:val="auto"/>
              </w:rPr>
            </w:pPr>
          </w:p>
        </w:tc>
        <w:tc>
          <w:tcPr>
            <w:tcW w:w="3080" w:type="dxa"/>
            <w:vAlign w:val="bottom"/>
          </w:tcPr>
          <w:p>
            <w:pPr>
              <w:spacing w:after="0"/>
              <w:rPr>
                <w:sz w:val="5"/>
                <w:szCs w:val="5"/>
                <w:color w:val="auto"/>
              </w:rPr>
            </w:pPr>
          </w:p>
        </w:tc>
        <w:tc>
          <w:tcPr>
            <w:tcW w:w="2800" w:type="dxa"/>
            <w:vAlign w:val="bottom"/>
            <w:vMerge w:val="continue"/>
          </w:tcPr>
          <w:p>
            <w:pPr>
              <w:spacing w:after="0"/>
              <w:rPr>
                <w:sz w:val="5"/>
                <w:szCs w:val="5"/>
                <w:color w:val="auto"/>
              </w:rPr>
            </w:pPr>
          </w:p>
        </w:tc>
        <w:tc>
          <w:tcPr>
            <w:tcW w:w="3080" w:type="dxa"/>
            <w:vAlign w:val="bottom"/>
          </w:tcPr>
          <w:p>
            <w:pPr>
              <w:spacing w:after="0"/>
              <w:rPr>
                <w:sz w:val="5"/>
                <w:szCs w:val="5"/>
                <w:color w:val="auto"/>
              </w:rPr>
            </w:pPr>
          </w:p>
        </w:tc>
        <w:tc>
          <w:tcPr>
            <w:tcW w:w="94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40"/>
        </w:trPr>
        <w:tc>
          <w:tcPr>
            <w:tcW w:w="820" w:type="dxa"/>
            <w:vAlign w:val="bottom"/>
            <w:tcBorders>
              <w:bottom w:val="single" w:sz="8" w:color="9A9A9A"/>
            </w:tcBorders>
          </w:tcPr>
          <w:p>
            <w:pPr>
              <w:spacing w:after="0"/>
              <w:rPr>
                <w:sz w:val="12"/>
                <w:szCs w:val="12"/>
                <w:color w:val="auto"/>
              </w:rPr>
            </w:pPr>
          </w:p>
        </w:tc>
        <w:tc>
          <w:tcPr>
            <w:tcW w:w="3080" w:type="dxa"/>
            <w:vAlign w:val="bottom"/>
            <w:tcBorders>
              <w:bottom w:val="single" w:sz="8" w:color="9A9A9A"/>
            </w:tcBorders>
          </w:tcPr>
          <w:p>
            <w:pPr>
              <w:spacing w:after="0"/>
              <w:rPr>
                <w:sz w:val="12"/>
                <w:szCs w:val="12"/>
                <w:color w:val="auto"/>
              </w:rPr>
            </w:pPr>
          </w:p>
        </w:tc>
        <w:tc>
          <w:tcPr>
            <w:tcW w:w="2800" w:type="dxa"/>
            <w:vAlign w:val="bottom"/>
            <w:tcBorders>
              <w:bottom w:val="single" w:sz="8" w:color="9A9A9A"/>
            </w:tcBorders>
          </w:tcPr>
          <w:p>
            <w:pPr>
              <w:spacing w:after="0"/>
              <w:rPr>
                <w:sz w:val="12"/>
                <w:szCs w:val="12"/>
                <w:color w:val="auto"/>
              </w:rPr>
            </w:pPr>
          </w:p>
        </w:tc>
        <w:tc>
          <w:tcPr>
            <w:tcW w:w="3080" w:type="dxa"/>
            <w:vAlign w:val="bottom"/>
            <w:tcBorders>
              <w:bottom w:val="single" w:sz="8" w:color="9A9A9A"/>
            </w:tcBorders>
          </w:tcPr>
          <w:p>
            <w:pPr>
              <w:spacing w:after="0"/>
              <w:rPr>
                <w:sz w:val="12"/>
                <w:szCs w:val="12"/>
                <w:color w:val="auto"/>
              </w:rPr>
            </w:pPr>
          </w:p>
        </w:tc>
        <w:tc>
          <w:tcPr>
            <w:tcW w:w="940" w:type="dxa"/>
            <w:vAlign w:val="bottom"/>
            <w:tcBorders>
              <w:bottom w:val="single" w:sz="8" w:color="9A9A9A"/>
            </w:tcBorders>
          </w:tcPr>
          <w:p>
            <w:pPr>
              <w:spacing w:after="0"/>
              <w:rPr>
                <w:sz w:val="12"/>
                <w:szCs w:val="12"/>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6802755</wp:posOffset>
            </wp:positionH>
            <wp:positionV relativeFrom="paragraph">
              <wp:posOffset>-8255</wp:posOffset>
            </wp:positionV>
            <wp:extent cx="8255" cy="8890"/>
            <wp:wrapNone/>
            <wp:docPr id="343" name="Picture 3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3"/>
                    <pic:cNvPicPr>
                      <a:picLocks noChangeAspect="1" noChangeArrowheads="1"/>
                    </pic:cNvPicPr>
                  </pic:nvPicPr>
                  <pic:blipFill>
                    <a:blip r:embed="rId350">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wp:posOffset>
            </wp:positionV>
            <wp:extent cx="8890" cy="17145"/>
            <wp:wrapNone/>
            <wp:docPr id="344" name="Picture 3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4"/>
                    <pic:cNvPicPr>
                      <a:picLocks noChangeAspect="1" noChangeArrowheads="1"/>
                    </pic:cNvPicPr>
                  </pic:nvPicPr>
                  <pic:blipFill>
                    <a:blip r:embed="rId351">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sectPr>
          <w:pgSz w:w="11900" w:h="16838" w:orient="portrait"/>
          <w:cols w:equalWidth="0" w:num="1">
            <w:col w:w="10720"/>
          </w:cols>
          <w:pgMar w:left="320" w:top="132" w:right="859" w:bottom="1440" w:gutter="0" w:footer="0" w:header="0"/>
        </w:sectPr>
      </w:pPr>
    </w:p>
    <w:bookmarkStart w:id="74" w:name="page75"/>
    <w:bookmarkEnd w:id="74"/>
    <w:p>
      <w:pPr>
        <w:spacing w:after="0"/>
        <w:rPr>
          <w:rFonts w:ascii="Arial" w:cs="Arial" w:eastAsia="Arial" w:hAnsi="Arial"/>
          <w:sz w:val="14"/>
          <w:szCs w:val="14"/>
          <w:color w:val="003366"/>
        </w:rPr>
      </w:pPr>
      <w:hyperlink w:anchor="page5">
        <w:r>
          <w:rPr>
            <w:rFonts w:ascii="Arial" w:cs="Arial" w:eastAsia="Arial" w:hAnsi="Arial"/>
            <w:sz w:val="14"/>
            <w:szCs w:val="14"/>
            <w:color w:val="003366"/>
          </w:rPr>
          <w:t>TABLE OF CONTENTS</w:t>
        </w:r>
      </w:hyperlink>
    </w:p>
    <w:p>
      <w:pPr>
        <w:spacing w:after="0" w:line="338" w:lineRule="exact"/>
        <w:rPr>
          <w:sz w:val="20"/>
          <w:szCs w:val="20"/>
          <w:color w:val="auto"/>
        </w:rPr>
      </w:pPr>
    </w:p>
    <w:p>
      <w:pPr>
        <w:ind w:left="760"/>
        <w:spacing w:after="0"/>
        <w:rPr>
          <w:sz w:val="20"/>
          <w:szCs w:val="20"/>
          <w:color w:val="auto"/>
        </w:rPr>
      </w:pPr>
      <w:r>
        <w:rPr>
          <w:rFonts w:ascii="Arial" w:cs="Arial" w:eastAsia="Arial" w:hAnsi="Arial"/>
          <w:sz w:val="13"/>
          <w:szCs w:val="13"/>
          <w:b w:val="1"/>
          <w:bCs w:val="1"/>
          <w:color w:val="auto"/>
        </w:rPr>
        <w:t xml:space="preserve">General </w:t>
      </w:r>
      <w:r>
        <w:rPr>
          <w:rFonts w:ascii="Arial" w:cs="Arial" w:eastAsia="Arial" w:hAnsi="Arial"/>
          <w:sz w:val="13"/>
          <w:szCs w:val="13"/>
          <w:b w:val="1"/>
          <w:bCs w:val="1"/>
          <w:color w:val="666666"/>
        </w:rPr>
        <w:t>Matters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485140</wp:posOffset>
            </wp:positionH>
            <wp:positionV relativeFrom="paragraph">
              <wp:posOffset>30480</wp:posOffset>
            </wp:positionV>
            <wp:extent cx="5829300" cy="8890"/>
            <wp:wrapNone/>
            <wp:docPr id="345" name="Picture 3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5"/>
                    <pic:cNvPicPr>
                      <a:picLocks noChangeAspect="1" noChangeArrowheads="1"/>
                    </pic:cNvPicPr>
                  </pic:nvPicPr>
                  <pic:blipFill>
                    <a:blip r:embed="rId352">
                      <a:extLst>
                        <a:ext uri="{28A0092B-C50C-407E-A947-70E740481C1C}"/>
                      </a:extLst>
                    </a:blip>
                    <a:srcRect/>
                    <a:stretch>
                      <a:fillRect/>
                    </a:stretch>
                  </pic:blipFill>
                  <pic:spPr bwMode="auto">
                    <a:xfrm>
                      <a:off x="0" y="0"/>
                      <a:ext cx="5829300" cy="8890"/>
                    </a:xfrm>
                    <a:prstGeom prst="rect">
                      <a:avLst/>
                    </a:prstGeom>
                    <a:noFill/>
                  </pic:spPr>
                </pic:pic>
              </a:graphicData>
            </a:graphic>
          </wp:anchor>
        </w:drawing>
      </w:r>
    </w:p>
    <w:p>
      <w:pPr>
        <w:spacing w:after="0" w:line="60" w:lineRule="exact"/>
        <w:rPr>
          <w:sz w:val="20"/>
          <w:szCs w:val="20"/>
          <w:color w:val="auto"/>
        </w:rPr>
      </w:pPr>
    </w:p>
    <w:p>
      <w:pPr>
        <w:ind w:left="760"/>
        <w:spacing w:after="0"/>
        <w:rPr>
          <w:sz w:val="20"/>
          <w:szCs w:val="20"/>
          <w:color w:val="auto"/>
        </w:rPr>
      </w:pPr>
      <w:r>
        <w:rPr>
          <w:rFonts w:ascii="Arial" w:cs="Arial" w:eastAsia="Arial" w:hAnsi="Arial"/>
          <w:sz w:val="13"/>
          <w:szCs w:val="13"/>
          <w:b w:val="1"/>
          <w:bCs w:val="1"/>
          <w:color w:val="4800E6"/>
        </w:rPr>
        <w:t>Frequently Asked Questions About the AGM</w:t>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ind w:left="760" w:right="799"/>
        <w:spacing w:after="0" w:line="253" w:lineRule="auto"/>
        <w:rPr>
          <w:sz w:val="20"/>
          <w:szCs w:val="20"/>
          <w:color w:val="auto"/>
        </w:rPr>
      </w:pPr>
      <w:r>
        <w:rPr>
          <w:rFonts w:ascii="Arial" w:cs="Arial" w:eastAsia="Arial" w:hAnsi="Arial"/>
          <w:sz w:val="16"/>
          <w:szCs w:val="16"/>
          <w:color w:val="auto"/>
        </w:rPr>
        <w:t>shareholder votes on executive compensation and on the frequency of shareholder votes on executive compensation. The ratification of the selection of the independent registered public accounting firm for both the US and the UK are generally considered to be “routine.”</w:t>
      </w:r>
    </w:p>
    <w:p>
      <w:pPr>
        <w:spacing w:after="0" w:line="80" w:lineRule="exact"/>
        <w:rPr>
          <w:sz w:val="20"/>
          <w:szCs w:val="20"/>
          <w:color w:val="auto"/>
        </w:rPr>
      </w:pPr>
    </w:p>
    <w:p>
      <w:pPr>
        <w:ind w:left="760" w:right="499"/>
        <w:spacing w:after="0" w:line="260" w:lineRule="auto"/>
        <w:rPr>
          <w:sz w:val="20"/>
          <w:szCs w:val="20"/>
          <w:color w:val="auto"/>
        </w:rPr>
      </w:pPr>
      <w:r>
        <w:rPr>
          <w:rFonts w:ascii="Arial" w:cs="Arial" w:eastAsia="Arial" w:hAnsi="Arial"/>
          <w:sz w:val="16"/>
          <w:szCs w:val="16"/>
          <w:color w:val="auto"/>
        </w:rPr>
        <w:t>Brokers, banks or other nominees generally have discretionary voting power with respect to routine matters but not non-routine matters.</w:t>
      </w:r>
    </w:p>
    <w:p>
      <w:pPr>
        <w:spacing w:after="0" w:line="74" w:lineRule="exact"/>
        <w:rPr>
          <w:sz w:val="20"/>
          <w:szCs w:val="20"/>
          <w:color w:val="auto"/>
        </w:rPr>
      </w:pPr>
    </w:p>
    <w:p>
      <w:pPr>
        <w:ind w:left="760" w:right="319"/>
        <w:spacing w:after="0" w:line="248" w:lineRule="auto"/>
        <w:rPr>
          <w:sz w:val="20"/>
          <w:szCs w:val="20"/>
          <w:color w:val="auto"/>
        </w:rPr>
      </w:pPr>
      <w:r>
        <w:rPr>
          <w:rFonts w:ascii="Arial" w:cs="Arial" w:eastAsia="Arial" w:hAnsi="Arial"/>
          <w:sz w:val="16"/>
          <w:szCs w:val="16"/>
          <w:color w:val="auto"/>
        </w:rPr>
        <w:t>If you own your ordinary shares through a bank, broker or other nominee and you do not provide them with specific voting instructions, the bank, broker or nominee will be permitted to vote only on routine matters and will submit a “broker non-vote” on non-routine matters. At our AGM, only the ratification of the selection of the independent registered public accounting firms is considered routine and accordingly, those are the only proposals on which a bank, broker or other nominee can vote without instructions. All other proposals being considered at the AGM are considered to be non-routine matters. Brokers, banks and other nominees may not vote on your behalf on these matters unless you have provided instructions from you on how to vote your shares.</w:t>
      </w:r>
    </w:p>
    <w:p>
      <w:pPr>
        <w:spacing w:after="0" w:line="73" w:lineRule="exact"/>
        <w:rPr>
          <w:sz w:val="20"/>
          <w:szCs w:val="20"/>
          <w:color w:val="auto"/>
        </w:rPr>
      </w:pPr>
    </w:p>
    <w:p>
      <w:pPr>
        <w:ind w:left="760"/>
        <w:spacing w:after="0"/>
        <w:rPr>
          <w:sz w:val="20"/>
          <w:szCs w:val="20"/>
          <w:color w:val="auto"/>
        </w:rPr>
      </w:pPr>
      <w:r>
        <w:rPr>
          <w:rFonts w:ascii="Arial" w:cs="Arial" w:eastAsia="Arial" w:hAnsi="Arial"/>
          <w:sz w:val="16"/>
          <w:szCs w:val="16"/>
          <w:color w:val="auto"/>
        </w:rPr>
        <w:t>Broker non-votes will be counted for the purpose of determining whether a quorum is present at the AGM.</w:t>
      </w:r>
    </w:p>
    <w:p>
      <w:pPr>
        <w:spacing w:after="0" w:line="178" w:lineRule="exact"/>
        <w:rPr>
          <w:sz w:val="20"/>
          <w:szCs w:val="20"/>
          <w:color w:val="auto"/>
        </w:rPr>
      </w:pPr>
    </w:p>
    <w:p>
      <w:pPr>
        <w:ind w:left="760"/>
        <w:spacing w:after="0"/>
        <w:rPr>
          <w:sz w:val="20"/>
          <w:szCs w:val="20"/>
          <w:color w:val="auto"/>
        </w:rPr>
      </w:pPr>
      <w:r>
        <w:rPr>
          <w:rFonts w:ascii="Arial" w:cs="Arial" w:eastAsia="Arial" w:hAnsi="Arial"/>
          <w:sz w:val="20"/>
          <w:szCs w:val="20"/>
          <w:b w:val="1"/>
          <w:bCs w:val="1"/>
          <w:i w:val="1"/>
          <w:iCs w:val="1"/>
          <w:color w:val="FF4C4C"/>
        </w:rPr>
        <w:t>What are the voting requirements to approve the resolutions?</w:t>
      </w:r>
    </w:p>
    <w:p>
      <w:pPr>
        <w:spacing w:after="0" w:line="124" w:lineRule="exact"/>
        <w:rPr>
          <w:sz w:val="20"/>
          <w:szCs w:val="20"/>
          <w:color w:val="auto"/>
        </w:rPr>
      </w:pPr>
    </w:p>
    <w:p>
      <w:pPr>
        <w:ind w:left="760" w:right="559"/>
        <w:spacing w:after="0" w:line="260" w:lineRule="auto"/>
        <w:rPr>
          <w:sz w:val="20"/>
          <w:szCs w:val="20"/>
          <w:color w:val="auto"/>
        </w:rPr>
      </w:pPr>
      <w:r>
        <w:rPr>
          <w:rFonts w:ascii="Arial" w:cs="Arial" w:eastAsia="Arial" w:hAnsi="Arial"/>
          <w:sz w:val="16"/>
          <w:szCs w:val="16"/>
          <w:color w:val="auto"/>
        </w:rPr>
        <w:t>In accordance with the Articles, all resolutions will be taken on a poll. Voting on a poll will mean that each share represented in person or by proxy will be counted in the vote.</w:t>
      </w:r>
    </w:p>
    <w:p>
      <w:pPr>
        <w:spacing w:after="0" w:line="60" w:lineRule="exact"/>
        <w:rPr>
          <w:sz w:val="20"/>
          <w:szCs w:val="20"/>
          <w:color w:val="auto"/>
        </w:rPr>
      </w:pPr>
    </w:p>
    <w:p>
      <w:pPr>
        <w:ind w:left="760"/>
        <w:spacing w:after="0"/>
        <w:rPr>
          <w:sz w:val="20"/>
          <w:szCs w:val="20"/>
          <w:color w:val="auto"/>
        </w:rPr>
      </w:pPr>
      <w:r>
        <w:rPr>
          <w:rFonts w:ascii="Arial" w:cs="Arial" w:eastAsia="Arial" w:hAnsi="Arial"/>
          <w:sz w:val="16"/>
          <w:szCs w:val="16"/>
          <w:color w:val="auto"/>
        </w:rPr>
        <w:t>Please see the discussion under each proposal for a detailed explanation of the voting requirement for each proposal.</w:t>
      </w:r>
    </w:p>
    <w:p>
      <w:pPr>
        <w:spacing w:after="0" w:line="178" w:lineRule="exact"/>
        <w:rPr>
          <w:sz w:val="20"/>
          <w:szCs w:val="20"/>
          <w:color w:val="auto"/>
        </w:rPr>
      </w:pPr>
    </w:p>
    <w:p>
      <w:pPr>
        <w:ind w:left="760"/>
        <w:spacing w:after="0"/>
        <w:rPr>
          <w:sz w:val="20"/>
          <w:szCs w:val="20"/>
          <w:color w:val="auto"/>
        </w:rPr>
      </w:pPr>
      <w:r>
        <w:rPr>
          <w:rFonts w:ascii="Arial" w:cs="Arial" w:eastAsia="Arial" w:hAnsi="Arial"/>
          <w:sz w:val="20"/>
          <w:szCs w:val="20"/>
          <w:b w:val="1"/>
          <w:bCs w:val="1"/>
          <w:i w:val="1"/>
          <w:iCs w:val="1"/>
          <w:color w:val="FF4C4C"/>
        </w:rPr>
        <w:t>Can I change my vote or revoke my proxy?</w:t>
      </w:r>
    </w:p>
    <w:p>
      <w:pPr>
        <w:spacing w:after="0" w:line="104" w:lineRule="exact"/>
        <w:rPr>
          <w:sz w:val="20"/>
          <w:szCs w:val="20"/>
          <w:color w:val="auto"/>
        </w:rPr>
      </w:pPr>
    </w:p>
    <w:p>
      <w:pPr>
        <w:ind w:left="760" w:right="399"/>
        <w:spacing w:after="0" w:line="277" w:lineRule="auto"/>
        <w:rPr>
          <w:sz w:val="20"/>
          <w:szCs w:val="20"/>
          <w:color w:val="auto"/>
        </w:rPr>
      </w:pPr>
      <w:r>
        <w:rPr>
          <w:rFonts w:ascii="Arial" w:cs="Arial" w:eastAsia="Arial" w:hAnsi="Arial"/>
          <w:sz w:val="16"/>
          <w:szCs w:val="16"/>
          <w:b w:val="1"/>
          <w:bCs w:val="1"/>
          <w:color w:val="auto"/>
        </w:rPr>
        <w:t>If you are a shareholder of record</w:t>
      </w:r>
      <w:r>
        <w:rPr>
          <w:rFonts w:ascii="Arial" w:cs="Arial" w:eastAsia="Arial" w:hAnsi="Arial"/>
          <w:sz w:val="16"/>
          <w:szCs w:val="16"/>
          <w:color w:val="auto"/>
        </w:rPr>
        <w:t>, you can change how you wish to instruct the proxy to vote or revoke your proxy at any time</w:t>
      </w:r>
      <w:r>
        <w:rPr>
          <w:rFonts w:ascii="Arial" w:cs="Arial" w:eastAsia="Arial" w:hAnsi="Arial"/>
          <w:sz w:val="16"/>
          <w:szCs w:val="16"/>
          <w:b w:val="1"/>
          <w:bCs w:val="1"/>
          <w:color w:val="auto"/>
        </w:rPr>
        <w:t xml:space="preserve"> </w:t>
      </w:r>
      <w:r>
        <w:rPr>
          <w:rFonts w:ascii="Arial" w:cs="Arial" w:eastAsia="Arial" w:hAnsi="Arial"/>
          <w:sz w:val="16"/>
          <w:szCs w:val="16"/>
          <w:color w:val="auto"/>
        </w:rPr>
        <w:t>before the AGM, by:</w:t>
      </w:r>
    </w:p>
    <w:p>
      <w:pPr>
        <w:ind w:left="920" w:right="399" w:hanging="156"/>
        <w:spacing w:after="0" w:line="253" w:lineRule="auto"/>
        <w:tabs>
          <w:tab w:leader="none" w:pos="920" w:val="left"/>
        </w:tabs>
        <w:numPr>
          <w:ilvl w:val="0"/>
          <w:numId w:val="91"/>
        </w:numPr>
        <w:rPr>
          <w:rFonts w:ascii="Arial" w:cs="Arial" w:eastAsia="Arial" w:hAnsi="Arial"/>
          <w:sz w:val="16"/>
          <w:szCs w:val="16"/>
          <w:color w:val="4800E6"/>
        </w:rPr>
      </w:pPr>
      <w:r>
        <w:rPr>
          <w:rFonts w:ascii="Arial" w:cs="Arial" w:eastAsia="Arial" w:hAnsi="Arial"/>
          <w:sz w:val="16"/>
          <w:szCs w:val="16"/>
          <w:color w:val="auto"/>
        </w:rPr>
        <w:t>delivering a valid, later-dated proxy card prior to the cut-off time for receipt of proxies, in which case your later-submitted proxy will be recorded and your earlier proxy revoked. Any later-dated proxy card received after the relevant cut-off time will be disregarded;</w:t>
      </w:r>
    </w:p>
    <w:p>
      <w:pPr>
        <w:spacing w:after="0" w:line="25" w:lineRule="exact"/>
        <w:rPr>
          <w:rFonts w:ascii="Arial" w:cs="Arial" w:eastAsia="Arial" w:hAnsi="Arial"/>
          <w:sz w:val="16"/>
          <w:szCs w:val="16"/>
          <w:color w:val="4800E6"/>
        </w:rPr>
      </w:pPr>
    </w:p>
    <w:p>
      <w:pPr>
        <w:jc w:val="both"/>
        <w:ind w:left="920" w:right="779" w:hanging="156"/>
        <w:spacing w:after="0" w:line="291" w:lineRule="auto"/>
        <w:tabs>
          <w:tab w:leader="none" w:pos="920" w:val="left"/>
        </w:tabs>
        <w:numPr>
          <w:ilvl w:val="0"/>
          <w:numId w:val="91"/>
        </w:numPr>
        <w:rPr>
          <w:rFonts w:ascii="Arial" w:cs="Arial" w:eastAsia="Arial" w:hAnsi="Arial"/>
          <w:sz w:val="15"/>
          <w:szCs w:val="15"/>
          <w:color w:val="4800E6"/>
        </w:rPr>
      </w:pPr>
      <w:r>
        <w:rPr>
          <w:rFonts w:ascii="Arial" w:cs="Arial" w:eastAsia="Arial" w:hAnsi="Arial"/>
          <w:sz w:val="15"/>
          <w:szCs w:val="15"/>
          <w:color w:val="auto"/>
        </w:rPr>
        <w:t>amending your Internet or telephone proxy instruction prior to the cut-off time for receipt of proxies, whereby your original instruction will be superseded. Any amended proxy instruction received after the relevant cut-off time will be disregarded;</w:t>
      </w:r>
    </w:p>
    <w:p>
      <w:pPr>
        <w:ind w:left="920" w:right="199" w:hanging="156"/>
        <w:spacing w:after="0" w:line="260" w:lineRule="auto"/>
        <w:tabs>
          <w:tab w:leader="none" w:pos="920" w:val="left"/>
        </w:tabs>
        <w:numPr>
          <w:ilvl w:val="0"/>
          <w:numId w:val="91"/>
        </w:numPr>
        <w:rPr>
          <w:rFonts w:ascii="Arial" w:cs="Arial" w:eastAsia="Arial" w:hAnsi="Arial"/>
          <w:sz w:val="16"/>
          <w:szCs w:val="16"/>
          <w:color w:val="4800E6"/>
        </w:rPr>
      </w:pPr>
      <w:r>
        <w:rPr>
          <w:rFonts w:ascii="Arial" w:cs="Arial" w:eastAsia="Arial" w:hAnsi="Arial"/>
          <w:sz w:val="16"/>
          <w:szCs w:val="16"/>
          <w:color w:val="auto"/>
        </w:rPr>
        <w:t>sending written notice to the office of the Company Secretary at the Company’s registered office, which must be received at least 24 hours prior to the start of the AGM; or</w:t>
      </w:r>
    </w:p>
    <w:p>
      <w:pPr>
        <w:spacing w:after="0" w:line="19" w:lineRule="exact"/>
        <w:rPr>
          <w:rFonts w:ascii="Arial" w:cs="Arial" w:eastAsia="Arial" w:hAnsi="Arial"/>
          <w:sz w:val="16"/>
          <w:szCs w:val="16"/>
          <w:color w:val="4800E6"/>
        </w:rPr>
      </w:pPr>
    </w:p>
    <w:p>
      <w:pPr>
        <w:ind w:left="920" w:hanging="156"/>
        <w:spacing w:after="0"/>
        <w:tabs>
          <w:tab w:leader="none" w:pos="920" w:val="left"/>
        </w:tabs>
        <w:numPr>
          <w:ilvl w:val="0"/>
          <w:numId w:val="91"/>
        </w:numPr>
        <w:rPr>
          <w:rFonts w:ascii="Arial" w:cs="Arial" w:eastAsia="Arial" w:hAnsi="Arial"/>
          <w:sz w:val="16"/>
          <w:szCs w:val="16"/>
          <w:color w:val="4800E6"/>
        </w:rPr>
      </w:pPr>
      <w:r>
        <w:rPr>
          <w:rFonts w:ascii="Arial" w:cs="Arial" w:eastAsia="Arial" w:hAnsi="Arial"/>
          <w:sz w:val="16"/>
          <w:szCs w:val="16"/>
          <w:color w:val="auto"/>
        </w:rPr>
        <w:t>voting at the AGM.</w:t>
      </w:r>
    </w:p>
    <w:p>
      <w:pPr>
        <w:spacing w:after="0" w:line="66" w:lineRule="exact"/>
        <w:rPr>
          <w:sz w:val="20"/>
          <w:szCs w:val="20"/>
          <w:color w:val="auto"/>
        </w:rPr>
      </w:pPr>
    </w:p>
    <w:p>
      <w:pPr>
        <w:ind w:left="760" w:right="359"/>
        <w:spacing w:after="0" w:line="266" w:lineRule="auto"/>
        <w:rPr>
          <w:sz w:val="20"/>
          <w:szCs w:val="20"/>
          <w:color w:val="auto"/>
        </w:rPr>
      </w:pPr>
      <w:r>
        <w:rPr>
          <w:rFonts w:ascii="Arial" w:cs="Arial" w:eastAsia="Arial" w:hAnsi="Arial"/>
          <w:sz w:val="16"/>
          <w:szCs w:val="16"/>
          <w:b w:val="1"/>
          <w:bCs w:val="1"/>
          <w:color w:val="auto"/>
        </w:rPr>
        <w:t xml:space="preserve">If you are a beneficial owner </w:t>
      </w:r>
      <w:r>
        <w:rPr>
          <w:rFonts w:ascii="Arial" w:cs="Arial" w:eastAsia="Arial" w:hAnsi="Arial"/>
          <w:sz w:val="16"/>
          <w:szCs w:val="16"/>
          <w:color w:val="auto"/>
        </w:rPr>
        <w:t>of ordinary shares, you may submit new proxy appointment instructions by contacting your broker,</w:t>
      </w:r>
      <w:r>
        <w:rPr>
          <w:rFonts w:ascii="Arial" w:cs="Arial" w:eastAsia="Arial" w:hAnsi="Arial"/>
          <w:sz w:val="16"/>
          <w:szCs w:val="16"/>
          <w:b w:val="1"/>
          <w:bCs w:val="1"/>
          <w:color w:val="auto"/>
        </w:rPr>
        <w:t xml:space="preserve"> </w:t>
      </w:r>
      <w:r>
        <w:rPr>
          <w:rFonts w:ascii="Arial" w:cs="Arial" w:eastAsia="Arial" w:hAnsi="Arial"/>
          <w:sz w:val="16"/>
          <w:szCs w:val="16"/>
          <w:color w:val="auto"/>
        </w:rPr>
        <w:t>bank or other nominee. You may also vote in person at the AGM if you obtain a legal proxy, and you may also change your vote online.</w:t>
      </w:r>
    </w:p>
    <w:p>
      <w:pPr>
        <w:spacing w:after="0" w:line="50" w:lineRule="exact"/>
        <w:rPr>
          <w:sz w:val="20"/>
          <w:szCs w:val="20"/>
          <w:color w:val="auto"/>
        </w:rPr>
      </w:pPr>
    </w:p>
    <w:p>
      <w:pPr>
        <w:ind w:left="760" w:right="539"/>
        <w:spacing w:after="0" w:line="286" w:lineRule="auto"/>
        <w:rPr>
          <w:sz w:val="20"/>
          <w:szCs w:val="20"/>
          <w:color w:val="auto"/>
        </w:rPr>
      </w:pPr>
      <w:r>
        <w:rPr>
          <w:rFonts w:ascii="Arial" w:cs="Arial" w:eastAsia="Arial" w:hAnsi="Arial"/>
          <w:sz w:val="16"/>
          <w:szCs w:val="16"/>
          <w:b w:val="1"/>
          <w:bCs w:val="1"/>
          <w:color w:val="auto"/>
        </w:rPr>
        <w:t>If you are a CDI holder</w:t>
      </w:r>
      <w:r>
        <w:rPr>
          <w:rFonts w:ascii="Arial" w:cs="Arial" w:eastAsia="Arial" w:hAnsi="Arial"/>
          <w:sz w:val="16"/>
          <w:szCs w:val="16"/>
          <w:color w:val="auto"/>
        </w:rPr>
        <w:t>, you may submit a new Form of Proxy following the instructions previously set out, at any time prior to</w:t>
      </w:r>
      <w:r>
        <w:rPr>
          <w:rFonts w:ascii="Arial" w:cs="Arial" w:eastAsia="Arial" w:hAnsi="Arial"/>
          <w:sz w:val="16"/>
          <w:szCs w:val="16"/>
          <w:b w:val="1"/>
          <w:bCs w:val="1"/>
          <w:color w:val="auto"/>
        </w:rPr>
        <w:t xml:space="preserve"> </w:t>
      </w:r>
      <w:r>
        <w:rPr>
          <w:rFonts w:ascii="Arial" w:cs="Arial" w:eastAsia="Arial" w:hAnsi="Arial"/>
          <w:sz w:val="16"/>
          <w:szCs w:val="16"/>
          <w:color w:val="auto"/>
        </w:rPr>
        <w:t>13:00 a.m. British Summer Time on June 24, 2020.</w:t>
      </w:r>
    </w:p>
    <w:p>
      <w:pPr>
        <w:spacing w:after="0" w:line="54" w:lineRule="exact"/>
        <w:rPr>
          <w:sz w:val="20"/>
          <w:szCs w:val="20"/>
          <w:color w:val="auto"/>
        </w:rPr>
      </w:pPr>
    </w:p>
    <w:p>
      <w:pPr>
        <w:ind w:left="760" w:right="359"/>
        <w:spacing w:after="0" w:line="260" w:lineRule="auto"/>
        <w:rPr>
          <w:sz w:val="20"/>
          <w:szCs w:val="20"/>
          <w:color w:val="auto"/>
        </w:rPr>
      </w:pPr>
      <w:r>
        <w:rPr>
          <w:rFonts w:ascii="Arial" w:cs="Arial" w:eastAsia="Arial" w:hAnsi="Arial"/>
          <w:sz w:val="16"/>
          <w:szCs w:val="16"/>
          <w:color w:val="auto"/>
        </w:rPr>
        <w:t>All ordinary shares that have been properly voted and not revoked will be counted in the votes held on the resolution proposed at the AGM. Attending the AGM without taking further action will not automatically revoke your prior proxy.</w:t>
      </w:r>
    </w:p>
    <w:p>
      <w:pPr>
        <w:spacing w:after="0" w:line="139" w:lineRule="exact"/>
        <w:rPr>
          <w:sz w:val="20"/>
          <w:szCs w:val="20"/>
          <w:color w:val="auto"/>
        </w:rPr>
      </w:pPr>
    </w:p>
    <w:p>
      <w:pPr>
        <w:ind w:left="760"/>
        <w:spacing w:after="0"/>
        <w:rPr>
          <w:sz w:val="20"/>
          <w:szCs w:val="20"/>
          <w:color w:val="auto"/>
        </w:rPr>
      </w:pPr>
      <w:r>
        <w:rPr>
          <w:rFonts w:ascii="Arial" w:cs="Arial" w:eastAsia="Arial" w:hAnsi="Arial"/>
          <w:sz w:val="20"/>
          <w:szCs w:val="20"/>
          <w:b w:val="1"/>
          <w:bCs w:val="1"/>
          <w:i w:val="1"/>
          <w:iCs w:val="1"/>
          <w:color w:val="FF4C4C"/>
        </w:rPr>
        <w:t>Who can attend the AGM?</w:t>
      </w:r>
    </w:p>
    <w:p>
      <w:pPr>
        <w:spacing w:after="0" w:line="104" w:lineRule="exact"/>
        <w:rPr>
          <w:sz w:val="20"/>
          <w:szCs w:val="20"/>
          <w:color w:val="auto"/>
        </w:rPr>
      </w:pPr>
    </w:p>
    <w:p>
      <w:pPr>
        <w:ind w:left="760" w:right="319"/>
        <w:spacing w:after="0" w:line="259" w:lineRule="auto"/>
        <w:rPr>
          <w:sz w:val="20"/>
          <w:szCs w:val="20"/>
          <w:color w:val="auto"/>
        </w:rPr>
      </w:pPr>
      <w:r>
        <w:rPr>
          <w:rFonts w:ascii="Arial" w:cs="Arial" w:eastAsia="Arial" w:hAnsi="Arial"/>
          <w:sz w:val="16"/>
          <w:szCs w:val="16"/>
          <w:b w:val="1"/>
          <w:bCs w:val="1"/>
          <w:color w:val="auto"/>
        </w:rPr>
        <w:t xml:space="preserve">Shareholders of record </w:t>
      </w:r>
      <w:r>
        <w:rPr>
          <w:rFonts w:ascii="Arial" w:cs="Arial" w:eastAsia="Arial" w:hAnsi="Arial"/>
          <w:sz w:val="16"/>
          <w:szCs w:val="16"/>
          <w:color w:val="auto"/>
        </w:rPr>
        <w:t>as of the close of business in New York City on the Record Date) (i.e., you held your shares in your own</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name as reflected in the records of our transfer agent, Computershare), may attend the AGM by accessing </w:t>
      </w:r>
      <w:r>
        <w:rPr>
          <w:rFonts w:ascii="Arial" w:cs="Arial" w:eastAsia="Arial" w:hAnsi="Arial"/>
          <w:sz w:val="16"/>
          <w:szCs w:val="16"/>
          <w:i w:val="1"/>
          <w:iCs w:val="1"/>
          <w:color w:val="auto"/>
        </w:rPr>
        <w:t xml:space="preserve">www.meetingcenter.io/260382039 </w:t>
      </w:r>
      <w:r>
        <w:rPr>
          <w:rFonts w:ascii="Arial" w:cs="Arial" w:eastAsia="Arial" w:hAnsi="Arial"/>
          <w:sz w:val="16"/>
          <w:szCs w:val="16"/>
          <w:color w:val="auto"/>
        </w:rPr>
        <w:t>and entering the 15-digit control number on the Proxy Card or Notice of Availability of Proxy</w:t>
      </w:r>
      <w:r>
        <w:rPr>
          <w:rFonts w:ascii="Arial" w:cs="Arial" w:eastAsia="Arial" w:hAnsi="Arial"/>
          <w:sz w:val="16"/>
          <w:szCs w:val="16"/>
          <w:i w:val="1"/>
          <w:iCs w:val="1"/>
          <w:color w:val="auto"/>
        </w:rPr>
        <w:t xml:space="preserve"> </w:t>
      </w:r>
      <w:r>
        <w:rPr>
          <w:rFonts w:ascii="Arial" w:cs="Arial" w:eastAsia="Arial" w:hAnsi="Arial"/>
          <w:sz w:val="16"/>
          <w:szCs w:val="16"/>
          <w:color w:val="auto"/>
        </w:rPr>
        <w:t>Materials you previously received. The meeting password is LIVN2020.</w:t>
      </w:r>
    </w:p>
    <w:p>
      <w:pPr>
        <w:spacing w:after="0" w:line="56" w:lineRule="exact"/>
        <w:rPr>
          <w:sz w:val="20"/>
          <w:szCs w:val="20"/>
          <w:color w:val="auto"/>
        </w:rPr>
      </w:pPr>
    </w:p>
    <w:p>
      <w:pPr>
        <w:ind w:left="760" w:right="459"/>
        <w:spacing w:after="0" w:line="251" w:lineRule="auto"/>
        <w:rPr>
          <w:sz w:val="20"/>
          <w:szCs w:val="20"/>
          <w:color w:val="auto"/>
        </w:rPr>
      </w:pPr>
      <w:r>
        <w:rPr>
          <w:rFonts w:ascii="Arial" w:cs="Arial" w:eastAsia="Arial" w:hAnsi="Arial"/>
          <w:sz w:val="16"/>
          <w:szCs w:val="16"/>
          <w:color w:val="auto"/>
        </w:rPr>
        <w:t xml:space="preserve">If you were a </w:t>
      </w:r>
      <w:r>
        <w:rPr>
          <w:rFonts w:ascii="Arial" w:cs="Arial" w:eastAsia="Arial" w:hAnsi="Arial"/>
          <w:sz w:val="16"/>
          <w:szCs w:val="16"/>
          <w:b w:val="1"/>
          <w:bCs w:val="1"/>
          <w:color w:val="auto"/>
        </w:rPr>
        <w:t>beneficial owner</w:t>
      </w:r>
      <w:r>
        <w:rPr>
          <w:rFonts w:ascii="Arial" w:cs="Arial" w:eastAsia="Arial" w:hAnsi="Arial"/>
          <w:sz w:val="16"/>
          <w:szCs w:val="16"/>
          <w:color w:val="auto"/>
        </w:rPr>
        <w:t xml:space="preserve"> as of the close of business in New York City as of the Record Date (i.e. you hold your shares in “street name” through an intermediary, such as a bank or broker), you must register in advance to virtually attend the AGM. To register, you must obtain a legal proxy, executed in your favor, from the holder of record and submit proof of your legal proxy reflecting the number of ordinary shares of you held as of the Record Date, along with your name and email address, to Computershare. Please forward the email from your broker, or attach an image of your legal proxy to legalproxy@computershare.com. Requests for registration must be labeled as “Legal Proxy” and be received no later than 5:00 p.m. Eastern, on June 24, 2020. You will then receive a confirmation of your registration, with a control number, by email from Computershare. At the time of the meeting, go to </w:t>
      </w:r>
      <w:r>
        <w:rPr>
          <w:rFonts w:ascii="Arial" w:cs="Arial" w:eastAsia="Arial" w:hAnsi="Arial"/>
          <w:sz w:val="16"/>
          <w:szCs w:val="16"/>
          <w:i w:val="1"/>
          <w:iCs w:val="1"/>
          <w:color w:val="auto"/>
        </w:rPr>
        <w:t>www.meetingcenter.io/260382039</w:t>
      </w:r>
      <w:r>
        <w:rPr>
          <w:rFonts w:ascii="Arial" w:cs="Arial" w:eastAsia="Arial" w:hAnsi="Arial"/>
          <w:sz w:val="16"/>
          <w:szCs w:val="16"/>
          <w:color w:val="auto"/>
        </w:rPr>
        <w:t xml:space="preserve"> and enter your control number and the meeting password LIVN2020.</w:t>
      </w:r>
    </w:p>
    <w:p>
      <w:pPr>
        <w:ind w:left="480"/>
        <w:spacing w:after="0"/>
        <w:tabs>
          <w:tab w:leader="none" w:pos="4400" w:val="left"/>
          <w:tab w:leader="none" w:pos="8760" w:val="left"/>
        </w:tabs>
        <w:rPr>
          <w:sz w:val="20"/>
          <w:szCs w:val="20"/>
          <w:color w:val="auto"/>
        </w:rPr>
      </w:pPr>
      <w:r>
        <w:rPr>
          <w:rFonts w:ascii="Arial" w:cs="Arial" w:eastAsia="Arial" w:hAnsi="Arial"/>
          <w:sz w:val="29"/>
          <w:szCs w:val="29"/>
          <w:b w:val="1"/>
          <w:bCs w:val="1"/>
          <w:color w:val="auto"/>
          <w:vertAlign w:val="subscript"/>
        </w:rPr>
        <w:t>71</w:t>
      </w:r>
      <w:r>
        <w:rPr>
          <w:sz w:val="20"/>
          <w:szCs w:val="20"/>
          <w:color w:val="auto"/>
        </w:rPr>
        <w:tab/>
      </w:r>
      <w:r>
        <w:rPr>
          <w:rFonts w:ascii="Arial" w:cs="Arial" w:eastAsia="Arial" w:hAnsi="Arial"/>
          <w:sz w:val="13"/>
          <w:szCs w:val="13"/>
          <w:b w:val="1"/>
          <w:bCs w:val="1"/>
          <w:color w:val="4800E6"/>
        </w:rPr>
        <w:t xml:space="preserve">LIVANOVA </w:t>
      </w:r>
      <w:r>
        <w:rPr>
          <w:rFonts w:ascii="Arial" w:cs="Arial" w:eastAsia="Arial" w:hAnsi="Arial"/>
          <w:sz w:val="13"/>
          <w:szCs w:val="13"/>
          <w:color w:val="000000"/>
        </w:rPr>
        <w:t>|</w:t>
      </w:r>
      <w:r>
        <w:rPr>
          <w:rFonts w:ascii="Arial" w:cs="Arial" w:eastAsia="Arial" w:hAnsi="Arial"/>
          <w:sz w:val="13"/>
          <w:szCs w:val="13"/>
          <w:b w:val="1"/>
          <w:bCs w:val="1"/>
          <w:color w:val="4800E6"/>
        </w:rPr>
        <w:t xml:space="preserve"> </w:t>
      </w:r>
      <w:r>
        <w:rPr>
          <w:rFonts w:ascii="Arial" w:cs="Arial" w:eastAsia="Arial" w:hAnsi="Arial"/>
          <w:sz w:val="13"/>
          <w:szCs w:val="13"/>
          <w:color w:val="4800E6"/>
        </w:rPr>
        <w:t>2020</w:t>
      </w:r>
      <w:r>
        <w:rPr>
          <w:rFonts w:ascii="Arial" w:cs="Arial" w:eastAsia="Arial" w:hAnsi="Arial"/>
          <w:sz w:val="13"/>
          <w:szCs w:val="13"/>
          <w:b w:val="1"/>
          <w:bCs w:val="1"/>
          <w:color w:val="4800E6"/>
        </w:rPr>
        <w:t xml:space="preserve"> </w:t>
      </w:r>
      <w:r>
        <w:rPr>
          <w:rFonts w:ascii="Arial" w:cs="Arial" w:eastAsia="Arial" w:hAnsi="Arial"/>
          <w:sz w:val="13"/>
          <w:szCs w:val="13"/>
          <w:color w:val="000000"/>
        </w:rPr>
        <w:t>Proxy Statement</w:t>
      </w:r>
      <w:r>
        <w:rPr>
          <w:sz w:val="20"/>
          <w:szCs w:val="20"/>
          <w:color w:val="auto"/>
        </w:rPr>
        <w:tab/>
      </w:r>
      <w:r>
        <w:rPr>
          <w:rFonts w:ascii="Arial" w:cs="Arial" w:eastAsia="Arial" w:hAnsi="Arial"/>
          <w:sz w:val="12"/>
          <w:szCs w:val="12"/>
          <w:b w:val="1"/>
          <w:bCs w:val="1"/>
          <w:color w:val="4800E6"/>
        </w:rPr>
        <w:t>www.livanova.com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561975</wp:posOffset>
            </wp:positionH>
            <wp:positionV relativeFrom="paragraph">
              <wp:posOffset>86360</wp:posOffset>
            </wp:positionV>
            <wp:extent cx="1954530" cy="8890"/>
            <wp:wrapNone/>
            <wp:docPr id="346" name="Picture 3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6"/>
                    <pic:cNvPicPr>
                      <a:picLocks noChangeAspect="1" noChangeArrowheads="1"/>
                    </pic:cNvPicPr>
                  </pic:nvPicPr>
                  <pic:blipFill>
                    <a:blip r:embed="rId353">
                      <a:extLst>
                        <a:ext uri="{28A0092B-C50C-407E-A947-70E740481C1C}"/>
                      </a:extLst>
                    </a:blip>
                    <a:srcRect/>
                    <a:stretch>
                      <a:fillRect/>
                    </a:stretch>
                  </pic:blipFill>
                  <pic:spPr bwMode="auto">
                    <a:xfrm>
                      <a:off x="0" y="0"/>
                      <a:ext cx="1954530" cy="8890"/>
                    </a:xfrm>
                    <a:prstGeom prst="rect">
                      <a:avLst/>
                    </a:prstGeom>
                    <a:noFill/>
                  </pic:spPr>
                </pic:pic>
              </a:graphicData>
            </a:graphic>
          </wp:anchor>
        </w:drawing>
        <w:drawing>
          <wp:anchor simplePos="0" relativeHeight="251657728" behindDoc="1" locked="0" layoutInCell="0" allowOverlap="1">
            <wp:simplePos x="0" y="0"/>
            <wp:positionH relativeFrom="column">
              <wp:posOffset>4316730</wp:posOffset>
            </wp:positionH>
            <wp:positionV relativeFrom="paragraph">
              <wp:posOffset>86360</wp:posOffset>
            </wp:positionV>
            <wp:extent cx="1028700" cy="8890"/>
            <wp:wrapNone/>
            <wp:docPr id="347" name="Picture 3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7"/>
                    <pic:cNvPicPr>
                      <a:picLocks noChangeAspect="1" noChangeArrowheads="1"/>
                    </pic:cNvPicPr>
                  </pic:nvPicPr>
                  <pic:blipFill>
                    <a:blip r:embed="rId354">
                      <a:extLst>
                        <a:ext uri="{28A0092B-C50C-407E-A947-70E740481C1C}"/>
                      </a:extLst>
                    </a:blip>
                    <a:srcRect/>
                    <a:stretch>
                      <a:fillRect/>
                    </a:stretch>
                  </pic:blipFill>
                  <pic:spPr bwMode="auto">
                    <a:xfrm>
                      <a:off x="0" y="0"/>
                      <a:ext cx="102870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223520</wp:posOffset>
            </wp:positionV>
            <wp:extent cx="6806565" cy="17145"/>
            <wp:wrapNone/>
            <wp:docPr id="348" name="Picture 3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8"/>
                    <pic:cNvPicPr>
                      <a:picLocks noChangeAspect="1" noChangeArrowheads="1"/>
                    </pic:cNvPicPr>
                  </pic:nvPicPr>
                  <pic:blipFill>
                    <a:blip r:embed="rId355">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10139"/>
          </w:cols>
          <w:pgMar w:left="320" w:top="132" w:right="1440" w:bottom="1440" w:gutter="0" w:footer="0" w:header="0"/>
        </w:sectPr>
      </w:pPr>
    </w:p>
    <w:bookmarkStart w:id="75" w:name="page76"/>
    <w:bookmarkEnd w:id="75"/>
    <w:p>
      <w:pPr>
        <w:spacing w:after="0"/>
        <w:rPr>
          <w:rFonts w:ascii="Arial" w:cs="Arial" w:eastAsia="Arial" w:hAnsi="Arial"/>
          <w:sz w:val="14"/>
          <w:szCs w:val="14"/>
          <w:color w:val="003366"/>
        </w:rPr>
      </w:pPr>
      <w:hyperlink w:anchor="page5">
        <w:r>
          <w:rPr>
            <w:rFonts w:ascii="Arial" w:cs="Arial" w:eastAsia="Arial" w:hAnsi="Arial"/>
            <w:sz w:val="14"/>
            <w:szCs w:val="14"/>
            <w:color w:val="003366"/>
          </w:rPr>
          <w:t>TABLE OF CONTENTS</w:t>
        </w:r>
      </w:hyperlink>
    </w:p>
    <w:p>
      <w:pPr>
        <w:spacing w:after="0" w:line="338" w:lineRule="exact"/>
        <w:rPr>
          <w:sz w:val="20"/>
          <w:szCs w:val="20"/>
          <w:color w:val="auto"/>
        </w:rPr>
      </w:pPr>
    </w:p>
    <w:p>
      <w:pPr>
        <w:ind w:left="9000"/>
        <w:spacing w:after="0"/>
        <w:rPr>
          <w:sz w:val="20"/>
          <w:szCs w:val="20"/>
          <w:color w:val="auto"/>
        </w:rPr>
      </w:pPr>
      <w:r>
        <w:rPr>
          <w:rFonts w:ascii="Arial" w:cs="Arial" w:eastAsia="Arial" w:hAnsi="Arial"/>
          <w:sz w:val="12"/>
          <w:szCs w:val="12"/>
          <w:b w:val="1"/>
          <w:bCs w:val="1"/>
          <w:color w:val="auto"/>
        </w:rPr>
        <w:t xml:space="preserve">General </w:t>
      </w:r>
      <w:r>
        <w:rPr>
          <w:rFonts w:ascii="Arial" w:cs="Arial" w:eastAsia="Arial" w:hAnsi="Arial"/>
          <w:sz w:val="12"/>
          <w:szCs w:val="12"/>
          <w:b w:val="1"/>
          <w:bCs w:val="1"/>
          <w:color w:val="666666"/>
        </w:rPr>
        <w:t>Matters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485140</wp:posOffset>
            </wp:positionH>
            <wp:positionV relativeFrom="paragraph">
              <wp:posOffset>37465</wp:posOffset>
            </wp:positionV>
            <wp:extent cx="5829300" cy="8890"/>
            <wp:wrapNone/>
            <wp:docPr id="349" name="Picture 3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9"/>
                    <pic:cNvPicPr>
                      <a:picLocks noChangeAspect="1" noChangeArrowheads="1"/>
                    </pic:cNvPicPr>
                  </pic:nvPicPr>
                  <pic:blipFill>
                    <a:blip r:embed="rId356">
                      <a:extLst>
                        <a:ext uri="{28A0092B-C50C-407E-A947-70E740481C1C}"/>
                      </a:extLst>
                    </a:blip>
                    <a:srcRect/>
                    <a:stretch>
                      <a:fillRect/>
                    </a:stretch>
                  </pic:blipFill>
                  <pic:spPr bwMode="auto">
                    <a:xfrm>
                      <a:off x="0" y="0"/>
                      <a:ext cx="5829300" cy="8890"/>
                    </a:xfrm>
                    <a:prstGeom prst="rect">
                      <a:avLst/>
                    </a:prstGeom>
                    <a:noFill/>
                  </pic:spPr>
                </pic:pic>
              </a:graphicData>
            </a:graphic>
          </wp:anchor>
        </w:drawing>
      </w:r>
    </w:p>
    <w:p>
      <w:pPr>
        <w:spacing w:after="0" w:line="72" w:lineRule="exact"/>
        <w:rPr>
          <w:sz w:val="20"/>
          <w:szCs w:val="20"/>
          <w:color w:val="auto"/>
        </w:rPr>
      </w:pPr>
    </w:p>
    <w:p>
      <w:pPr>
        <w:jc w:val="right"/>
        <w:ind w:right="240"/>
        <w:spacing w:after="0"/>
        <w:rPr>
          <w:sz w:val="20"/>
          <w:szCs w:val="20"/>
          <w:color w:val="auto"/>
        </w:rPr>
      </w:pPr>
      <w:r>
        <w:rPr>
          <w:rFonts w:ascii="Arial" w:cs="Arial" w:eastAsia="Arial" w:hAnsi="Arial"/>
          <w:sz w:val="13"/>
          <w:szCs w:val="13"/>
          <w:b w:val="1"/>
          <w:bCs w:val="1"/>
          <w:color w:val="4800E6"/>
        </w:rPr>
        <w:t>Other Business</w:t>
      </w: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ind w:left="760" w:right="400"/>
        <w:spacing w:after="0" w:line="282" w:lineRule="auto"/>
        <w:rPr>
          <w:sz w:val="20"/>
          <w:szCs w:val="20"/>
          <w:color w:val="auto"/>
        </w:rPr>
      </w:pPr>
      <w:r>
        <w:rPr>
          <w:rFonts w:ascii="Arial" w:cs="Arial" w:eastAsia="Arial" w:hAnsi="Arial"/>
          <w:sz w:val="15"/>
          <w:szCs w:val="15"/>
          <w:color w:val="auto"/>
        </w:rPr>
        <w:t xml:space="preserve">If you are a </w:t>
      </w:r>
      <w:r>
        <w:rPr>
          <w:rFonts w:ascii="Arial" w:cs="Arial" w:eastAsia="Arial" w:hAnsi="Arial"/>
          <w:sz w:val="15"/>
          <w:szCs w:val="15"/>
          <w:b w:val="1"/>
          <w:bCs w:val="1"/>
          <w:color w:val="auto"/>
        </w:rPr>
        <w:t>holder of CDIs</w:t>
      </w:r>
      <w:r>
        <w:rPr>
          <w:rFonts w:ascii="Arial" w:cs="Arial" w:eastAsia="Arial" w:hAnsi="Arial"/>
          <w:sz w:val="15"/>
          <w:szCs w:val="15"/>
          <w:color w:val="auto"/>
        </w:rPr>
        <w:t xml:space="preserve"> and would like to attend and vote at the AGM, please contact the Voting Agent, Computershare Investor Services PLC (contact details for whom are set out in the Form of Direction to be sent by Computershare Investor Services PLC to all holders of CDIs) who will provide you with a letter of representation with respect to your CDI holding as at the Record Date that will enable you to attend and vote your underlying ordinary shares at the AGM on CREST Nominees’ behalf.</w:t>
      </w:r>
    </w:p>
    <w:p>
      <w:pPr>
        <w:spacing w:after="0" w:line="138" w:lineRule="exact"/>
        <w:rPr>
          <w:sz w:val="20"/>
          <w:szCs w:val="20"/>
          <w:color w:val="auto"/>
        </w:rPr>
      </w:pPr>
    </w:p>
    <w:p>
      <w:pPr>
        <w:ind w:left="760"/>
        <w:spacing w:after="0"/>
        <w:rPr>
          <w:sz w:val="20"/>
          <w:szCs w:val="20"/>
          <w:color w:val="auto"/>
        </w:rPr>
      </w:pPr>
      <w:r>
        <w:rPr>
          <w:rFonts w:ascii="Arial" w:cs="Arial" w:eastAsia="Arial" w:hAnsi="Arial"/>
          <w:sz w:val="20"/>
          <w:szCs w:val="20"/>
          <w:b w:val="1"/>
          <w:bCs w:val="1"/>
          <w:i w:val="1"/>
          <w:iCs w:val="1"/>
          <w:color w:val="FF4C4C"/>
        </w:rPr>
        <w:t>Attending the Annual Meeting as a Guest</w:t>
      </w:r>
    </w:p>
    <w:p>
      <w:pPr>
        <w:spacing w:after="0" w:line="124" w:lineRule="exact"/>
        <w:rPr>
          <w:sz w:val="20"/>
          <w:szCs w:val="20"/>
          <w:color w:val="auto"/>
        </w:rPr>
      </w:pPr>
    </w:p>
    <w:p>
      <w:pPr>
        <w:jc w:val="both"/>
        <w:ind w:left="760" w:right="400"/>
        <w:spacing w:after="0" w:line="253" w:lineRule="auto"/>
        <w:rPr>
          <w:sz w:val="20"/>
          <w:szCs w:val="20"/>
          <w:color w:val="auto"/>
        </w:rPr>
      </w:pPr>
      <w:r>
        <w:rPr>
          <w:rFonts w:ascii="Arial" w:cs="Arial" w:eastAsia="Arial" w:hAnsi="Arial"/>
          <w:sz w:val="16"/>
          <w:szCs w:val="16"/>
          <w:color w:val="auto"/>
        </w:rPr>
        <w:t xml:space="preserve">If you would like to enter the meeting as a guest in listen-only mode, click on the “I am a Guest” button after entering the meeting center at </w:t>
      </w:r>
      <w:r>
        <w:rPr>
          <w:rFonts w:ascii="Arial" w:cs="Arial" w:eastAsia="Arial" w:hAnsi="Arial"/>
          <w:sz w:val="16"/>
          <w:szCs w:val="16"/>
          <w:i w:val="1"/>
          <w:iCs w:val="1"/>
          <w:color w:val="auto"/>
        </w:rPr>
        <w:t>www.meetingcenter.io/260382039</w:t>
      </w:r>
      <w:r>
        <w:rPr>
          <w:rFonts w:ascii="Arial" w:cs="Arial" w:eastAsia="Arial" w:hAnsi="Arial"/>
          <w:sz w:val="16"/>
          <w:szCs w:val="16"/>
          <w:color w:val="auto"/>
        </w:rPr>
        <w:t xml:space="preserve"> and enter the information requested on the following screen. Please note you will not have the ability to ask questions or vote during the meeting if you participate as a guest.</w:t>
      </w:r>
    </w:p>
    <w:p>
      <w:pPr>
        <w:spacing w:after="0" w:line="145" w:lineRule="exact"/>
        <w:rPr>
          <w:sz w:val="20"/>
          <w:szCs w:val="20"/>
          <w:color w:val="auto"/>
        </w:rPr>
      </w:pPr>
    </w:p>
    <w:p>
      <w:pPr>
        <w:ind w:left="760"/>
        <w:spacing w:after="0"/>
        <w:rPr>
          <w:sz w:val="20"/>
          <w:szCs w:val="20"/>
          <w:color w:val="auto"/>
        </w:rPr>
      </w:pPr>
      <w:r>
        <w:rPr>
          <w:rFonts w:ascii="Arial" w:cs="Arial" w:eastAsia="Arial" w:hAnsi="Arial"/>
          <w:sz w:val="20"/>
          <w:szCs w:val="20"/>
          <w:b w:val="1"/>
          <w:bCs w:val="1"/>
          <w:i w:val="1"/>
          <w:iCs w:val="1"/>
          <w:color w:val="FF4C4C"/>
        </w:rPr>
        <w:t>Where is the AGM being held?</w:t>
      </w:r>
    </w:p>
    <w:p>
      <w:pPr>
        <w:spacing w:after="0" w:line="108" w:lineRule="exact"/>
        <w:rPr>
          <w:sz w:val="20"/>
          <w:szCs w:val="20"/>
          <w:color w:val="auto"/>
        </w:rPr>
      </w:pPr>
    </w:p>
    <w:p>
      <w:pPr>
        <w:ind w:left="760" w:right="480"/>
        <w:spacing w:after="0" w:line="281" w:lineRule="auto"/>
        <w:rPr>
          <w:sz w:val="20"/>
          <w:szCs w:val="20"/>
          <w:color w:val="auto"/>
        </w:rPr>
      </w:pPr>
      <w:r>
        <w:rPr>
          <w:rFonts w:ascii="Arial" w:cs="Arial" w:eastAsia="Arial" w:hAnsi="Arial"/>
          <w:sz w:val="16"/>
          <w:szCs w:val="16"/>
          <w:color w:val="auto"/>
        </w:rPr>
        <w:t xml:space="preserve">The AGM is being held virtually on the Internet at </w:t>
      </w:r>
      <w:r>
        <w:rPr>
          <w:rFonts w:ascii="Arial" w:cs="Arial" w:eastAsia="Arial" w:hAnsi="Arial"/>
          <w:sz w:val="16"/>
          <w:szCs w:val="16"/>
          <w:i w:val="1"/>
          <w:iCs w:val="1"/>
          <w:color w:val="auto"/>
        </w:rPr>
        <w:t>www.meetingcenter.io/260382039</w:t>
      </w:r>
      <w:r>
        <w:rPr>
          <w:rFonts w:ascii="Arial" w:cs="Arial" w:eastAsia="Arial" w:hAnsi="Arial"/>
          <w:sz w:val="16"/>
          <w:szCs w:val="16"/>
          <w:color w:val="auto"/>
        </w:rPr>
        <w:t xml:space="preserve"> (password LIVN2020). There is no physical meeting.</w:t>
      </w:r>
    </w:p>
    <w:p>
      <w:pPr>
        <w:spacing w:after="0" w:line="136" w:lineRule="exact"/>
        <w:rPr>
          <w:sz w:val="20"/>
          <w:szCs w:val="20"/>
          <w:color w:val="auto"/>
        </w:rPr>
      </w:pPr>
    </w:p>
    <w:p>
      <w:pPr>
        <w:ind w:left="760"/>
        <w:spacing w:after="0"/>
        <w:rPr>
          <w:sz w:val="20"/>
          <w:szCs w:val="20"/>
          <w:color w:val="auto"/>
        </w:rPr>
      </w:pPr>
      <w:r>
        <w:rPr>
          <w:rFonts w:ascii="Arial" w:cs="Arial" w:eastAsia="Arial" w:hAnsi="Arial"/>
          <w:sz w:val="20"/>
          <w:szCs w:val="20"/>
          <w:b w:val="1"/>
          <w:bCs w:val="1"/>
          <w:i w:val="1"/>
          <w:iCs w:val="1"/>
          <w:color w:val="FF4C4C"/>
        </w:rPr>
        <w:t>Can I ask questions at the AGM?</w:t>
      </w:r>
    </w:p>
    <w:p>
      <w:pPr>
        <w:spacing w:after="0" w:line="110" w:lineRule="exact"/>
        <w:rPr>
          <w:sz w:val="20"/>
          <w:szCs w:val="20"/>
          <w:color w:val="auto"/>
        </w:rPr>
      </w:pPr>
    </w:p>
    <w:p>
      <w:pPr>
        <w:ind w:left="760" w:right="560"/>
        <w:spacing w:after="0" w:line="251" w:lineRule="auto"/>
        <w:rPr>
          <w:sz w:val="20"/>
          <w:szCs w:val="20"/>
          <w:color w:val="auto"/>
        </w:rPr>
      </w:pPr>
      <w:r>
        <w:rPr>
          <w:rFonts w:ascii="Arial" w:cs="Arial" w:eastAsia="Arial" w:hAnsi="Arial"/>
          <w:sz w:val="16"/>
          <w:szCs w:val="16"/>
          <w:color w:val="auto"/>
        </w:rPr>
        <w:t xml:space="preserve">If you are attending the meeting as a shareholder of record or registered beneficial owner, questions can be submitted by accessing the meeting center at </w:t>
      </w:r>
      <w:r>
        <w:rPr>
          <w:rFonts w:ascii="Arial" w:cs="Arial" w:eastAsia="Arial" w:hAnsi="Arial"/>
          <w:sz w:val="16"/>
          <w:szCs w:val="16"/>
          <w:i w:val="1"/>
          <w:iCs w:val="1"/>
          <w:color w:val="auto"/>
        </w:rPr>
        <w:t>www.meetingcenter.io/260382039</w:t>
      </w:r>
      <w:r>
        <w:rPr>
          <w:rFonts w:ascii="Arial" w:cs="Arial" w:eastAsia="Arial" w:hAnsi="Arial"/>
          <w:sz w:val="16"/>
          <w:szCs w:val="16"/>
          <w:color w:val="auto"/>
        </w:rPr>
        <w:t>, entering your control number and meeting password LIVN2020, and clicking on the message icon in the upper right hand corner of the page. To return to the main page, click the “i” icon at the top of the screen.</w:t>
      </w:r>
    </w:p>
    <w:p>
      <w:pPr>
        <w:spacing w:after="0" w:line="159" w:lineRule="exact"/>
        <w:rPr>
          <w:sz w:val="20"/>
          <w:szCs w:val="20"/>
          <w:color w:val="auto"/>
        </w:rPr>
      </w:pPr>
    </w:p>
    <w:p>
      <w:pPr>
        <w:ind w:left="760"/>
        <w:spacing w:after="0"/>
        <w:rPr>
          <w:sz w:val="20"/>
          <w:szCs w:val="20"/>
          <w:color w:val="auto"/>
        </w:rPr>
      </w:pPr>
      <w:r>
        <w:rPr>
          <w:rFonts w:ascii="Arial" w:cs="Arial" w:eastAsia="Arial" w:hAnsi="Arial"/>
          <w:sz w:val="20"/>
          <w:szCs w:val="20"/>
          <w:b w:val="1"/>
          <w:bCs w:val="1"/>
          <w:i w:val="1"/>
          <w:iCs w:val="1"/>
          <w:color w:val="FF4C4C"/>
        </w:rPr>
        <w:t>Who will count the votes?</w:t>
      </w:r>
    </w:p>
    <w:p>
      <w:pPr>
        <w:spacing w:after="0" w:line="124" w:lineRule="exact"/>
        <w:rPr>
          <w:sz w:val="20"/>
          <w:szCs w:val="20"/>
          <w:color w:val="auto"/>
        </w:rPr>
      </w:pPr>
    </w:p>
    <w:p>
      <w:pPr>
        <w:ind w:left="760" w:right="700"/>
        <w:spacing w:after="0" w:line="260" w:lineRule="auto"/>
        <w:rPr>
          <w:sz w:val="20"/>
          <w:szCs w:val="20"/>
          <w:color w:val="auto"/>
        </w:rPr>
      </w:pPr>
      <w:r>
        <w:rPr>
          <w:rFonts w:ascii="Arial" w:cs="Arial" w:eastAsia="Arial" w:hAnsi="Arial"/>
          <w:sz w:val="16"/>
          <w:szCs w:val="16"/>
          <w:color w:val="auto"/>
        </w:rPr>
        <w:t>Representatives of the Company’s transfer agent, Computershare, will serve as scrutineers of the poll, and will also serve as master tabulator.</w:t>
      </w:r>
    </w:p>
    <w:p>
      <w:pPr>
        <w:spacing w:after="0" w:line="139" w:lineRule="exact"/>
        <w:rPr>
          <w:sz w:val="20"/>
          <w:szCs w:val="20"/>
          <w:color w:val="auto"/>
        </w:rPr>
      </w:pPr>
    </w:p>
    <w:p>
      <w:pPr>
        <w:ind w:left="760"/>
        <w:spacing w:after="0"/>
        <w:rPr>
          <w:sz w:val="20"/>
          <w:szCs w:val="20"/>
          <w:color w:val="auto"/>
        </w:rPr>
      </w:pPr>
      <w:r>
        <w:rPr>
          <w:rFonts w:ascii="Arial" w:cs="Arial" w:eastAsia="Arial" w:hAnsi="Arial"/>
          <w:sz w:val="20"/>
          <w:szCs w:val="20"/>
          <w:b w:val="1"/>
          <w:bCs w:val="1"/>
          <w:i w:val="1"/>
          <w:iCs w:val="1"/>
          <w:color w:val="FF4C4C"/>
        </w:rPr>
        <w:t>Where can I find the voting results of the AGM?</w:t>
      </w:r>
    </w:p>
    <w:p>
      <w:pPr>
        <w:spacing w:after="0" w:line="124" w:lineRule="exact"/>
        <w:rPr>
          <w:sz w:val="20"/>
          <w:szCs w:val="20"/>
          <w:color w:val="auto"/>
        </w:rPr>
      </w:pPr>
    </w:p>
    <w:p>
      <w:pPr>
        <w:ind w:left="760" w:right="580"/>
        <w:spacing w:after="0" w:line="250" w:lineRule="auto"/>
        <w:rPr>
          <w:sz w:val="20"/>
          <w:szCs w:val="20"/>
          <w:color w:val="auto"/>
        </w:rPr>
      </w:pPr>
      <w:r>
        <w:rPr>
          <w:rFonts w:ascii="Arial" w:cs="Arial" w:eastAsia="Arial" w:hAnsi="Arial"/>
          <w:sz w:val="16"/>
          <w:szCs w:val="16"/>
          <w:color w:val="auto"/>
        </w:rPr>
        <w:t>The preliminary voting results will be announced at the AGM. The final voting results will be checked by the scrutineers and disclosed by way of an announcement via a Current Report on Form 8-K, which LivaNova is required to file with the SEC. The results of the polls taken on the resolutions at the AGM and any other information required by the Companies Act will be made available on our website (</w:t>
      </w:r>
      <w:r>
        <w:rPr>
          <w:rFonts w:ascii="Arial" w:cs="Arial" w:eastAsia="Arial" w:hAnsi="Arial"/>
          <w:sz w:val="16"/>
          <w:szCs w:val="16"/>
          <w:i w:val="1"/>
          <w:iCs w:val="1"/>
          <w:color w:val="auto"/>
        </w:rPr>
        <w:t>www.livanova.com</w:t>
      </w:r>
      <w:r>
        <w:rPr>
          <w:rFonts w:ascii="Arial" w:cs="Arial" w:eastAsia="Arial" w:hAnsi="Arial"/>
          <w:sz w:val="16"/>
          <w:szCs w:val="16"/>
          <w:color w:val="auto"/>
        </w:rPr>
        <w:t>) as soon as reasonably practicable after the AGM and for a period of two years thereafter.</w:t>
      </w:r>
    </w:p>
    <w:p>
      <w:pPr>
        <w:spacing w:after="0" w:line="160" w:lineRule="exact"/>
        <w:rPr>
          <w:sz w:val="20"/>
          <w:szCs w:val="20"/>
          <w:color w:val="auto"/>
        </w:rPr>
      </w:pPr>
    </w:p>
    <w:p>
      <w:pPr>
        <w:ind w:left="760"/>
        <w:spacing w:after="0"/>
        <w:rPr>
          <w:sz w:val="20"/>
          <w:szCs w:val="20"/>
          <w:color w:val="auto"/>
        </w:rPr>
      </w:pPr>
      <w:r>
        <w:rPr>
          <w:rFonts w:ascii="Arial" w:cs="Arial" w:eastAsia="Arial" w:hAnsi="Arial"/>
          <w:sz w:val="20"/>
          <w:szCs w:val="20"/>
          <w:b w:val="1"/>
          <w:bCs w:val="1"/>
          <w:i w:val="1"/>
          <w:iCs w:val="1"/>
          <w:color w:val="FF4C4C"/>
        </w:rPr>
        <w:t>Other information</w:t>
      </w:r>
    </w:p>
    <w:p>
      <w:pPr>
        <w:spacing w:after="0" w:line="110" w:lineRule="exact"/>
        <w:rPr>
          <w:sz w:val="20"/>
          <w:szCs w:val="20"/>
          <w:color w:val="auto"/>
        </w:rPr>
      </w:pPr>
    </w:p>
    <w:p>
      <w:pPr>
        <w:ind w:left="760"/>
        <w:spacing w:after="0"/>
        <w:rPr>
          <w:sz w:val="20"/>
          <w:szCs w:val="20"/>
          <w:color w:val="auto"/>
        </w:rPr>
      </w:pPr>
      <w:r>
        <w:rPr>
          <w:rFonts w:ascii="Arial" w:cs="Arial" w:eastAsia="Arial" w:hAnsi="Arial"/>
          <w:sz w:val="16"/>
          <w:szCs w:val="16"/>
          <w:color w:val="auto"/>
        </w:rPr>
        <w:t>For additional information, please contact company.secretariat@livanova.com.</w:t>
      </w:r>
    </w:p>
    <w:p>
      <w:pPr>
        <w:spacing w:after="0" w:line="394" w:lineRule="exact"/>
        <w:rPr>
          <w:sz w:val="20"/>
          <w:szCs w:val="20"/>
          <w:color w:val="auto"/>
        </w:rPr>
      </w:pPr>
    </w:p>
    <w:p>
      <w:pPr>
        <w:ind w:left="760"/>
        <w:spacing w:after="0"/>
        <w:rPr>
          <w:sz w:val="20"/>
          <w:szCs w:val="20"/>
          <w:color w:val="auto"/>
        </w:rPr>
      </w:pPr>
      <w:r>
        <w:rPr>
          <w:rFonts w:ascii="Arial" w:cs="Arial" w:eastAsia="Arial" w:hAnsi="Arial"/>
          <w:sz w:val="31"/>
          <w:szCs w:val="31"/>
          <w:b w:val="1"/>
          <w:bCs w:val="1"/>
          <w:color w:val="4800E6"/>
        </w:rPr>
        <w:t>Other Business</w:t>
      </w:r>
    </w:p>
    <w:p>
      <w:pPr>
        <w:spacing w:after="0" w:line="146" w:lineRule="exact"/>
        <w:rPr>
          <w:sz w:val="20"/>
          <w:szCs w:val="20"/>
          <w:color w:val="auto"/>
        </w:rPr>
      </w:pPr>
    </w:p>
    <w:p>
      <w:pPr>
        <w:ind w:left="760" w:right="260"/>
        <w:spacing w:after="0" w:line="253" w:lineRule="auto"/>
        <w:rPr>
          <w:sz w:val="20"/>
          <w:szCs w:val="20"/>
          <w:color w:val="auto"/>
        </w:rPr>
      </w:pPr>
      <w:r>
        <w:rPr>
          <w:rFonts w:ascii="Arial" w:cs="Arial" w:eastAsia="Arial" w:hAnsi="Arial"/>
          <w:sz w:val="16"/>
          <w:szCs w:val="16"/>
          <w:color w:val="auto"/>
        </w:rPr>
        <w:t>The Board is not aware of any business to be acted upon at the AGM other than that described in this proxy statement. If any other business comes before the AGM, the proxy holders (as indicated in the accompanying proxy card or cards) will vote their proxies according to their best judgment with respect to such matters.</w:t>
      </w:r>
    </w:p>
    <w:p>
      <w:pPr>
        <w:sectPr>
          <w:pgSz w:w="11900" w:h="16838" w:orient="portrait"/>
          <w:cols w:equalWidth="0" w:num="1">
            <w:col w:w="10180"/>
          </w:cols>
          <w:pgMar w:left="320" w:top="132" w:right="139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ind w:left="4340"/>
        <w:spacing w:after="0"/>
        <w:tabs>
          <w:tab w:leader="none" w:pos="10000" w:val="left"/>
        </w:tabs>
        <w:rPr>
          <w:sz w:val="20"/>
          <w:szCs w:val="20"/>
          <w:color w:val="auto"/>
        </w:rPr>
      </w:pPr>
      <w:r>
        <w:rPr>
          <w:rFonts w:ascii="Arial" w:cs="Arial" w:eastAsia="Arial" w:hAnsi="Arial"/>
          <w:sz w:val="13"/>
          <w:szCs w:val="13"/>
          <w:b w:val="1"/>
          <w:bCs w:val="1"/>
          <w:color w:val="4800E6"/>
        </w:rPr>
        <w:t xml:space="preserve">LIVANOVA </w:t>
      </w:r>
      <w:r>
        <w:rPr>
          <w:rFonts w:ascii="Arial" w:cs="Arial" w:eastAsia="Arial" w:hAnsi="Arial"/>
          <w:sz w:val="13"/>
          <w:szCs w:val="13"/>
          <w:color w:val="000000"/>
        </w:rPr>
        <w:t>|</w:t>
      </w:r>
      <w:r>
        <w:rPr>
          <w:rFonts w:ascii="Arial" w:cs="Arial" w:eastAsia="Arial" w:hAnsi="Arial"/>
          <w:sz w:val="13"/>
          <w:szCs w:val="13"/>
          <w:b w:val="1"/>
          <w:bCs w:val="1"/>
          <w:color w:val="4800E6"/>
        </w:rPr>
        <w:t xml:space="preserve"> </w:t>
      </w:r>
      <w:r>
        <w:rPr>
          <w:rFonts w:ascii="Arial" w:cs="Arial" w:eastAsia="Arial" w:hAnsi="Arial"/>
          <w:sz w:val="13"/>
          <w:szCs w:val="13"/>
          <w:color w:val="4800E6"/>
        </w:rPr>
        <w:t>2020</w:t>
      </w:r>
      <w:r>
        <w:rPr>
          <w:rFonts w:ascii="Arial" w:cs="Arial" w:eastAsia="Arial" w:hAnsi="Arial"/>
          <w:sz w:val="13"/>
          <w:szCs w:val="13"/>
          <w:b w:val="1"/>
          <w:bCs w:val="1"/>
          <w:color w:val="4800E6"/>
        </w:rPr>
        <w:t xml:space="preserve"> </w:t>
      </w:r>
      <w:r>
        <w:rPr>
          <w:rFonts w:ascii="Arial" w:cs="Arial" w:eastAsia="Arial" w:hAnsi="Arial"/>
          <w:sz w:val="13"/>
          <w:szCs w:val="13"/>
          <w:color w:val="000000"/>
        </w:rPr>
        <w:t>Proxy Statement</w:t>
      </w:r>
      <w:r>
        <w:rPr>
          <w:sz w:val="20"/>
          <w:szCs w:val="20"/>
          <w:color w:val="auto"/>
        </w:rPr>
        <w:tab/>
      </w:r>
      <w:r>
        <w:rPr>
          <w:rFonts w:ascii="Arial" w:cs="Arial" w:eastAsia="Arial" w:hAnsi="Arial"/>
          <w:sz w:val="21"/>
          <w:szCs w:val="21"/>
          <w:b w:val="1"/>
          <w:bCs w:val="1"/>
          <w:color w:val="auto"/>
          <w:vertAlign w:val="subscript"/>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519430</wp:posOffset>
            </wp:positionH>
            <wp:positionV relativeFrom="paragraph">
              <wp:posOffset>47625</wp:posOffset>
            </wp:positionV>
            <wp:extent cx="1954530" cy="8255"/>
            <wp:wrapNone/>
            <wp:docPr id="350" name="Picture 3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0"/>
                    <pic:cNvPicPr>
                      <a:picLocks noChangeAspect="1" noChangeArrowheads="1"/>
                    </pic:cNvPicPr>
                  </pic:nvPicPr>
                  <pic:blipFill>
                    <a:blip r:embed="rId357">
                      <a:extLst>
                        <a:ext uri="{28A0092B-C50C-407E-A947-70E740481C1C}"/>
                      </a:extLst>
                    </a:blip>
                    <a:srcRect/>
                    <a:stretch>
                      <a:fillRect/>
                    </a:stretch>
                  </pic:blipFill>
                  <pic:spPr bwMode="auto">
                    <a:xfrm>
                      <a:off x="0" y="0"/>
                      <a:ext cx="1954530" cy="8255"/>
                    </a:xfrm>
                    <a:prstGeom prst="rect">
                      <a:avLst/>
                    </a:prstGeom>
                    <a:noFill/>
                  </pic:spPr>
                </pic:pic>
              </a:graphicData>
            </a:graphic>
          </wp:anchor>
        </w:drawing>
        <w:drawing>
          <wp:anchor simplePos="0" relativeHeight="251657728" behindDoc="1" locked="0" layoutInCell="0" allowOverlap="1">
            <wp:simplePos x="0" y="0"/>
            <wp:positionH relativeFrom="column">
              <wp:posOffset>4257040</wp:posOffset>
            </wp:positionH>
            <wp:positionV relativeFrom="paragraph">
              <wp:posOffset>47625</wp:posOffset>
            </wp:positionV>
            <wp:extent cx="1954530" cy="8255"/>
            <wp:wrapNone/>
            <wp:docPr id="351" name="Picture 3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1"/>
                    <pic:cNvPicPr>
                      <a:picLocks noChangeAspect="1" noChangeArrowheads="1"/>
                    </pic:cNvPicPr>
                  </pic:nvPicPr>
                  <pic:blipFill>
                    <a:blip r:embed="rId358">
                      <a:extLst>
                        <a:ext uri="{28A0092B-C50C-407E-A947-70E740481C1C}"/>
                      </a:extLst>
                    </a:blip>
                    <a:srcRect/>
                    <a:stretch>
                      <a:fillRect/>
                    </a:stretch>
                  </pic:blipFill>
                  <pic:spPr bwMode="auto">
                    <a:xfrm>
                      <a:off x="0" y="0"/>
                      <a:ext cx="195453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184785</wp:posOffset>
            </wp:positionV>
            <wp:extent cx="6806565" cy="17145"/>
            <wp:wrapNone/>
            <wp:docPr id="352" name="Picture 3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2"/>
                    <pic:cNvPicPr>
                      <a:picLocks noChangeAspect="1" noChangeArrowheads="1"/>
                    </pic:cNvPicPr>
                  </pic:nvPicPr>
                  <pic:blipFill>
                    <a:blip r:embed="rId359">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10180"/>
          </w:cols>
          <w:pgMar w:left="320" w:top="132" w:right="1399" w:bottom="1440" w:gutter="0" w:footer="0" w:header="0"/>
          <w:type w:val="continuous"/>
        </w:sectPr>
      </w:pPr>
    </w:p>
    <w:bookmarkStart w:id="76" w:name="page77"/>
    <w:bookmarkEnd w:id="76"/>
    <w:p>
      <w:pPr>
        <w:spacing w:after="0"/>
        <w:rPr>
          <w:rFonts w:ascii="Arial" w:cs="Arial" w:eastAsia="Arial" w:hAnsi="Arial"/>
          <w:sz w:val="14"/>
          <w:szCs w:val="14"/>
          <w:color w:val="003366"/>
        </w:rPr>
      </w:pPr>
      <w:hyperlink w:anchor="page5">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jc w:val="right"/>
        <w:ind w:right="199"/>
        <w:spacing w:after="0"/>
        <w:rPr>
          <w:sz w:val="20"/>
          <w:szCs w:val="20"/>
          <w:color w:val="auto"/>
        </w:rPr>
      </w:pPr>
      <w:r>
        <w:rPr>
          <w:rFonts w:ascii="Arial" w:cs="Arial" w:eastAsia="Arial" w:hAnsi="Arial"/>
          <w:sz w:val="16"/>
          <w:szCs w:val="16"/>
          <w:b w:val="1"/>
          <w:bCs w:val="1"/>
          <w:color w:val="auto"/>
        </w:rPr>
        <w:t>APPENDIX 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jc w:val="center"/>
        <w:ind w:right="-520"/>
        <w:spacing w:after="0"/>
        <w:rPr>
          <w:sz w:val="20"/>
          <w:szCs w:val="20"/>
          <w:color w:val="auto"/>
        </w:rPr>
      </w:pPr>
      <w:r>
        <w:rPr>
          <w:rFonts w:ascii="Arial" w:cs="Arial" w:eastAsia="Arial" w:hAnsi="Arial"/>
          <w:sz w:val="16"/>
          <w:szCs w:val="16"/>
          <w:b w:val="1"/>
          <w:bCs w:val="1"/>
          <w:color w:val="auto"/>
        </w:rPr>
        <w:t>ARTICLES OF ASSOCIATION</w:t>
      </w:r>
    </w:p>
    <w:p>
      <w:pPr>
        <w:spacing w:after="0" w:line="194" w:lineRule="exact"/>
        <w:rPr>
          <w:sz w:val="20"/>
          <w:szCs w:val="20"/>
          <w:color w:val="auto"/>
        </w:rPr>
      </w:pPr>
    </w:p>
    <w:p>
      <w:pPr>
        <w:jc w:val="center"/>
        <w:ind w:right="-520"/>
        <w:spacing w:after="0"/>
        <w:rPr>
          <w:sz w:val="20"/>
          <w:szCs w:val="20"/>
          <w:color w:val="auto"/>
        </w:rPr>
      </w:pPr>
      <w:r>
        <w:rPr>
          <w:rFonts w:ascii="Arial" w:cs="Arial" w:eastAsia="Arial" w:hAnsi="Arial"/>
          <w:sz w:val="16"/>
          <w:szCs w:val="16"/>
          <w:b w:val="1"/>
          <w:bCs w:val="1"/>
          <w:color w:val="auto"/>
        </w:rPr>
        <w:t>of</w:t>
      </w:r>
    </w:p>
    <w:p>
      <w:pPr>
        <w:spacing w:after="0" w:line="194" w:lineRule="exact"/>
        <w:rPr>
          <w:sz w:val="20"/>
          <w:szCs w:val="20"/>
          <w:color w:val="auto"/>
        </w:rPr>
      </w:pPr>
    </w:p>
    <w:p>
      <w:pPr>
        <w:jc w:val="center"/>
        <w:ind w:right="-520"/>
        <w:spacing w:after="0"/>
        <w:rPr>
          <w:sz w:val="20"/>
          <w:szCs w:val="20"/>
          <w:color w:val="auto"/>
        </w:rPr>
      </w:pPr>
      <w:r>
        <w:rPr>
          <w:rFonts w:ascii="Arial" w:cs="Arial" w:eastAsia="Arial" w:hAnsi="Arial"/>
          <w:sz w:val="16"/>
          <w:szCs w:val="16"/>
          <w:b w:val="1"/>
          <w:bCs w:val="1"/>
          <w:color w:val="auto"/>
        </w:rPr>
        <w:t>LIVANOVA PLC</w:t>
      </w:r>
    </w:p>
    <w:p>
      <w:pPr>
        <w:spacing w:after="0" w:line="194" w:lineRule="exact"/>
        <w:rPr>
          <w:sz w:val="20"/>
          <w:szCs w:val="20"/>
          <w:color w:val="auto"/>
        </w:rPr>
      </w:pPr>
    </w:p>
    <w:p>
      <w:pPr>
        <w:jc w:val="center"/>
        <w:ind w:right="-520"/>
        <w:spacing w:after="0"/>
        <w:rPr>
          <w:sz w:val="20"/>
          <w:szCs w:val="20"/>
          <w:color w:val="auto"/>
        </w:rPr>
      </w:pPr>
      <w:r>
        <w:rPr>
          <w:rFonts w:ascii="Arial" w:cs="Arial" w:eastAsia="Arial" w:hAnsi="Arial"/>
          <w:sz w:val="16"/>
          <w:szCs w:val="16"/>
          <w:b w:val="1"/>
          <w:bCs w:val="1"/>
          <w:color w:val="auto"/>
        </w:rPr>
        <w:t>PUBLIC LIMITED COMPANY</w:t>
      </w:r>
    </w:p>
    <w:p>
      <w:pPr>
        <w:spacing w:after="0" w:line="194" w:lineRule="exact"/>
        <w:rPr>
          <w:sz w:val="20"/>
          <w:szCs w:val="20"/>
          <w:color w:val="auto"/>
        </w:rPr>
      </w:pPr>
    </w:p>
    <w:p>
      <w:pPr>
        <w:jc w:val="center"/>
        <w:ind w:right="-520"/>
        <w:spacing w:after="0"/>
        <w:rPr>
          <w:sz w:val="20"/>
          <w:szCs w:val="20"/>
          <w:color w:val="auto"/>
        </w:rPr>
      </w:pPr>
      <w:r>
        <w:rPr>
          <w:rFonts w:ascii="Arial" w:cs="Arial" w:eastAsia="Arial" w:hAnsi="Arial"/>
          <w:sz w:val="16"/>
          <w:szCs w:val="16"/>
          <w:b w:val="1"/>
          <w:bCs w:val="1"/>
          <w:color w:val="auto"/>
        </w:rPr>
        <w:t>the “Company”</w:t>
      </w:r>
    </w:p>
    <w:p>
      <w:pPr>
        <w:spacing w:after="0" w:line="194" w:lineRule="exact"/>
        <w:rPr>
          <w:sz w:val="20"/>
          <w:szCs w:val="20"/>
          <w:color w:val="auto"/>
        </w:rPr>
      </w:pPr>
    </w:p>
    <w:p>
      <w:pPr>
        <w:ind w:left="4160"/>
        <w:spacing w:after="0"/>
        <w:rPr>
          <w:sz w:val="20"/>
          <w:szCs w:val="20"/>
          <w:color w:val="auto"/>
        </w:rPr>
      </w:pPr>
      <w:r>
        <w:rPr>
          <w:rFonts w:ascii="Arial" w:cs="Arial" w:eastAsia="Arial" w:hAnsi="Arial"/>
          <w:sz w:val="16"/>
          <w:szCs w:val="16"/>
          <w:b w:val="1"/>
          <w:bCs w:val="1"/>
          <w:color w:val="auto"/>
        </w:rPr>
        <w:t xml:space="preserve">(effective as from [ • ] </w:t>
      </w:r>
      <w:r>
        <w:rPr>
          <w:rFonts w:ascii="Arial" w:cs="Arial" w:eastAsia="Arial" w:hAnsi="Arial"/>
          <w:sz w:val="16"/>
          <w:szCs w:val="16"/>
          <w:b w:val="1"/>
          <w:bCs w:val="1"/>
          <w:color w:val="auto"/>
          <w:strike w:val="1"/>
        </w:rPr>
        <w:t>2017</w:t>
      </w:r>
      <w:r>
        <w:rPr>
          <w:rFonts w:ascii="Arial" w:cs="Arial" w:eastAsia="Arial" w:hAnsi="Arial"/>
          <w:sz w:val="16"/>
          <w:szCs w:val="16"/>
          <w:b w:val="1"/>
          <w:bCs w:val="1"/>
          <w:u w:val="single" w:color="auto"/>
          <w:color w:val="auto"/>
        </w:rPr>
        <w:t>2020)</w:t>
      </w:r>
    </w:p>
    <w:p>
      <w:pPr>
        <w:sectPr>
          <w:pgSz w:w="11900" w:h="16838" w:orient="portrait"/>
          <w:cols w:equalWidth="0" w:num="1">
            <w:col w:w="10139"/>
          </w:cols>
          <w:pgMar w:left="320" w:top="131"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ind w:left="4420"/>
        <w:spacing w:after="0"/>
        <w:tabs>
          <w:tab w:leader="none" w:pos="8760" w:val="left"/>
        </w:tabs>
        <w:rPr>
          <w:sz w:val="20"/>
          <w:szCs w:val="20"/>
          <w:color w:val="auto"/>
        </w:rPr>
      </w:pPr>
      <w:r>
        <w:rPr>
          <w:rFonts w:ascii="Arial" w:cs="Arial" w:eastAsia="Arial" w:hAnsi="Arial"/>
          <w:sz w:val="13"/>
          <w:szCs w:val="13"/>
          <w:b w:val="1"/>
          <w:bCs w:val="1"/>
          <w:color w:val="4800E6"/>
        </w:rPr>
        <w:t xml:space="preserve">LIVANOVA </w:t>
      </w:r>
      <w:r>
        <w:rPr>
          <w:rFonts w:ascii="Arial" w:cs="Arial" w:eastAsia="Arial" w:hAnsi="Arial"/>
          <w:sz w:val="13"/>
          <w:szCs w:val="13"/>
          <w:color w:val="000000"/>
        </w:rPr>
        <w:t>|</w:t>
      </w:r>
      <w:r>
        <w:rPr>
          <w:rFonts w:ascii="Arial" w:cs="Arial" w:eastAsia="Arial" w:hAnsi="Arial"/>
          <w:sz w:val="13"/>
          <w:szCs w:val="13"/>
          <w:b w:val="1"/>
          <w:bCs w:val="1"/>
          <w:color w:val="4800E6"/>
        </w:rPr>
        <w:t xml:space="preserve"> </w:t>
      </w:r>
      <w:r>
        <w:rPr>
          <w:rFonts w:ascii="Arial" w:cs="Arial" w:eastAsia="Arial" w:hAnsi="Arial"/>
          <w:sz w:val="13"/>
          <w:szCs w:val="13"/>
          <w:color w:val="4800E6"/>
        </w:rPr>
        <w:t>2020</w:t>
      </w:r>
      <w:r>
        <w:rPr>
          <w:rFonts w:ascii="Arial" w:cs="Arial" w:eastAsia="Arial" w:hAnsi="Arial"/>
          <w:sz w:val="13"/>
          <w:szCs w:val="13"/>
          <w:b w:val="1"/>
          <w:bCs w:val="1"/>
          <w:color w:val="4800E6"/>
        </w:rPr>
        <w:t xml:space="preserve"> </w:t>
      </w:r>
      <w:r>
        <w:rPr>
          <w:rFonts w:ascii="Arial" w:cs="Arial" w:eastAsia="Arial" w:hAnsi="Arial"/>
          <w:sz w:val="13"/>
          <w:szCs w:val="13"/>
          <w:color w:val="000000"/>
        </w:rPr>
        <w:t>Proxy Statement</w:t>
      </w:r>
      <w:r>
        <w:rPr>
          <w:sz w:val="20"/>
          <w:szCs w:val="20"/>
          <w:color w:val="auto"/>
        </w:rPr>
        <w:tab/>
      </w:r>
      <w:r>
        <w:rPr>
          <w:rFonts w:ascii="Arial" w:cs="Arial" w:eastAsia="Arial" w:hAnsi="Arial"/>
          <w:sz w:val="12"/>
          <w:szCs w:val="12"/>
          <w:b w:val="1"/>
          <w:bCs w:val="1"/>
          <w:color w:val="4800E6"/>
        </w:rPr>
        <w:t>www.livanova.com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519430</wp:posOffset>
            </wp:positionH>
            <wp:positionV relativeFrom="paragraph">
              <wp:posOffset>-3175</wp:posOffset>
            </wp:positionV>
            <wp:extent cx="1954530" cy="8890"/>
            <wp:wrapNone/>
            <wp:docPr id="353" name="Picture 3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3"/>
                    <pic:cNvPicPr>
                      <a:picLocks noChangeAspect="1" noChangeArrowheads="1"/>
                    </pic:cNvPicPr>
                  </pic:nvPicPr>
                  <pic:blipFill>
                    <a:blip r:embed="rId360">
                      <a:extLst>
                        <a:ext uri="{28A0092B-C50C-407E-A947-70E740481C1C}"/>
                      </a:extLst>
                    </a:blip>
                    <a:srcRect/>
                    <a:stretch>
                      <a:fillRect/>
                    </a:stretch>
                  </pic:blipFill>
                  <pic:spPr bwMode="auto">
                    <a:xfrm>
                      <a:off x="0" y="0"/>
                      <a:ext cx="1954530" cy="8890"/>
                    </a:xfrm>
                    <a:prstGeom prst="rect">
                      <a:avLst/>
                    </a:prstGeom>
                    <a:noFill/>
                  </pic:spPr>
                </pic:pic>
              </a:graphicData>
            </a:graphic>
          </wp:anchor>
        </w:drawing>
        <w:drawing>
          <wp:anchor simplePos="0" relativeHeight="251657728" behindDoc="1" locked="0" layoutInCell="0" allowOverlap="1">
            <wp:simplePos x="0" y="0"/>
            <wp:positionH relativeFrom="column">
              <wp:posOffset>4316730</wp:posOffset>
            </wp:positionH>
            <wp:positionV relativeFrom="paragraph">
              <wp:posOffset>-3175</wp:posOffset>
            </wp:positionV>
            <wp:extent cx="1028700" cy="8890"/>
            <wp:wrapNone/>
            <wp:docPr id="354" name="Picture 3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4"/>
                    <pic:cNvPicPr>
                      <a:picLocks noChangeAspect="1" noChangeArrowheads="1"/>
                    </pic:cNvPicPr>
                  </pic:nvPicPr>
                  <pic:blipFill>
                    <a:blip r:embed="rId361">
                      <a:extLst>
                        <a:ext uri="{28A0092B-C50C-407E-A947-70E740481C1C}"/>
                      </a:extLst>
                    </a:blip>
                    <a:srcRect/>
                    <a:stretch>
                      <a:fillRect/>
                    </a:stretch>
                  </pic:blipFill>
                  <pic:spPr bwMode="auto">
                    <a:xfrm>
                      <a:off x="0" y="0"/>
                      <a:ext cx="102870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99060</wp:posOffset>
            </wp:positionV>
            <wp:extent cx="6806565" cy="17145"/>
            <wp:wrapNone/>
            <wp:docPr id="355" name="Picture 3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5"/>
                    <pic:cNvPicPr>
                      <a:picLocks noChangeAspect="1" noChangeArrowheads="1"/>
                    </pic:cNvPicPr>
                  </pic:nvPicPr>
                  <pic:blipFill>
                    <a:blip r:embed="rId362">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10139"/>
          </w:cols>
          <w:pgMar w:left="320" w:top="131" w:right="1440" w:bottom="1440" w:gutter="0" w:footer="0" w:header="0"/>
          <w:type w:val="continuous"/>
        </w:sectPr>
      </w:pPr>
    </w:p>
    <w:bookmarkStart w:id="77" w:name="page78"/>
    <w:bookmarkEnd w:id="77"/>
    <w:p>
      <w:pPr>
        <w:spacing w:after="0"/>
        <w:rPr>
          <w:rFonts w:ascii="Arial" w:cs="Arial" w:eastAsia="Arial" w:hAnsi="Arial"/>
          <w:sz w:val="14"/>
          <w:szCs w:val="14"/>
          <w:color w:val="003366"/>
        </w:rPr>
      </w:pPr>
      <w:hyperlink w:anchor="page5">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ind w:left="760"/>
        <w:spacing w:after="0"/>
        <w:rPr>
          <w:sz w:val="20"/>
          <w:szCs w:val="20"/>
          <w:color w:val="auto"/>
        </w:rPr>
      </w:pPr>
      <w:r>
        <w:rPr>
          <w:rFonts w:ascii="Arial" w:cs="Arial" w:eastAsia="Arial" w:hAnsi="Arial"/>
          <w:sz w:val="38"/>
          <w:szCs w:val="38"/>
          <w:b w:val="1"/>
          <w:bCs w:val="1"/>
          <w:color w:val="4800E6"/>
        </w:rPr>
        <w:t>CONTENTS</w:t>
      </w:r>
    </w:p>
    <w:p>
      <w:pPr>
        <w:spacing w:after="0" w:line="264" w:lineRule="exact"/>
        <w:rPr>
          <w:sz w:val="20"/>
          <w:szCs w:val="20"/>
          <w:color w:val="auto"/>
        </w:rPr>
      </w:pPr>
    </w:p>
    <w:tbl>
      <w:tblPr>
        <w:tblLayout w:type="fixed"/>
        <w:tblInd w:w="760" w:type="dxa"/>
        <w:tblCellMar>
          <w:top w:w="0" w:type="dxa"/>
          <w:left w:w="0" w:type="dxa"/>
          <w:bottom w:w="0" w:type="dxa"/>
          <w:right w:w="0" w:type="dxa"/>
        </w:tblCellMar>
      </w:tblPr>
      <w:tr>
        <w:trPr>
          <w:trHeight w:val="196"/>
        </w:trPr>
        <w:tc>
          <w:tcPr>
            <w:tcW w:w="8600" w:type="dxa"/>
            <w:vAlign w:val="bottom"/>
            <w:tcBorders>
              <w:bottom w:val="single" w:sz="8" w:color="auto"/>
            </w:tcBorders>
            <w:gridSpan w:val="7"/>
          </w:tcPr>
          <w:p>
            <w:pPr>
              <w:spacing w:after="0"/>
              <w:rPr>
                <w:sz w:val="20"/>
                <w:szCs w:val="20"/>
                <w:color w:val="auto"/>
              </w:rPr>
            </w:pPr>
            <w:r>
              <w:rPr>
                <w:rFonts w:ascii="Arial" w:cs="Arial" w:eastAsia="Arial" w:hAnsi="Arial"/>
                <w:sz w:val="14"/>
                <w:szCs w:val="14"/>
                <w:b w:val="1"/>
                <w:bCs w:val="1"/>
                <w:color w:val="auto"/>
              </w:rPr>
              <w:t>Clause</w:t>
            </w:r>
          </w:p>
        </w:tc>
        <w:tc>
          <w:tcPr>
            <w:tcW w:w="220" w:type="dxa"/>
            <w:vAlign w:val="bottom"/>
            <w:tcBorders>
              <w:bottom w:val="single" w:sz="8" w:color="CCEEFF"/>
            </w:tcBorders>
          </w:tcPr>
          <w:p>
            <w:pPr>
              <w:spacing w:after="0"/>
              <w:rPr>
                <w:sz w:val="17"/>
                <w:szCs w:val="17"/>
                <w:color w:val="auto"/>
              </w:rPr>
            </w:pPr>
          </w:p>
        </w:tc>
        <w:tc>
          <w:tcPr>
            <w:tcW w:w="3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Page</w:t>
            </w:r>
          </w:p>
        </w:tc>
      </w:tr>
      <w:tr>
        <w:trPr>
          <w:trHeight w:val="243"/>
        </w:trPr>
        <w:tc>
          <w:tcPr>
            <w:tcW w:w="300" w:type="dxa"/>
            <w:vAlign w:val="bottom"/>
            <w:shd w:val="clear" w:color="auto" w:fill="CCEEFF"/>
          </w:tcPr>
          <w:p>
            <w:pPr>
              <w:spacing w:after="0"/>
              <w:rPr>
                <w:rFonts w:ascii="Arial" w:cs="Arial" w:eastAsia="Arial" w:hAnsi="Arial"/>
                <w:sz w:val="15"/>
                <w:szCs w:val="15"/>
                <w:b w:val="1"/>
                <w:bCs w:val="1"/>
                <w:u w:val="single" w:color="auto"/>
                <w:color w:val="0000EE"/>
              </w:rPr>
            </w:pPr>
            <w:hyperlink w:anchor="page79">
              <w:r>
                <w:rPr>
                  <w:rFonts w:ascii="Arial" w:cs="Arial" w:eastAsia="Arial" w:hAnsi="Arial"/>
                  <w:sz w:val="15"/>
                  <w:szCs w:val="15"/>
                  <w:b w:val="1"/>
                  <w:bCs w:val="1"/>
                  <w:u w:val="single" w:color="auto"/>
                  <w:color w:val="0000EE"/>
                </w:rPr>
                <w:t>1.</w:t>
              </w:r>
            </w:hyperlink>
          </w:p>
        </w:tc>
        <w:tc>
          <w:tcPr>
            <w:tcW w:w="40" w:type="dxa"/>
            <w:vAlign w:val="bottom"/>
            <w:shd w:val="clear" w:color="auto" w:fill="CCEEFF"/>
          </w:tcPr>
          <w:p>
            <w:pPr>
              <w:spacing w:after="0"/>
              <w:rPr>
                <w:sz w:val="21"/>
                <w:szCs w:val="21"/>
                <w:color w:val="auto"/>
              </w:rPr>
            </w:pPr>
          </w:p>
        </w:tc>
        <w:tc>
          <w:tcPr>
            <w:tcW w:w="8480" w:type="dxa"/>
            <w:vAlign w:val="bottom"/>
            <w:gridSpan w:val="6"/>
            <w:shd w:val="clear" w:color="auto" w:fill="CCEEFF"/>
          </w:tcPr>
          <w:p>
            <w:pPr>
              <w:ind w:left="120"/>
              <w:spacing w:after="0"/>
              <w:rPr>
                <w:rFonts w:ascii="Arial" w:cs="Arial" w:eastAsia="Arial" w:hAnsi="Arial"/>
                <w:sz w:val="15"/>
                <w:szCs w:val="15"/>
                <w:b w:val="1"/>
                <w:bCs w:val="1"/>
                <w:u w:val="single" w:color="auto"/>
                <w:color w:val="0000EE"/>
              </w:rPr>
            </w:pPr>
            <w:hyperlink w:anchor="page79">
              <w:r>
                <w:rPr>
                  <w:rFonts w:ascii="Arial" w:cs="Arial" w:eastAsia="Arial" w:hAnsi="Arial"/>
                  <w:sz w:val="15"/>
                  <w:szCs w:val="15"/>
                  <w:b w:val="1"/>
                  <w:bCs w:val="1"/>
                  <w:u w:val="single" w:color="auto"/>
                  <w:color w:val="0000EE"/>
                </w:rPr>
                <w:t>MODEL ARTICLES NOT TO APPLY</w:t>
              </w:r>
            </w:hyperlink>
          </w:p>
        </w:tc>
        <w:tc>
          <w:tcPr>
            <w:tcW w:w="360" w:type="dxa"/>
            <w:vAlign w:val="bottom"/>
            <w:shd w:val="clear" w:color="auto" w:fill="CCEEFF"/>
          </w:tcPr>
          <w:p>
            <w:pPr>
              <w:jc w:val="right"/>
              <w:spacing w:after="0"/>
              <w:rPr>
                <w:rFonts w:ascii="Arial" w:cs="Arial" w:eastAsia="Arial" w:hAnsi="Arial"/>
                <w:sz w:val="15"/>
                <w:szCs w:val="15"/>
                <w:b w:val="1"/>
                <w:bCs w:val="1"/>
                <w:u w:val="single" w:color="auto"/>
                <w:color w:val="0000EE"/>
              </w:rPr>
            </w:pPr>
            <w:hyperlink w:anchor="page79">
              <w:r>
                <w:rPr>
                  <w:rFonts w:ascii="Arial" w:cs="Arial" w:eastAsia="Arial" w:hAnsi="Arial"/>
                  <w:sz w:val="15"/>
                  <w:szCs w:val="15"/>
                  <w:b w:val="1"/>
                  <w:bCs w:val="1"/>
                  <w:u w:val="single" w:color="auto"/>
                  <w:color w:val="0000EE"/>
                </w:rPr>
                <w:t>A-1</w:t>
              </w:r>
            </w:hyperlink>
          </w:p>
        </w:tc>
      </w:tr>
      <w:tr>
        <w:trPr>
          <w:trHeight w:val="239"/>
        </w:trPr>
        <w:tc>
          <w:tcPr>
            <w:tcW w:w="300" w:type="dxa"/>
            <w:vAlign w:val="bottom"/>
          </w:tcPr>
          <w:p>
            <w:pPr>
              <w:spacing w:after="0"/>
              <w:rPr>
                <w:rFonts w:ascii="Arial" w:cs="Arial" w:eastAsia="Arial" w:hAnsi="Arial"/>
                <w:sz w:val="15"/>
                <w:szCs w:val="15"/>
                <w:b w:val="1"/>
                <w:bCs w:val="1"/>
                <w:u w:val="single" w:color="auto"/>
                <w:color w:val="0000EE"/>
              </w:rPr>
            </w:pPr>
            <w:hyperlink w:anchor="page79">
              <w:r>
                <w:rPr>
                  <w:rFonts w:ascii="Arial" w:cs="Arial" w:eastAsia="Arial" w:hAnsi="Arial"/>
                  <w:sz w:val="15"/>
                  <w:szCs w:val="15"/>
                  <w:b w:val="1"/>
                  <w:bCs w:val="1"/>
                  <w:u w:val="single" w:color="auto"/>
                  <w:color w:val="0000EE"/>
                </w:rPr>
                <w:t>2.</w:t>
              </w:r>
            </w:hyperlink>
          </w:p>
        </w:tc>
        <w:tc>
          <w:tcPr>
            <w:tcW w:w="40" w:type="dxa"/>
            <w:vAlign w:val="bottom"/>
          </w:tcPr>
          <w:p>
            <w:pPr>
              <w:spacing w:after="0"/>
              <w:rPr>
                <w:sz w:val="20"/>
                <w:szCs w:val="20"/>
                <w:color w:val="auto"/>
              </w:rPr>
            </w:pPr>
          </w:p>
        </w:tc>
        <w:tc>
          <w:tcPr>
            <w:tcW w:w="8480" w:type="dxa"/>
            <w:vAlign w:val="bottom"/>
            <w:gridSpan w:val="6"/>
          </w:tcPr>
          <w:p>
            <w:pPr>
              <w:ind w:left="120"/>
              <w:spacing w:after="0"/>
              <w:rPr>
                <w:rFonts w:ascii="Arial" w:cs="Arial" w:eastAsia="Arial" w:hAnsi="Arial"/>
                <w:sz w:val="15"/>
                <w:szCs w:val="15"/>
                <w:b w:val="1"/>
                <w:bCs w:val="1"/>
                <w:u w:val="single" w:color="auto"/>
                <w:color w:val="0000EE"/>
              </w:rPr>
            </w:pPr>
            <w:hyperlink w:anchor="page79">
              <w:r>
                <w:rPr>
                  <w:rFonts w:ascii="Arial" w:cs="Arial" w:eastAsia="Arial" w:hAnsi="Arial"/>
                  <w:sz w:val="15"/>
                  <w:szCs w:val="15"/>
                  <w:b w:val="1"/>
                  <w:bCs w:val="1"/>
                  <w:u w:val="single" w:color="auto"/>
                  <w:color w:val="0000EE"/>
                </w:rPr>
                <w:t>INTERPRETATION</w:t>
              </w:r>
            </w:hyperlink>
          </w:p>
        </w:tc>
        <w:tc>
          <w:tcPr>
            <w:tcW w:w="360" w:type="dxa"/>
            <w:vAlign w:val="bottom"/>
          </w:tcPr>
          <w:p>
            <w:pPr>
              <w:jc w:val="right"/>
              <w:spacing w:after="0"/>
              <w:rPr>
                <w:rFonts w:ascii="Arial" w:cs="Arial" w:eastAsia="Arial" w:hAnsi="Arial"/>
                <w:sz w:val="15"/>
                <w:szCs w:val="15"/>
                <w:b w:val="1"/>
                <w:bCs w:val="1"/>
                <w:u w:val="single" w:color="auto"/>
                <w:color w:val="0000EE"/>
              </w:rPr>
            </w:pPr>
            <w:hyperlink w:anchor="page79">
              <w:r>
                <w:rPr>
                  <w:rFonts w:ascii="Arial" w:cs="Arial" w:eastAsia="Arial" w:hAnsi="Arial"/>
                  <w:sz w:val="15"/>
                  <w:szCs w:val="15"/>
                  <w:b w:val="1"/>
                  <w:bCs w:val="1"/>
                  <w:u w:val="single" w:color="auto"/>
                  <w:color w:val="0000EE"/>
                </w:rPr>
                <w:t>A-1</w:t>
              </w:r>
            </w:hyperlink>
          </w:p>
        </w:tc>
      </w:tr>
      <w:tr>
        <w:trPr>
          <w:trHeight w:val="247"/>
        </w:trPr>
        <w:tc>
          <w:tcPr>
            <w:tcW w:w="300" w:type="dxa"/>
            <w:vAlign w:val="bottom"/>
            <w:shd w:val="clear" w:color="auto" w:fill="CCEEFF"/>
          </w:tcPr>
          <w:p>
            <w:pPr>
              <w:spacing w:after="0"/>
              <w:rPr>
                <w:rFonts w:ascii="Arial" w:cs="Arial" w:eastAsia="Arial" w:hAnsi="Arial"/>
                <w:sz w:val="15"/>
                <w:szCs w:val="15"/>
                <w:b w:val="1"/>
                <w:bCs w:val="1"/>
                <w:u w:val="single" w:color="auto"/>
                <w:color w:val="0000EE"/>
              </w:rPr>
            </w:pPr>
            <w:hyperlink w:anchor="page82">
              <w:r>
                <w:rPr>
                  <w:rFonts w:ascii="Arial" w:cs="Arial" w:eastAsia="Arial" w:hAnsi="Arial"/>
                  <w:sz w:val="15"/>
                  <w:szCs w:val="15"/>
                  <w:b w:val="1"/>
                  <w:bCs w:val="1"/>
                  <w:u w:val="single" w:color="auto"/>
                  <w:color w:val="0000EE"/>
                </w:rPr>
                <w:t>3.</w:t>
              </w:r>
            </w:hyperlink>
          </w:p>
        </w:tc>
        <w:tc>
          <w:tcPr>
            <w:tcW w:w="40" w:type="dxa"/>
            <w:vAlign w:val="bottom"/>
            <w:shd w:val="clear" w:color="auto" w:fill="CCEEFF"/>
          </w:tcPr>
          <w:p>
            <w:pPr>
              <w:spacing w:after="0"/>
              <w:rPr>
                <w:sz w:val="21"/>
                <w:szCs w:val="21"/>
                <w:color w:val="auto"/>
              </w:rPr>
            </w:pPr>
          </w:p>
        </w:tc>
        <w:tc>
          <w:tcPr>
            <w:tcW w:w="8480" w:type="dxa"/>
            <w:vAlign w:val="bottom"/>
            <w:gridSpan w:val="6"/>
            <w:shd w:val="clear" w:color="auto" w:fill="CCEEFF"/>
          </w:tcPr>
          <w:p>
            <w:pPr>
              <w:ind w:left="120"/>
              <w:spacing w:after="0"/>
              <w:rPr>
                <w:rFonts w:ascii="Arial" w:cs="Arial" w:eastAsia="Arial" w:hAnsi="Arial"/>
                <w:sz w:val="15"/>
                <w:szCs w:val="15"/>
                <w:b w:val="1"/>
                <w:bCs w:val="1"/>
                <w:u w:val="single" w:color="auto"/>
                <w:color w:val="0000EE"/>
              </w:rPr>
            </w:pPr>
            <w:hyperlink w:anchor="page82">
              <w:r>
                <w:rPr>
                  <w:rFonts w:ascii="Arial" w:cs="Arial" w:eastAsia="Arial" w:hAnsi="Arial"/>
                  <w:sz w:val="15"/>
                  <w:szCs w:val="15"/>
                  <w:b w:val="1"/>
                  <w:bCs w:val="1"/>
                  <w:u w:val="single" w:color="auto"/>
                  <w:color w:val="0000EE"/>
                </w:rPr>
                <w:t>LIABILITY OF MEMBERS</w:t>
              </w:r>
            </w:hyperlink>
          </w:p>
        </w:tc>
        <w:tc>
          <w:tcPr>
            <w:tcW w:w="360" w:type="dxa"/>
            <w:vAlign w:val="bottom"/>
            <w:shd w:val="clear" w:color="auto" w:fill="CCEEFF"/>
          </w:tcPr>
          <w:p>
            <w:pPr>
              <w:jc w:val="right"/>
              <w:spacing w:after="0"/>
              <w:rPr>
                <w:rFonts w:ascii="Arial" w:cs="Arial" w:eastAsia="Arial" w:hAnsi="Arial"/>
                <w:sz w:val="15"/>
                <w:szCs w:val="15"/>
                <w:b w:val="1"/>
                <w:bCs w:val="1"/>
                <w:u w:val="single" w:color="auto"/>
                <w:color w:val="0000EE"/>
              </w:rPr>
            </w:pPr>
            <w:hyperlink w:anchor="page82">
              <w:r>
                <w:rPr>
                  <w:rFonts w:ascii="Arial" w:cs="Arial" w:eastAsia="Arial" w:hAnsi="Arial"/>
                  <w:sz w:val="15"/>
                  <w:szCs w:val="15"/>
                  <w:b w:val="1"/>
                  <w:bCs w:val="1"/>
                  <w:u w:val="single" w:color="auto"/>
                  <w:color w:val="0000EE"/>
                </w:rPr>
                <w:t>A-4</w:t>
              </w:r>
            </w:hyperlink>
          </w:p>
        </w:tc>
      </w:tr>
      <w:tr>
        <w:trPr>
          <w:trHeight w:val="239"/>
        </w:trPr>
        <w:tc>
          <w:tcPr>
            <w:tcW w:w="300" w:type="dxa"/>
            <w:vAlign w:val="bottom"/>
          </w:tcPr>
          <w:p>
            <w:pPr>
              <w:spacing w:after="0"/>
              <w:rPr>
                <w:rFonts w:ascii="Arial" w:cs="Arial" w:eastAsia="Arial" w:hAnsi="Arial"/>
                <w:sz w:val="15"/>
                <w:szCs w:val="15"/>
                <w:b w:val="1"/>
                <w:bCs w:val="1"/>
                <w:u w:val="single" w:color="auto"/>
                <w:color w:val="0000EE"/>
              </w:rPr>
            </w:pPr>
            <w:hyperlink w:anchor="page82">
              <w:r>
                <w:rPr>
                  <w:rFonts w:ascii="Arial" w:cs="Arial" w:eastAsia="Arial" w:hAnsi="Arial"/>
                  <w:sz w:val="15"/>
                  <w:szCs w:val="15"/>
                  <w:b w:val="1"/>
                  <w:bCs w:val="1"/>
                  <w:u w:val="single" w:color="auto"/>
                  <w:color w:val="0000EE"/>
                </w:rPr>
                <w:t>4.</w:t>
              </w:r>
            </w:hyperlink>
          </w:p>
        </w:tc>
        <w:tc>
          <w:tcPr>
            <w:tcW w:w="40" w:type="dxa"/>
            <w:vAlign w:val="bottom"/>
          </w:tcPr>
          <w:p>
            <w:pPr>
              <w:spacing w:after="0"/>
              <w:rPr>
                <w:sz w:val="20"/>
                <w:szCs w:val="20"/>
                <w:color w:val="auto"/>
              </w:rPr>
            </w:pPr>
          </w:p>
        </w:tc>
        <w:tc>
          <w:tcPr>
            <w:tcW w:w="8480" w:type="dxa"/>
            <w:vAlign w:val="bottom"/>
            <w:gridSpan w:val="6"/>
          </w:tcPr>
          <w:p>
            <w:pPr>
              <w:ind w:left="120"/>
              <w:spacing w:after="0"/>
              <w:rPr>
                <w:rFonts w:ascii="Arial" w:cs="Arial" w:eastAsia="Arial" w:hAnsi="Arial"/>
                <w:sz w:val="15"/>
                <w:szCs w:val="15"/>
                <w:b w:val="1"/>
                <w:bCs w:val="1"/>
                <w:u w:val="single" w:color="auto"/>
                <w:color w:val="0000EE"/>
              </w:rPr>
            </w:pPr>
            <w:hyperlink w:anchor="page82">
              <w:r>
                <w:rPr>
                  <w:rFonts w:ascii="Arial" w:cs="Arial" w:eastAsia="Arial" w:hAnsi="Arial"/>
                  <w:sz w:val="15"/>
                  <w:szCs w:val="15"/>
                  <w:b w:val="1"/>
                  <w:bCs w:val="1"/>
                  <w:u w:val="single" w:color="auto"/>
                  <w:color w:val="0000EE"/>
                </w:rPr>
                <w:t>SHARES AND SHARE CAPITAL</w:t>
              </w:r>
            </w:hyperlink>
          </w:p>
        </w:tc>
        <w:tc>
          <w:tcPr>
            <w:tcW w:w="360" w:type="dxa"/>
            <w:vAlign w:val="bottom"/>
          </w:tcPr>
          <w:p>
            <w:pPr>
              <w:jc w:val="right"/>
              <w:spacing w:after="0"/>
              <w:rPr>
                <w:rFonts w:ascii="Arial" w:cs="Arial" w:eastAsia="Arial" w:hAnsi="Arial"/>
                <w:sz w:val="15"/>
                <w:szCs w:val="15"/>
                <w:b w:val="1"/>
                <w:bCs w:val="1"/>
                <w:u w:val="single" w:color="auto"/>
                <w:color w:val="0000EE"/>
              </w:rPr>
            </w:pPr>
            <w:hyperlink w:anchor="page82">
              <w:r>
                <w:rPr>
                  <w:rFonts w:ascii="Arial" w:cs="Arial" w:eastAsia="Arial" w:hAnsi="Arial"/>
                  <w:sz w:val="15"/>
                  <w:szCs w:val="15"/>
                  <w:b w:val="1"/>
                  <w:bCs w:val="1"/>
                  <w:u w:val="single" w:color="auto"/>
                  <w:color w:val="0000EE"/>
                </w:rPr>
                <w:t>A-4</w:t>
              </w:r>
            </w:hyperlink>
          </w:p>
        </w:tc>
      </w:tr>
      <w:tr>
        <w:trPr>
          <w:trHeight w:val="247"/>
        </w:trPr>
        <w:tc>
          <w:tcPr>
            <w:tcW w:w="300" w:type="dxa"/>
            <w:vAlign w:val="bottom"/>
            <w:shd w:val="clear" w:color="auto" w:fill="CCEEFF"/>
          </w:tcPr>
          <w:p>
            <w:pPr>
              <w:spacing w:after="0"/>
              <w:rPr>
                <w:rFonts w:ascii="Arial" w:cs="Arial" w:eastAsia="Arial" w:hAnsi="Arial"/>
                <w:sz w:val="15"/>
                <w:szCs w:val="15"/>
                <w:b w:val="1"/>
                <w:bCs w:val="1"/>
                <w:u w:val="single" w:color="auto"/>
                <w:color w:val="0000EE"/>
              </w:rPr>
            </w:pPr>
            <w:hyperlink w:anchor="page83">
              <w:r>
                <w:rPr>
                  <w:rFonts w:ascii="Arial" w:cs="Arial" w:eastAsia="Arial" w:hAnsi="Arial"/>
                  <w:sz w:val="15"/>
                  <w:szCs w:val="15"/>
                  <w:b w:val="1"/>
                  <w:bCs w:val="1"/>
                  <w:u w:val="single" w:color="auto"/>
                  <w:color w:val="0000EE"/>
                </w:rPr>
                <w:t>5.</w:t>
              </w:r>
            </w:hyperlink>
          </w:p>
        </w:tc>
        <w:tc>
          <w:tcPr>
            <w:tcW w:w="8520" w:type="dxa"/>
            <w:vAlign w:val="bottom"/>
            <w:gridSpan w:val="7"/>
            <w:shd w:val="clear" w:color="auto" w:fill="CCEEFF"/>
          </w:tcPr>
          <w:p>
            <w:pPr>
              <w:ind w:left="160"/>
              <w:spacing w:after="0"/>
              <w:rPr>
                <w:rFonts w:ascii="Arial" w:cs="Arial" w:eastAsia="Arial" w:hAnsi="Arial"/>
                <w:sz w:val="15"/>
                <w:szCs w:val="15"/>
                <w:b w:val="1"/>
                <w:bCs w:val="1"/>
                <w:u w:val="single" w:color="auto"/>
                <w:color w:val="0000EE"/>
              </w:rPr>
            </w:pPr>
            <w:hyperlink w:anchor="page83">
              <w:r>
                <w:rPr>
                  <w:rFonts w:ascii="Arial" w:cs="Arial" w:eastAsia="Arial" w:hAnsi="Arial"/>
                  <w:sz w:val="15"/>
                  <w:szCs w:val="15"/>
                  <w:b w:val="1"/>
                  <w:bCs w:val="1"/>
                  <w:u w:val="single" w:color="auto"/>
                  <w:color w:val="0000EE"/>
                </w:rPr>
                <w:t>AUTHORITY TO ALLOT SHARES AND DISAPPLICATION OF PRE-EMPTION RIGHTS</w:t>
              </w:r>
            </w:hyperlink>
          </w:p>
        </w:tc>
        <w:tc>
          <w:tcPr>
            <w:tcW w:w="360" w:type="dxa"/>
            <w:vAlign w:val="bottom"/>
            <w:shd w:val="clear" w:color="auto" w:fill="CCEEFF"/>
          </w:tcPr>
          <w:p>
            <w:pPr>
              <w:jc w:val="right"/>
              <w:spacing w:after="0"/>
              <w:rPr>
                <w:rFonts w:ascii="Arial" w:cs="Arial" w:eastAsia="Arial" w:hAnsi="Arial"/>
                <w:sz w:val="15"/>
                <w:szCs w:val="15"/>
                <w:b w:val="1"/>
                <w:bCs w:val="1"/>
                <w:u w:val="single" w:color="auto"/>
                <w:color w:val="0000EE"/>
              </w:rPr>
            </w:pPr>
            <w:hyperlink w:anchor="page83">
              <w:r>
                <w:rPr>
                  <w:rFonts w:ascii="Arial" w:cs="Arial" w:eastAsia="Arial" w:hAnsi="Arial"/>
                  <w:sz w:val="15"/>
                  <w:szCs w:val="15"/>
                  <w:b w:val="1"/>
                  <w:bCs w:val="1"/>
                  <w:u w:val="single" w:color="auto"/>
                  <w:color w:val="0000EE"/>
                </w:rPr>
                <w:t>A-5</w:t>
              </w:r>
            </w:hyperlink>
          </w:p>
        </w:tc>
      </w:tr>
      <w:tr>
        <w:trPr>
          <w:trHeight w:val="239"/>
        </w:trPr>
        <w:tc>
          <w:tcPr>
            <w:tcW w:w="300" w:type="dxa"/>
            <w:vAlign w:val="bottom"/>
          </w:tcPr>
          <w:p>
            <w:pPr>
              <w:spacing w:after="0"/>
              <w:rPr>
                <w:rFonts w:ascii="Arial" w:cs="Arial" w:eastAsia="Arial" w:hAnsi="Arial"/>
                <w:sz w:val="15"/>
                <w:szCs w:val="15"/>
                <w:b w:val="1"/>
                <w:bCs w:val="1"/>
                <w:u w:val="single" w:color="auto"/>
                <w:color w:val="0000EE"/>
              </w:rPr>
            </w:pPr>
            <w:hyperlink w:anchor="page84">
              <w:r>
                <w:rPr>
                  <w:rFonts w:ascii="Arial" w:cs="Arial" w:eastAsia="Arial" w:hAnsi="Arial"/>
                  <w:sz w:val="15"/>
                  <w:szCs w:val="15"/>
                  <w:b w:val="1"/>
                  <w:bCs w:val="1"/>
                  <w:u w:val="single" w:color="auto"/>
                  <w:color w:val="0000EE"/>
                </w:rPr>
                <w:t>6.</w:t>
              </w:r>
            </w:hyperlink>
          </w:p>
        </w:tc>
        <w:tc>
          <w:tcPr>
            <w:tcW w:w="40" w:type="dxa"/>
            <w:vAlign w:val="bottom"/>
          </w:tcPr>
          <w:p>
            <w:pPr>
              <w:spacing w:after="0"/>
              <w:rPr>
                <w:sz w:val="20"/>
                <w:szCs w:val="20"/>
                <w:color w:val="auto"/>
              </w:rPr>
            </w:pPr>
          </w:p>
        </w:tc>
        <w:tc>
          <w:tcPr>
            <w:tcW w:w="8480" w:type="dxa"/>
            <w:vAlign w:val="bottom"/>
            <w:gridSpan w:val="6"/>
          </w:tcPr>
          <w:p>
            <w:pPr>
              <w:ind w:left="120"/>
              <w:spacing w:after="0"/>
              <w:rPr>
                <w:rFonts w:ascii="Arial" w:cs="Arial" w:eastAsia="Arial" w:hAnsi="Arial"/>
                <w:sz w:val="15"/>
                <w:szCs w:val="15"/>
                <w:b w:val="1"/>
                <w:bCs w:val="1"/>
                <w:u w:val="single" w:color="auto"/>
                <w:color w:val="0000EE"/>
              </w:rPr>
            </w:pPr>
            <w:hyperlink w:anchor="page84">
              <w:r>
                <w:rPr>
                  <w:rFonts w:ascii="Arial" w:cs="Arial" w:eastAsia="Arial" w:hAnsi="Arial"/>
                  <w:sz w:val="15"/>
                  <w:szCs w:val="15"/>
                  <w:b w:val="1"/>
                  <w:bCs w:val="1"/>
                  <w:u w:val="single" w:color="auto"/>
                  <w:color w:val="0000EE"/>
                </w:rPr>
                <w:t>VARIATION OF RIGHTS</w:t>
              </w:r>
            </w:hyperlink>
          </w:p>
        </w:tc>
        <w:tc>
          <w:tcPr>
            <w:tcW w:w="360" w:type="dxa"/>
            <w:vAlign w:val="bottom"/>
          </w:tcPr>
          <w:p>
            <w:pPr>
              <w:jc w:val="right"/>
              <w:spacing w:after="0"/>
              <w:rPr>
                <w:rFonts w:ascii="Arial" w:cs="Arial" w:eastAsia="Arial" w:hAnsi="Arial"/>
                <w:sz w:val="15"/>
                <w:szCs w:val="15"/>
                <w:b w:val="1"/>
                <w:bCs w:val="1"/>
                <w:u w:val="single" w:color="auto"/>
                <w:color w:val="0000EE"/>
              </w:rPr>
            </w:pPr>
            <w:hyperlink w:anchor="page84">
              <w:r>
                <w:rPr>
                  <w:rFonts w:ascii="Arial" w:cs="Arial" w:eastAsia="Arial" w:hAnsi="Arial"/>
                  <w:sz w:val="15"/>
                  <w:szCs w:val="15"/>
                  <w:b w:val="1"/>
                  <w:bCs w:val="1"/>
                  <w:u w:val="single" w:color="auto"/>
                  <w:color w:val="0000EE"/>
                </w:rPr>
                <w:t>A-6</w:t>
              </w:r>
            </w:hyperlink>
          </w:p>
        </w:tc>
      </w:tr>
      <w:tr>
        <w:trPr>
          <w:trHeight w:val="247"/>
        </w:trPr>
        <w:tc>
          <w:tcPr>
            <w:tcW w:w="300" w:type="dxa"/>
            <w:vAlign w:val="bottom"/>
            <w:shd w:val="clear" w:color="auto" w:fill="CCEEFF"/>
          </w:tcPr>
          <w:p>
            <w:pPr>
              <w:spacing w:after="0"/>
              <w:rPr>
                <w:rFonts w:ascii="Arial" w:cs="Arial" w:eastAsia="Arial" w:hAnsi="Arial"/>
                <w:sz w:val="15"/>
                <w:szCs w:val="15"/>
                <w:b w:val="1"/>
                <w:bCs w:val="1"/>
                <w:u w:val="single" w:color="auto"/>
                <w:color w:val="0000EE"/>
              </w:rPr>
            </w:pPr>
            <w:hyperlink w:anchor="page84">
              <w:r>
                <w:rPr>
                  <w:rFonts w:ascii="Arial" w:cs="Arial" w:eastAsia="Arial" w:hAnsi="Arial"/>
                  <w:sz w:val="15"/>
                  <w:szCs w:val="15"/>
                  <w:b w:val="1"/>
                  <w:bCs w:val="1"/>
                  <w:u w:val="single" w:color="auto"/>
                  <w:color w:val="0000EE"/>
                </w:rPr>
                <w:t>7.</w:t>
              </w:r>
            </w:hyperlink>
          </w:p>
        </w:tc>
        <w:tc>
          <w:tcPr>
            <w:tcW w:w="40" w:type="dxa"/>
            <w:vAlign w:val="bottom"/>
            <w:shd w:val="clear" w:color="auto" w:fill="CCEEFF"/>
          </w:tcPr>
          <w:p>
            <w:pPr>
              <w:spacing w:after="0"/>
              <w:rPr>
                <w:sz w:val="21"/>
                <w:szCs w:val="21"/>
                <w:color w:val="auto"/>
              </w:rPr>
            </w:pPr>
          </w:p>
        </w:tc>
        <w:tc>
          <w:tcPr>
            <w:tcW w:w="8480" w:type="dxa"/>
            <w:vAlign w:val="bottom"/>
            <w:gridSpan w:val="6"/>
            <w:shd w:val="clear" w:color="auto" w:fill="CCEEFF"/>
          </w:tcPr>
          <w:p>
            <w:pPr>
              <w:ind w:left="120"/>
              <w:spacing w:after="0"/>
              <w:rPr>
                <w:rFonts w:ascii="Arial" w:cs="Arial" w:eastAsia="Arial" w:hAnsi="Arial"/>
                <w:sz w:val="15"/>
                <w:szCs w:val="15"/>
                <w:b w:val="1"/>
                <w:bCs w:val="1"/>
                <w:u w:val="single" w:color="auto"/>
                <w:color w:val="0000EE"/>
              </w:rPr>
            </w:pPr>
            <w:hyperlink w:anchor="page84">
              <w:r>
                <w:rPr>
                  <w:rFonts w:ascii="Arial" w:cs="Arial" w:eastAsia="Arial" w:hAnsi="Arial"/>
                  <w:sz w:val="15"/>
                  <w:szCs w:val="15"/>
                  <w:b w:val="1"/>
                  <w:bCs w:val="1"/>
                  <w:u w:val="single" w:color="auto"/>
                  <w:color w:val="0000EE"/>
                </w:rPr>
                <w:t>SHARE CERTIFICATES</w:t>
              </w:r>
            </w:hyperlink>
          </w:p>
        </w:tc>
        <w:tc>
          <w:tcPr>
            <w:tcW w:w="360" w:type="dxa"/>
            <w:vAlign w:val="bottom"/>
            <w:shd w:val="clear" w:color="auto" w:fill="CCEEFF"/>
          </w:tcPr>
          <w:p>
            <w:pPr>
              <w:jc w:val="right"/>
              <w:spacing w:after="0"/>
              <w:rPr>
                <w:rFonts w:ascii="Arial" w:cs="Arial" w:eastAsia="Arial" w:hAnsi="Arial"/>
                <w:sz w:val="15"/>
                <w:szCs w:val="15"/>
                <w:b w:val="1"/>
                <w:bCs w:val="1"/>
                <w:u w:val="single" w:color="auto"/>
                <w:color w:val="0000EE"/>
              </w:rPr>
            </w:pPr>
            <w:hyperlink w:anchor="page84">
              <w:r>
                <w:rPr>
                  <w:rFonts w:ascii="Arial" w:cs="Arial" w:eastAsia="Arial" w:hAnsi="Arial"/>
                  <w:sz w:val="15"/>
                  <w:szCs w:val="15"/>
                  <w:b w:val="1"/>
                  <w:bCs w:val="1"/>
                  <w:u w:val="single" w:color="auto"/>
                  <w:color w:val="0000EE"/>
                </w:rPr>
                <w:t>A-6</w:t>
              </w:r>
            </w:hyperlink>
          </w:p>
        </w:tc>
      </w:tr>
      <w:tr>
        <w:trPr>
          <w:trHeight w:val="239"/>
        </w:trPr>
        <w:tc>
          <w:tcPr>
            <w:tcW w:w="300" w:type="dxa"/>
            <w:vAlign w:val="bottom"/>
          </w:tcPr>
          <w:p>
            <w:pPr>
              <w:spacing w:after="0"/>
              <w:rPr>
                <w:rFonts w:ascii="Arial" w:cs="Arial" w:eastAsia="Arial" w:hAnsi="Arial"/>
                <w:sz w:val="15"/>
                <w:szCs w:val="15"/>
                <w:b w:val="1"/>
                <w:bCs w:val="1"/>
                <w:u w:val="single" w:color="auto"/>
                <w:color w:val="0000EE"/>
              </w:rPr>
            </w:pPr>
            <w:hyperlink w:anchor="page85">
              <w:r>
                <w:rPr>
                  <w:rFonts w:ascii="Arial" w:cs="Arial" w:eastAsia="Arial" w:hAnsi="Arial"/>
                  <w:sz w:val="15"/>
                  <w:szCs w:val="15"/>
                  <w:b w:val="1"/>
                  <w:bCs w:val="1"/>
                  <w:u w:val="single" w:color="auto"/>
                  <w:color w:val="0000EE"/>
                </w:rPr>
                <w:t>8.</w:t>
              </w:r>
            </w:hyperlink>
          </w:p>
        </w:tc>
        <w:tc>
          <w:tcPr>
            <w:tcW w:w="40" w:type="dxa"/>
            <w:vAlign w:val="bottom"/>
          </w:tcPr>
          <w:p>
            <w:pPr>
              <w:spacing w:after="0"/>
              <w:rPr>
                <w:sz w:val="20"/>
                <w:szCs w:val="20"/>
                <w:color w:val="auto"/>
              </w:rPr>
            </w:pPr>
          </w:p>
        </w:tc>
        <w:tc>
          <w:tcPr>
            <w:tcW w:w="8480" w:type="dxa"/>
            <w:vAlign w:val="bottom"/>
            <w:gridSpan w:val="6"/>
          </w:tcPr>
          <w:p>
            <w:pPr>
              <w:ind w:left="120"/>
              <w:spacing w:after="0"/>
              <w:rPr>
                <w:rFonts w:ascii="Arial" w:cs="Arial" w:eastAsia="Arial" w:hAnsi="Arial"/>
                <w:sz w:val="15"/>
                <w:szCs w:val="15"/>
                <w:b w:val="1"/>
                <w:bCs w:val="1"/>
                <w:u w:val="single" w:color="auto"/>
                <w:color w:val="0000EE"/>
              </w:rPr>
            </w:pPr>
            <w:hyperlink w:anchor="page85">
              <w:r>
                <w:rPr>
                  <w:rFonts w:ascii="Arial" w:cs="Arial" w:eastAsia="Arial" w:hAnsi="Arial"/>
                  <w:sz w:val="15"/>
                  <w:szCs w:val="15"/>
                  <w:b w:val="1"/>
                  <w:bCs w:val="1"/>
                  <w:u w:val="single" w:color="auto"/>
                  <w:color w:val="0000EE"/>
                </w:rPr>
                <w:t>LIEN</w:t>
              </w:r>
            </w:hyperlink>
          </w:p>
        </w:tc>
        <w:tc>
          <w:tcPr>
            <w:tcW w:w="360" w:type="dxa"/>
            <w:vAlign w:val="bottom"/>
          </w:tcPr>
          <w:p>
            <w:pPr>
              <w:jc w:val="right"/>
              <w:spacing w:after="0"/>
              <w:rPr>
                <w:rFonts w:ascii="Arial" w:cs="Arial" w:eastAsia="Arial" w:hAnsi="Arial"/>
                <w:sz w:val="15"/>
                <w:szCs w:val="15"/>
                <w:b w:val="1"/>
                <w:bCs w:val="1"/>
                <w:u w:val="single" w:color="auto"/>
                <w:color w:val="0000EE"/>
              </w:rPr>
            </w:pPr>
            <w:hyperlink w:anchor="page85">
              <w:r>
                <w:rPr>
                  <w:rFonts w:ascii="Arial" w:cs="Arial" w:eastAsia="Arial" w:hAnsi="Arial"/>
                  <w:sz w:val="15"/>
                  <w:szCs w:val="15"/>
                  <w:b w:val="1"/>
                  <w:bCs w:val="1"/>
                  <w:u w:val="single" w:color="auto"/>
                  <w:color w:val="0000EE"/>
                </w:rPr>
                <w:t>A-7</w:t>
              </w:r>
            </w:hyperlink>
          </w:p>
        </w:tc>
      </w:tr>
      <w:tr>
        <w:trPr>
          <w:trHeight w:val="247"/>
        </w:trPr>
        <w:tc>
          <w:tcPr>
            <w:tcW w:w="300" w:type="dxa"/>
            <w:vAlign w:val="bottom"/>
            <w:shd w:val="clear" w:color="auto" w:fill="CCEEFF"/>
          </w:tcPr>
          <w:p>
            <w:pPr>
              <w:spacing w:after="0"/>
              <w:rPr>
                <w:rFonts w:ascii="Arial" w:cs="Arial" w:eastAsia="Arial" w:hAnsi="Arial"/>
                <w:sz w:val="15"/>
                <w:szCs w:val="15"/>
                <w:b w:val="1"/>
                <w:bCs w:val="1"/>
                <w:u w:val="single" w:color="auto"/>
                <w:color w:val="0000EE"/>
              </w:rPr>
            </w:pPr>
            <w:hyperlink w:anchor="page85">
              <w:r>
                <w:rPr>
                  <w:rFonts w:ascii="Arial" w:cs="Arial" w:eastAsia="Arial" w:hAnsi="Arial"/>
                  <w:sz w:val="15"/>
                  <w:szCs w:val="15"/>
                  <w:b w:val="1"/>
                  <w:bCs w:val="1"/>
                  <w:u w:val="single" w:color="auto"/>
                  <w:color w:val="0000EE"/>
                </w:rPr>
                <w:t>9.</w:t>
              </w:r>
            </w:hyperlink>
          </w:p>
        </w:tc>
        <w:tc>
          <w:tcPr>
            <w:tcW w:w="40" w:type="dxa"/>
            <w:vAlign w:val="bottom"/>
            <w:shd w:val="clear" w:color="auto" w:fill="CCEEFF"/>
          </w:tcPr>
          <w:p>
            <w:pPr>
              <w:spacing w:after="0"/>
              <w:rPr>
                <w:sz w:val="21"/>
                <w:szCs w:val="21"/>
                <w:color w:val="auto"/>
              </w:rPr>
            </w:pPr>
          </w:p>
        </w:tc>
        <w:tc>
          <w:tcPr>
            <w:tcW w:w="8480" w:type="dxa"/>
            <w:vAlign w:val="bottom"/>
            <w:gridSpan w:val="6"/>
            <w:shd w:val="clear" w:color="auto" w:fill="CCEEFF"/>
          </w:tcPr>
          <w:p>
            <w:pPr>
              <w:ind w:left="120"/>
              <w:spacing w:after="0"/>
              <w:rPr>
                <w:rFonts w:ascii="Arial" w:cs="Arial" w:eastAsia="Arial" w:hAnsi="Arial"/>
                <w:sz w:val="15"/>
                <w:szCs w:val="15"/>
                <w:b w:val="1"/>
                <w:bCs w:val="1"/>
                <w:u w:val="single" w:color="auto"/>
                <w:color w:val="0000EE"/>
              </w:rPr>
            </w:pPr>
            <w:hyperlink w:anchor="page85">
              <w:r>
                <w:rPr>
                  <w:rFonts w:ascii="Arial" w:cs="Arial" w:eastAsia="Arial" w:hAnsi="Arial"/>
                  <w:sz w:val="15"/>
                  <w:szCs w:val="15"/>
                  <w:b w:val="1"/>
                  <w:bCs w:val="1"/>
                  <w:u w:val="single" w:color="auto"/>
                  <w:color w:val="0000EE"/>
                </w:rPr>
                <w:t>CALLS ON SHARES</w:t>
              </w:r>
            </w:hyperlink>
          </w:p>
        </w:tc>
        <w:tc>
          <w:tcPr>
            <w:tcW w:w="360" w:type="dxa"/>
            <w:vAlign w:val="bottom"/>
            <w:shd w:val="clear" w:color="auto" w:fill="CCEEFF"/>
          </w:tcPr>
          <w:p>
            <w:pPr>
              <w:jc w:val="right"/>
              <w:spacing w:after="0"/>
              <w:rPr>
                <w:rFonts w:ascii="Arial" w:cs="Arial" w:eastAsia="Arial" w:hAnsi="Arial"/>
                <w:sz w:val="15"/>
                <w:szCs w:val="15"/>
                <w:b w:val="1"/>
                <w:bCs w:val="1"/>
                <w:u w:val="single" w:color="auto"/>
                <w:color w:val="0000EE"/>
              </w:rPr>
            </w:pPr>
            <w:hyperlink w:anchor="page85">
              <w:r>
                <w:rPr>
                  <w:rFonts w:ascii="Arial" w:cs="Arial" w:eastAsia="Arial" w:hAnsi="Arial"/>
                  <w:sz w:val="15"/>
                  <w:szCs w:val="15"/>
                  <w:b w:val="1"/>
                  <w:bCs w:val="1"/>
                  <w:u w:val="single" w:color="auto"/>
                  <w:color w:val="0000EE"/>
                </w:rPr>
                <w:t>A-7</w:t>
              </w:r>
            </w:hyperlink>
          </w:p>
        </w:tc>
      </w:tr>
      <w:tr>
        <w:trPr>
          <w:trHeight w:val="239"/>
        </w:trPr>
        <w:tc>
          <w:tcPr>
            <w:tcW w:w="340" w:type="dxa"/>
            <w:vAlign w:val="bottom"/>
            <w:gridSpan w:val="2"/>
          </w:tcPr>
          <w:p>
            <w:pPr>
              <w:spacing w:after="0"/>
              <w:rPr>
                <w:rFonts w:ascii="Arial" w:cs="Arial" w:eastAsia="Arial" w:hAnsi="Arial"/>
                <w:sz w:val="15"/>
                <w:szCs w:val="15"/>
                <w:b w:val="1"/>
                <w:bCs w:val="1"/>
                <w:u w:val="single" w:color="auto"/>
                <w:color w:val="0000EE"/>
              </w:rPr>
            </w:pPr>
            <w:hyperlink w:anchor="page86">
              <w:r>
                <w:rPr>
                  <w:rFonts w:ascii="Arial" w:cs="Arial" w:eastAsia="Arial" w:hAnsi="Arial"/>
                  <w:sz w:val="15"/>
                  <w:szCs w:val="15"/>
                  <w:b w:val="1"/>
                  <w:bCs w:val="1"/>
                  <w:u w:val="single" w:color="auto"/>
                  <w:color w:val="0000EE"/>
                </w:rPr>
                <w:t>10.</w:t>
              </w:r>
            </w:hyperlink>
          </w:p>
        </w:tc>
        <w:tc>
          <w:tcPr>
            <w:tcW w:w="8480" w:type="dxa"/>
            <w:vAlign w:val="bottom"/>
            <w:gridSpan w:val="6"/>
          </w:tcPr>
          <w:p>
            <w:pPr>
              <w:ind w:left="200"/>
              <w:spacing w:after="0"/>
              <w:rPr>
                <w:rFonts w:ascii="Arial" w:cs="Arial" w:eastAsia="Arial" w:hAnsi="Arial"/>
                <w:sz w:val="15"/>
                <w:szCs w:val="15"/>
                <w:b w:val="1"/>
                <w:bCs w:val="1"/>
                <w:u w:val="single" w:color="auto"/>
                <w:color w:val="0000EE"/>
              </w:rPr>
            </w:pPr>
            <w:hyperlink w:anchor="page86">
              <w:r>
                <w:rPr>
                  <w:rFonts w:ascii="Arial" w:cs="Arial" w:eastAsia="Arial" w:hAnsi="Arial"/>
                  <w:sz w:val="15"/>
                  <w:szCs w:val="15"/>
                  <w:b w:val="1"/>
                  <w:bCs w:val="1"/>
                  <w:u w:val="single" w:color="auto"/>
                  <w:color w:val="0000EE"/>
                </w:rPr>
                <w:t>FORFEITURE AND SURRENDER</w:t>
              </w:r>
            </w:hyperlink>
          </w:p>
        </w:tc>
        <w:tc>
          <w:tcPr>
            <w:tcW w:w="360" w:type="dxa"/>
            <w:vAlign w:val="bottom"/>
          </w:tcPr>
          <w:p>
            <w:pPr>
              <w:jc w:val="right"/>
              <w:spacing w:after="0"/>
              <w:rPr>
                <w:rFonts w:ascii="Arial" w:cs="Arial" w:eastAsia="Arial" w:hAnsi="Arial"/>
                <w:sz w:val="15"/>
                <w:szCs w:val="15"/>
                <w:b w:val="1"/>
                <w:bCs w:val="1"/>
                <w:u w:val="single" w:color="auto"/>
                <w:color w:val="0000EE"/>
              </w:rPr>
            </w:pPr>
            <w:hyperlink w:anchor="page86">
              <w:r>
                <w:rPr>
                  <w:rFonts w:ascii="Arial" w:cs="Arial" w:eastAsia="Arial" w:hAnsi="Arial"/>
                  <w:sz w:val="15"/>
                  <w:szCs w:val="15"/>
                  <w:b w:val="1"/>
                  <w:bCs w:val="1"/>
                  <w:u w:val="single" w:color="auto"/>
                  <w:color w:val="0000EE"/>
                </w:rPr>
                <w:t>A-8</w:t>
              </w:r>
            </w:hyperlink>
          </w:p>
        </w:tc>
      </w:tr>
      <w:tr>
        <w:trPr>
          <w:trHeight w:val="247"/>
        </w:trPr>
        <w:tc>
          <w:tcPr>
            <w:tcW w:w="340" w:type="dxa"/>
            <w:vAlign w:val="bottom"/>
            <w:gridSpan w:val="2"/>
            <w:shd w:val="clear" w:color="auto" w:fill="CCEEFF"/>
          </w:tcPr>
          <w:p>
            <w:pPr>
              <w:spacing w:after="0"/>
              <w:rPr>
                <w:rFonts w:ascii="Arial" w:cs="Arial" w:eastAsia="Arial" w:hAnsi="Arial"/>
                <w:sz w:val="15"/>
                <w:szCs w:val="15"/>
                <w:b w:val="1"/>
                <w:bCs w:val="1"/>
                <w:u w:val="single" w:color="auto"/>
                <w:color w:val="0000EE"/>
              </w:rPr>
            </w:pPr>
            <w:hyperlink w:anchor="page87">
              <w:r>
                <w:rPr>
                  <w:rFonts w:ascii="Arial" w:cs="Arial" w:eastAsia="Arial" w:hAnsi="Arial"/>
                  <w:sz w:val="15"/>
                  <w:szCs w:val="15"/>
                  <w:b w:val="1"/>
                  <w:bCs w:val="1"/>
                  <w:u w:val="single" w:color="auto"/>
                  <w:color w:val="0000EE"/>
                </w:rPr>
                <w:t>11.</w:t>
              </w:r>
            </w:hyperlink>
          </w:p>
        </w:tc>
        <w:tc>
          <w:tcPr>
            <w:tcW w:w="8480" w:type="dxa"/>
            <w:vAlign w:val="bottom"/>
            <w:gridSpan w:val="6"/>
            <w:shd w:val="clear" w:color="auto" w:fill="CCEEFF"/>
          </w:tcPr>
          <w:p>
            <w:pPr>
              <w:ind w:left="200"/>
              <w:spacing w:after="0"/>
              <w:rPr>
                <w:rFonts w:ascii="Arial" w:cs="Arial" w:eastAsia="Arial" w:hAnsi="Arial"/>
                <w:sz w:val="15"/>
                <w:szCs w:val="15"/>
                <w:b w:val="1"/>
                <w:bCs w:val="1"/>
                <w:u w:val="single" w:color="auto"/>
                <w:color w:val="0000EE"/>
              </w:rPr>
            </w:pPr>
            <w:hyperlink w:anchor="page87">
              <w:r>
                <w:rPr>
                  <w:rFonts w:ascii="Arial" w:cs="Arial" w:eastAsia="Arial" w:hAnsi="Arial"/>
                  <w:sz w:val="15"/>
                  <w:szCs w:val="15"/>
                  <w:b w:val="1"/>
                  <w:bCs w:val="1"/>
                  <w:u w:val="single" w:color="auto"/>
                  <w:color w:val="0000EE"/>
                </w:rPr>
                <w:t>TRANSFER OF SHARES</w:t>
              </w:r>
            </w:hyperlink>
          </w:p>
        </w:tc>
        <w:tc>
          <w:tcPr>
            <w:tcW w:w="360" w:type="dxa"/>
            <w:vAlign w:val="bottom"/>
            <w:shd w:val="clear" w:color="auto" w:fill="CCEEFF"/>
          </w:tcPr>
          <w:p>
            <w:pPr>
              <w:jc w:val="right"/>
              <w:spacing w:after="0"/>
              <w:rPr>
                <w:rFonts w:ascii="Arial" w:cs="Arial" w:eastAsia="Arial" w:hAnsi="Arial"/>
                <w:sz w:val="15"/>
                <w:szCs w:val="15"/>
                <w:b w:val="1"/>
                <w:bCs w:val="1"/>
                <w:u w:val="single" w:color="auto"/>
                <w:color w:val="0000EE"/>
              </w:rPr>
            </w:pPr>
            <w:hyperlink w:anchor="page87">
              <w:r>
                <w:rPr>
                  <w:rFonts w:ascii="Arial" w:cs="Arial" w:eastAsia="Arial" w:hAnsi="Arial"/>
                  <w:sz w:val="15"/>
                  <w:szCs w:val="15"/>
                  <w:b w:val="1"/>
                  <w:bCs w:val="1"/>
                  <w:u w:val="single" w:color="auto"/>
                  <w:color w:val="0000EE"/>
                </w:rPr>
                <w:t>A-9</w:t>
              </w:r>
            </w:hyperlink>
          </w:p>
        </w:tc>
      </w:tr>
      <w:tr>
        <w:trPr>
          <w:trHeight w:val="239"/>
        </w:trPr>
        <w:tc>
          <w:tcPr>
            <w:tcW w:w="340" w:type="dxa"/>
            <w:vAlign w:val="bottom"/>
            <w:gridSpan w:val="2"/>
          </w:tcPr>
          <w:p>
            <w:pPr>
              <w:spacing w:after="0"/>
              <w:rPr>
                <w:rFonts w:ascii="Arial" w:cs="Arial" w:eastAsia="Arial" w:hAnsi="Arial"/>
                <w:sz w:val="15"/>
                <w:szCs w:val="15"/>
                <w:b w:val="1"/>
                <w:bCs w:val="1"/>
                <w:u w:val="single" w:color="auto"/>
                <w:color w:val="0000EE"/>
              </w:rPr>
            </w:pPr>
            <w:hyperlink w:anchor="page87">
              <w:r>
                <w:rPr>
                  <w:rFonts w:ascii="Arial" w:cs="Arial" w:eastAsia="Arial" w:hAnsi="Arial"/>
                  <w:sz w:val="15"/>
                  <w:szCs w:val="15"/>
                  <w:b w:val="1"/>
                  <w:bCs w:val="1"/>
                  <w:u w:val="single" w:color="auto"/>
                  <w:color w:val="0000EE"/>
                </w:rPr>
                <w:t>12.</w:t>
              </w:r>
            </w:hyperlink>
          </w:p>
        </w:tc>
        <w:tc>
          <w:tcPr>
            <w:tcW w:w="8480" w:type="dxa"/>
            <w:vAlign w:val="bottom"/>
            <w:gridSpan w:val="6"/>
          </w:tcPr>
          <w:p>
            <w:pPr>
              <w:ind w:left="200"/>
              <w:spacing w:after="0"/>
              <w:rPr>
                <w:rFonts w:ascii="Arial" w:cs="Arial" w:eastAsia="Arial" w:hAnsi="Arial"/>
                <w:sz w:val="15"/>
                <w:szCs w:val="15"/>
                <w:b w:val="1"/>
                <w:bCs w:val="1"/>
                <w:u w:val="single" w:color="auto"/>
                <w:color w:val="0000EE"/>
              </w:rPr>
            </w:pPr>
            <w:hyperlink w:anchor="page87">
              <w:r>
                <w:rPr>
                  <w:rFonts w:ascii="Arial" w:cs="Arial" w:eastAsia="Arial" w:hAnsi="Arial"/>
                  <w:sz w:val="15"/>
                  <w:szCs w:val="15"/>
                  <w:b w:val="1"/>
                  <w:bCs w:val="1"/>
                  <w:u w:val="single" w:color="auto"/>
                  <w:color w:val="0000EE"/>
                </w:rPr>
                <w:t>TRANSMISSION OF SHARES</w:t>
              </w:r>
            </w:hyperlink>
          </w:p>
        </w:tc>
        <w:tc>
          <w:tcPr>
            <w:tcW w:w="360" w:type="dxa"/>
            <w:vAlign w:val="bottom"/>
          </w:tcPr>
          <w:p>
            <w:pPr>
              <w:jc w:val="right"/>
              <w:spacing w:after="0"/>
              <w:rPr>
                <w:rFonts w:ascii="Arial" w:cs="Arial" w:eastAsia="Arial" w:hAnsi="Arial"/>
                <w:sz w:val="15"/>
                <w:szCs w:val="15"/>
                <w:b w:val="1"/>
                <w:bCs w:val="1"/>
                <w:u w:val="single" w:color="auto"/>
                <w:color w:val="0000EE"/>
              </w:rPr>
            </w:pPr>
            <w:hyperlink w:anchor="page87">
              <w:r>
                <w:rPr>
                  <w:rFonts w:ascii="Arial" w:cs="Arial" w:eastAsia="Arial" w:hAnsi="Arial"/>
                  <w:sz w:val="15"/>
                  <w:szCs w:val="15"/>
                  <w:b w:val="1"/>
                  <w:bCs w:val="1"/>
                  <w:u w:val="single" w:color="auto"/>
                  <w:color w:val="0000EE"/>
                </w:rPr>
                <w:t>A-9</w:t>
              </w:r>
            </w:hyperlink>
          </w:p>
        </w:tc>
      </w:tr>
      <w:tr>
        <w:trPr>
          <w:trHeight w:val="247"/>
        </w:trPr>
        <w:tc>
          <w:tcPr>
            <w:tcW w:w="340" w:type="dxa"/>
            <w:vAlign w:val="bottom"/>
            <w:gridSpan w:val="2"/>
            <w:shd w:val="clear" w:color="auto" w:fill="CCEEFF"/>
          </w:tcPr>
          <w:p>
            <w:pPr>
              <w:spacing w:after="0"/>
              <w:rPr>
                <w:rFonts w:ascii="Arial" w:cs="Arial" w:eastAsia="Arial" w:hAnsi="Arial"/>
                <w:sz w:val="15"/>
                <w:szCs w:val="15"/>
                <w:b w:val="1"/>
                <w:bCs w:val="1"/>
                <w:u w:val="single" w:color="auto"/>
                <w:color w:val="0000EE"/>
              </w:rPr>
            </w:pPr>
            <w:hyperlink w:anchor="page88">
              <w:r>
                <w:rPr>
                  <w:rFonts w:ascii="Arial" w:cs="Arial" w:eastAsia="Arial" w:hAnsi="Arial"/>
                  <w:sz w:val="15"/>
                  <w:szCs w:val="15"/>
                  <w:b w:val="1"/>
                  <w:bCs w:val="1"/>
                  <w:u w:val="single" w:color="auto"/>
                  <w:color w:val="0000EE"/>
                </w:rPr>
                <w:t>13.</w:t>
              </w:r>
            </w:hyperlink>
          </w:p>
        </w:tc>
        <w:tc>
          <w:tcPr>
            <w:tcW w:w="8480" w:type="dxa"/>
            <w:vAlign w:val="bottom"/>
            <w:gridSpan w:val="6"/>
            <w:shd w:val="clear" w:color="auto" w:fill="CCEEFF"/>
          </w:tcPr>
          <w:p>
            <w:pPr>
              <w:ind w:left="200"/>
              <w:spacing w:after="0"/>
              <w:rPr>
                <w:rFonts w:ascii="Arial" w:cs="Arial" w:eastAsia="Arial" w:hAnsi="Arial"/>
                <w:sz w:val="15"/>
                <w:szCs w:val="15"/>
                <w:b w:val="1"/>
                <w:bCs w:val="1"/>
                <w:u w:val="single" w:color="auto"/>
                <w:color w:val="0000EE"/>
              </w:rPr>
            </w:pPr>
            <w:hyperlink w:anchor="page88">
              <w:r>
                <w:rPr>
                  <w:rFonts w:ascii="Arial" w:cs="Arial" w:eastAsia="Arial" w:hAnsi="Arial"/>
                  <w:sz w:val="15"/>
                  <w:szCs w:val="15"/>
                  <w:b w:val="1"/>
                  <w:bCs w:val="1"/>
                  <w:u w:val="single" w:color="auto"/>
                  <w:color w:val="0000EE"/>
                </w:rPr>
                <w:t>SHARE WARRANTS</w:t>
              </w:r>
            </w:hyperlink>
          </w:p>
        </w:tc>
        <w:tc>
          <w:tcPr>
            <w:tcW w:w="360" w:type="dxa"/>
            <w:vAlign w:val="bottom"/>
            <w:shd w:val="clear" w:color="auto" w:fill="CCEEFF"/>
          </w:tcPr>
          <w:p>
            <w:pPr>
              <w:jc w:val="right"/>
              <w:spacing w:after="0"/>
              <w:rPr>
                <w:rFonts w:ascii="Arial" w:cs="Arial" w:eastAsia="Arial" w:hAnsi="Arial"/>
                <w:sz w:val="15"/>
                <w:szCs w:val="15"/>
                <w:b w:val="1"/>
                <w:bCs w:val="1"/>
                <w:u w:val="single" w:color="auto"/>
                <w:color w:val="0000EE"/>
              </w:rPr>
            </w:pPr>
            <w:hyperlink w:anchor="page88">
              <w:r>
                <w:rPr>
                  <w:rFonts w:ascii="Arial" w:cs="Arial" w:eastAsia="Arial" w:hAnsi="Arial"/>
                  <w:sz w:val="15"/>
                  <w:szCs w:val="15"/>
                  <w:b w:val="1"/>
                  <w:bCs w:val="1"/>
                  <w:u w:val="single" w:color="auto"/>
                  <w:color w:val="0000EE"/>
                </w:rPr>
                <w:t>A-10</w:t>
              </w:r>
            </w:hyperlink>
          </w:p>
        </w:tc>
      </w:tr>
      <w:tr>
        <w:trPr>
          <w:trHeight w:val="239"/>
        </w:trPr>
        <w:tc>
          <w:tcPr>
            <w:tcW w:w="340" w:type="dxa"/>
            <w:vAlign w:val="bottom"/>
            <w:gridSpan w:val="2"/>
          </w:tcPr>
          <w:p>
            <w:pPr>
              <w:spacing w:after="0"/>
              <w:rPr>
                <w:rFonts w:ascii="Arial" w:cs="Arial" w:eastAsia="Arial" w:hAnsi="Arial"/>
                <w:sz w:val="15"/>
                <w:szCs w:val="15"/>
                <w:b w:val="1"/>
                <w:bCs w:val="1"/>
                <w:u w:val="single" w:color="auto"/>
                <w:color w:val="0000EE"/>
              </w:rPr>
            </w:pPr>
            <w:hyperlink w:anchor="page88">
              <w:r>
                <w:rPr>
                  <w:rFonts w:ascii="Arial" w:cs="Arial" w:eastAsia="Arial" w:hAnsi="Arial"/>
                  <w:sz w:val="15"/>
                  <w:szCs w:val="15"/>
                  <w:b w:val="1"/>
                  <w:bCs w:val="1"/>
                  <w:u w:val="single" w:color="auto"/>
                  <w:color w:val="0000EE"/>
                </w:rPr>
                <w:t>14.</w:t>
              </w:r>
            </w:hyperlink>
          </w:p>
        </w:tc>
        <w:tc>
          <w:tcPr>
            <w:tcW w:w="8480" w:type="dxa"/>
            <w:vAlign w:val="bottom"/>
            <w:gridSpan w:val="6"/>
          </w:tcPr>
          <w:p>
            <w:pPr>
              <w:ind w:left="200"/>
              <w:spacing w:after="0"/>
              <w:rPr>
                <w:rFonts w:ascii="Arial" w:cs="Arial" w:eastAsia="Arial" w:hAnsi="Arial"/>
                <w:sz w:val="15"/>
                <w:szCs w:val="15"/>
                <w:b w:val="1"/>
                <w:bCs w:val="1"/>
                <w:u w:val="single" w:color="auto"/>
                <w:color w:val="0000EE"/>
              </w:rPr>
            </w:pPr>
            <w:hyperlink w:anchor="page88">
              <w:r>
                <w:rPr>
                  <w:rFonts w:ascii="Arial" w:cs="Arial" w:eastAsia="Arial" w:hAnsi="Arial"/>
                  <w:sz w:val="15"/>
                  <w:szCs w:val="15"/>
                  <w:b w:val="1"/>
                  <w:bCs w:val="1"/>
                  <w:u w:val="single" w:color="auto"/>
                  <w:color w:val="0000EE"/>
                </w:rPr>
                <w:t>UNTRACED MEMBERS</w:t>
              </w:r>
            </w:hyperlink>
          </w:p>
        </w:tc>
        <w:tc>
          <w:tcPr>
            <w:tcW w:w="360" w:type="dxa"/>
            <w:vAlign w:val="bottom"/>
          </w:tcPr>
          <w:p>
            <w:pPr>
              <w:jc w:val="right"/>
              <w:spacing w:after="0"/>
              <w:rPr>
                <w:rFonts w:ascii="Arial" w:cs="Arial" w:eastAsia="Arial" w:hAnsi="Arial"/>
                <w:sz w:val="15"/>
                <w:szCs w:val="15"/>
                <w:b w:val="1"/>
                <w:bCs w:val="1"/>
                <w:u w:val="single" w:color="auto"/>
                <w:color w:val="0000EE"/>
              </w:rPr>
            </w:pPr>
            <w:hyperlink w:anchor="page88">
              <w:r>
                <w:rPr>
                  <w:rFonts w:ascii="Arial" w:cs="Arial" w:eastAsia="Arial" w:hAnsi="Arial"/>
                  <w:sz w:val="15"/>
                  <w:szCs w:val="15"/>
                  <w:b w:val="1"/>
                  <w:bCs w:val="1"/>
                  <w:u w:val="single" w:color="auto"/>
                  <w:color w:val="0000EE"/>
                </w:rPr>
                <w:t>A-10</w:t>
              </w:r>
            </w:hyperlink>
          </w:p>
        </w:tc>
      </w:tr>
      <w:tr>
        <w:trPr>
          <w:trHeight w:val="247"/>
        </w:trPr>
        <w:tc>
          <w:tcPr>
            <w:tcW w:w="340" w:type="dxa"/>
            <w:vAlign w:val="bottom"/>
            <w:gridSpan w:val="2"/>
            <w:shd w:val="clear" w:color="auto" w:fill="CCEEFF"/>
          </w:tcPr>
          <w:p>
            <w:pPr>
              <w:spacing w:after="0"/>
              <w:rPr>
                <w:rFonts w:ascii="Arial" w:cs="Arial" w:eastAsia="Arial" w:hAnsi="Arial"/>
                <w:sz w:val="15"/>
                <w:szCs w:val="15"/>
                <w:b w:val="1"/>
                <w:bCs w:val="1"/>
                <w:u w:val="single" w:color="auto"/>
                <w:color w:val="0000EE"/>
              </w:rPr>
            </w:pPr>
            <w:hyperlink w:anchor="page89">
              <w:r>
                <w:rPr>
                  <w:rFonts w:ascii="Arial" w:cs="Arial" w:eastAsia="Arial" w:hAnsi="Arial"/>
                  <w:sz w:val="15"/>
                  <w:szCs w:val="15"/>
                  <w:b w:val="1"/>
                  <w:bCs w:val="1"/>
                  <w:u w:val="single" w:color="auto"/>
                  <w:color w:val="0000EE"/>
                </w:rPr>
                <w:t>15.</w:t>
              </w:r>
            </w:hyperlink>
          </w:p>
        </w:tc>
        <w:tc>
          <w:tcPr>
            <w:tcW w:w="8480" w:type="dxa"/>
            <w:vAlign w:val="bottom"/>
            <w:gridSpan w:val="6"/>
            <w:shd w:val="clear" w:color="auto" w:fill="CCEEFF"/>
          </w:tcPr>
          <w:p>
            <w:pPr>
              <w:ind w:left="200"/>
              <w:spacing w:after="0"/>
              <w:rPr>
                <w:rFonts w:ascii="Arial" w:cs="Arial" w:eastAsia="Arial" w:hAnsi="Arial"/>
                <w:sz w:val="15"/>
                <w:szCs w:val="15"/>
                <w:b w:val="1"/>
                <w:bCs w:val="1"/>
                <w:u w:val="single" w:color="auto"/>
                <w:color w:val="0000EE"/>
              </w:rPr>
            </w:pPr>
            <w:hyperlink w:anchor="page89">
              <w:r>
                <w:rPr>
                  <w:rFonts w:ascii="Arial" w:cs="Arial" w:eastAsia="Arial" w:hAnsi="Arial"/>
                  <w:sz w:val="15"/>
                  <w:szCs w:val="15"/>
                  <w:b w:val="1"/>
                  <w:bCs w:val="1"/>
                  <w:u w:val="single" w:color="auto"/>
                  <w:color w:val="0000EE"/>
                </w:rPr>
                <w:t>ALTERATION OF CAPITAL</w:t>
              </w:r>
            </w:hyperlink>
          </w:p>
        </w:tc>
        <w:tc>
          <w:tcPr>
            <w:tcW w:w="360" w:type="dxa"/>
            <w:vAlign w:val="bottom"/>
            <w:shd w:val="clear" w:color="auto" w:fill="CCEEFF"/>
          </w:tcPr>
          <w:p>
            <w:pPr>
              <w:jc w:val="right"/>
              <w:spacing w:after="0"/>
              <w:rPr>
                <w:rFonts w:ascii="Arial" w:cs="Arial" w:eastAsia="Arial" w:hAnsi="Arial"/>
                <w:sz w:val="15"/>
                <w:szCs w:val="15"/>
                <w:b w:val="1"/>
                <w:bCs w:val="1"/>
                <w:u w:val="single" w:color="auto"/>
                <w:color w:val="0000EE"/>
              </w:rPr>
            </w:pPr>
            <w:hyperlink w:anchor="page89">
              <w:r>
                <w:rPr>
                  <w:rFonts w:ascii="Arial" w:cs="Arial" w:eastAsia="Arial" w:hAnsi="Arial"/>
                  <w:sz w:val="15"/>
                  <w:szCs w:val="15"/>
                  <w:b w:val="1"/>
                  <w:bCs w:val="1"/>
                  <w:u w:val="single" w:color="auto"/>
                  <w:color w:val="0000EE"/>
                </w:rPr>
                <w:t>A-11</w:t>
              </w:r>
            </w:hyperlink>
          </w:p>
        </w:tc>
      </w:tr>
      <w:tr>
        <w:trPr>
          <w:trHeight w:val="239"/>
        </w:trPr>
        <w:tc>
          <w:tcPr>
            <w:tcW w:w="340" w:type="dxa"/>
            <w:vAlign w:val="bottom"/>
            <w:gridSpan w:val="2"/>
          </w:tcPr>
          <w:p>
            <w:pPr>
              <w:spacing w:after="0"/>
              <w:rPr>
                <w:rFonts w:ascii="Arial" w:cs="Arial" w:eastAsia="Arial" w:hAnsi="Arial"/>
                <w:sz w:val="15"/>
                <w:szCs w:val="15"/>
                <w:b w:val="1"/>
                <w:bCs w:val="1"/>
                <w:u w:val="single" w:color="auto"/>
                <w:color w:val="0000EE"/>
              </w:rPr>
            </w:pPr>
            <w:hyperlink w:anchor="page89">
              <w:r>
                <w:rPr>
                  <w:rFonts w:ascii="Arial" w:cs="Arial" w:eastAsia="Arial" w:hAnsi="Arial"/>
                  <w:sz w:val="15"/>
                  <w:szCs w:val="15"/>
                  <w:b w:val="1"/>
                  <w:bCs w:val="1"/>
                  <w:u w:val="single" w:color="auto"/>
                  <w:color w:val="0000EE"/>
                </w:rPr>
                <w:t>16.</w:t>
              </w:r>
            </w:hyperlink>
          </w:p>
        </w:tc>
        <w:tc>
          <w:tcPr>
            <w:tcW w:w="8480" w:type="dxa"/>
            <w:vAlign w:val="bottom"/>
            <w:gridSpan w:val="6"/>
          </w:tcPr>
          <w:p>
            <w:pPr>
              <w:ind w:left="200"/>
              <w:spacing w:after="0"/>
              <w:rPr>
                <w:rFonts w:ascii="Arial" w:cs="Arial" w:eastAsia="Arial" w:hAnsi="Arial"/>
                <w:sz w:val="15"/>
                <w:szCs w:val="15"/>
                <w:b w:val="1"/>
                <w:bCs w:val="1"/>
                <w:u w:val="single" w:color="auto"/>
                <w:color w:val="0000EE"/>
              </w:rPr>
            </w:pPr>
            <w:hyperlink w:anchor="page89">
              <w:r>
                <w:rPr>
                  <w:rFonts w:ascii="Arial" w:cs="Arial" w:eastAsia="Arial" w:hAnsi="Arial"/>
                  <w:sz w:val="15"/>
                  <w:szCs w:val="15"/>
                  <w:b w:val="1"/>
                  <w:bCs w:val="1"/>
                  <w:u w:val="single" w:color="auto"/>
                  <w:color w:val="0000EE"/>
                </w:rPr>
                <w:t>GENERAL MEETINGS</w:t>
              </w:r>
            </w:hyperlink>
          </w:p>
        </w:tc>
        <w:tc>
          <w:tcPr>
            <w:tcW w:w="360" w:type="dxa"/>
            <w:vAlign w:val="bottom"/>
          </w:tcPr>
          <w:p>
            <w:pPr>
              <w:jc w:val="right"/>
              <w:spacing w:after="0"/>
              <w:rPr>
                <w:rFonts w:ascii="Arial" w:cs="Arial" w:eastAsia="Arial" w:hAnsi="Arial"/>
                <w:sz w:val="15"/>
                <w:szCs w:val="15"/>
                <w:b w:val="1"/>
                <w:bCs w:val="1"/>
                <w:u w:val="single" w:color="auto"/>
                <w:color w:val="0000EE"/>
              </w:rPr>
            </w:pPr>
            <w:hyperlink w:anchor="page89">
              <w:r>
                <w:rPr>
                  <w:rFonts w:ascii="Arial" w:cs="Arial" w:eastAsia="Arial" w:hAnsi="Arial"/>
                  <w:sz w:val="15"/>
                  <w:szCs w:val="15"/>
                  <w:b w:val="1"/>
                  <w:bCs w:val="1"/>
                  <w:u w:val="single" w:color="auto"/>
                  <w:color w:val="0000EE"/>
                </w:rPr>
                <w:t>A-11</w:t>
              </w:r>
            </w:hyperlink>
          </w:p>
        </w:tc>
      </w:tr>
      <w:tr>
        <w:trPr>
          <w:trHeight w:val="247"/>
        </w:trPr>
        <w:tc>
          <w:tcPr>
            <w:tcW w:w="340" w:type="dxa"/>
            <w:vAlign w:val="bottom"/>
            <w:gridSpan w:val="2"/>
            <w:shd w:val="clear" w:color="auto" w:fill="CCEEFF"/>
          </w:tcPr>
          <w:p>
            <w:pPr>
              <w:spacing w:after="0"/>
              <w:rPr>
                <w:rFonts w:ascii="Arial" w:cs="Arial" w:eastAsia="Arial" w:hAnsi="Arial"/>
                <w:sz w:val="15"/>
                <w:szCs w:val="15"/>
                <w:b w:val="1"/>
                <w:bCs w:val="1"/>
                <w:u w:val="single" w:color="auto"/>
                <w:color w:val="0000EE"/>
              </w:rPr>
            </w:pPr>
            <w:hyperlink w:anchor="page90">
              <w:r>
                <w:rPr>
                  <w:rFonts w:ascii="Arial" w:cs="Arial" w:eastAsia="Arial" w:hAnsi="Arial"/>
                  <w:sz w:val="15"/>
                  <w:szCs w:val="15"/>
                  <w:b w:val="1"/>
                  <w:bCs w:val="1"/>
                  <w:u w:val="single" w:color="auto"/>
                  <w:color w:val="0000EE"/>
                </w:rPr>
                <w:t>17.</w:t>
              </w:r>
            </w:hyperlink>
          </w:p>
        </w:tc>
        <w:tc>
          <w:tcPr>
            <w:tcW w:w="8480" w:type="dxa"/>
            <w:vAlign w:val="bottom"/>
            <w:gridSpan w:val="6"/>
            <w:shd w:val="clear" w:color="auto" w:fill="CCEEFF"/>
          </w:tcPr>
          <w:p>
            <w:pPr>
              <w:ind w:left="200"/>
              <w:spacing w:after="0"/>
              <w:rPr>
                <w:rFonts w:ascii="Arial" w:cs="Arial" w:eastAsia="Arial" w:hAnsi="Arial"/>
                <w:sz w:val="15"/>
                <w:szCs w:val="15"/>
                <w:b w:val="1"/>
                <w:bCs w:val="1"/>
                <w:u w:val="single" w:color="auto"/>
                <w:color w:val="0000EE"/>
              </w:rPr>
            </w:pPr>
            <w:hyperlink w:anchor="page90">
              <w:r>
                <w:rPr>
                  <w:rFonts w:ascii="Arial" w:cs="Arial" w:eastAsia="Arial" w:hAnsi="Arial"/>
                  <w:sz w:val="15"/>
                  <w:szCs w:val="15"/>
                  <w:b w:val="1"/>
                  <w:bCs w:val="1"/>
                  <w:u w:val="single" w:color="auto"/>
                  <w:color w:val="0000EE"/>
                </w:rPr>
                <w:t>NOTICE OF GENERAL MEETINGS</w:t>
              </w:r>
            </w:hyperlink>
          </w:p>
        </w:tc>
        <w:tc>
          <w:tcPr>
            <w:tcW w:w="360" w:type="dxa"/>
            <w:vAlign w:val="bottom"/>
            <w:shd w:val="clear" w:color="auto" w:fill="CCEEFF"/>
          </w:tcPr>
          <w:p>
            <w:pPr>
              <w:jc w:val="right"/>
              <w:spacing w:after="0"/>
              <w:rPr>
                <w:rFonts w:ascii="Arial" w:cs="Arial" w:eastAsia="Arial" w:hAnsi="Arial"/>
                <w:sz w:val="15"/>
                <w:szCs w:val="15"/>
                <w:b w:val="1"/>
                <w:bCs w:val="1"/>
                <w:u w:val="single" w:color="auto"/>
                <w:color w:val="0000EE"/>
              </w:rPr>
            </w:pPr>
            <w:hyperlink w:anchor="page90">
              <w:r>
                <w:rPr>
                  <w:rFonts w:ascii="Arial" w:cs="Arial" w:eastAsia="Arial" w:hAnsi="Arial"/>
                  <w:sz w:val="15"/>
                  <w:szCs w:val="15"/>
                  <w:b w:val="1"/>
                  <w:bCs w:val="1"/>
                  <w:u w:val="single" w:color="auto"/>
                  <w:color w:val="0000EE"/>
                </w:rPr>
                <w:t>A-12</w:t>
              </w:r>
            </w:hyperlink>
          </w:p>
        </w:tc>
      </w:tr>
      <w:tr>
        <w:trPr>
          <w:trHeight w:val="239"/>
        </w:trPr>
        <w:tc>
          <w:tcPr>
            <w:tcW w:w="340" w:type="dxa"/>
            <w:vAlign w:val="bottom"/>
            <w:gridSpan w:val="2"/>
          </w:tcPr>
          <w:p>
            <w:pPr>
              <w:spacing w:after="0"/>
              <w:rPr>
                <w:rFonts w:ascii="Arial" w:cs="Arial" w:eastAsia="Arial" w:hAnsi="Arial"/>
                <w:sz w:val="15"/>
                <w:szCs w:val="15"/>
                <w:b w:val="1"/>
                <w:bCs w:val="1"/>
                <w:u w:val="single" w:color="auto"/>
                <w:color w:val="0000EE"/>
              </w:rPr>
            </w:pPr>
            <w:hyperlink w:anchor="page90">
              <w:r>
                <w:rPr>
                  <w:rFonts w:ascii="Arial" w:cs="Arial" w:eastAsia="Arial" w:hAnsi="Arial"/>
                  <w:sz w:val="15"/>
                  <w:szCs w:val="15"/>
                  <w:b w:val="1"/>
                  <w:bCs w:val="1"/>
                  <w:u w:val="single" w:color="auto"/>
                  <w:color w:val="0000EE"/>
                </w:rPr>
                <w:t>18.</w:t>
              </w:r>
            </w:hyperlink>
          </w:p>
        </w:tc>
        <w:tc>
          <w:tcPr>
            <w:tcW w:w="8480" w:type="dxa"/>
            <w:vAlign w:val="bottom"/>
            <w:gridSpan w:val="6"/>
          </w:tcPr>
          <w:p>
            <w:pPr>
              <w:ind w:left="200"/>
              <w:spacing w:after="0"/>
              <w:rPr>
                <w:rFonts w:ascii="Arial" w:cs="Arial" w:eastAsia="Arial" w:hAnsi="Arial"/>
                <w:sz w:val="15"/>
                <w:szCs w:val="15"/>
                <w:b w:val="1"/>
                <w:bCs w:val="1"/>
                <w:u w:val="single" w:color="auto"/>
                <w:color w:val="0000EE"/>
              </w:rPr>
            </w:pPr>
            <w:hyperlink w:anchor="page90">
              <w:r>
                <w:rPr>
                  <w:rFonts w:ascii="Arial" w:cs="Arial" w:eastAsia="Arial" w:hAnsi="Arial"/>
                  <w:sz w:val="15"/>
                  <w:szCs w:val="15"/>
                  <w:b w:val="1"/>
                  <w:bCs w:val="1"/>
                  <w:u w:val="single" w:color="auto"/>
                  <w:color w:val="0000EE"/>
                </w:rPr>
                <w:t>PROCEEDINGS AT GENERAL MEETINGS</w:t>
              </w:r>
            </w:hyperlink>
          </w:p>
        </w:tc>
        <w:tc>
          <w:tcPr>
            <w:tcW w:w="360" w:type="dxa"/>
            <w:vAlign w:val="bottom"/>
          </w:tcPr>
          <w:p>
            <w:pPr>
              <w:jc w:val="right"/>
              <w:spacing w:after="0"/>
              <w:rPr>
                <w:rFonts w:ascii="Arial" w:cs="Arial" w:eastAsia="Arial" w:hAnsi="Arial"/>
                <w:sz w:val="15"/>
                <w:szCs w:val="15"/>
                <w:b w:val="1"/>
                <w:bCs w:val="1"/>
                <w:u w:val="single" w:color="auto"/>
                <w:color w:val="0000EE"/>
              </w:rPr>
            </w:pPr>
            <w:hyperlink w:anchor="page90">
              <w:r>
                <w:rPr>
                  <w:rFonts w:ascii="Arial" w:cs="Arial" w:eastAsia="Arial" w:hAnsi="Arial"/>
                  <w:sz w:val="15"/>
                  <w:szCs w:val="15"/>
                  <w:b w:val="1"/>
                  <w:bCs w:val="1"/>
                  <w:u w:val="single" w:color="auto"/>
                  <w:color w:val="0000EE"/>
                </w:rPr>
                <w:t>A-12</w:t>
              </w:r>
            </w:hyperlink>
          </w:p>
        </w:tc>
      </w:tr>
      <w:tr>
        <w:trPr>
          <w:trHeight w:val="260"/>
        </w:trPr>
        <w:tc>
          <w:tcPr>
            <w:tcW w:w="340" w:type="dxa"/>
            <w:vAlign w:val="bottom"/>
            <w:gridSpan w:val="2"/>
            <w:shd w:val="clear" w:color="auto" w:fill="CCEEFF"/>
          </w:tcPr>
          <w:p>
            <w:pPr>
              <w:spacing w:after="0"/>
              <w:rPr>
                <w:rFonts w:ascii="Arial" w:cs="Arial" w:eastAsia="Arial" w:hAnsi="Arial"/>
                <w:sz w:val="15"/>
                <w:szCs w:val="15"/>
                <w:b w:val="1"/>
                <w:bCs w:val="1"/>
                <w:u w:val="single" w:color="auto"/>
                <w:color w:val="0000EE"/>
              </w:rPr>
            </w:pPr>
            <w:hyperlink w:anchor="page94">
              <w:r>
                <w:rPr>
                  <w:rFonts w:ascii="Arial" w:cs="Arial" w:eastAsia="Arial" w:hAnsi="Arial"/>
                  <w:sz w:val="15"/>
                  <w:szCs w:val="15"/>
                  <w:b w:val="1"/>
                  <w:bCs w:val="1"/>
                  <w:u w:val="single" w:color="auto"/>
                  <w:color w:val="0000EE"/>
                </w:rPr>
                <w:t>19.</w:t>
              </w:r>
            </w:hyperlink>
          </w:p>
        </w:tc>
        <w:tc>
          <w:tcPr>
            <w:tcW w:w="8480" w:type="dxa"/>
            <w:vAlign w:val="bottom"/>
            <w:gridSpan w:val="6"/>
            <w:shd w:val="clear" w:color="auto" w:fill="CCEEFF"/>
          </w:tcPr>
          <w:p>
            <w:pPr>
              <w:ind w:left="200"/>
              <w:spacing w:after="0"/>
              <w:rPr>
                <w:rFonts w:ascii="Arial" w:cs="Arial" w:eastAsia="Arial" w:hAnsi="Arial"/>
                <w:sz w:val="15"/>
                <w:szCs w:val="15"/>
                <w:b w:val="1"/>
                <w:bCs w:val="1"/>
                <w:u w:val="single" w:color="auto"/>
                <w:color w:val="0000EE"/>
              </w:rPr>
            </w:pPr>
            <w:hyperlink w:anchor="page94">
              <w:r>
                <w:rPr>
                  <w:rFonts w:ascii="Arial" w:cs="Arial" w:eastAsia="Arial" w:hAnsi="Arial"/>
                  <w:sz w:val="15"/>
                  <w:szCs w:val="15"/>
                  <w:b w:val="1"/>
                  <w:bCs w:val="1"/>
                  <w:u w:val="single" w:color="auto"/>
                  <w:color w:val="0000EE"/>
                </w:rPr>
                <w:t>AMENDMENTS TO RESOLUTIONS</w:t>
              </w:r>
            </w:hyperlink>
          </w:p>
        </w:tc>
        <w:tc>
          <w:tcPr>
            <w:tcW w:w="360" w:type="dxa"/>
            <w:vAlign w:val="bottom"/>
            <w:shd w:val="clear" w:color="auto" w:fill="CCEEFF"/>
          </w:tcPr>
          <w:p>
            <w:pPr>
              <w:jc w:val="right"/>
              <w:spacing w:after="0"/>
              <w:rPr>
                <w:rFonts w:ascii="Arial" w:cs="Arial" w:eastAsia="Arial" w:hAnsi="Arial"/>
                <w:sz w:val="15"/>
                <w:szCs w:val="15"/>
                <w:b w:val="1"/>
                <w:bCs w:val="1"/>
                <w:u w:val="single" w:color="auto"/>
                <w:color w:val="0000EE"/>
              </w:rPr>
            </w:pPr>
            <w:hyperlink w:anchor="page94">
              <w:r>
                <w:rPr>
                  <w:rFonts w:ascii="Arial" w:cs="Arial" w:eastAsia="Arial" w:hAnsi="Arial"/>
                  <w:sz w:val="15"/>
                  <w:szCs w:val="15"/>
                  <w:b w:val="1"/>
                  <w:bCs w:val="1"/>
                  <w:u w:val="single" w:color="auto"/>
                  <w:color w:val="0000EE"/>
                </w:rPr>
                <w:t>A-16</w:t>
              </w:r>
            </w:hyperlink>
          </w:p>
        </w:tc>
      </w:tr>
      <w:tr>
        <w:trPr>
          <w:trHeight w:val="252"/>
        </w:trPr>
        <w:tc>
          <w:tcPr>
            <w:tcW w:w="340" w:type="dxa"/>
            <w:vAlign w:val="bottom"/>
            <w:gridSpan w:val="2"/>
          </w:tcPr>
          <w:p>
            <w:pPr>
              <w:spacing w:after="0"/>
              <w:rPr>
                <w:rFonts w:ascii="Arial" w:cs="Arial" w:eastAsia="Arial" w:hAnsi="Arial"/>
                <w:sz w:val="15"/>
                <w:szCs w:val="15"/>
                <w:b w:val="1"/>
                <w:bCs w:val="1"/>
                <w:u w:val="single" w:color="auto"/>
                <w:color w:val="0000EE"/>
              </w:rPr>
            </w:pPr>
            <w:hyperlink w:anchor="page94">
              <w:r>
                <w:rPr>
                  <w:rFonts w:ascii="Arial" w:cs="Arial" w:eastAsia="Arial" w:hAnsi="Arial"/>
                  <w:sz w:val="15"/>
                  <w:szCs w:val="15"/>
                  <w:b w:val="1"/>
                  <w:bCs w:val="1"/>
                  <w:u w:val="single" w:color="auto"/>
                  <w:color w:val="0000EE"/>
                </w:rPr>
                <w:t>20.</w:t>
              </w:r>
            </w:hyperlink>
          </w:p>
        </w:tc>
        <w:tc>
          <w:tcPr>
            <w:tcW w:w="8480" w:type="dxa"/>
            <w:vAlign w:val="bottom"/>
            <w:gridSpan w:val="6"/>
          </w:tcPr>
          <w:p>
            <w:pPr>
              <w:ind w:left="200"/>
              <w:spacing w:after="0"/>
              <w:rPr>
                <w:rFonts w:ascii="Arial" w:cs="Arial" w:eastAsia="Arial" w:hAnsi="Arial"/>
                <w:sz w:val="15"/>
                <w:szCs w:val="15"/>
                <w:b w:val="1"/>
                <w:bCs w:val="1"/>
                <w:u w:val="single" w:color="auto"/>
                <w:color w:val="0000EE"/>
              </w:rPr>
            </w:pPr>
            <w:hyperlink w:anchor="page94">
              <w:r>
                <w:rPr>
                  <w:rFonts w:ascii="Arial" w:cs="Arial" w:eastAsia="Arial" w:hAnsi="Arial"/>
                  <w:sz w:val="15"/>
                  <w:szCs w:val="15"/>
                  <w:b w:val="1"/>
                  <w:bCs w:val="1"/>
                  <w:u w:val="single" w:color="auto"/>
                  <w:color w:val="0000EE"/>
                </w:rPr>
                <w:t>PROPOSED MEMBER RESOLUTIONS</w:t>
              </w:r>
            </w:hyperlink>
          </w:p>
        </w:tc>
        <w:tc>
          <w:tcPr>
            <w:tcW w:w="360" w:type="dxa"/>
            <w:vAlign w:val="bottom"/>
          </w:tcPr>
          <w:p>
            <w:pPr>
              <w:jc w:val="right"/>
              <w:spacing w:after="0"/>
              <w:rPr>
                <w:rFonts w:ascii="Arial" w:cs="Arial" w:eastAsia="Arial" w:hAnsi="Arial"/>
                <w:sz w:val="15"/>
                <w:szCs w:val="15"/>
                <w:b w:val="1"/>
                <w:bCs w:val="1"/>
                <w:u w:val="single" w:color="auto"/>
                <w:color w:val="0000EE"/>
              </w:rPr>
            </w:pPr>
            <w:hyperlink w:anchor="page94">
              <w:r>
                <w:rPr>
                  <w:rFonts w:ascii="Arial" w:cs="Arial" w:eastAsia="Arial" w:hAnsi="Arial"/>
                  <w:sz w:val="15"/>
                  <w:szCs w:val="15"/>
                  <w:b w:val="1"/>
                  <w:bCs w:val="1"/>
                  <w:u w:val="single" w:color="auto"/>
                  <w:color w:val="0000EE"/>
                </w:rPr>
                <w:t>A-16</w:t>
              </w:r>
            </w:hyperlink>
          </w:p>
        </w:tc>
      </w:tr>
      <w:tr>
        <w:trPr>
          <w:trHeight w:val="261"/>
        </w:trPr>
        <w:tc>
          <w:tcPr>
            <w:tcW w:w="340" w:type="dxa"/>
            <w:vAlign w:val="bottom"/>
            <w:gridSpan w:val="2"/>
            <w:shd w:val="clear" w:color="auto" w:fill="CCEEFF"/>
          </w:tcPr>
          <w:p>
            <w:pPr>
              <w:spacing w:after="0"/>
              <w:rPr>
                <w:rFonts w:ascii="Arial" w:cs="Arial" w:eastAsia="Arial" w:hAnsi="Arial"/>
                <w:sz w:val="15"/>
                <w:szCs w:val="15"/>
                <w:b w:val="1"/>
                <w:bCs w:val="1"/>
                <w:u w:val="single" w:color="auto"/>
                <w:color w:val="0000EE"/>
              </w:rPr>
            </w:pPr>
            <w:hyperlink w:anchor="page95">
              <w:r>
                <w:rPr>
                  <w:rFonts w:ascii="Arial" w:cs="Arial" w:eastAsia="Arial" w:hAnsi="Arial"/>
                  <w:sz w:val="15"/>
                  <w:szCs w:val="15"/>
                  <w:b w:val="1"/>
                  <w:bCs w:val="1"/>
                  <w:u w:val="single" w:color="auto"/>
                  <w:color w:val="0000EE"/>
                </w:rPr>
                <w:t>21.</w:t>
              </w:r>
            </w:hyperlink>
          </w:p>
        </w:tc>
        <w:tc>
          <w:tcPr>
            <w:tcW w:w="8480" w:type="dxa"/>
            <w:vAlign w:val="bottom"/>
            <w:gridSpan w:val="6"/>
            <w:shd w:val="clear" w:color="auto" w:fill="CCEEFF"/>
          </w:tcPr>
          <w:p>
            <w:pPr>
              <w:ind w:left="200"/>
              <w:spacing w:after="0"/>
              <w:rPr>
                <w:rFonts w:ascii="Arial" w:cs="Arial" w:eastAsia="Arial" w:hAnsi="Arial"/>
                <w:sz w:val="15"/>
                <w:szCs w:val="15"/>
                <w:b w:val="1"/>
                <w:bCs w:val="1"/>
                <w:u w:val="single" w:color="auto"/>
                <w:color w:val="0000EE"/>
              </w:rPr>
            </w:pPr>
            <w:hyperlink w:anchor="page95">
              <w:r>
                <w:rPr>
                  <w:rFonts w:ascii="Arial" w:cs="Arial" w:eastAsia="Arial" w:hAnsi="Arial"/>
                  <w:sz w:val="15"/>
                  <w:szCs w:val="15"/>
                  <w:b w:val="1"/>
                  <w:bCs w:val="1"/>
                  <w:u w:val="single" w:color="auto"/>
                  <w:color w:val="0000EE"/>
                </w:rPr>
                <w:t>VOTES OF MEMBERS</w:t>
              </w:r>
            </w:hyperlink>
          </w:p>
        </w:tc>
        <w:tc>
          <w:tcPr>
            <w:tcW w:w="360" w:type="dxa"/>
            <w:vAlign w:val="bottom"/>
            <w:shd w:val="clear" w:color="auto" w:fill="CCEEFF"/>
          </w:tcPr>
          <w:p>
            <w:pPr>
              <w:jc w:val="right"/>
              <w:spacing w:after="0"/>
              <w:rPr>
                <w:rFonts w:ascii="Arial" w:cs="Arial" w:eastAsia="Arial" w:hAnsi="Arial"/>
                <w:sz w:val="15"/>
                <w:szCs w:val="15"/>
                <w:b w:val="1"/>
                <w:bCs w:val="1"/>
                <w:u w:val="single" w:color="auto"/>
                <w:color w:val="0000EE"/>
              </w:rPr>
            </w:pPr>
            <w:hyperlink w:anchor="page95">
              <w:r>
                <w:rPr>
                  <w:rFonts w:ascii="Arial" w:cs="Arial" w:eastAsia="Arial" w:hAnsi="Arial"/>
                  <w:sz w:val="15"/>
                  <w:szCs w:val="15"/>
                  <w:b w:val="1"/>
                  <w:bCs w:val="1"/>
                  <w:u w:val="single" w:color="auto"/>
                  <w:color w:val="0000EE"/>
                </w:rPr>
                <w:t>A-17</w:t>
              </w:r>
            </w:hyperlink>
          </w:p>
        </w:tc>
      </w:tr>
      <w:tr>
        <w:trPr>
          <w:trHeight w:val="253"/>
        </w:trPr>
        <w:tc>
          <w:tcPr>
            <w:tcW w:w="340" w:type="dxa"/>
            <w:vAlign w:val="bottom"/>
            <w:gridSpan w:val="2"/>
          </w:tcPr>
          <w:p>
            <w:pPr>
              <w:spacing w:after="0"/>
              <w:rPr>
                <w:rFonts w:ascii="Arial" w:cs="Arial" w:eastAsia="Arial" w:hAnsi="Arial"/>
                <w:sz w:val="15"/>
                <w:szCs w:val="15"/>
                <w:b w:val="1"/>
                <w:bCs w:val="1"/>
                <w:u w:val="single" w:color="auto"/>
                <w:color w:val="0000EE"/>
              </w:rPr>
            </w:pPr>
            <w:hyperlink w:anchor="page97">
              <w:r>
                <w:rPr>
                  <w:rFonts w:ascii="Arial" w:cs="Arial" w:eastAsia="Arial" w:hAnsi="Arial"/>
                  <w:sz w:val="15"/>
                  <w:szCs w:val="15"/>
                  <w:b w:val="1"/>
                  <w:bCs w:val="1"/>
                  <w:u w:val="single" w:color="auto"/>
                  <w:color w:val="0000EE"/>
                </w:rPr>
                <w:t>22.</w:t>
              </w:r>
            </w:hyperlink>
          </w:p>
        </w:tc>
        <w:tc>
          <w:tcPr>
            <w:tcW w:w="8480" w:type="dxa"/>
            <w:vAlign w:val="bottom"/>
            <w:gridSpan w:val="6"/>
          </w:tcPr>
          <w:p>
            <w:pPr>
              <w:ind w:left="200"/>
              <w:spacing w:after="0"/>
              <w:rPr>
                <w:rFonts w:ascii="Arial" w:cs="Arial" w:eastAsia="Arial" w:hAnsi="Arial"/>
                <w:sz w:val="15"/>
                <w:szCs w:val="15"/>
                <w:b w:val="1"/>
                <w:bCs w:val="1"/>
                <w:u w:val="single" w:color="auto"/>
                <w:color w:val="0000EE"/>
              </w:rPr>
            </w:pPr>
            <w:hyperlink w:anchor="page97">
              <w:r>
                <w:rPr>
                  <w:rFonts w:ascii="Arial" w:cs="Arial" w:eastAsia="Arial" w:hAnsi="Arial"/>
                  <w:sz w:val="15"/>
                  <w:szCs w:val="15"/>
                  <w:b w:val="1"/>
                  <w:bCs w:val="1"/>
                  <w:u w:val="single" w:color="auto"/>
                  <w:color w:val="0000EE"/>
                </w:rPr>
                <w:t>PROXIES AND CORPORATE REPRESENTATIVES</w:t>
              </w:r>
            </w:hyperlink>
          </w:p>
        </w:tc>
        <w:tc>
          <w:tcPr>
            <w:tcW w:w="360" w:type="dxa"/>
            <w:vAlign w:val="bottom"/>
          </w:tcPr>
          <w:p>
            <w:pPr>
              <w:jc w:val="right"/>
              <w:spacing w:after="0"/>
              <w:rPr>
                <w:rFonts w:ascii="Arial" w:cs="Arial" w:eastAsia="Arial" w:hAnsi="Arial"/>
                <w:sz w:val="15"/>
                <w:szCs w:val="15"/>
                <w:b w:val="1"/>
                <w:bCs w:val="1"/>
                <w:u w:val="single" w:color="auto"/>
                <w:color w:val="0000EE"/>
              </w:rPr>
            </w:pPr>
            <w:hyperlink w:anchor="page97">
              <w:r>
                <w:rPr>
                  <w:rFonts w:ascii="Arial" w:cs="Arial" w:eastAsia="Arial" w:hAnsi="Arial"/>
                  <w:sz w:val="15"/>
                  <w:szCs w:val="15"/>
                  <w:b w:val="1"/>
                  <w:bCs w:val="1"/>
                  <w:u w:val="single" w:color="auto"/>
                  <w:color w:val="0000EE"/>
                </w:rPr>
                <w:t>A-19</w:t>
              </w:r>
            </w:hyperlink>
          </w:p>
        </w:tc>
      </w:tr>
      <w:tr>
        <w:trPr>
          <w:trHeight w:val="260"/>
        </w:trPr>
        <w:tc>
          <w:tcPr>
            <w:tcW w:w="340" w:type="dxa"/>
            <w:vAlign w:val="bottom"/>
            <w:gridSpan w:val="2"/>
            <w:shd w:val="clear" w:color="auto" w:fill="CCEEFF"/>
          </w:tcPr>
          <w:p>
            <w:pPr>
              <w:spacing w:after="0"/>
              <w:rPr>
                <w:rFonts w:ascii="Arial" w:cs="Arial" w:eastAsia="Arial" w:hAnsi="Arial"/>
                <w:sz w:val="15"/>
                <w:szCs w:val="15"/>
                <w:b w:val="1"/>
                <w:bCs w:val="1"/>
                <w:u w:val="single" w:color="auto"/>
                <w:color w:val="0000EE"/>
              </w:rPr>
            </w:pPr>
            <w:hyperlink w:anchor="page99">
              <w:r>
                <w:rPr>
                  <w:rFonts w:ascii="Arial" w:cs="Arial" w:eastAsia="Arial" w:hAnsi="Arial"/>
                  <w:sz w:val="15"/>
                  <w:szCs w:val="15"/>
                  <w:b w:val="1"/>
                  <w:bCs w:val="1"/>
                  <w:u w:val="single" w:color="auto"/>
                  <w:color w:val="0000EE"/>
                </w:rPr>
                <w:t>23.</w:t>
              </w:r>
            </w:hyperlink>
          </w:p>
        </w:tc>
        <w:tc>
          <w:tcPr>
            <w:tcW w:w="2080" w:type="dxa"/>
            <w:vAlign w:val="bottom"/>
            <w:gridSpan w:val="2"/>
            <w:shd w:val="clear" w:color="auto" w:fill="CCEEFF"/>
          </w:tcPr>
          <w:p>
            <w:pPr>
              <w:ind w:left="200"/>
              <w:spacing w:after="0"/>
              <w:rPr>
                <w:rFonts w:ascii="Arial" w:cs="Arial" w:eastAsia="Arial" w:hAnsi="Arial"/>
                <w:sz w:val="15"/>
                <w:szCs w:val="15"/>
                <w:b w:val="1"/>
                <w:bCs w:val="1"/>
                <w:u w:val="single" w:color="auto"/>
                <w:color w:val="0000EE"/>
              </w:rPr>
            </w:pPr>
            <w:hyperlink w:anchor="page99">
              <w:r>
                <w:rPr>
                  <w:rFonts w:ascii="Arial" w:cs="Arial" w:eastAsia="Arial" w:hAnsi="Arial"/>
                  <w:sz w:val="15"/>
                  <w:szCs w:val="15"/>
                  <w:b w:val="1"/>
                  <w:bCs w:val="1"/>
                  <w:u w:val="single" w:color="auto"/>
                  <w:color w:val="0000EE"/>
                </w:rPr>
                <w:t>NUMBER OF DIRECTORS</w:t>
              </w:r>
            </w:hyperlink>
          </w:p>
        </w:tc>
        <w:tc>
          <w:tcPr>
            <w:tcW w:w="1620" w:type="dxa"/>
            <w:vAlign w:val="bottom"/>
            <w:gridSpan w:val="2"/>
            <w:shd w:val="clear" w:color="auto" w:fill="CCEEFF"/>
          </w:tcPr>
          <w:p>
            <w:pPr>
              <w:spacing w:after="0"/>
              <w:rPr>
                <w:rFonts w:ascii="Arial" w:cs="Arial" w:eastAsia="Arial" w:hAnsi="Arial"/>
                <w:sz w:val="15"/>
                <w:szCs w:val="15"/>
                <w:b w:val="1"/>
                <w:bCs w:val="1"/>
                <w:u w:val="single" w:color="auto"/>
                <w:color w:val="0000EE"/>
                <w:strike w:val="1"/>
                <w:w w:val="98"/>
              </w:rPr>
            </w:pPr>
            <w:hyperlink w:anchor="page99">
              <w:r>
                <w:rPr>
                  <w:rFonts w:ascii="Arial" w:cs="Arial" w:eastAsia="Arial" w:hAnsi="Arial"/>
                  <w:sz w:val="15"/>
                  <w:szCs w:val="15"/>
                  <w:b w:val="1"/>
                  <w:bCs w:val="1"/>
                  <w:u w:val="single" w:color="auto"/>
                  <w:color w:val="0000EE"/>
                  <w:strike w:val="1"/>
                  <w:w w:val="98"/>
                </w:rPr>
                <w:t>AND CLASSIFICATION</w:t>
              </w:r>
            </w:hyperlink>
          </w:p>
        </w:tc>
        <w:tc>
          <w:tcPr>
            <w:tcW w:w="4780" w:type="dxa"/>
            <w:vAlign w:val="bottom"/>
            <w:gridSpan w:val="2"/>
            <w:shd w:val="clear" w:color="auto" w:fill="CCEEFF"/>
          </w:tcPr>
          <w:p>
            <w:pPr>
              <w:ind w:left="40"/>
              <w:spacing w:after="0"/>
              <w:rPr>
                <w:rFonts w:ascii="Arial" w:cs="Arial" w:eastAsia="Arial" w:hAnsi="Arial"/>
                <w:sz w:val="15"/>
                <w:szCs w:val="15"/>
                <w:b w:val="1"/>
                <w:bCs w:val="1"/>
                <w:u w:val="single" w:color="auto"/>
                <w:color w:val="0000EE"/>
              </w:rPr>
            </w:pPr>
            <w:hyperlink w:anchor="page99">
              <w:r>
                <w:rPr>
                  <w:rFonts w:ascii="Arial" w:cs="Arial" w:eastAsia="Arial" w:hAnsi="Arial"/>
                  <w:sz w:val="15"/>
                  <w:szCs w:val="15"/>
                  <w:b w:val="1"/>
                  <w:bCs w:val="1"/>
                  <w:u w:val="single" w:color="auto"/>
                  <w:color w:val="0000EE"/>
                </w:rPr>
                <w:t>AND COMPOSITION OF THE BOARD</w:t>
              </w:r>
            </w:hyperlink>
          </w:p>
        </w:tc>
        <w:tc>
          <w:tcPr>
            <w:tcW w:w="360" w:type="dxa"/>
            <w:vAlign w:val="bottom"/>
            <w:shd w:val="clear" w:color="auto" w:fill="CCEEFF"/>
          </w:tcPr>
          <w:p>
            <w:pPr>
              <w:jc w:val="right"/>
              <w:spacing w:after="0"/>
              <w:rPr>
                <w:rFonts w:ascii="Arial" w:cs="Arial" w:eastAsia="Arial" w:hAnsi="Arial"/>
                <w:sz w:val="15"/>
                <w:szCs w:val="15"/>
                <w:b w:val="1"/>
                <w:bCs w:val="1"/>
                <w:u w:val="single" w:color="auto"/>
                <w:color w:val="0000EE"/>
              </w:rPr>
            </w:pPr>
            <w:hyperlink w:anchor="page99">
              <w:r>
                <w:rPr>
                  <w:rFonts w:ascii="Arial" w:cs="Arial" w:eastAsia="Arial" w:hAnsi="Arial"/>
                  <w:sz w:val="15"/>
                  <w:szCs w:val="15"/>
                  <w:b w:val="1"/>
                  <w:bCs w:val="1"/>
                  <w:u w:val="single" w:color="auto"/>
                  <w:color w:val="0000EE"/>
                </w:rPr>
                <w:t>A-21</w:t>
              </w:r>
            </w:hyperlink>
          </w:p>
        </w:tc>
      </w:tr>
      <w:tr>
        <w:trPr>
          <w:trHeight w:val="253"/>
        </w:trPr>
        <w:tc>
          <w:tcPr>
            <w:tcW w:w="340" w:type="dxa"/>
            <w:vAlign w:val="bottom"/>
            <w:gridSpan w:val="2"/>
          </w:tcPr>
          <w:p>
            <w:pPr>
              <w:spacing w:after="0"/>
              <w:rPr>
                <w:rFonts w:ascii="Arial" w:cs="Arial" w:eastAsia="Arial" w:hAnsi="Arial"/>
                <w:sz w:val="15"/>
                <w:szCs w:val="15"/>
                <w:b w:val="1"/>
                <w:bCs w:val="1"/>
                <w:u w:val="single" w:color="auto"/>
                <w:color w:val="0000EE"/>
              </w:rPr>
            </w:pPr>
            <w:hyperlink w:anchor="page100">
              <w:r>
                <w:rPr>
                  <w:rFonts w:ascii="Arial" w:cs="Arial" w:eastAsia="Arial" w:hAnsi="Arial"/>
                  <w:sz w:val="15"/>
                  <w:szCs w:val="15"/>
                  <w:b w:val="1"/>
                  <w:bCs w:val="1"/>
                  <w:u w:val="single" w:color="auto"/>
                  <w:color w:val="0000EE"/>
                </w:rPr>
                <w:t>24.</w:t>
              </w:r>
            </w:hyperlink>
          </w:p>
        </w:tc>
        <w:tc>
          <w:tcPr>
            <w:tcW w:w="8480" w:type="dxa"/>
            <w:vAlign w:val="bottom"/>
            <w:gridSpan w:val="6"/>
          </w:tcPr>
          <w:p>
            <w:pPr>
              <w:ind w:left="200"/>
              <w:spacing w:after="0"/>
              <w:rPr>
                <w:rFonts w:ascii="Arial" w:cs="Arial" w:eastAsia="Arial" w:hAnsi="Arial"/>
                <w:sz w:val="15"/>
                <w:szCs w:val="15"/>
                <w:b w:val="1"/>
                <w:bCs w:val="1"/>
                <w:u w:val="single" w:color="auto"/>
                <w:color w:val="0000EE"/>
              </w:rPr>
            </w:pPr>
            <w:hyperlink w:anchor="page100">
              <w:r>
                <w:rPr>
                  <w:rFonts w:ascii="Arial" w:cs="Arial" w:eastAsia="Arial" w:hAnsi="Arial"/>
                  <w:sz w:val="15"/>
                  <w:szCs w:val="15"/>
                  <w:b w:val="1"/>
                  <w:bCs w:val="1"/>
                  <w:u w:val="single" w:color="auto"/>
                  <w:color w:val="0000EE"/>
                </w:rPr>
                <w:t>APPOINTMENT AND RE-APPOINTMENT OF DIRECTORS</w:t>
              </w:r>
            </w:hyperlink>
          </w:p>
        </w:tc>
        <w:tc>
          <w:tcPr>
            <w:tcW w:w="360" w:type="dxa"/>
            <w:vAlign w:val="bottom"/>
          </w:tcPr>
          <w:p>
            <w:pPr>
              <w:jc w:val="right"/>
              <w:spacing w:after="0"/>
              <w:rPr>
                <w:rFonts w:ascii="Arial" w:cs="Arial" w:eastAsia="Arial" w:hAnsi="Arial"/>
                <w:sz w:val="15"/>
                <w:szCs w:val="15"/>
                <w:b w:val="1"/>
                <w:bCs w:val="1"/>
                <w:u w:val="single" w:color="auto"/>
                <w:color w:val="0000EE"/>
              </w:rPr>
            </w:pPr>
            <w:hyperlink w:anchor="page100">
              <w:r>
                <w:rPr>
                  <w:rFonts w:ascii="Arial" w:cs="Arial" w:eastAsia="Arial" w:hAnsi="Arial"/>
                  <w:sz w:val="15"/>
                  <w:szCs w:val="15"/>
                  <w:b w:val="1"/>
                  <w:bCs w:val="1"/>
                  <w:u w:val="single" w:color="auto"/>
                  <w:color w:val="0000EE"/>
                </w:rPr>
                <w:t>A-22</w:t>
              </w:r>
            </w:hyperlink>
          </w:p>
        </w:tc>
      </w:tr>
      <w:tr>
        <w:trPr>
          <w:trHeight w:val="260"/>
        </w:trPr>
        <w:tc>
          <w:tcPr>
            <w:tcW w:w="340" w:type="dxa"/>
            <w:vAlign w:val="bottom"/>
            <w:gridSpan w:val="2"/>
            <w:shd w:val="clear" w:color="auto" w:fill="CCEEFF"/>
          </w:tcPr>
          <w:p>
            <w:pPr>
              <w:spacing w:after="0"/>
              <w:rPr>
                <w:rFonts w:ascii="Arial" w:cs="Arial" w:eastAsia="Arial" w:hAnsi="Arial"/>
                <w:sz w:val="15"/>
                <w:szCs w:val="15"/>
                <w:b w:val="1"/>
                <w:bCs w:val="1"/>
                <w:u w:val="single" w:color="auto"/>
                <w:color w:val="0000EE"/>
              </w:rPr>
            </w:pPr>
            <w:hyperlink w:anchor="page101">
              <w:r>
                <w:rPr>
                  <w:rFonts w:ascii="Arial" w:cs="Arial" w:eastAsia="Arial" w:hAnsi="Arial"/>
                  <w:sz w:val="15"/>
                  <w:szCs w:val="15"/>
                  <w:b w:val="1"/>
                  <w:bCs w:val="1"/>
                  <w:u w:val="single" w:color="auto"/>
                  <w:color w:val="0000EE"/>
                </w:rPr>
                <w:t>25.</w:t>
              </w:r>
            </w:hyperlink>
          </w:p>
        </w:tc>
        <w:tc>
          <w:tcPr>
            <w:tcW w:w="8480" w:type="dxa"/>
            <w:vAlign w:val="bottom"/>
            <w:gridSpan w:val="6"/>
            <w:shd w:val="clear" w:color="auto" w:fill="CCEEFF"/>
          </w:tcPr>
          <w:p>
            <w:pPr>
              <w:ind w:left="200"/>
              <w:spacing w:after="0"/>
              <w:rPr>
                <w:rFonts w:ascii="Arial" w:cs="Arial" w:eastAsia="Arial" w:hAnsi="Arial"/>
                <w:sz w:val="15"/>
                <w:szCs w:val="15"/>
                <w:b w:val="1"/>
                <w:bCs w:val="1"/>
                <w:u w:val="single" w:color="auto"/>
                <w:color w:val="0000EE"/>
              </w:rPr>
            </w:pPr>
            <w:hyperlink w:anchor="page101">
              <w:r>
                <w:rPr>
                  <w:rFonts w:ascii="Arial" w:cs="Arial" w:eastAsia="Arial" w:hAnsi="Arial"/>
                  <w:sz w:val="15"/>
                  <w:szCs w:val="15"/>
                  <w:b w:val="1"/>
                  <w:bCs w:val="1"/>
                  <w:u w:val="single" w:color="auto"/>
                  <w:color w:val="0000EE"/>
                </w:rPr>
                <w:t>DIRECTORS’ FEES AND EXPENSES</w:t>
              </w:r>
            </w:hyperlink>
          </w:p>
        </w:tc>
        <w:tc>
          <w:tcPr>
            <w:tcW w:w="360" w:type="dxa"/>
            <w:vAlign w:val="bottom"/>
            <w:shd w:val="clear" w:color="auto" w:fill="CCEEFF"/>
          </w:tcPr>
          <w:p>
            <w:pPr>
              <w:jc w:val="right"/>
              <w:spacing w:after="0"/>
              <w:rPr>
                <w:rFonts w:ascii="Arial" w:cs="Arial" w:eastAsia="Arial" w:hAnsi="Arial"/>
                <w:sz w:val="15"/>
                <w:szCs w:val="15"/>
                <w:b w:val="1"/>
                <w:bCs w:val="1"/>
                <w:u w:val="single" w:color="auto"/>
                <w:color w:val="0000EE"/>
              </w:rPr>
            </w:pPr>
            <w:hyperlink w:anchor="page101">
              <w:r>
                <w:rPr>
                  <w:rFonts w:ascii="Arial" w:cs="Arial" w:eastAsia="Arial" w:hAnsi="Arial"/>
                  <w:sz w:val="15"/>
                  <w:szCs w:val="15"/>
                  <w:b w:val="1"/>
                  <w:bCs w:val="1"/>
                  <w:u w:val="single" w:color="auto"/>
                  <w:color w:val="0000EE"/>
                </w:rPr>
                <w:t>A-23</w:t>
              </w:r>
            </w:hyperlink>
          </w:p>
        </w:tc>
      </w:tr>
      <w:tr>
        <w:trPr>
          <w:trHeight w:val="253"/>
        </w:trPr>
        <w:tc>
          <w:tcPr>
            <w:tcW w:w="340" w:type="dxa"/>
            <w:vAlign w:val="bottom"/>
            <w:gridSpan w:val="2"/>
          </w:tcPr>
          <w:p>
            <w:pPr>
              <w:spacing w:after="0"/>
              <w:rPr>
                <w:rFonts w:ascii="Arial" w:cs="Arial" w:eastAsia="Arial" w:hAnsi="Arial"/>
                <w:sz w:val="15"/>
                <w:szCs w:val="15"/>
                <w:b w:val="1"/>
                <w:bCs w:val="1"/>
                <w:u w:val="single" w:color="auto"/>
                <w:color w:val="0000EE"/>
              </w:rPr>
            </w:pPr>
            <w:hyperlink w:anchor="page102">
              <w:r>
                <w:rPr>
                  <w:rFonts w:ascii="Arial" w:cs="Arial" w:eastAsia="Arial" w:hAnsi="Arial"/>
                  <w:sz w:val="15"/>
                  <w:szCs w:val="15"/>
                  <w:b w:val="1"/>
                  <w:bCs w:val="1"/>
                  <w:u w:val="single" w:color="auto"/>
                  <w:color w:val="0000EE"/>
                </w:rPr>
                <w:t>26.</w:t>
              </w:r>
            </w:hyperlink>
          </w:p>
        </w:tc>
        <w:tc>
          <w:tcPr>
            <w:tcW w:w="8480" w:type="dxa"/>
            <w:vAlign w:val="bottom"/>
            <w:gridSpan w:val="6"/>
          </w:tcPr>
          <w:p>
            <w:pPr>
              <w:ind w:left="200"/>
              <w:spacing w:after="0"/>
              <w:rPr>
                <w:rFonts w:ascii="Arial" w:cs="Arial" w:eastAsia="Arial" w:hAnsi="Arial"/>
                <w:sz w:val="15"/>
                <w:szCs w:val="15"/>
                <w:b w:val="1"/>
                <w:bCs w:val="1"/>
                <w:u w:val="single" w:color="auto"/>
                <w:color w:val="0000EE"/>
              </w:rPr>
            </w:pPr>
            <w:hyperlink w:anchor="page102">
              <w:r>
                <w:rPr>
                  <w:rFonts w:ascii="Arial" w:cs="Arial" w:eastAsia="Arial" w:hAnsi="Arial"/>
                  <w:sz w:val="15"/>
                  <w:szCs w:val="15"/>
                  <w:b w:val="1"/>
                  <w:bCs w:val="1"/>
                  <w:u w:val="single" w:color="auto"/>
                  <w:color w:val="0000EE"/>
                </w:rPr>
                <w:t>[RESERVED]</w:t>
              </w:r>
            </w:hyperlink>
          </w:p>
        </w:tc>
        <w:tc>
          <w:tcPr>
            <w:tcW w:w="360" w:type="dxa"/>
            <w:vAlign w:val="bottom"/>
          </w:tcPr>
          <w:p>
            <w:pPr>
              <w:jc w:val="right"/>
              <w:spacing w:after="0"/>
              <w:rPr>
                <w:rFonts w:ascii="Arial" w:cs="Arial" w:eastAsia="Arial" w:hAnsi="Arial"/>
                <w:sz w:val="15"/>
                <w:szCs w:val="15"/>
                <w:b w:val="1"/>
                <w:bCs w:val="1"/>
                <w:u w:val="single" w:color="auto"/>
                <w:color w:val="0000EE"/>
              </w:rPr>
            </w:pPr>
            <w:hyperlink w:anchor="page102">
              <w:r>
                <w:rPr>
                  <w:rFonts w:ascii="Arial" w:cs="Arial" w:eastAsia="Arial" w:hAnsi="Arial"/>
                  <w:sz w:val="15"/>
                  <w:szCs w:val="15"/>
                  <w:b w:val="1"/>
                  <w:bCs w:val="1"/>
                  <w:u w:val="single" w:color="auto"/>
                  <w:color w:val="0000EE"/>
                </w:rPr>
                <w:t>A-24</w:t>
              </w:r>
            </w:hyperlink>
          </w:p>
        </w:tc>
      </w:tr>
      <w:tr>
        <w:trPr>
          <w:trHeight w:val="260"/>
        </w:trPr>
        <w:tc>
          <w:tcPr>
            <w:tcW w:w="340" w:type="dxa"/>
            <w:vAlign w:val="bottom"/>
            <w:gridSpan w:val="2"/>
            <w:shd w:val="clear" w:color="auto" w:fill="CCEEFF"/>
          </w:tcPr>
          <w:p>
            <w:pPr>
              <w:spacing w:after="0"/>
              <w:rPr>
                <w:rFonts w:ascii="Arial" w:cs="Arial" w:eastAsia="Arial" w:hAnsi="Arial"/>
                <w:sz w:val="15"/>
                <w:szCs w:val="15"/>
                <w:b w:val="1"/>
                <w:bCs w:val="1"/>
                <w:u w:val="single" w:color="auto"/>
                <w:color w:val="0000EE"/>
              </w:rPr>
            </w:pPr>
            <w:hyperlink w:anchor="page102">
              <w:r>
                <w:rPr>
                  <w:rFonts w:ascii="Arial" w:cs="Arial" w:eastAsia="Arial" w:hAnsi="Arial"/>
                  <w:sz w:val="15"/>
                  <w:szCs w:val="15"/>
                  <w:b w:val="1"/>
                  <w:bCs w:val="1"/>
                  <w:u w:val="single" w:color="auto"/>
                  <w:color w:val="0000EE"/>
                </w:rPr>
                <w:t>27.</w:t>
              </w:r>
            </w:hyperlink>
          </w:p>
        </w:tc>
        <w:tc>
          <w:tcPr>
            <w:tcW w:w="8480" w:type="dxa"/>
            <w:vAlign w:val="bottom"/>
            <w:gridSpan w:val="6"/>
            <w:shd w:val="clear" w:color="auto" w:fill="CCEEFF"/>
          </w:tcPr>
          <w:p>
            <w:pPr>
              <w:ind w:left="200"/>
              <w:spacing w:after="0"/>
              <w:rPr>
                <w:rFonts w:ascii="Arial" w:cs="Arial" w:eastAsia="Arial" w:hAnsi="Arial"/>
                <w:sz w:val="15"/>
                <w:szCs w:val="15"/>
                <w:b w:val="1"/>
                <w:bCs w:val="1"/>
                <w:u w:val="single" w:color="auto"/>
                <w:color w:val="0000EE"/>
              </w:rPr>
            </w:pPr>
            <w:hyperlink w:anchor="page102">
              <w:r>
                <w:rPr>
                  <w:rFonts w:ascii="Arial" w:cs="Arial" w:eastAsia="Arial" w:hAnsi="Arial"/>
                  <w:sz w:val="15"/>
                  <w:szCs w:val="15"/>
                  <w:b w:val="1"/>
                  <w:bCs w:val="1"/>
                  <w:u w:val="single" w:color="auto"/>
                  <w:color w:val="0000EE"/>
                </w:rPr>
                <w:t>POWERS OF THE BOARD</w:t>
              </w:r>
            </w:hyperlink>
          </w:p>
        </w:tc>
        <w:tc>
          <w:tcPr>
            <w:tcW w:w="360" w:type="dxa"/>
            <w:vAlign w:val="bottom"/>
            <w:shd w:val="clear" w:color="auto" w:fill="CCEEFF"/>
          </w:tcPr>
          <w:p>
            <w:pPr>
              <w:jc w:val="right"/>
              <w:spacing w:after="0"/>
              <w:rPr>
                <w:rFonts w:ascii="Arial" w:cs="Arial" w:eastAsia="Arial" w:hAnsi="Arial"/>
                <w:sz w:val="15"/>
                <w:szCs w:val="15"/>
                <w:b w:val="1"/>
                <w:bCs w:val="1"/>
                <w:u w:val="single" w:color="auto"/>
                <w:color w:val="0000EE"/>
              </w:rPr>
            </w:pPr>
            <w:hyperlink w:anchor="page102">
              <w:r>
                <w:rPr>
                  <w:rFonts w:ascii="Arial" w:cs="Arial" w:eastAsia="Arial" w:hAnsi="Arial"/>
                  <w:sz w:val="15"/>
                  <w:szCs w:val="15"/>
                  <w:b w:val="1"/>
                  <w:bCs w:val="1"/>
                  <w:u w:val="single" w:color="auto"/>
                  <w:color w:val="0000EE"/>
                </w:rPr>
                <w:t>A-24</w:t>
              </w:r>
            </w:hyperlink>
          </w:p>
        </w:tc>
      </w:tr>
      <w:tr>
        <w:trPr>
          <w:trHeight w:val="253"/>
        </w:trPr>
        <w:tc>
          <w:tcPr>
            <w:tcW w:w="340" w:type="dxa"/>
            <w:vAlign w:val="bottom"/>
            <w:gridSpan w:val="2"/>
          </w:tcPr>
          <w:p>
            <w:pPr>
              <w:spacing w:after="0"/>
              <w:rPr>
                <w:rFonts w:ascii="Arial" w:cs="Arial" w:eastAsia="Arial" w:hAnsi="Arial"/>
                <w:sz w:val="15"/>
                <w:szCs w:val="15"/>
                <w:b w:val="1"/>
                <w:bCs w:val="1"/>
                <w:u w:val="single" w:color="auto"/>
                <w:color w:val="0000EE"/>
              </w:rPr>
            </w:pPr>
            <w:hyperlink w:anchor="page102">
              <w:r>
                <w:rPr>
                  <w:rFonts w:ascii="Arial" w:cs="Arial" w:eastAsia="Arial" w:hAnsi="Arial"/>
                  <w:sz w:val="15"/>
                  <w:szCs w:val="15"/>
                  <w:b w:val="1"/>
                  <w:bCs w:val="1"/>
                  <w:u w:val="single" w:color="auto"/>
                  <w:color w:val="0000EE"/>
                </w:rPr>
                <w:t>28.</w:t>
              </w:r>
            </w:hyperlink>
          </w:p>
        </w:tc>
        <w:tc>
          <w:tcPr>
            <w:tcW w:w="1680" w:type="dxa"/>
            <w:vAlign w:val="bottom"/>
          </w:tcPr>
          <w:p>
            <w:pPr>
              <w:ind w:left="200"/>
              <w:spacing w:after="0"/>
              <w:rPr>
                <w:rFonts w:ascii="Arial" w:cs="Arial" w:eastAsia="Arial" w:hAnsi="Arial"/>
                <w:sz w:val="15"/>
                <w:szCs w:val="15"/>
                <w:b w:val="1"/>
                <w:bCs w:val="1"/>
                <w:u w:val="single" w:color="auto"/>
                <w:color w:val="0000EE"/>
              </w:rPr>
            </w:pPr>
            <w:hyperlink w:anchor="page102">
              <w:r>
                <w:rPr>
                  <w:rFonts w:ascii="Arial" w:cs="Arial" w:eastAsia="Arial" w:hAnsi="Arial"/>
                  <w:sz w:val="15"/>
                  <w:szCs w:val="15"/>
                  <w:b w:val="1"/>
                  <w:bCs w:val="1"/>
                  <w:u w:val="single" w:color="auto"/>
                  <w:color w:val="0000EE"/>
                </w:rPr>
                <w:t>COMPLIANCE WITH</w:t>
              </w:r>
            </w:hyperlink>
          </w:p>
        </w:tc>
        <w:tc>
          <w:tcPr>
            <w:tcW w:w="660" w:type="dxa"/>
            <w:vAlign w:val="bottom"/>
            <w:gridSpan w:val="2"/>
          </w:tcPr>
          <w:p>
            <w:pPr>
              <w:spacing w:after="0"/>
              <w:rPr>
                <w:rFonts w:ascii="Arial" w:cs="Arial" w:eastAsia="Arial" w:hAnsi="Arial"/>
                <w:sz w:val="15"/>
                <w:szCs w:val="15"/>
                <w:b w:val="1"/>
                <w:bCs w:val="1"/>
                <w:u w:val="single" w:color="auto"/>
                <w:color w:val="0000EE"/>
                <w:strike w:val="1"/>
                <w:w w:val="98"/>
              </w:rPr>
            </w:pPr>
            <w:hyperlink w:anchor="page102">
              <w:r>
                <w:rPr>
                  <w:rFonts w:ascii="Arial" w:cs="Arial" w:eastAsia="Arial" w:hAnsi="Arial"/>
                  <w:sz w:val="15"/>
                  <w:szCs w:val="15"/>
                  <w:b w:val="1"/>
                  <w:bCs w:val="1"/>
                  <w:u w:val="single" w:color="auto"/>
                  <w:color w:val="0000EE"/>
                  <w:strike w:val="1"/>
                  <w:w w:val="98"/>
                </w:rPr>
                <w:t>NASDAQ</w:t>
              </w:r>
            </w:hyperlink>
          </w:p>
        </w:tc>
        <w:tc>
          <w:tcPr>
            <w:tcW w:w="6140" w:type="dxa"/>
            <w:vAlign w:val="bottom"/>
            <w:gridSpan w:val="3"/>
          </w:tcPr>
          <w:p>
            <w:pPr>
              <w:spacing w:after="0"/>
              <w:rPr>
                <w:rFonts w:ascii="Arial" w:cs="Arial" w:eastAsia="Arial" w:hAnsi="Arial"/>
                <w:sz w:val="15"/>
                <w:szCs w:val="15"/>
                <w:b w:val="1"/>
                <w:bCs w:val="1"/>
                <w:u w:val="single" w:color="auto"/>
                <w:color w:val="0000EE"/>
              </w:rPr>
            </w:pPr>
            <w:hyperlink w:anchor="page102">
              <w:r>
                <w:rPr>
                  <w:rFonts w:ascii="Arial" w:cs="Arial" w:eastAsia="Arial" w:hAnsi="Arial"/>
                  <w:sz w:val="15"/>
                  <w:szCs w:val="15"/>
                  <w:b w:val="1"/>
                  <w:bCs w:val="1"/>
                  <w:u w:val="single" w:color="auto"/>
                  <w:color w:val="0000EE"/>
                </w:rPr>
                <w:t>RELEVANT RULES</w:t>
              </w:r>
            </w:hyperlink>
          </w:p>
        </w:tc>
        <w:tc>
          <w:tcPr>
            <w:tcW w:w="360" w:type="dxa"/>
            <w:vAlign w:val="bottom"/>
          </w:tcPr>
          <w:p>
            <w:pPr>
              <w:jc w:val="right"/>
              <w:spacing w:after="0"/>
              <w:rPr>
                <w:rFonts w:ascii="Arial" w:cs="Arial" w:eastAsia="Arial" w:hAnsi="Arial"/>
                <w:sz w:val="15"/>
                <w:szCs w:val="15"/>
                <w:b w:val="1"/>
                <w:bCs w:val="1"/>
                <w:u w:val="single" w:color="auto"/>
                <w:color w:val="0000EE"/>
              </w:rPr>
            </w:pPr>
            <w:hyperlink w:anchor="page102">
              <w:r>
                <w:rPr>
                  <w:rFonts w:ascii="Arial" w:cs="Arial" w:eastAsia="Arial" w:hAnsi="Arial"/>
                  <w:sz w:val="15"/>
                  <w:szCs w:val="15"/>
                  <w:b w:val="1"/>
                  <w:bCs w:val="1"/>
                  <w:u w:val="single" w:color="auto"/>
                  <w:color w:val="0000EE"/>
                </w:rPr>
                <w:t>A-24</w:t>
              </w:r>
            </w:hyperlink>
          </w:p>
        </w:tc>
      </w:tr>
      <w:tr>
        <w:trPr>
          <w:trHeight w:val="260"/>
        </w:trPr>
        <w:tc>
          <w:tcPr>
            <w:tcW w:w="340" w:type="dxa"/>
            <w:vAlign w:val="bottom"/>
            <w:gridSpan w:val="2"/>
            <w:shd w:val="clear" w:color="auto" w:fill="CCEEFF"/>
          </w:tcPr>
          <w:p>
            <w:pPr>
              <w:spacing w:after="0"/>
              <w:rPr>
                <w:rFonts w:ascii="Arial" w:cs="Arial" w:eastAsia="Arial" w:hAnsi="Arial"/>
                <w:sz w:val="15"/>
                <w:szCs w:val="15"/>
                <w:b w:val="1"/>
                <w:bCs w:val="1"/>
                <w:u w:val="single" w:color="auto"/>
                <w:color w:val="0000EE"/>
              </w:rPr>
            </w:pPr>
            <w:hyperlink w:anchor="page102">
              <w:r>
                <w:rPr>
                  <w:rFonts w:ascii="Arial" w:cs="Arial" w:eastAsia="Arial" w:hAnsi="Arial"/>
                  <w:sz w:val="15"/>
                  <w:szCs w:val="15"/>
                  <w:b w:val="1"/>
                  <w:bCs w:val="1"/>
                  <w:u w:val="single" w:color="auto"/>
                  <w:color w:val="0000EE"/>
                </w:rPr>
                <w:t>29.</w:t>
              </w:r>
            </w:hyperlink>
          </w:p>
        </w:tc>
        <w:tc>
          <w:tcPr>
            <w:tcW w:w="8480" w:type="dxa"/>
            <w:vAlign w:val="bottom"/>
            <w:gridSpan w:val="6"/>
            <w:shd w:val="clear" w:color="auto" w:fill="CCEEFF"/>
          </w:tcPr>
          <w:p>
            <w:pPr>
              <w:ind w:left="200"/>
              <w:spacing w:after="0"/>
              <w:rPr>
                <w:rFonts w:ascii="Arial" w:cs="Arial" w:eastAsia="Arial" w:hAnsi="Arial"/>
                <w:sz w:val="15"/>
                <w:szCs w:val="15"/>
                <w:b w:val="1"/>
                <w:bCs w:val="1"/>
                <w:u w:val="single" w:color="auto"/>
                <w:color w:val="0000EE"/>
              </w:rPr>
            </w:pPr>
            <w:hyperlink w:anchor="page102">
              <w:r>
                <w:rPr>
                  <w:rFonts w:ascii="Arial" w:cs="Arial" w:eastAsia="Arial" w:hAnsi="Arial"/>
                  <w:sz w:val="15"/>
                  <w:szCs w:val="15"/>
                  <w:b w:val="1"/>
                  <w:bCs w:val="1"/>
                  <w:u w:val="single" w:color="auto"/>
                  <w:color w:val="0000EE"/>
                </w:rPr>
                <w:t>DELEGATION OF DIRECTORS’ POWERS</w:t>
              </w:r>
            </w:hyperlink>
          </w:p>
        </w:tc>
        <w:tc>
          <w:tcPr>
            <w:tcW w:w="360" w:type="dxa"/>
            <w:vAlign w:val="bottom"/>
            <w:shd w:val="clear" w:color="auto" w:fill="CCEEFF"/>
          </w:tcPr>
          <w:p>
            <w:pPr>
              <w:jc w:val="right"/>
              <w:spacing w:after="0"/>
              <w:rPr>
                <w:rFonts w:ascii="Arial" w:cs="Arial" w:eastAsia="Arial" w:hAnsi="Arial"/>
                <w:sz w:val="15"/>
                <w:szCs w:val="15"/>
                <w:b w:val="1"/>
                <w:bCs w:val="1"/>
                <w:u w:val="single" w:color="auto"/>
                <w:color w:val="0000EE"/>
              </w:rPr>
            </w:pPr>
            <w:hyperlink w:anchor="page102">
              <w:r>
                <w:rPr>
                  <w:rFonts w:ascii="Arial" w:cs="Arial" w:eastAsia="Arial" w:hAnsi="Arial"/>
                  <w:sz w:val="15"/>
                  <w:szCs w:val="15"/>
                  <w:b w:val="1"/>
                  <w:bCs w:val="1"/>
                  <w:u w:val="single" w:color="auto"/>
                  <w:color w:val="0000EE"/>
                </w:rPr>
                <w:t>A-24</w:t>
              </w:r>
            </w:hyperlink>
          </w:p>
        </w:tc>
      </w:tr>
      <w:tr>
        <w:trPr>
          <w:trHeight w:val="253"/>
        </w:trPr>
        <w:tc>
          <w:tcPr>
            <w:tcW w:w="340" w:type="dxa"/>
            <w:vAlign w:val="bottom"/>
            <w:gridSpan w:val="2"/>
          </w:tcPr>
          <w:p>
            <w:pPr>
              <w:spacing w:after="0"/>
              <w:rPr>
                <w:rFonts w:ascii="Arial" w:cs="Arial" w:eastAsia="Arial" w:hAnsi="Arial"/>
                <w:sz w:val="15"/>
                <w:szCs w:val="15"/>
                <w:b w:val="1"/>
                <w:bCs w:val="1"/>
                <w:u w:val="single" w:color="auto"/>
                <w:color w:val="0000EE"/>
              </w:rPr>
            </w:pPr>
            <w:hyperlink w:anchor="page103">
              <w:r>
                <w:rPr>
                  <w:rFonts w:ascii="Arial" w:cs="Arial" w:eastAsia="Arial" w:hAnsi="Arial"/>
                  <w:sz w:val="15"/>
                  <w:szCs w:val="15"/>
                  <w:b w:val="1"/>
                  <w:bCs w:val="1"/>
                  <w:u w:val="single" w:color="auto"/>
                  <w:color w:val="0000EE"/>
                </w:rPr>
                <w:t>30.</w:t>
              </w:r>
            </w:hyperlink>
          </w:p>
        </w:tc>
        <w:tc>
          <w:tcPr>
            <w:tcW w:w="8480" w:type="dxa"/>
            <w:vAlign w:val="bottom"/>
            <w:gridSpan w:val="6"/>
          </w:tcPr>
          <w:p>
            <w:pPr>
              <w:ind w:left="200"/>
              <w:spacing w:after="0"/>
              <w:rPr>
                <w:rFonts w:ascii="Arial" w:cs="Arial" w:eastAsia="Arial" w:hAnsi="Arial"/>
                <w:sz w:val="15"/>
                <w:szCs w:val="15"/>
                <w:b w:val="1"/>
                <w:bCs w:val="1"/>
                <w:u w:val="single" w:color="auto"/>
                <w:color w:val="0000EE"/>
              </w:rPr>
            </w:pPr>
            <w:hyperlink w:anchor="page103">
              <w:r>
                <w:rPr>
                  <w:rFonts w:ascii="Arial" w:cs="Arial" w:eastAsia="Arial" w:hAnsi="Arial"/>
                  <w:sz w:val="15"/>
                  <w:szCs w:val="15"/>
                  <w:b w:val="1"/>
                  <w:bCs w:val="1"/>
                  <w:u w:val="single" w:color="auto"/>
                  <w:color w:val="0000EE"/>
                </w:rPr>
                <w:t>DISQUALIFICATION AND REMOVAL OF DIRECTORS</w:t>
              </w:r>
            </w:hyperlink>
          </w:p>
        </w:tc>
        <w:tc>
          <w:tcPr>
            <w:tcW w:w="360" w:type="dxa"/>
            <w:vAlign w:val="bottom"/>
          </w:tcPr>
          <w:p>
            <w:pPr>
              <w:jc w:val="right"/>
              <w:spacing w:after="0"/>
              <w:rPr>
                <w:rFonts w:ascii="Arial" w:cs="Arial" w:eastAsia="Arial" w:hAnsi="Arial"/>
                <w:sz w:val="15"/>
                <w:szCs w:val="15"/>
                <w:b w:val="1"/>
                <w:bCs w:val="1"/>
                <w:u w:val="single" w:color="auto"/>
                <w:color w:val="0000EE"/>
              </w:rPr>
            </w:pPr>
            <w:hyperlink w:anchor="page103">
              <w:r>
                <w:rPr>
                  <w:rFonts w:ascii="Arial" w:cs="Arial" w:eastAsia="Arial" w:hAnsi="Arial"/>
                  <w:sz w:val="15"/>
                  <w:szCs w:val="15"/>
                  <w:b w:val="1"/>
                  <w:bCs w:val="1"/>
                  <w:u w:val="single" w:color="auto"/>
                  <w:color w:val="0000EE"/>
                </w:rPr>
                <w:t>A-25</w:t>
              </w:r>
            </w:hyperlink>
          </w:p>
        </w:tc>
      </w:tr>
      <w:tr>
        <w:trPr>
          <w:trHeight w:val="260"/>
        </w:trPr>
        <w:tc>
          <w:tcPr>
            <w:tcW w:w="340" w:type="dxa"/>
            <w:vAlign w:val="bottom"/>
            <w:gridSpan w:val="2"/>
            <w:shd w:val="clear" w:color="auto" w:fill="CCEEFF"/>
          </w:tcPr>
          <w:p>
            <w:pPr>
              <w:spacing w:after="0"/>
              <w:rPr>
                <w:rFonts w:ascii="Arial" w:cs="Arial" w:eastAsia="Arial" w:hAnsi="Arial"/>
                <w:sz w:val="15"/>
                <w:szCs w:val="15"/>
                <w:b w:val="1"/>
                <w:bCs w:val="1"/>
                <w:u w:val="single" w:color="auto"/>
                <w:color w:val="0000EE"/>
              </w:rPr>
            </w:pPr>
            <w:hyperlink w:anchor="page104">
              <w:r>
                <w:rPr>
                  <w:rFonts w:ascii="Arial" w:cs="Arial" w:eastAsia="Arial" w:hAnsi="Arial"/>
                  <w:sz w:val="15"/>
                  <w:szCs w:val="15"/>
                  <w:b w:val="1"/>
                  <w:bCs w:val="1"/>
                  <w:u w:val="single" w:color="auto"/>
                  <w:color w:val="0000EE"/>
                </w:rPr>
                <w:t>31.</w:t>
              </w:r>
            </w:hyperlink>
          </w:p>
        </w:tc>
        <w:tc>
          <w:tcPr>
            <w:tcW w:w="8480" w:type="dxa"/>
            <w:vAlign w:val="bottom"/>
            <w:gridSpan w:val="6"/>
            <w:shd w:val="clear" w:color="auto" w:fill="CCEEFF"/>
          </w:tcPr>
          <w:p>
            <w:pPr>
              <w:ind w:left="200"/>
              <w:spacing w:after="0"/>
              <w:rPr>
                <w:rFonts w:ascii="Arial" w:cs="Arial" w:eastAsia="Arial" w:hAnsi="Arial"/>
                <w:sz w:val="15"/>
                <w:szCs w:val="15"/>
                <w:b w:val="1"/>
                <w:bCs w:val="1"/>
                <w:u w:val="single" w:color="auto"/>
                <w:color w:val="0000EE"/>
              </w:rPr>
            </w:pPr>
            <w:hyperlink w:anchor="page104">
              <w:r>
                <w:rPr>
                  <w:rFonts w:ascii="Arial" w:cs="Arial" w:eastAsia="Arial" w:hAnsi="Arial"/>
                  <w:sz w:val="15"/>
                  <w:szCs w:val="15"/>
                  <w:b w:val="1"/>
                  <w:bCs w:val="1"/>
                  <w:u w:val="single" w:color="auto"/>
                  <w:color w:val="0000EE"/>
                </w:rPr>
                <w:t>EXECUTIVE DIRECTORS</w:t>
              </w:r>
            </w:hyperlink>
          </w:p>
        </w:tc>
        <w:tc>
          <w:tcPr>
            <w:tcW w:w="360" w:type="dxa"/>
            <w:vAlign w:val="bottom"/>
            <w:shd w:val="clear" w:color="auto" w:fill="CCEEFF"/>
          </w:tcPr>
          <w:p>
            <w:pPr>
              <w:jc w:val="right"/>
              <w:spacing w:after="0"/>
              <w:rPr>
                <w:rFonts w:ascii="Arial" w:cs="Arial" w:eastAsia="Arial" w:hAnsi="Arial"/>
                <w:sz w:val="15"/>
                <w:szCs w:val="15"/>
                <w:b w:val="1"/>
                <w:bCs w:val="1"/>
                <w:u w:val="single" w:color="auto"/>
                <w:color w:val="0000EE"/>
              </w:rPr>
            </w:pPr>
            <w:hyperlink w:anchor="page104">
              <w:r>
                <w:rPr>
                  <w:rFonts w:ascii="Arial" w:cs="Arial" w:eastAsia="Arial" w:hAnsi="Arial"/>
                  <w:sz w:val="15"/>
                  <w:szCs w:val="15"/>
                  <w:b w:val="1"/>
                  <w:bCs w:val="1"/>
                  <w:u w:val="single" w:color="auto"/>
                  <w:color w:val="0000EE"/>
                </w:rPr>
                <w:t>A-26</w:t>
              </w:r>
            </w:hyperlink>
          </w:p>
        </w:tc>
      </w:tr>
      <w:tr>
        <w:trPr>
          <w:trHeight w:val="253"/>
        </w:trPr>
        <w:tc>
          <w:tcPr>
            <w:tcW w:w="340" w:type="dxa"/>
            <w:vAlign w:val="bottom"/>
            <w:gridSpan w:val="2"/>
          </w:tcPr>
          <w:p>
            <w:pPr>
              <w:spacing w:after="0"/>
              <w:rPr>
                <w:rFonts w:ascii="Arial" w:cs="Arial" w:eastAsia="Arial" w:hAnsi="Arial"/>
                <w:sz w:val="15"/>
                <w:szCs w:val="15"/>
                <w:b w:val="1"/>
                <w:bCs w:val="1"/>
                <w:u w:val="single" w:color="auto"/>
                <w:color w:val="0000EE"/>
              </w:rPr>
            </w:pPr>
            <w:hyperlink w:anchor="page104">
              <w:r>
                <w:rPr>
                  <w:rFonts w:ascii="Arial" w:cs="Arial" w:eastAsia="Arial" w:hAnsi="Arial"/>
                  <w:sz w:val="15"/>
                  <w:szCs w:val="15"/>
                  <w:b w:val="1"/>
                  <w:bCs w:val="1"/>
                  <w:u w:val="single" w:color="auto"/>
                  <w:color w:val="0000EE"/>
                </w:rPr>
                <w:t>32.</w:t>
              </w:r>
            </w:hyperlink>
          </w:p>
        </w:tc>
        <w:tc>
          <w:tcPr>
            <w:tcW w:w="8480" w:type="dxa"/>
            <w:vAlign w:val="bottom"/>
            <w:gridSpan w:val="6"/>
          </w:tcPr>
          <w:p>
            <w:pPr>
              <w:ind w:left="200"/>
              <w:spacing w:after="0"/>
              <w:rPr>
                <w:rFonts w:ascii="Arial" w:cs="Arial" w:eastAsia="Arial" w:hAnsi="Arial"/>
                <w:sz w:val="15"/>
                <w:szCs w:val="15"/>
                <w:b w:val="1"/>
                <w:bCs w:val="1"/>
                <w:u w:val="single" w:color="auto"/>
                <w:color w:val="0000EE"/>
              </w:rPr>
            </w:pPr>
            <w:hyperlink w:anchor="page104">
              <w:r>
                <w:rPr>
                  <w:rFonts w:ascii="Arial" w:cs="Arial" w:eastAsia="Arial" w:hAnsi="Arial"/>
                  <w:sz w:val="15"/>
                  <w:szCs w:val="15"/>
                  <w:b w:val="1"/>
                  <w:bCs w:val="1"/>
                  <w:u w:val="single" w:color="auto"/>
                  <w:color w:val="0000EE"/>
                </w:rPr>
                <w:t>DIRECTORS’ INTERESTS</w:t>
              </w:r>
            </w:hyperlink>
          </w:p>
        </w:tc>
        <w:tc>
          <w:tcPr>
            <w:tcW w:w="360" w:type="dxa"/>
            <w:vAlign w:val="bottom"/>
          </w:tcPr>
          <w:p>
            <w:pPr>
              <w:jc w:val="right"/>
              <w:spacing w:after="0"/>
              <w:rPr>
                <w:rFonts w:ascii="Arial" w:cs="Arial" w:eastAsia="Arial" w:hAnsi="Arial"/>
                <w:sz w:val="15"/>
                <w:szCs w:val="15"/>
                <w:b w:val="1"/>
                <w:bCs w:val="1"/>
                <w:u w:val="single" w:color="auto"/>
                <w:color w:val="0000EE"/>
              </w:rPr>
            </w:pPr>
            <w:hyperlink w:anchor="page104">
              <w:r>
                <w:rPr>
                  <w:rFonts w:ascii="Arial" w:cs="Arial" w:eastAsia="Arial" w:hAnsi="Arial"/>
                  <w:sz w:val="15"/>
                  <w:szCs w:val="15"/>
                  <w:b w:val="1"/>
                  <w:bCs w:val="1"/>
                  <w:u w:val="single" w:color="auto"/>
                  <w:color w:val="0000EE"/>
                </w:rPr>
                <w:t>A-26</w:t>
              </w:r>
            </w:hyperlink>
          </w:p>
        </w:tc>
      </w:tr>
      <w:tr>
        <w:trPr>
          <w:trHeight w:val="261"/>
        </w:trPr>
        <w:tc>
          <w:tcPr>
            <w:tcW w:w="340" w:type="dxa"/>
            <w:vAlign w:val="bottom"/>
            <w:gridSpan w:val="2"/>
            <w:shd w:val="clear" w:color="auto" w:fill="CCEEFF"/>
          </w:tcPr>
          <w:p>
            <w:pPr>
              <w:spacing w:after="0"/>
              <w:rPr>
                <w:rFonts w:ascii="Arial" w:cs="Arial" w:eastAsia="Arial" w:hAnsi="Arial"/>
                <w:sz w:val="15"/>
                <w:szCs w:val="15"/>
                <w:b w:val="1"/>
                <w:bCs w:val="1"/>
                <w:u w:val="single" w:color="auto"/>
                <w:color w:val="0000EE"/>
              </w:rPr>
            </w:pPr>
            <w:hyperlink w:anchor="page106">
              <w:r>
                <w:rPr>
                  <w:rFonts w:ascii="Arial" w:cs="Arial" w:eastAsia="Arial" w:hAnsi="Arial"/>
                  <w:sz w:val="15"/>
                  <w:szCs w:val="15"/>
                  <w:b w:val="1"/>
                  <w:bCs w:val="1"/>
                  <w:u w:val="single" w:color="auto"/>
                  <w:color w:val="0000EE"/>
                </w:rPr>
                <w:t>33.</w:t>
              </w:r>
            </w:hyperlink>
          </w:p>
        </w:tc>
        <w:tc>
          <w:tcPr>
            <w:tcW w:w="8480" w:type="dxa"/>
            <w:vAlign w:val="bottom"/>
            <w:gridSpan w:val="6"/>
            <w:shd w:val="clear" w:color="auto" w:fill="CCEEFF"/>
          </w:tcPr>
          <w:p>
            <w:pPr>
              <w:ind w:left="200"/>
              <w:spacing w:after="0"/>
              <w:rPr>
                <w:rFonts w:ascii="Arial" w:cs="Arial" w:eastAsia="Arial" w:hAnsi="Arial"/>
                <w:sz w:val="15"/>
                <w:szCs w:val="15"/>
                <w:b w:val="1"/>
                <w:bCs w:val="1"/>
                <w:u w:val="single" w:color="auto"/>
                <w:color w:val="0000EE"/>
              </w:rPr>
            </w:pPr>
            <w:hyperlink w:anchor="page106">
              <w:r>
                <w:rPr>
                  <w:rFonts w:ascii="Arial" w:cs="Arial" w:eastAsia="Arial" w:hAnsi="Arial"/>
                  <w:sz w:val="15"/>
                  <w:szCs w:val="15"/>
                  <w:b w:val="1"/>
                  <w:bCs w:val="1"/>
                  <w:u w:val="single" w:color="auto"/>
                  <w:color w:val="0000EE"/>
                </w:rPr>
                <w:t>PROCEEDINGS OF DIRECTORS</w:t>
              </w:r>
            </w:hyperlink>
          </w:p>
        </w:tc>
        <w:tc>
          <w:tcPr>
            <w:tcW w:w="360" w:type="dxa"/>
            <w:vAlign w:val="bottom"/>
            <w:shd w:val="clear" w:color="auto" w:fill="CCEEFF"/>
          </w:tcPr>
          <w:p>
            <w:pPr>
              <w:jc w:val="right"/>
              <w:spacing w:after="0"/>
              <w:rPr>
                <w:rFonts w:ascii="Arial" w:cs="Arial" w:eastAsia="Arial" w:hAnsi="Arial"/>
                <w:sz w:val="15"/>
                <w:szCs w:val="15"/>
                <w:b w:val="1"/>
                <w:bCs w:val="1"/>
                <w:u w:val="single" w:color="auto"/>
                <w:color w:val="0000EE"/>
              </w:rPr>
            </w:pPr>
            <w:hyperlink w:anchor="page106">
              <w:r>
                <w:rPr>
                  <w:rFonts w:ascii="Arial" w:cs="Arial" w:eastAsia="Arial" w:hAnsi="Arial"/>
                  <w:sz w:val="15"/>
                  <w:szCs w:val="15"/>
                  <w:b w:val="1"/>
                  <w:bCs w:val="1"/>
                  <w:u w:val="single" w:color="auto"/>
                  <w:color w:val="0000EE"/>
                </w:rPr>
                <w:t>A-28</w:t>
              </w:r>
            </w:hyperlink>
          </w:p>
        </w:tc>
      </w:tr>
      <w:tr>
        <w:trPr>
          <w:trHeight w:val="252"/>
        </w:trPr>
        <w:tc>
          <w:tcPr>
            <w:tcW w:w="340" w:type="dxa"/>
            <w:vAlign w:val="bottom"/>
            <w:gridSpan w:val="2"/>
          </w:tcPr>
          <w:p>
            <w:pPr>
              <w:spacing w:after="0"/>
              <w:rPr>
                <w:rFonts w:ascii="Arial" w:cs="Arial" w:eastAsia="Arial" w:hAnsi="Arial"/>
                <w:sz w:val="15"/>
                <w:szCs w:val="15"/>
                <w:b w:val="1"/>
                <w:bCs w:val="1"/>
                <w:u w:val="single" w:color="auto"/>
                <w:color w:val="0000EE"/>
              </w:rPr>
            </w:pPr>
            <w:hyperlink w:anchor="page108">
              <w:r>
                <w:rPr>
                  <w:rFonts w:ascii="Arial" w:cs="Arial" w:eastAsia="Arial" w:hAnsi="Arial"/>
                  <w:sz w:val="15"/>
                  <w:szCs w:val="15"/>
                  <w:b w:val="1"/>
                  <w:bCs w:val="1"/>
                  <w:u w:val="single" w:color="auto"/>
                  <w:color w:val="0000EE"/>
                </w:rPr>
                <w:t>34.</w:t>
              </w:r>
            </w:hyperlink>
          </w:p>
        </w:tc>
        <w:tc>
          <w:tcPr>
            <w:tcW w:w="8480" w:type="dxa"/>
            <w:vAlign w:val="bottom"/>
            <w:gridSpan w:val="6"/>
          </w:tcPr>
          <w:p>
            <w:pPr>
              <w:ind w:left="200"/>
              <w:spacing w:after="0"/>
              <w:rPr>
                <w:rFonts w:ascii="Arial" w:cs="Arial" w:eastAsia="Arial" w:hAnsi="Arial"/>
                <w:sz w:val="15"/>
                <w:szCs w:val="15"/>
                <w:b w:val="1"/>
                <w:bCs w:val="1"/>
                <w:u w:val="single" w:color="auto"/>
                <w:color w:val="0000EE"/>
              </w:rPr>
            </w:pPr>
            <w:hyperlink w:anchor="page108">
              <w:r>
                <w:rPr>
                  <w:rFonts w:ascii="Arial" w:cs="Arial" w:eastAsia="Arial" w:hAnsi="Arial"/>
                  <w:sz w:val="15"/>
                  <w:szCs w:val="15"/>
                  <w:b w:val="1"/>
                  <w:bCs w:val="1"/>
                  <w:u w:val="single" w:color="auto"/>
                  <w:color w:val="0000EE"/>
                </w:rPr>
                <w:t>MINUTES</w:t>
              </w:r>
            </w:hyperlink>
          </w:p>
        </w:tc>
        <w:tc>
          <w:tcPr>
            <w:tcW w:w="360" w:type="dxa"/>
            <w:vAlign w:val="bottom"/>
          </w:tcPr>
          <w:p>
            <w:pPr>
              <w:jc w:val="right"/>
              <w:spacing w:after="0"/>
              <w:rPr>
                <w:rFonts w:ascii="Arial" w:cs="Arial" w:eastAsia="Arial" w:hAnsi="Arial"/>
                <w:sz w:val="15"/>
                <w:szCs w:val="15"/>
                <w:b w:val="1"/>
                <w:bCs w:val="1"/>
                <w:u w:val="single" w:color="auto"/>
                <w:color w:val="0000EE"/>
              </w:rPr>
            </w:pPr>
            <w:hyperlink w:anchor="page108">
              <w:r>
                <w:rPr>
                  <w:rFonts w:ascii="Arial" w:cs="Arial" w:eastAsia="Arial" w:hAnsi="Arial"/>
                  <w:sz w:val="15"/>
                  <w:szCs w:val="15"/>
                  <w:b w:val="1"/>
                  <w:bCs w:val="1"/>
                  <w:u w:val="single" w:color="auto"/>
                  <w:color w:val="0000EE"/>
                </w:rPr>
                <w:t>A-30</w:t>
              </w:r>
            </w:hyperlink>
          </w:p>
        </w:tc>
      </w:tr>
      <w:tr>
        <w:trPr>
          <w:trHeight w:val="261"/>
        </w:trPr>
        <w:tc>
          <w:tcPr>
            <w:tcW w:w="340" w:type="dxa"/>
            <w:vAlign w:val="bottom"/>
            <w:gridSpan w:val="2"/>
            <w:shd w:val="clear" w:color="auto" w:fill="CCEEFF"/>
          </w:tcPr>
          <w:p>
            <w:pPr>
              <w:spacing w:after="0"/>
              <w:rPr>
                <w:rFonts w:ascii="Arial" w:cs="Arial" w:eastAsia="Arial" w:hAnsi="Arial"/>
                <w:sz w:val="15"/>
                <w:szCs w:val="15"/>
                <w:b w:val="1"/>
                <w:bCs w:val="1"/>
                <w:u w:val="single" w:color="auto"/>
                <w:color w:val="0000EE"/>
              </w:rPr>
            </w:pPr>
            <w:hyperlink w:anchor="page108">
              <w:r>
                <w:rPr>
                  <w:rFonts w:ascii="Arial" w:cs="Arial" w:eastAsia="Arial" w:hAnsi="Arial"/>
                  <w:sz w:val="15"/>
                  <w:szCs w:val="15"/>
                  <w:b w:val="1"/>
                  <w:bCs w:val="1"/>
                  <w:u w:val="single" w:color="auto"/>
                  <w:color w:val="0000EE"/>
                </w:rPr>
                <w:t>35.</w:t>
              </w:r>
            </w:hyperlink>
          </w:p>
        </w:tc>
        <w:tc>
          <w:tcPr>
            <w:tcW w:w="8480" w:type="dxa"/>
            <w:vAlign w:val="bottom"/>
            <w:gridSpan w:val="6"/>
            <w:shd w:val="clear" w:color="auto" w:fill="CCEEFF"/>
          </w:tcPr>
          <w:p>
            <w:pPr>
              <w:ind w:left="200"/>
              <w:spacing w:after="0"/>
              <w:rPr>
                <w:rFonts w:ascii="Arial" w:cs="Arial" w:eastAsia="Arial" w:hAnsi="Arial"/>
                <w:sz w:val="15"/>
                <w:szCs w:val="15"/>
                <w:b w:val="1"/>
                <w:bCs w:val="1"/>
                <w:u w:val="single" w:color="auto"/>
                <w:color w:val="0000EE"/>
              </w:rPr>
            </w:pPr>
            <w:hyperlink w:anchor="page108">
              <w:r>
                <w:rPr>
                  <w:rFonts w:ascii="Arial" w:cs="Arial" w:eastAsia="Arial" w:hAnsi="Arial"/>
                  <w:sz w:val="15"/>
                  <w:szCs w:val="15"/>
                  <w:b w:val="1"/>
                  <w:bCs w:val="1"/>
                  <w:u w:val="single" w:color="auto"/>
                  <w:color w:val="0000EE"/>
                </w:rPr>
                <w:t>SECRETARY</w:t>
              </w:r>
            </w:hyperlink>
          </w:p>
        </w:tc>
        <w:tc>
          <w:tcPr>
            <w:tcW w:w="360" w:type="dxa"/>
            <w:vAlign w:val="bottom"/>
            <w:shd w:val="clear" w:color="auto" w:fill="CCEEFF"/>
          </w:tcPr>
          <w:p>
            <w:pPr>
              <w:jc w:val="right"/>
              <w:spacing w:after="0"/>
              <w:rPr>
                <w:rFonts w:ascii="Arial" w:cs="Arial" w:eastAsia="Arial" w:hAnsi="Arial"/>
                <w:sz w:val="15"/>
                <w:szCs w:val="15"/>
                <w:b w:val="1"/>
                <w:bCs w:val="1"/>
                <w:u w:val="single" w:color="auto"/>
                <w:color w:val="0000EE"/>
              </w:rPr>
            </w:pPr>
            <w:hyperlink w:anchor="page108">
              <w:r>
                <w:rPr>
                  <w:rFonts w:ascii="Arial" w:cs="Arial" w:eastAsia="Arial" w:hAnsi="Arial"/>
                  <w:sz w:val="15"/>
                  <w:szCs w:val="15"/>
                  <w:b w:val="1"/>
                  <w:bCs w:val="1"/>
                  <w:u w:val="single" w:color="auto"/>
                  <w:color w:val="0000EE"/>
                </w:rPr>
                <w:t>A-30</w:t>
              </w:r>
            </w:hyperlink>
          </w:p>
        </w:tc>
      </w:tr>
      <w:tr>
        <w:trPr>
          <w:trHeight w:val="253"/>
        </w:trPr>
        <w:tc>
          <w:tcPr>
            <w:tcW w:w="340" w:type="dxa"/>
            <w:vAlign w:val="bottom"/>
            <w:gridSpan w:val="2"/>
          </w:tcPr>
          <w:p>
            <w:pPr>
              <w:spacing w:after="0"/>
              <w:rPr>
                <w:rFonts w:ascii="Arial" w:cs="Arial" w:eastAsia="Arial" w:hAnsi="Arial"/>
                <w:sz w:val="15"/>
                <w:szCs w:val="15"/>
                <w:b w:val="1"/>
                <w:bCs w:val="1"/>
                <w:u w:val="single" w:color="auto"/>
                <w:color w:val="0000EE"/>
              </w:rPr>
            </w:pPr>
            <w:hyperlink w:anchor="page108">
              <w:r>
                <w:rPr>
                  <w:rFonts w:ascii="Arial" w:cs="Arial" w:eastAsia="Arial" w:hAnsi="Arial"/>
                  <w:sz w:val="15"/>
                  <w:szCs w:val="15"/>
                  <w:b w:val="1"/>
                  <w:bCs w:val="1"/>
                  <w:u w:val="single" w:color="auto"/>
                  <w:color w:val="0000EE"/>
                </w:rPr>
                <w:t>36.</w:t>
              </w:r>
            </w:hyperlink>
          </w:p>
        </w:tc>
        <w:tc>
          <w:tcPr>
            <w:tcW w:w="8480" w:type="dxa"/>
            <w:vAlign w:val="bottom"/>
            <w:gridSpan w:val="6"/>
          </w:tcPr>
          <w:p>
            <w:pPr>
              <w:ind w:left="200"/>
              <w:spacing w:after="0"/>
              <w:rPr>
                <w:rFonts w:ascii="Arial" w:cs="Arial" w:eastAsia="Arial" w:hAnsi="Arial"/>
                <w:sz w:val="15"/>
                <w:szCs w:val="15"/>
                <w:b w:val="1"/>
                <w:bCs w:val="1"/>
                <w:u w:val="single" w:color="auto"/>
                <w:color w:val="0000EE"/>
              </w:rPr>
            </w:pPr>
            <w:hyperlink w:anchor="page108">
              <w:r>
                <w:rPr>
                  <w:rFonts w:ascii="Arial" w:cs="Arial" w:eastAsia="Arial" w:hAnsi="Arial"/>
                  <w:sz w:val="15"/>
                  <w:szCs w:val="15"/>
                  <w:b w:val="1"/>
                  <w:bCs w:val="1"/>
                  <w:u w:val="single" w:color="auto"/>
                  <w:color w:val="0000EE"/>
                </w:rPr>
                <w:t>THE SEAL</w:t>
              </w:r>
            </w:hyperlink>
          </w:p>
        </w:tc>
        <w:tc>
          <w:tcPr>
            <w:tcW w:w="360" w:type="dxa"/>
            <w:vAlign w:val="bottom"/>
          </w:tcPr>
          <w:p>
            <w:pPr>
              <w:jc w:val="right"/>
              <w:spacing w:after="0"/>
              <w:rPr>
                <w:rFonts w:ascii="Arial" w:cs="Arial" w:eastAsia="Arial" w:hAnsi="Arial"/>
                <w:sz w:val="15"/>
                <w:szCs w:val="15"/>
                <w:b w:val="1"/>
                <w:bCs w:val="1"/>
                <w:u w:val="single" w:color="auto"/>
                <w:color w:val="0000EE"/>
              </w:rPr>
            </w:pPr>
            <w:hyperlink w:anchor="page108">
              <w:r>
                <w:rPr>
                  <w:rFonts w:ascii="Arial" w:cs="Arial" w:eastAsia="Arial" w:hAnsi="Arial"/>
                  <w:sz w:val="15"/>
                  <w:szCs w:val="15"/>
                  <w:b w:val="1"/>
                  <w:bCs w:val="1"/>
                  <w:u w:val="single" w:color="auto"/>
                  <w:color w:val="0000EE"/>
                </w:rPr>
                <w:t>A-30</w:t>
              </w:r>
            </w:hyperlink>
          </w:p>
        </w:tc>
      </w:tr>
      <w:tr>
        <w:trPr>
          <w:trHeight w:val="260"/>
        </w:trPr>
        <w:tc>
          <w:tcPr>
            <w:tcW w:w="340" w:type="dxa"/>
            <w:vAlign w:val="bottom"/>
            <w:gridSpan w:val="2"/>
            <w:shd w:val="clear" w:color="auto" w:fill="CCEEFF"/>
          </w:tcPr>
          <w:p>
            <w:pPr>
              <w:spacing w:after="0"/>
              <w:rPr>
                <w:rFonts w:ascii="Arial" w:cs="Arial" w:eastAsia="Arial" w:hAnsi="Arial"/>
                <w:sz w:val="15"/>
                <w:szCs w:val="15"/>
                <w:b w:val="1"/>
                <w:bCs w:val="1"/>
                <w:u w:val="single" w:color="auto"/>
                <w:color w:val="0000EE"/>
              </w:rPr>
            </w:pPr>
            <w:hyperlink w:anchor="page108">
              <w:r>
                <w:rPr>
                  <w:rFonts w:ascii="Arial" w:cs="Arial" w:eastAsia="Arial" w:hAnsi="Arial"/>
                  <w:sz w:val="15"/>
                  <w:szCs w:val="15"/>
                  <w:b w:val="1"/>
                  <w:bCs w:val="1"/>
                  <w:u w:val="single" w:color="auto"/>
                  <w:color w:val="0000EE"/>
                </w:rPr>
                <w:t>37.</w:t>
              </w:r>
            </w:hyperlink>
          </w:p>
        </w:tc>
        <w:tc>
          <w:tcPr>
            <w:tcW w:w="8480" w:type="dxa"/>
            <w:vAlign w:val="bottom"/>
            <w:gridSpan w:val="6"/>
            <w:shd w:val="clear" w:color="auto" w:fill="CCEEFF"/>
          </w:tcPr>
          <w:p>
            <w:pPr>
              <w:ind w:left="200"/>
              <w:spacing w:after="0"/>
              <w:rPr>
                <w:rFonts w:ascii="Arial" w:cs="Arial" w:eastAsia="Arial" w:hAnsi="Arial"/>
                <w:sz w:val="15"/>
                <w:szCs w:val="15"/>
                <w:b w:val="1"/>
                <w:bCs w:val="1"/>
                <w:u w:val="single" w:color="auto"/>
                <w:color w:val="0000EE"/>
              </w:rPr>
            </w:pPr>
            <w:hyperlink w:anchor="page108">
              <w:r>
                <w:rPr>
                  <w:rFonts w:ascii="Arial" w:cs="Arial" w:eastAsia="Arial" w:hAnsi="Arial"/>
                  <w:sz w:val="15"/>
                  <w:szCs w:val="15"/>
                  <w:b w:val="1"/>
                  <w:bCs w:val="1"/>
                  <w:u w:val="single" w:color="auto"/>
                  <w:color w:val="0000EE"/>
                </w:rPr>
                <w:t>REGISTERS</w:t>
              </w:r>
            </w:hyperlink>
          </w:p>
        </w:tc>
        <w:tc>
          <w:tcPr>
            <w:tcW w:w="360" w:type="dxa"/>
            <w:vAlign w:val="bottom"/>
            <w:shd w:val="clear" w:color="auto" w:fill="CCEEFF"/>
          </w:tcPr>
          <w:p>
            <w:pPr>
              <w:jc w:val="right"/>
              <w:spacing w:after="0"/>
              <w:rPr>
                <w:rFonts w:ascii="Arial" w:cs="Arial" w:eastAsia="Arial" w:hAnsi="Arial"/>
                <w:sz w:val="15"/>
                <w:szCs w:val="15"/>
                <w:b w:val="1"/>
                <w:bCs w:val="1"/>
                <w:u w:val="single" w:color="auto"/>
                <w:color w:val="0000EE"/>
              </w:rPr>
            </w:pPr>
            <w:hyperlink w:anchor="page108">
              <w:r>
                <w:rPr>
                  <w:rFonts w:ascii="Arial" w:cs="Arial" w:eastAsia="Arial" w:hAnsi="Arial"/>
                  <w:sz w:val="15"/>
                  <w:szCs w:val="15"/>
                  <w:b w:val="1"/>
                  <w:bCs w:val="1"/>
                  <w:u w:val="single" w:color="auto"/>
                  <w:color w:val="0000EE"/>
                </w:rPr>
                <w:t>A-30</w:t>
              </w:r>
            </w:hyperlink>
          </w:p>
        </w:tc>
      </w:tr>
      <w:tr>
        <w:trPr>
          <w:trHeight w:val="253"/>
        </w:trPr>
        <w:tc>
          <w:tcPr>
            <w:tcW w:w="340" w:type="dxa"/>
            <w:vAlign w:val="bottom"/>
            <w:gridSpan w:val="2"/>
          </w:tcPr>
          <w:p>
            <w:pPr>
              <w:spacing w:after="0"/>
              <w:rPr>
                <w:rFonts w:ascii="Arial" w:cs="Arial" w:eastAsia="Arial" w:hAnsi="Arial"/>
                <w:sz w:val="15"/>
                <w:szCs w:val="15"/>
                <w:b w:val="1"/>
                <w:bCs w:val="1"/>
                <w:u w:val="single" w:color="auto"/>
                <w:color w:val="0000EE"/>
              </w:rPr>
            </w:pPr>
            <w:hyperlink w:anchor="page109">
              <w:r>
                <w:rPr>
                  <w:rFonts w:ascii="Arial" w:cs="Arial" w:eastAsia="Arial" w:hAnsi="Arial"/>
                  <w:sz w:val="15"/>
                  <w:szCs w:val="15"/>
                  <w:b w:val="1"/>
                  <w:bCs w:val="1"/>
                  <w:u w:val="single" w:color="auto"/>
                  <w:color w:val="0000EE"/>
                </w:rPr>
                <w:t>38.</w:t>
              </w:r>
            </w:hyperlink>
          </w:p>
        </w:tc>
        <w:tc>
          <w:tcPr>
            <w:tcW w:w="8480" w:type="dxa"/>
            <w:vAlign w:val="bottom"/>
            <w:gridSpan w:val="6"/>
          </w:tcPr>
          <w:p>
            <w:pPr>
              <w:ind w:left="200"/>
              <w:spacing w:after="0"/>
              <w:rPr>
                <w:rFonts w:ascii="Arial" w:cs="Arial" w:eastAsia="Arial" w:hAnsi="Arial"/>
                <w:sz w:val="15"/>
                <w:szCs w:val="15"/>
                <w:b w:val="1"/>
                <w:bCs w:val="1"/>
                <w:u w:val="single" w:color="auto"/>
                <w:color w:val="0000EE"/>
              </w:rPr>
            </w:pPr>
            <w:hyperlink w:anchor="page109">
              <w:r>
                <w:rPr>
                  <w:rFonts w:ascii="Arial" w:cs="Arial" w:eastAsia="Arial" w:hAnsi="Arial"/>
                  <w:sz w:val="15"/>
                  <w:szCs w:val="15"/>
                  <w:b w:val="1"/>
                  <w:bCs w:val="1"/>
                  <w:u w:val="single" w:color="auto"/>
                  <w:color w:val="0000EE"/>
                </w:rPr>
                <w:t>DIVIDENDS</w:t>
              </w:r>
            </w:hyperlink>
          </w:p>
        </w:tc>
        <w:tc>
          <w:tcPr>
            <w:tcW w:w="360" w:type="dxa"/>
            <w:vAlign w:val="bottom"/>
          </w:tcPr>
          <w:p>
            <w:pPr>
              <w:jc w:val="right"/>
              <w:spacing w:after="0"/>
              <w:rPr>
                <w:rFonts w:ascii="Arial" w:cs="Arial" w:eastAsia="Arial" w:hAnsi="Arial"/>
                <w:sz w:val="15"/>
                <w:szCs w:val="15"/>
                <w:b w:val="1"/>
                <w:bCs w:val="1"/>
                <w:u w:val="single" w:color="auto"/>
                <w:color w:val="0000EE"/>
              </w:rPr>
            </w:pPr>
            <w:hyperlink w:anchor="page109">
              <w:r>
                <w:rPr>
                  <w:rFonts w:ascii="Arial" w:cs="Arial" w:eastAsia="Arial" w:hAnsi="Arial"/>
                  <w:sz w:val="15"/>
                  <w:szCs w:val="15"/>
                  <w:b w:val="1"/>
                  <w:bCs w:val="1"/>
                  <w:u w:val="single" w:color="auto"/>
                  <w:color w:val="0000EE"/>
                </w:rPr>
                <w:t>A-31</w:t>
              </w:r>
            </w:hyperlink>
          </w:p>
        </w:tc>
      </w:tr>
      <w:tr>
        <w:trPr>
          <w:trHeight w:val="260"/>
        </w:trPr>
        <w:tc>
          <w:tcPr>
            <w:tcW w:w="340" w:type="dxa"/>
            <w:vAlign w:val="bottom"/>
            <w:gridSpan w:val="2"/>
            <w:shd w:val="clear" w:color="auto" w:fill="CCEEFF"/>
          </w:tcPr>
          <w:p>
            <w:pPr>
              <w:spacing w:after="0"/>
              <w:rPr>
                <w:rFonts w:ascii="Arial" w:cs="Arial" w:eastAsia="Arial" w:hAnsi="Arial"/>
                <w:sz w:val="15"/>
                <w:szCs w:val="15"/>
                <w:b w:val="1"/>
                <w:bCs w:val="1"/>
                <w:u w:val="single" w:color="auto"/>
                <w:color w:val="0000EE"/>
              </w:rPr>
            </w:pPr>
            <w:hyperlink w:anchor="page110">
              <w:r>
                <w:rPr>
                  <w:rFonts w:ascii="Arial" w:cs="Arial" w:eastAsia="Arial" w:hAnsi="Arial"/>
                  <w:sz w:val="15"/>
                  <w:szCs w:val="15"/>
                  <w:b w:val="1"/>
                  <w:bCs w:val="1"/>
                  <w:u w:val="single" w:color="auto"/>
                  <w:color w:val="0000EE"/>
                </w:rPr>
                <w:t>39.</w:t>
              </w:r>
            </w:hyperlink>
          </w:p>
        </w:tc>
        <w:tc>
          <w:tcPr>
            <w:tcW w:w="8480" w:type="dxa"/>
            <w:vAlign w:val="bottom"/>
            <w:gridSpan w:val="6"/>
            <w:shd w:val="clear" w:color="auto" w:fill="CCEEFF"/>
          </w:tcPr>
          <w:p>
            <w:pPr>
              <w:ind w:left="200"/>
              <w:spacing w:after="0"/>
              <w:rPr>
                <w:rFonts w:ascii="Arial" w:cs="Arial" w:eastAsia="Arial" w:hAnsi="Arial"/>
                <w:sz w:val="15"/>
                <w:szCs w:val="15"/>
                <w:b w:val="1"/>
                <w:bCs w:val="1"/>
                <w:u w:val="single" w:color="auto"/>
                <w:color w:val="0000EE"/>
              </w:rPr>
            </w:pPr>
            <w:hyperlink w:anchor="page110">
              <w:r>
                <w:rPr>
                  <w:rFonts w:ascii="Arial" w:cs="Arial" w:eastAsia="Arial" w:hAnsi="Arial"/>
                  <w:sz w:val="15"/>
                  <w:szCs w:val="15"/>
                  <w:b w:val="1"/>
                  <w:bCs w:val="1"/>
                  <w:u w:val="single" w:color="auto"/>
                  <w:color w:val="0000EE"/>
                </w:rPr>
                <w:t>SCRIP DIVIDENDS</w:t>
              </w:r>
            </w:hyperlink>
          </w:p>
        </w:tc>
        <w:tc>
          <w:tcPr>
            <w:tcW w:w="360" w:type="dxa"/>
            <w:vAlign w:val="bottom"/>
            <w:shd w:val="clear" w:color="auto" w:fill="CCEEFF"/>
          </w:tcPr>
          <w:p>
            <w:pPr>
              <w:jc w:val="right"/>
              <w:spacing w:after="0"/>
              <w:rPr>
                <w:rFonts w:ascii="Arial" w:cs="Arial" w:eastAsia="Arial" w:hAnsi="Arial"/>
                <w:sz w:val="15"/>
                <w:szCs w:val="15"/>
                <w:b w:val="1"/>
                <w:bCs w:val="1"/>
                <w:u w:val="single" w:color="auto"/>
                <w:color w:val="0000EE"/>
              </w:rPr>
            </w:pPr>
            <w:hyperlink w:anchor="page110">
              <w:r>
                <w:rPr>
                  <w:rFonts w:ascii="Arial" w:cs="Arial" w:eastAsia="Arial" w:hAnsi="Arial"/>
                  <w:sz w:val="15"/>
                  <w:szCs w:val="15"/>
                  <w:b w:val="1"/>
                  <w:bCs w:val="1"/>
                  <w:u w:val="single" w:color="auto"/>
                  <w:color w:val="0000EE"/>
                </w:rPr>
                <w:t>A-32</w:t>
              </w:r>
            </w:hyperlink>
          </w:p>
        </w:tc>
      </w:tr>
      <w:tr>
        <w:trPr>
          <w:trHeight w:val="253"/>
        </w:trPr>
        <w:tc>
          <w:tcPr>
            <w:tcW w:w="340" w:type="dxa"/>
            <w:vAlign w:val="bottom"/>
            <w:gridSpan w:val="2"/>
          </w:tcPr>
          <w:p>
            <w:pPr>
              <w:spacing w:after="0"/>
              <w:rPr>
                <w:rFonts w:ascii="Arial" w:cs="Arial" w:eastAsia="Arial" w:hAnsi="Arial"/>
                <w:sz w:val="15"/>
                <w:szCs w:val="15"/>
                <w:b w:val="1"/>
                <w:bCs w:val="1"/>
                <w:u w:val="single" w:color="auto"/>
                <w:color w:val="0000EE"/>
              </w:rPr>
            </w:pPr>
            <w:hyperlink w:anchor="page111">
              <w:r>
                <w:rPr>
                  <w:rFonts w:ascii="Arial" w:cs="Arial" w:eastAsia="Arial" w:hAnsi="Arial"/>
                  <w:sz w:val="15"/>
                  <w:szCs w:val="15"/>
                  <w:b w:val="1"/>
                  <w:bCs w:val="1"/>
                  <w:u w:val="single" w:color="auto"/>
                  <w:color w:val="0000EE"/>
                </w:rPr>
                <w:t>40.</w:t>
              </w:r>
            </w:hyperlink>
          </w:p>
        </w:tc>
        <w:tc>
          <w:tcPr>
            <w:tcW w:w="8480" w:type="dxa"/>
            <w:vAlign w:val="bottom"/>
            <w:gridSpan w:val="6"/>
          </w:tcPr>
          <w:p>
            <w:pPr>
              <w:ind w:left="200"/>
              <w:spacing w:after="0"/>
              <w:rPr>
                <w:rFonts w:ascii="Arial" w:cs="Arial" w:eastAsia="Arial" w:hAnsi="Arial"/>
                <w:sz w:val="15"/>
                <w:szCs w:val="15"/>
                <w:b w:val="1"/>
                <w:bCs w:val="1"/>
                <w:u w:val="single" w:color="auto"/>
                <w:color w:val="0000EE"/>
              </w:rPr>
            </w:pPr>
            <w:hyperlink w:anchor="page111">
              <w:r>
                <w:rPr>
                  <w:rFonts w:ascii="Arial" w:cs="Arial" w:eastAsia="Arial" w:hAnsi="Arial"/>
                  <w:sz w:val="15"/>
                  <w:szCs w:val="15"/>
                  <w:b w:val="1"/>
                  <w:bCs w:val="1"/>
                  <w:u w:val="single" w:color="auto"/>
                  <w:color w:val="0000EE"/>
                </w:rPr>
                <w:t>CAPITALISATION OF PROFITS</w:t>
              </w:r>
            </w:hyperlink>
          </w:p>
        </w:tc>
        <w:tc>
          <w:tcPr>
            <w:tcW w:w="360" w:type="dxa"/>
            <w:vAlign w:val="bottom"/>
          </w:tcPr>
          <w:p>
            <w:pPr>
              <w:jc w:val="right"/>
              <w:spacing w:after="0"/>
              <w:rPr>
                <w:rFonts w:ascii="Arial" w:cs="Arial" w:eastAsia="Arial" w:hAnsi="Arial"/>
                <w:sz w:val="15"/>
                <w:szCs w:val="15"/>
                <w:b w:val="1"/>
                <w:bCs w:val="1"/>
                <w:u w:val="single" w:color="auto"/>
                <w:color w:val="0000EE"/>
              </w:rPr>
            </w:pPr>
            <w:hyperlink w:anchor="page111">
              <w:r>
                <w:rPr>
                  <w:rFonts w:ascii="Arial" w:cs="Arial" w:eastAsia="Arial" w:hAnsi="Arial"/>
                  <w:sz w:val="15"/>
                  <w:szCs w:val="15"/>
                  <w:b w:val="1"/>
                  <w:bCs w:val="1"/>
                  <w:u w:val="single" w:color="auto"/>
                  <w:color w:val="0000EE"/>
                </w:rPr>
                <w:t>A-33</w:t>
              </w:r>
            </w:hyperlink>
          </w:p>
        </w:tc>
      </w:tr>
      <w:tr>
        <w:trPr>
          <w:trHeight w:val="260"/>
        </w:trPr>
        <w:tc>
          <w:tcPr>
            <w:tcW w:w="340" w:type="dxa"/>
            <w:vAlign w:val="bottom"/>
            <w:gridSpan w:val="2"/>
            <w:shd w:val="clear" w:color="auto" w:fill="CCEEFF"/>
          </w:tcPr>
          <w:p>
            <w:pPr>
              <w:spacing w:after="0"/>
              <w:rPr>
                <w:rFonts w:ascii="Arial" w:cs="Arial" w:eastAsia="Arial" w:hAnsi="Arial"/>
                <w:sz w:val="15"/>
                <w:szCs w:val="15"/>
                <w:b w:val="1"/>
                <w:bCs w:val="1"/>
                <w:u w:val="single" w:color="auto"/>
                <w:color w:val="0000EE"/>
              </w:rPr>
            </w:pPr>
            <w:hyperlink w:anchor="page113">
              <w:r>
                <w:rPr>
                  <w:rFonts w:ascii="Arial" w:cs="Arial" w:eastAsia="Arial" w:hAnsi="Arial"/>
                  <w:sz w:val="15"/>
                  <w:szCs w:val="15"/>
                  <w:b w:val="1"/>
                  <w:bCs w:val="1"/>
                  <w:u w:val="single" w:color="auto"/>
                  <w:color w:val="0000EE"/>
                </w:rPr>
                <w:t>41.</w:t>
              </w:r>
            </w:hyperlink>
          </w:p>
        </w:tc>
        <w:tc>
          <w:tcPr>
            <w:tcW w:w="8480" w:type="dxa"/>
            <w:vAlign w:val="bottom"/>
            <w:gridSpan w:val="6"/>
            <w:shd w:val="clear" w:color="auto" w:fill="CCEEFF"/>
          </w:tcPr>
          <w:p>
            <w:pPr>
              <w:ind w:left="200"/>
              <w:spacing w:after="0"/>
              <w:rPr>
                <w:rFonts w:ascii="Arial" w:cs="Arial" w:eastAsia="Arial" w:hAnsi="Arial"/>
                <w:sz w:val="15"/>
                <w:szCs w:val="15"/>
                <w:b w:val="1"/>
                <w:bCs w:val="1"/>
                <w:u w:val="single" w:color="auto"/>
                <w:color w:val="0000EE"/>
              </w:rPr>
            </w:pPr>
            <w:hyperlink w:anchor="page113">
              <w:r>
                <w:rPr>
                  <w:rFonts w:ascii="Arial" w:cs="Arial" w:eastAsia="Arial" w:hAnsi="Arial"/>
                  <w:sz w:val="15"/>
                  <w:szCs w:val="15"/>
                  <w:b w:val="1"/>
                  <w:bCs w:val="1"/>
                  <w:u w:val="single" w:color="auto"/>
                  <w:color w:val="0000EE"/>
                </w:rPr>
                <w:t>CHANGE OF THE COMPANY’S NAME</w:t>
              </w:r>
            </w:hyperlink>
          </w:p>
        </w:tc>
        <w:tc>
          <w:tcPr>
            <w:tcW w:w="360" w:type="dxa"/>
            <w:vAlign w:val="bottom"/>
            <w:shd w:val="clear" w:color="auto" w:fill="CCEEFF"/>
          </w:tcPr>
          <w:p>
            <w:pPr>
              <w:jc w:val="right"/>
              <w:spacing w:after="0"/>
              <w:rPr>
                <w:rFonts w:ascii="Arial" w:cs="Arial" w:eastAsia="Arial" w:hAnsi="Arial"/>
                <w:sz w:val="15"/>
                <w:szCs w:val="15"/>
                <w:b w:val="1"/>
                <w:bCs w:val="1"/>
                <w:u w:val="single" w:color="auto"/>
                <w:color w:val="0000EE"/>
              </w:rPr>
            </w:pPr>
            <w:hyperlink w:anchor="page113">
              <w:r>
                <w:rPr>
                  <w:rFonts w:ascii="Arial" w:cs="Arial" w:eastAsia="Arial" w:hAnsi="Arial"/>
                  <w:sz w:val="15"/>
                  <w:szCs w:val="15"/>
                  <w:b w:val="1"/>
                  <w:bCs w:val="1"/>
                  <w:u w:val="single" w:color="auto"/>
                  <w:color w:val="0000EE"/>
                </w:rPr>
                <w:t>A-35</w:t>
              </w:r>
            </w:hyperlink>
          </w:p>
        </w:tc>
      </w:tr>
      <w:tr>
        <w:trPr>
          <w:trHeight w:val="253"/>
        </w:trPr>
        <w:tc>
          <w:tcPr>
            <w:tcW w:w="340" w:type="dxa"/>
            <w:vAlign w:val="bottom"/>
            <w:gridSpan w:val="2"/>
          </w:tcPr>
          <w:p>
            <w:pPr>
              <w:spacing w:after="0"/>
              <w:rPr>
                <w:rFonts w:ascii="Arial" w:cs="Arial" w:eastAsia="Arial" w:hAnsi="Arial"/>
                <w:sz w:val="15"/>
                <w:szCs w:val="15"/>
                <w:b w:val="1"/>
                <w:bCs w:val="1"/>
                <w:u w:val="single" w:color="auto"/>
                <w:color w:val="0000EE"/>
              </w:rPr>
            </w:pPr>
            <w:hyperlink w:anchor="page113">
              <w:r>
                <w:rPr>
                  <w:rFonts w:ascii="Arial" w:cs="Arial" w:eastAsia="Arial" w:hAnsi="Arial"/>
                  <w:sz w:val="15"/>
                  <w:szCs w:val="15"/>
                  <w:b w:val="1"/>
                  <w:bCs w:val="1"/>
                  <w:u w:val="single" w:color="auto"/>
                  <w:color w:val="0000EE"/>
                </w:rPr>
                <w:t>42.</w:t>
              </w:r>
            </w:hyperlink>
          </w:p>
        </w:tc>
        <w:tc>
          <w:tcPr>
            <w:tcW w:w="8480" w:type="dxa"/>
            <w:vAlign w:val="bottom"/>
            <w:gridSpan w:val="6"/>
          </w:tcPr>
          <w:p>
            <w:pPr>
              <w:ind w:left="200"/>
              <w:spacing w:after="0"/>
              <w:rPr>
                <w:rFonts w:ascii="Arial" w:cs="Arial" w:eastAsia="Arial" w:hAnsi="Arial"/>
                <w:sz w:val="15"/>
                <w:szCs w:val="15"/>
                <w:b w:val="1"/>
                <w:bCs w:val="1"/>
                <w:u w:val="single" w:color="auto"/>
                <w:color w:val="0000EE"/>
              </w:rPr>
            </w:pPr>
            <w:hyperlink w:anchor="page113">
              <w:r>
                <w:rPr>
                  <w:rFonts w:ascii="Arial" w:cs="Arial" w:eastAsia="Arial" w:hAnsi="Arial"/>
                  <w:sz w:val="15"/>
                  <w:szCs w:val="15"/>
                  <w:b w:val="1"/>
                  <w:bCs w:val="1"/>
                  <w:u w:val="single" w:color="auto"/>
                  <w:color w:val="0000EE"/>
                </w:rPr>
                <w:t>RECORD DATES</w:t>
              </w:r>
            </w:hyperlink>
          </w:p>
        </w:tc>
        <w:tc>
          <w:tcPr>
            <w:tcW w:w="360" w:type="dxa"/>
            <w:vAlign w:val="bottom"/>
          </w:tcPr>
          <w:p>
            <w:pPr>
              <w:jc w:val="right"/>
              <w:spacing w:after="0"/>
              <w:rPr>
                <w:rFonts w:ascii="Arial" w:cs="Arial" w:eastAsia="Arial" w:hAnsi="Arial"/>
                <w:sz w:val="15"/>
                <w:szCs w:val="15"/>
                <w:b w:val="1"/>
                <w:bCs w:val="1"/>
                <w:u w:val="single" w:color="auto"/>
                <w:color w:val="0000EE"/>
              </w:rPr>
            </w:pPr>
            <w:hyperlink w:anchor="page113">
              <w:r>
                <w:rPr>
                  <w:rFonts w:ascii="Arial" w:cs="Arial" w:eastAsia="Arial" w:hAnsi="Arial"/>
                  <w:sz w:val="15"/>
                  <w:szCs w:val="15"/>
                  <w:b w:val="1"/>
                  <w:bCs w:val="1"/>
                  <w:u w:val="single" w:color="auto"/>
                  <w:color w:val="0000EE"/>
                </w:rPr>
                <w:t>A-35</w:t>
              </w:r>
            </w:hyperlink>
          </w:p>
        </w:tc>
      </w:tr>
      <w:tr>
        <w:trPr>
          <w:trHeight w:val="260"/>
        </w:trPr>
        <w:tc>
          <w:tcPr>
            <w:tcW w:w="340" w:type="dxa"/>
            <w:vAlign w:val="bottom"/>
            <w:gridSpan w:val="2"/>
            <w:shd w:val="clear" w:color="auto" w:fill="CCEEFF"/>
          </w:tcPr>
          <w:p>
            <w:pPr>
              <w:spacing w:after="0"/>
              <w:rPr>
                <w:rFonts w:ascii="Arial" w:cs="Arial" w:eastAsia="Arial" w:hAnsi="Arial"/>
                <w:sz w:val="15"/>
                <w:szCs w:val="15"/>
                <w:b w:val="1"/>
                <w:bCs w:val="1"/>
                <w:u w:val="single" w:color="auto"/>
                <w:color w:val="0000EE"/>
              </w:rPr>
            </w:pPr>
            <w:hyperlink w:anchor="page113">
              <w:r>
                <w:rPr>
                  <w:rFonts w:ascii="Arial" w:cs="Arial" w:eastAsia="Arial" w:hAnsi="Arial"/>
                  <w:sz w:val="15"/>
                  <w:szCs w:val="15"/>
                  <w:b w:val="1"/>
                  <w:bCs w:val="1"/>
                  <w:u w:val="single" w:color="auto"/>
                  <w:color w:val="0000EE"/>
                </w:rPr>
                <w:t>43.</w:t>
              </w:r>
            </w:hyperlink>
          </w:p>
        </w:tc>
        <w:tc>
          <w:tcPr>
            <w:tcW w:w="8480" w:type="dxa"/>
            <w:vAlign w:val="bottom"/>
            <w:gridSpan w:val="6"/>
            <w:shd w:val="clear" w:color="auto" w:fill="CCEEFF"/>
          </w:tcPr>
          <w:p>
            <w:pPr>
              <w:ind w:left="200"/>
              <w:spacing w:after="0"/>
              <w:rPr>
                <w:rFonts w:ascii="Arial" w:cs="Arial" w:eastAsia="Arial" w:hAnsi="Arial"/>
                <w:sz w:val="15"/>
                <w:szCs w:val="15"/>
                <w:b w:val="1"/>
                <w:bCs w:val="1"/>
                <w:u w:val="single" w:color="auto"/>
                <w:color w:val="0000EE"/>
              </w:rPr>
            </w:pPr>
            <w:hyperlink w:anchor="page113">
              <w:r>
                <w:rPr>
                  <w:rFonts w:ascii="Arial" w:cs="Arial" w:eastAsia="Arial" w:hAnsi="Arial"/>
                  <w:sz w:val="15"/>
                  <w:szCs w:val="15"/>
                  <w:b w:val="1"/>
                  <w:bCs w:val="1"/>
                  <w:u w:val="single" w:color="auto"/>
                  <w:color w:val="0000EE"/>
                </w:rPr>
                <w:t>ACCOUNTS</w:t>
              </w:r>
            </w:hyperlink>
          </w:p>
        </w:tc>
        <w:tc>
          <w:tcPr>
            <w:tcW w:w="360" w:type="dxa"/>
            <w:vAlign w:val="bottom"/>
            <w:shd w:val="clear" w:color="auto" w:fill="CCEEFF"/>
          </w:tcPr>
          <w:p>
            <w:pPr>
              <w:jc w:val="right"/>
              <w:spacing w:after="0"/>
              <w:rPr>
                <w:rFonts w:ascii="Arial" w:cs="Arial" w:eastAsia="Arial" w:hAnsi="Arial"/>
                <w:sz w:val="15"/>
                <w:szCs w:val="15"/>
                <w:b w:val="1"/>
                <w:bCs w:val="1"/>
                <w:u w:val="single" w:color="auto"/>
                <w:color w:val="0000EE"/>
              </w:rPr>
            </w:pPr>
            <w:hyperlink w:anchor="page113">
              <w:r>
                <w:rPr>
                  <w:rFonts w:ascii="Arial" w:cs="Arial" w:eastAsia="Arial" w:hAnsi="Arial"/>
                  <w:sz w:val="15"/>
                  <w:szCs w:val="15"/>
                  <w:b w:val="1"/>
                  <w:bCs w:val="1"/>
                  <w:u w:val="single" w:color="auto"/>
                  <w:color w:val="0000EE"/>
                </w:rPr>
                <w:t>A-35</w:t>
              </w:r>
            </w:hyperlink>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5945505</wp:posOffset>
            </wp:positionH>
            <wp:positionV relativeFrom="paragraph">
              <wp:posOffset>-6857365</wp:posOffset>
            </wp:positionV>
            <wp:extent cx="137160" cy="8255"/>
            <wp:wrapNone/>
            <wp:docPr id="356" name="Picture 3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6"/>
                    <pic:cNvPicPr>
                      <a:picLocks noChangeAspect="1" noChangeArrowheads="1"/>
                    </pic:cNvPicPr>
                  </pic:nvPicPr>
                  <pic:blipFill>
                    <a:blip r:embed="rId363">
                      <a:extLst>
                        <a:ext uri="{28A0092B-C50C-407E-A947-70E740481C1C}"/>
                      </a:extLst>
                    </a:blip>
                    <a:srcRect/>
                    <a:stretch>
                      <a:fillRect/>
                    </a:stretch>
                  </pic:blipFill>
                  <pic:spPr bwMode="auto">
                    <a:xfrm>
                      <a:off x="0" y="0"/>
                      <a:ext cx="137160" cy="8255"/>
                    </a:xfrm>
                    <a:prstGeom prst="rect">
                      <a:avLst/>
                    </a:prstGeom>
                    <a:noFill/>
                  </pic:spPr>
                </pic:pic>
              </a:graphicData>
            </a:graphic>
          </wp:anchor>
        </w:drawing>
      </w:r>
    </w:p>
    <w:p>
      <w:pPr>
        <w:sectPr>
          <w:pgSz w:w="11900" w:h="16838" w:orient="portrait"/>
          <w:cols w:equalWidth="0" w:num="1">
            <w:col w:w="10180"/>
          </w:cols>
          <w:pgMar w:left="320" w:top="131" w:right="1399" w:bottom="1440" w:gutter="0" w:footer="0" w:header="0"/>
        </w:sectPr>
      </w:pPr>
    </w:p>
    <w:p>
      <w:pPr>
        <w:spacing w:after="0" w:line="115" w:lineRule="exact"/>
        <w:rPr>
          <w:sz w:val="20"/>
          <w:szCs w:val="20"/>
          <w:color w:val="auto"/>
        </w:rPr>
      </w:pPr>
    </w:p>
    <w:p>
      <w:pPr>
        <w:ind w:left="4320"/>
        <w:spacing w:after="0"/>
        <w:tabs>
          <w:tab w:leader="none" w:pos="9980" w:val="left"/>
        </w:tabs>
        <w:rPr>
          <w:sz w:val="20"/>
          <w:szCs w:val="20"/>
          <w:color w:val="auto"/>
        </w:rPr>
      </w:pPr>
      <w:r>
        <w:rPr>
          <w:rFonts w:ascii="Arial" w:cs="Arial" w:eastAsia="Arial" w:hAnsi="Arial"/>
          <w:sz w:val="13"/>
          <w:szCs w:val="13"/>
          <w:b w:val="1"/>
          <w:bCs w:val="1"/>
          <w:color w:val="4800E6"/>
        </w:rPr>
        <w:t xml:space="preserve">LIVANOVA </w:t>
      </w:r>
      <w:r>
        <w:rPr>
          <w:rFonts w:ascii="Arial" w:cs="Arial" w:eastAsia="Arial" w:hAnsi="Arial"/>
          <w:sz w:val="13"/>
          <w:szCs w:val="13"/>
          <w:color w:val="000000"/>
        </w:rPr>
        <w:t>|</w:t>
      </w:r>
      <w:r>
        <w:rPr>
          <w:rFonts w:ascii="Arial" w:cs="Arial" w:eastAsia="Arial" w:hAnsi="Arial"/>
          <w:sz w:val="13"/>
          <w:szCs w:val="13"/>
          <w:b w:val="1"/>
          <w:bCs w:val="1"/>
          <w:color w:val="4800E6"/>
        </w:rPr>
        <w:t xml:space="preserve"> </w:t>
      </w:r>
      <w:r>
        <w:rPr>
          <w:rFonts w:ascii="Arial" w:cs="Arial" w:eastAsia="Arial" w:hAnsi="Arial"/>
          <w:sz w:val="13"/>
          <w:szCs w:val="13"/>
          <w:color w:val="4800E6"/>
        </w:rPr>
        <w:t>2020</w:t>
      </w:r>
      <w:r>
        <w:rPr>
          <w:rFonts w:ascii="Arial" w:cs="Arial" w:eastAsia="Arial" w:hAnsi="Arial"/>
          <w:sz w:val="13"/>
          <w:szCs w:val="13"/>
          <w:b w:val="1"/>
          <w:bCs w:val="1"/>
          <w:color w:val="4800E6"/>
        </w:rPr>
        <w:t xml:space="preserve"> </w:t>
      </w:r>
      <w:r>
        <w:rPr>
          <w:rFonts w:ascii="Arial" w:cs="Arial" w:eastAsia="Arial" w:hAnsi="Arial"/>
          <w:sz w:val="13"/>
          <w:szCs w:val="13"/>
          <w:color w:val="000000"/>
        </w:rPr>
        <w:t>Proxy Statement</w:t>
      </w:r>
      <w:r>
        <w:rPr>
          <w:sz w:val="20"/>
          <w:szCs w:val="20"/>
          <w:color w:val="auto"/>
        </w:rPr>
        <w:tab/>
      </w:r>
      <w:r>
        <w:rPr>
          <w:rFonts w:ascii="Arial" w:cs="Arial" w:eastAsia="Arial" w:hAnsi="Arial"/>
          <w:sz w:val="20"/>
          <w:szCs w:val="20"/>
          <w:b w:val="1"/>
          <w:bCs w:val="1"/>
          <w:color w:val="auto"/>
          <w:vertAlign w:val="subscript"/>
        </w:rPr>
        <w:t>A-i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519430</wp:posOffset>
            </wp:positionH>
            <wp:positionV relativeFrom="paragraph">
              <wp:posOffset>55245</wp:posOffset>
            </wp:positionV>
            <wp:extent cx="1954530" cy="8255"/>
            <wp:wrapNone/>
            <wp:docPr id="357" name="Picture 3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7"/>
                    <pic:cNvPicPr>
                      <a:picLocks noChangeAspect="1" noChangeArrowheads="1"/>
                    </pic:cNvPicPr>
                  </pic:nvPicPr>
                  <pic:blipFill>
                    <a:blip r:embed="rId364">
                      <a:extLst>
                        <a:ext uri="{28A0092B-C50C-407E-A947-70E740481C1C}"/>
                      </a:extLst>
                    </a:blip>
                    <a:srcRect/>
                    <a:stretch>
                      <a:fillRect/>
                    </a:stretch>
                  </pic:blipFill>
                  <pic:spPr bwMode="auto">
                    <a:xfrm>
                      <a:off x="0" y="0"/>
                      <a:ext cx="1954530" cy="8255"/>
                    </a:xfrm>
                    <a:prstGeom prst="rect">
                      <a:avLst/>
                    </a:prstGeom>
                    <a:noFill/>
                  </pic:spPr>
                </pic:pic>
              </a:graphicData>
            </a:graphic>
          </wp:anchor>
        </w:drawing>
        <w:drawing>
          <wp:anchor simplePos="0" relativeHeight="251657728" behindDoc="1" locked="0" layoutInCell="0" allowOverlap="1">
            <wp:simplePos x="0" y="0"/>
            <wp:positionH relativeFrom="column">
              <wp:posOffset>4248150</wp:posOffset>
            </wp:positionH>
            <wp:positionV relativeFrom="paragraph">
              <wp:posOffset>55245</wp:posOffset>
            </wp:positionV>
            <wp:extent cx="1954530" cy="8255"/>
            <wp:wrapNone/>
            <wp:docPr id="358" name="Picture 3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8"/>
                    <pic:cNvPicPr>
                      <a:picLocks noChangeAspect="1" noChangeArrowheads="1"/>
                    </pic:cNvPicPr>
                  </pic:nvPicPr>
                  <pic:blipFill>
                    <a:blip r:embed="rId365">
                      <a:extLst>
                        <a:ext uri="{28A0092B-C50C-407E-A947-70E740481C1C}"/>
                      </a:extLst>
                    </a:blip>
                    <a:srcRect/>
                    <a:stretch>
                      <a:fillRect/>
                    </a:stretch>
                  </pic:blipFill>
                  <pic:spPr bwMode="auto">
                    <a:xfrm>
                      <a:off x="0" y="0"/>
                      <a:ext cx="195453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192405</wp:posOffset>
            </wp:positionV>
            <wp:extent cx="6806565" cy="17145"/>
            <wp:wrapNone/>
            <wp:docPr id="359" name="Picture 3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9"/>
                    <pic:cNvPicPr>
                      <a:picLocks noChangeAspect="1" noChangeArrowheads="1"/>
                    </pic:cNvPicPr>
                  </pic:nvPicPr>
                  <pic:blipFill>
                    <a:blip r:embed="rId366">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10180"/>
          </w:cols>
          <w:pgMar w:left="320" w:top="131" w:right="1399" w:bottom="1440" w:gutter="0" w:footer="0" w:header="0"/>
          <w:type w:val="continuous"/>
        </w:sectPr>
      </w:pPr>
    </w:p>
    <w:bookmarkStart w:id="78" w:name="page79"/>
    <w:bookmarkEnd w:id="78"/>
    <w:p>
      <w:pPr>
        <w:spacing w:after="0"/>
        <w:rPr>
          <w:rFonts w:ascii="Arial" w:cs="Arial" w:eastAsia="Arial" w:hAnsi="Arial"/>
          <w:sz w:val="14"/>
          <w:szCs w:val="14"/>
          <w:color w:val="003366"/>
        </w:rPr>
      </w:pPr>
      <w:hyperlink w:anchor="page5">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5" w:lineRule="exact"/>
        <w:rPr>
          <w:sz w:val="20"/>
          <w:szCs w:val="20"/>
          <w:color w:val="auto"/>
        </w:rPr>
      </w:pPr>
    </w:p>
    <w:tbl>
      <w:tblPr>
        <w:tblLayout w:type="fixed"/>
        <w:tblInd w:w="760" w:type="dxa"/>
        <w:tblCellMar>
          <w:top w:w="0" w:type="dxa"/>
          <w:left w:w="0" w:type="dxa"/>
          <w:bottom w:w="0" w:type="dxa"/>
          <w:right w:w="0" w:type="dxa"/>
        </w:tblCellMar>
      </w:tblPr>
      <w:tr>
        <w:trPr>
          <w:trHeight w:val="196"/>
        </w:trPr>
        <w:tc>
          <w:tcPr>
            <w:tcW w:w="50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Clause</w:t>
            </w:r>
          </w:p>
        </w:tc>
        <w:tc>
          <w:tcPr>
            <w:tcW w:w="8100" w:type="dxa"/>
            <w:vAlign w:val="bottom"/>
            <w:tcBorders>
              <w:bottom w:val="single" w:sz="8" w:color="auto"/>
            </w:tcBorders>
          </w:tcPr>
          <w:p>
            <w:pPr>
              <w:spacing w:after="0"/>
              <w:rPr>
                <w:sz w:val="17"/>
                <w:szCs w:val="17"/>
                <w:color w:val="auto"/>
              </w:rPr>
            </w:pPr>
          </w:p>
        </w:tc>
        <w:tc>
          <w:tcPr>
            <w:tcW w:w="220" w:type="dxa"/>
            <w:vAlign w:val="bottom"/>
            <w:tcBorders>
              <w:bottom w:val="single" w:sz="8" w:color="CCEEFF"/>
            </w:tcBorders>
          </w:tcPr>
          <w:p>
            <w:pPr>
              <w:spacing w:after="0"/>
              <w:rPr>
                <w:sz w:val="17"/>
                <w:szCs w:val="17"/>
                <w:color w:val="auto"/>
              </w:rPr>
            </w:pPr>
          </w:p>
        </w:tc>
        <w:tc>
          <w:tcPr>
            <w:tcW w:w="36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w w:val="95"/>
              </w:rPr>
              <w:t>Page</w:t>
            </w:r>
          </w:p>
        </w:tc>
      </w:tr>
      <w:tr>
        <w:trPr>
          <w:trHeight w:val="243"/>
        </w:trPr>
        <w:tc>
          <w:tcPr>
            <w:tcW w:w="500" w:type="dxa"/>
            <w:vAlign w:val="bottom"/>
            <w:shd w:val="clear" w:color="auto" w:fill="CCEEFF"/>
          </w:tcPr>
          <w:p>
            <w:pPr>
              <w:spacing w:after="0"/>
              <w:rPr>
                <w:rFonts w:ascii="Arial" w:cs="Arial" w:eastAsia="Arial" w:hAnsi="Arial"/>
                <w:sz w:val="15"/>
                <w:szCs w:val="15"/>
                <w:b w:val="1"/>
                <w:bCs w:val="1"/>
                <w:u w:val="single" w:color="auto"/>
                <w:color w:val="0000EE"/>
              </w:rPr>
            </w:pPr>
            <w:hyperlink w:anchor="page114">
              <w:r>
                <w:rPr>
                  <w:rFonts w:ascii="Arial" w:cs="Arial" w:eastAsia="Arial" w:hAnsi="Arial"/>
                  <w:sz w:val="15"/>
                  <w:szCs w:val="15"/>
                  <w:b w:val="1"/>
                  <w:bCs w:val="1"/>
                  <w:u w:val="single" w:color="auto"/>
                  <w:color w:val="0000EE"/>
                </w:rPr>
                <w:t>44.</w:t>
              </w:r>
            </w:hyperlink>
          </w:p>
        </w:tc>
        <w:tc>
          <w:tcPr>
            <w:tcW w:w="8320" w:type="dxa"/>
            <w:vAlign w:val="bottom"/>
            <w:gridSpan w:val="2"/>
            <w:shd w:val="clear" w:color="auto" w:fill="CCEEFF"/>
          </w:tcPr>
          <w:p>
            <w:pPr>
              <w:ind w:left="40"/>
              <w:spacing w:after="0"/>
              <w:rPr>
                <w:rFonts w:ascii="Arial" w:cs="Arial" w:eastAsia="Arial" w:hAnsi="Arial"/>
                <w:sz w:val="15"/>
                <w:szCs w:val="15"/>
                <w:b w:val="1"/>
                <w:bCs w:val="1"/>
                <w:u w:val="single" w:color="auto"/>
                <w:color w:val="0000EE"/>
              </w:rPr>
            </w:pPr>
            <w:hyperlink w:anchor="page114">
              <w:r>
                <w:rPr>
                  <w:rFonts w:ascii="Arial" w:cs="Arial" w:eastAsia="Arial" w:hAnsi="Arial"/>
                  <w:sz w:val="15"/>
                  <w:szCs w:val="15"/>
                  <w:b w:val="1"/>
                  <w:bCs w:val="1"/>
                  <w:u w:val="single" w:color="auto"/>
                  <w:color w:val="0000EE"/>
                </w:rPr>
                <w:t>NOTICES AND OTHER COMMUNICATIONS</w:t>
              </w:r>
            </w:hyperlink>
          </w:p>
        </w:tc>
        <w:tc>
          <w:tcPr>
            <w:tcW w:w="360" w:type="dxa"/>
            <w:vAlign w:val="bottom"/>
            <w:shd w:val="clear" w:color="auto" w:fill="CCEEFF"/>
          </w:tcPr>
          <w:p>
            <w:pPr>
              <w:ind w:left="20"/>
              <w:spacing w:after="0"/>
              <w:rPr>
                <w:rFonts w:ascii="Arial" w:cs="Arial" w:eastAsia="Arial" w:hAnsi="Arial"/>
                <w:sz w:val="15"/>
                <w:szCs w:val="15"/>
                <w:b w:val="1"/>
                <w:bCs w:val="1"/>
                <w:u w:val="single" w:color="auto"/>
                <w:color w:val="0000EE"/>
                <w:w w:val="98"/>
              </w:rPr>
            </w:pPr>
            <w:hyperlink w:anchor="page114">
              <w:r>
                <w:rPr>
                  <w:rFonts w:ascii="Arial" w:cs="Arial" w:eastAsia="Arial" w:hAnsi="Arial"/>
                  <w:sz w:val="15"/>
                  <w:szCs w:val="15"/>
                  <w:b w:val="1"/>
                  <w:bCs w:val="1"/>
                  <w:u w:val="single" w:color="auto"/>
                  <w:color w:val="0000EE"/>
                  <w:w w:val="98"/>
                </w:rPr>
                <w:t>A-36</w:t>
              </w:r>
            </w:hyperlink>
          </w:p>
        </w:tc>
      </w:tr>
      <w:tr>
        <w:trPr>
          <w:trHeight w:val="239"/>
        </w:trPr>
        <w:tc>
          <w:tcPr>
            <w:tcW w:w="500" w:type="dxa"/>
            <w:vAlign w:val="bottom"/>
          </w:tcPr>
          <w:p>
            <w:pPr>
              <w:spacing w:after="0"/>
              <w:rPr>
                <w:rFonts w:ascii="Arial" w:cs="Arial" w:eastAsia="Arial" w:hAnsi="Arial"/>
                <w:sz w:val="15"/>
                <w:szCs w:val="15"/>
                <w:b w:val="1"/>
                <w:bCs w:val="1"/>
                <w:u w:val="single" w:color="auto"/>
                <w:color w:val="0000EE"/>
              </w:rPr>
            </w:pPr>
            <w:hyperlink w:anchor="page116">
              <w:r>
                <w:rPr>
                  <w:rFonts w:ascii="Arial" w:cs="Arial" w:eastAsia="Arial" w:hAnsi="Arial"/>
                  <w:sz w:val="15"/>
                  <w:szCs w:val="15"/>
                  <w:b w:val="1"/>
                  <w:bCs w:val="1"/>
                  <w:u w:val="single" w:color="auto"/>
                  <w:color w:val="0000EE"/>
                </w:rPr>
                <w:t>45.</w:t>
              </w:r>
            </w:hyperlink>
          </w:p>
        </w:tc>
        <w:tc>
          <w:tcPr>
            <w:tcW w:w="8320" w:type="dxa"/>
            <w:vAlign w:val="bottom"/>
            <w:gridSpan w:val="2"/>
          </w:tcPr>
          <w:p>
            <w:pPr>
              <w:ind w:left="40"/>
              <w:spacing w:after="0"/>
              <w:rPr>
                <w:rFonts w:ascii="Arial" w:cs="Arial" w:eastAsia="Arial" w:hAnsi="Arial"/>
                <w:sz w:val="15"/>
                <w:szCs w:val="15"/>
                <w:b w:val="1"/>
                <w:bCs w:val="1"/>
                <w:u w:val="single" w:color="auto"/>
                <w:color w:val="0000EE"/>
              </w:rPr>
            </w:pPr>
            <w:hyperlink w:anchor="page116">
              <w:r>
                <w:rPr>
                  <w:rFonts w:ascii="Arial" w:cs="Arial" w:eastAsia="Arial" w:hAnsi="Arial"/>
                  <w:sz w:val="15"/>
                  <w:szCs w:val="15"/>
                  <w:b w:val="1"/>
                  <w:bCs w:val="1"/>
                  <w:u w:val="single" w:color="auto"/>
                  <w:color w:val="0000EE"/>
                </w:rPr>
                <w:t>DESTRUCTION OF DOCUMENTS</w:t>
              </w:r>
            </w:hyperlink>
          </w:p>
        </w:tc>
        <w:tc>
          <w:tcPr>
            <w:tcW w:w="360" w:type="dxa"/>
            <w:vAlign w:val="bottom"/>
          </w:tcPr>
          <w:p>
            <w:pPr>
              <w:ind w:left="20"/>
              <w:spacing w:after="0"/>
              <w:rPr>
                <w:rFonts w:ascii="Arial" w:cs="Arial" w:eastAsia="Arial" w:hAnsi="Arial"/>
                <w:sz w:val="15"/>
                <w:szCs w:val="15"/>
                <w:b w:val="1"/>
                <w:bCs w:val="1"/>
                <w:u w:val="single" w:color="auto"/>
                <w:color w:val="0000EE"/>
                <w:w w:val="98"/>
              </w:rPr>
            </w:pPr>
            <w:hyperlink w:anchor="page116">
              <w:r>
                <w:rPr>
                  <w:rFonts w:ascii="Arial" w:cs="Arial" w:eastAsia="Arial" w:hAnsi="Arial"/>
                  <w:sz w:val="15"/>
                  <w:szCs w:val="15"/>
                  <w:b w:val="1"/>
                  <w:bCs w:val="1"/>
                  <w:u w:val="single" w:color="auto"/>
                  <w:color w:val="0000EE"/>
                  <w:w w:val="98"/>
                </w:rPr>
                <w:t>A-38</w:t>
              </w:r>
            </w:hyperlink>
          </w:p>
        </w:tc>
      </w:tr>
      <w:tr>
        <w:trPr>
          <w:trHeight w:val="247"/>
        </w:trPr>
        <w:tc>
          <w:tcPr>
            <w:tcW w:w="500" w:type="dxa"/>
            <w:vAlign w:val="bottom"/>
            <w:shd w:val="clear" w:color="auto" w:fill="CCEEFF"/>
          </w:tcPr>
          <w:p>
            <w:pPr>
              <w:spacing w:after="0"/>
              <w:rPr>
                <w:rFonts w:ascii="Arial" w:cs="Arial" w:eastAsia="Arial" w:hAnsi="Arial"/>
                <w:sz w:val="15"/>
                <w:szCs w:val="15"/>
                <w:b w:val="1"/>
                <w:bCs w:val="1"/>
                <w:u w:val="single" w:color="auto"/>
                <w:color w:val="0000EE"/>
              </w:rPr>
            </w:pPr>
            <w:hyperlink w:anchor="page117">
              <w:r>
                <w:rPr>
                  <w:rFonts w:ascii="Arial" w:cs="Arial" w:eastAsia="Arial" w:hAnsi="Arial"/>
                  <w:sz w:val="15"/>
                  <w:szCs w:val="15"/>
                  <w:b w:val="1"/>
                  <w:bCs w:val="1"/>
                  <w:u w:val="single" w:color="auto"/>
                  <w:color w:val="0000EE"/>
                </w:rPr>
                <w:t>46.</w:t>
              </w:r>
            </w:hyperlink>
          </w:p>
        </w:tc>
        <w:tc>
          <w:tcPr>
            <w:tcW w:w="8320" w:type="dxa"/>
            <w:vAlign w:val="bottom"/>
            <w:gridSpan w:val="2"/>
            <w:shd w:val="clear" w:color="auto" w:fill="CCEEFF"/>
          </w:tcPr>
          <w:p>
            <w:pPr>
              <w:ind w:left="40"/>
              <w:spacing w:after="0"/>
              <w:rPr>
                <w:rFonts w:ascii="Arial" w:cs="Arial" w:eastAsia="Arial" w:hAnsi="Arial"/>
                <w:sz w:val="15"/>
                <w:szCs w:val="15"/>
                <w:b w:val="1"/>
                <w:bCs w:val="1"/>
                <w:u w:val="single" w:color="auto"/>
                <w:color w:val="0000EE"/>
              </w:rPr>
            </w:pPr>
            <w:hyperlink w:anchor="page117">
              <w:r>
                <w:rPr>
                  <w:rFonts w:ascii="Arial" w:cs="Arial" w:eastAsia="Arial" w:hAnsi="Arial"/>
                  <w:sz w:val="15"/>
                  <w:szCs w:val="15"/>
                  <w:b w:val="1"/>
                  <w:bCs w:val="1"/>
                  <w:u w:val="single" w:color="auto"/>
                  <w:color w:val="0000EE"/>
                </w:rPr>
                <w:t>WINDING UP</w:t>
              </w:r>
            </w:hyperlink>
          </w:p>
        </w:tc>
        <w:tc>
          <w:tcPr>
            <w:tcW w:w="360" w:type="dxa"/>
            <w:vAlign w:val="bottom"/>
            <w:shd w:val="clear" w:color="auto" w:fill="CCEEFF"/>
          </w:tcPr>
          <w:p>
            <w:pPr>
              <w:ind w:left="20"/>
              <w:spacing w:after="0"/>
              <w:rPr>
                <w:rFonts w:ascii="Arial" w:cs="Arial" w:eastAsia="Arial" w:hAnsi="Arial"/>
                <w:sz w:val="15"/>
                <w:szCs w:val="15"/>
                <w:b w:val="1"/>
                <w:bCs w:val="1"/>
                <w:u w:val="single" w:color="auto"/>
                <w:color w:val="0000EE"/>
                <w:w w:val="98"/>
              </w:rPr>
            </w:pPr>
            <w:hyperlink w:anchor="page117">
              <w:r>
                <w:rPr>
                  <w:rFonts w:ascii="Arial" w:cs="Arial" w:eastAsia="Arial" w:hAnsi="Arial"/>
                  <w:sz w:val="15"/>
                  <w:szCs w:val="15"/>
                  <w:b w:val="1"/>
                  <w:bCs w:val="1"/>
                  <w:u w:val="single" w:color="auto"/>
                  <w:color w:val="0000EE"/>
                  <w:w w:val="98"/>
                </w:rPr>
                <w:t>A-39</w:t>
              </w:r>
            </w:hyperlink>
          </w:p>
        </w:tc>
      </w:tr>
      <w:tr>
        <w:trPr>
          <w:trHeight w:val="239"/>
        </w:trPr>
        <w:tc>
          <w:tcPr>
            <w:tcW w:w="500" w:type="dxa"/>
            <w:vAlign w:val="bottom"/>
          </w:tcPr>
          <w:p>
            <w:pPr>
              <w:spacing w:after="0"/>
              <w:rPr>
                <w:rFonts w:ascii="Arial" w:cs="Arial" w:eastAsia="Arial" w:hAnsi="Arial"/>
                <w:sz w:val="15"/>
                <w:szCs w:val="15"/>
                <w:b w:val="1"/>
                <w:bCs w:val="1"/>
                <w:u w:val="single" w:color="auto"/>
                <w:color w:val="0000EE"/>
              </w:rPr>
            </w:pPr>
            <w:hyperlink w:anchor="page117">
              <w:r>
                <w:rPr>
                  <w:rFonts w:ascii="Arial" w:cs="Arial" w:eastAsia="Arial" w:hAnsi="Arial"/>
                  <w:sz w:val="15"/>
                  <w:szCs w:val="15"/>
                  <w:b w:val="1"/>
                  <w:bCs w:val="1"/>
                  <w:u w:val="single" w:color="auto"/>
                  <w:color w:val="0000EE"/>
                </w:rPr>
                <w:t>47.</w:t>
              </w:r>
            </w:hyperlink>
          </w:p>
        </w:tc>
        <w:tc>
          <w:tcPr>
            <w:tcW w:w="8320" w:type="dxa"/>
            <w:vAlign w:val="bottom"/>
            <w:gridSpan w:val="2"/>
          </w:tcPr>
          <w:p>
            <w:pPr>
              <w:ind w:left="40"/>
              <w:spacing w:after="0"/>
              <w:rPr>
                <w:rFonts w:ascii="Arial" w:cs="Arial" w:eastAsia="Arial" w:hAnsi="Arial"/>
                <w:sz w:val="15"/>
                <w:szCs w:val="15"/>
                <w:b w:val="1"/>
                <w:bCs w:val="1"/>
                <w:u w:val="single" w:color="auto"/>
                <w:color w:val="0000EE"/>
              </w:rPr>
            </w:pPr>
            <w:hyperlink w:anchor="page117">
              <w:r>
                <w:rPr>
                  <w:rFonts w:ascii="Arial" w:cs="Arial" w:eastAsia="Arial" w:hAnsi="Arial"/>
                  <w:sz w:val="15"/>
                  <w:szCs w:val="15"/>
                  <w:b w:val="1"/>
                  <w:bCs w:val="1"/>
                  <w:u w:val="single" w:color="auto"/>
                  <w:color w:val="0000EE"/>
                </w:rPr>
                <w:t>INDEMNITY AND INSURANCE</w:t>
              </w:r>
            </w:hyperlink>
          </w:p>
        </w:tc>
        <w:tc>
          <w:tcPr>
            <w:tcW w:w="360" w:type="dxa"/>
            <w:vAlign w:val="bottom"/>
          </w:tcPr>
          <w:p>
            <w:pPr>
              <w:ind w:left="20"/>
              <w:spacing w:after="0"/>
              <w:rPr>
                <w:rFonts w:ascii="Arial" w:cs="Arial" w:eastAsia="Arial" w:hAnsi="Arial"/>
                <w:sz w:val="15"/>
                <w:szCs w:val="15"/>
                <w:b w:val="1"/>
                <w:bCs w:val="1"/>
                <w:u w:val="single" w:color="auto"/>
                <w:color w:val="0000EE"/>
                <w:w w:val="98"/>
              </w:rPr>
            </w:pPr>
            <w:hyperlink w:anchor="page117">
              <w:r>
                <w:rPr>
                  <w:rFonts w:ascii="Arial" w:cs="Arial" w:eastAsia="Arial" w:hAnsi="Arial"/>
                  <w:sz w:val="15"/>
                  <w:szCs w:val="15"/>
                  <w:b w:val="1"/>
                  <w:bCs w:val="1"/>
                  <w:u w:val="single" w:color="auto"/>
                  <w:color w:val="0000EE"/>
                  <w:w w:val="98"/>
                </w:rPr>
                <w:t>A-39</w:t>
              </w:r>
            </w:hyperlink>
          </w:p>
        </w:tc>
      </w:tr>
      <w:tr>
        <w:trPr>
          <w:trHeight w:val="247"/>
        </w:trPr>
        <w:tc>
          <w:tcPr>
            <w:tcW w:w="500" w:type="dxa"/>
            <w:vAlign w:val="bottom"/>
            <w:shd w:val="clear" w:color="auto" w:fill="CCEEFF"/>
          </w:tcPr>
          <w:p>
            <w:pPr>
              <w:spacing w:after="0"/>
              <w:rPr>
                <w:rFonts w:ascii="Arial" w:cs="Arial" w:eastAsia="Arial" w:hAnsi="Arial"/>
                <w:sz w:val="15"/>
                <w:szCs w:val="15"/>
                <w:b w:val="1"/>
                <w:bCs w:val="1"/>
                <w:u w:val="single" w:color="auto"/>
                <w:color w:val="0000EE"/>
              </w:rPr>
            </w:pPr>
            <w:hyperlink w:anchor="page117">
              <w:r>
                <w:rPr>
                  <w:rFonts w:ascii="Arial" w:cs="Arial" w:eastAsia="Arial" w:hAnsi="Arial"/>
                  <w:sz w:val="15"/>
                  <w:szCs w:val="15"/>
                  <w:b w:val="1"/>
                  <w:bCs w:val="1"/>
                  <w:u w:val="single" w:color="auto"/>
                  <w:color w:val="0000EE"/>
                </w:rPr>
                <w:t>48.</w:t>
              </w:r>
            </w:hyperlink>
          </w:p>
        </w:tc>
        <w:tc>
          <w:tcPr>
            <w:tcW w:w="8320" w:type="dxa"/>
            <w:vAlign w:val="bottom"/>
            <w:gridSpan w:val="2"/>
            <w:shd w:val="clear" w:color="auto" w:fill="CCEEFF"/>
          </w:tcPr>
          <w:p>
            <w:pPr>
              <w:ind w:left="40"/>
              <w:spacing w:after="0"/>
              <w:rPr>
                <w:rFonts w:ascii="Arial" w:cs="Arial" w:eastAsia="Arial" w:hAnsi="Arial"/>
                <w:sz w:val="15"/>
                <w:szCs w:val="15"/>
                <w:b w:val="1"/>
                <w:bCs w:val="1"/>
                <w:u w:val="single" w:color="auto"/>
                <w:color w:val="0000EE"/>
              </w:rPr>
            </w:pPr>
            <w:hyperlink w:anchor="page117">
              <w:r>
                <w:rPr>
                  <w:rFonts w:ascii="Arial" w:cs="Arial" w:eastAsia="Arial" w:hAnsi="Arial"/>
                  <w:sz w:val="15"/>
                  <w:szCs w:val="15"/>
                  <w:b w:val="1"/>
                  <w:bCs w:val="1"/>
                  <w:u w:val="single" w:color="auto"/>
                  <w:color w:val="0000EE"/>
                </w:rPr>
                <w:t>DISPUTE RESOLUTION</w:t>
              </w:r>
            </w:hyperlink>
          </w:p>
        </w:tc>
        <w:tc>
          <w:tcPr>
            <w:tcW w:w="360" w:type="dxa"/>
            <w:vAlign w:val="bottom"/>
            <w:shd w:val="clear" w:color="auto" w:fill="CCEEFF"/>
          </w:tcPr>
          <w:p>
            <w:pPr>
              <w:ind w:left="20"/>
              <w:spacing w:after="0"/>
              <w:rPr>
                <w:rFonts w:ascii="Arial" w:cs="Arial" w:eastAsia="Arial" w:hAnsi="Arial"/>
                <w:sz w:val="15"/>
                <w:szCs w:val="15"/>
                <w:b w:val="1"/>
                <w:bCs w:val="1"/>
                <w:u w:val="single" w:color="auto"/>
                <w:color w:val="0000EE"/>
                <w:w w:val="98"/>
              </w:rPr>
            </w:pPr>
            <w:hyperlink w:anchor="page117">
              <w:r>
                <w:rPr>
                  <w:rFonts w:ascii="Arial" w:cs="Arial" w:eastAsia="Arial" w:hAnsi="Arial"/>
                  <w:sz w:val="15"/>
                  <w:szCs w:val="15"/>
                  <w:b w:val="1"/>
                  <w:bCs w:val="1"/>
                  <w:u w:val="single" w:color="auto"/>
                  <w:color w:val="0000EE"/>
                  <w:w w:val="98"/>
                </w:rPr>
                <w:t>A-39</w:t>
              </w:r>
            </w:hyperlink>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5945505</wp:posOffset>
            </wp:positionH>
            <wp:positionV relativeFrom="paragraph">
              <wp:posOffset>-779145</wp:posOffset>
            </wp:positionV>
            <wp:extent cx="137160" cy="8890"/>
            <wp:wrapNone/>
            <wp:docPr id="360" name="Picture 3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0"/>
                    <pic:cNvPicPr>
                      <a:picLocks noChangeAspect="1" noChangeArrowheads="1"/>
                    </pic:cNvPicPr>
                  </pic:nvPicPr>
                  <pic:blipFill>
                    <a:blip r:embed="rId367">
                      <a:extLst>
                        <a:ext uri="{28A0092B-C50C-407E-A947-70E740481C1C}"/>
                      </a:extLst>
                    </a:blip>
                    <a:srcRect/>
                    <a:stretch>
                      <a:fillRect/>
                    </a:stretch>
                  </pic:blipFill>
                  <pic:spPr bwMode="auto">
                    <a:xfrm>
                      <a:off x="0" y="0"/>
                      <a:ext cx="137160" cy="8890"/>
                    </a:xfrm>
                    <a:prstGeom prst="rect">
                      <a:avLst/>
                    </a:prstGeom>
                    <a:noFill/>
                  </pic:spPr>
                </pic:pic>
              </a:graphicData>
            </a:graphic>
          </wp:anchor>
        </w:drawing>
      </w:r>
    </w:p>
    <w:p>
      <w:pPr>
        <w:sectPr>
          <w:pgSz w:w="11900" w:h="16838" w:orient="portrait"/>
          <w:cols w:equalWidth="0" w:num="1">
            <w:col w:w="10139"/>
          </w:cols>
          <w:pgMar w:left="320" w:top="131"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ind w:left="480"/>
        <w:spacing w:after="0"/>
        <w:tabs>
          <w:tab w:leader="none" w:pos="4400" w:val="left"/>
          <w:tab w:leader="none" w:pos="8760" w:val="left"/>
        </w:tabs>
        <w:rPr>
          <w:sz w:val="20"/>
          <w:szCs w:val="20"/>
          <w:color w:val="auto"/>
        </w:rPr>
      </w:pPr>
      <w:r>
        <w:rPr>
          <w:rFonts w:ascii="Arial" w:cs="Arial" w:eastAsia="Arial" w:hAnsi="Arial"/>
          <w:sz w:val="28"/>
          <w:szCs w:val="28"/>
          <w:b w:val="1"/>
          <w:bCs w:val="1"/>
          <w:color w:val="000000"/>
          <w:vertAlign w:val="subscript"/>
        </w:rPr>
        <w:t>A-ii</w:t>
      </w:r>
      <w:r>
        <w:rPr>
          <w:sz w:val="20"/>
          <w:szCs w:val="20"/>
          <w:color w:val="auto"/>
        </w:rPr>
        <w:tab/>
      </w:r>
      <w:r>
        <w:rPr>
          <w:rFonts w:ascii="Arial" w:cs="Arial" w:eastAsia="Arial" w:hAnsi="Arial"/>
          <w:sz w:val="13"/>
          <w:szCs w:val="13"/>
          <w:b w:val="1"/>
          <w:bCs w:val="1"/>
          <w:color w:val="4800E6"/>
        </w:rPr>
        <w:t xml:space="preserve">LIVANOVA </w:t>
      </w:r>
      <w:r>
        <w:rPr>
          <w:rFonts w:ascii="Arial" w:cs="Arial" w:eastAsia="Arial" w:hAnsi="Arial"/>
          <w:sz w:val="13"/>
          <w:szCs w:val="13"/>
          <w:color w:val="000000"/>
        </w:rPr>
        <w:t>|</w:t>
      </w:r>
      <w:r>
        <w:rPr>
          <w:rFonts w:ascii="Arial" w:cs="Arial" w:eastAsia="Arial" w:hAnsi="Arial"/>
          <w:sz w:val="13"/>
          <w:szCs w:val="13"/>
          <w:b w:val="1"/>
          <w:bCs w:val="1"/>
          <w:color w:val="4800E6"/>
        </w:rPr>
        <w:t xml:space="preserve"> </w:t>
      </w:r>
      <w:r>
        <w:rPr>
          <w:rFonts w:ascii="Arial" w:cs="Arial" w:eastAsia="Arial" w:hAnsi="Arial"/>
          <w:sz w:val="13"/>
          <w:szCs w:val="13"/>
          <w:color w:val="4800E6"/>
        </w:rPr>
        <w:t>2020</w:t>
      </w:r>
      <w:r>
        <w:rPr>
          <w:rFonts w:ascii="Arial" w:cs="Arial" w:eastAsia="Arial" w:hAnsi="Arial"/>
          <w:sz w:val="13"/>
          <w:szCs w:val="13"/>
          <w:b w:val="1"/>
          <w:bCs w:val="1"/>
          <w:color w:val="4800E6"/>
        </w:rPr>
        <w:t xml:space="preserve"> </w:t>
      </w:r>
      <w:r>
        <w:rPr>
          <w:rFonts w:ascii="Arial" w:cs="Arial" w:eastAsia="Arial" w:hAnsi="Arial"/>
          <w:sz w:val="13"/>
          <w:szCs w:val="13"/>
          <w:color w:val="000000"/>
        </w:rPr>
        <w:t>Proxy Statement</w:t>
      </w:r>
      <w:r>
        <w:rPr>
          <w:sz w:val="20"/>
          <w:szCs w:val="20"/>
          <w:color w:val="auto"/>
        </w:rPr>
        <w:tab/>
      </w:r>
      <w:r>
        <w:rPr>
          <w:rFonts w:ascii="Arial" w:cs="Arial" w:eastAsia="Arial" w:hAnsi="Arial"/>
          <w:sz w:val="12"/>
          <w:szCs w:val="12"/>
          <w:b w:val="1"/>
          <w:bCs w:val="1"/>
          <w:color w:val="4800E6"/>
        </w:rPr>
        <w:t>www.livanova.com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605155</wp:posOffset>
            </wp:positionH>
            <wp:positionV relativeFrom="paragraph">
              <wp:posOffset>-2540</wp:posOffset>
            </wp:positionV>
            <wp:extent cx="1954530" cy="8890"/>
            <wp:wrapNone/>
            <wp:docPr id="361" name="Picture 3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1"/>
                    <pic:cNvPicPr>
                      <a:picLocks noChangeAspect="1" noChangeArrowheads="1"/>
                    </pic:cNvPicPr>
                  </pic:nvPicPr>
                  <pic:blipFill>
                    <a:blip r:embed="rId368">
                      <a:extLst>
                        <a:ext uri="{28A0092B-C50C-407E-A947-70E740481C1C}"/>
                      </a:extLst>
                    </a:blip>
                    <a:srcRect/>
                    <a:stretch>
                      <a:fillRect/>
                    </a:stretch>
                  </pic:blipFill>
                  <pic:spPr bwMode="auto">
                    <a:xfrm>
                      <a:off x="0" y="0"/>
                      <a:ext cx="1954530" cy="8890"/>
                    </a:xfrm>
                    <a:prstGeom prst="rect">
                      <a:avLst/>
                    </a:prstGeom>
                    <a:noFill/>
                  </pic:spPr>
                </pic:pic>
              </a:graphicData>
            </a:graphic>
          </wp:anchor>
        </w:drawing>
        <w:drawing>
          <wp:anchor simplePos="0" relativeHeight="251657728" behindDoc="1" locked="0" layoutInCell="0" allowOverlap="1">
            <wp:simplePos x="0" y="0"/>
            <wp:positionH relativeFrom="column">
              <wp:posOffset>4316730</wp:posOffset>
            </wp:positionH>
            <wp:positionV relativeFrom="paragraph">
              <wp:posOffset>-2540</wp:posOffset>
            </wp:positionV>
            <wp:extent cx="1028700" cy="8890"/>
            <wp:wrapNone/>
            <wp:docPr id="362" name="Picture 3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2"/>
                    <pic:cNvPicPr>
                      <a:picLocks noChangeAspect="1" noChangeArrowheads="1"/>
                    </pic:cNvPicPr>
                  </pic:nvPicPr>
                  <pic:blipFill>
                    <a:blip r:embed="rId369">
                      <a:extLst>
                        <a:ext uri="{28A0092B-C50C-407E-A947-70E740481C1C}"/>
                      </a:extLst>
                    </a:blip>
                    <a:srcRect/>
                    <a:stretch>
                      <a:fillRect/>
                    </a:stretch>
                  </pic:blipFill>
                  <pic:spPr bwMode="auto">
                    <a:xfrm>
                      <a:off x="0" y="0"/>
                      <a:ext cx="102870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133985</wp:posOffset>
            </wp:positionV>
            <wp:extent cx="6806565" cy="17145"/>
            <wp:wrapNone/>
            <wp:docPr id="363" name="Picture 3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3"/>
                    <pic:cNvPicPr>
                      <a:picLocks noChangeAspect="1" noChangeArrowheads="1"/>
                    </pic:cNvPicPr>
                  </pic:nvPicPr>
                  <pic:blipFill>
                    <a:blip r:embed="rId370">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10139"/>
          </w:cols>
          <w:pgMar w:left="320" w:top="131" w:right="1440" w:bottom="1440" w:gutter="0" w:footer="0" w:header="0"/>
          <w:type w:val="continuous"/>
        </w:sectPr>
      </w:pPr>
    </w:p>
    <w:bookmarkStart w:id="79" w:name="page80"/>
    <w:bookmarkEnd w:id="79"/>
    <w:p>
      <w:pPr>
        <w:spacing w:after="0"/>
        <w:rPr>
          <w:rFonts w:ascii="Arial" w:cs="Arial" w:eastAsia="Arial" w:hAnsi="Arial"/>
          <w:sz w:val="14"/>
          <w:szCs w:val="14"/>
          <w:color w:val="003366"/>
        </w:rPr>
      </w:pPr>
      <w:hyperlink w:anchor="page5">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ind w:left="1200" w:hanging="436"/>
        <w:spacing w:after="0"/>
        <w:tabs>
          <w:tab w:leader="none" w:pos="1200" w:val="left"/>
        </w:tabs>
        <w:numPr>
          <w:ilvl w:val="0"/>
          <w:numId w:val="92"/>
        </w:numPr>
        <w:rPr>
          <w:rFonts w:ascii="Arial" w:cs="Arial" w:eastAsia="Arial" w:hAnsi="Arial"/>
          <w:sz w:val="16"/>
          <w:szCs w:val="16"/>
          <w:b w:val="1"/>
          <w:bCs w:val="1"/>
          <w:color w:val="auto"/>
        </w:rPr>
      </w:pPr>
      <w:r>
        <w:rPr>
          <w:rFonts w:ascii="Arial" w:cs="Arial" w:eastAsia="Arial" w:hAnsi="Arial"/>
          <w:sz w:val="16"/>
          <w:szCs w:val="16"/>
          <w:b w:val="1"/>
          <w:bCs w:val="1"/>
          <w:color w:val="auto"/>
        </w:rPr>
        <w:t>MODEL ARTICLES NOT TO APPLY</w:t>
      </w:r>
    </w:p>
    <w:p>
      <w:pPr>
        <w:spacing w:after="0" w:line="160" w:lineRule="exact"/>
        <w:rPr>
          <w:rFonts w:ascii="Arial" w:cs="Arial" w:eastAsia="Arial" w:hAnsi="Arial"/>
          <w:sz w:val="16"/>
          <w:szCs w:val="16"/>
          <w:b w:val="1"/>
          <w:bCs w:val="1"/>
          <w:color w:val="auto"/>
        </w:rPr>
      </w:pPr>
    </w:p>
    <w:p>
      <w:pPr>
        <w:ind w:left="1200" w:right="920"/>
        <w:spacing w:after="0" w:line="260" w:lineRule="auto"/>
        <w:rPr>
          <w:rFonts w:ascii="Arial" w:cs="Arial" w:eastAsia="Arial" w:hAnsi="Arial"/>
          <w:sz w:val="16"/>
          <w:szCs w:val="16"/>
          <w:b w:val="1"/>
          <w:bCs w:val="1"/>
          <w:color w:val="auto"/>
        </w:rPr>
      </w:pPr>
      <w:r>
        <w:rPr>
          <w:rFonts w:ascii="Arial" w:cs="Arial" w:eastAsia="Arial" w:hAnsi="Arial"/>
          <w:sz w:val="16"/>
          <w:szCs w:val="16"/>
          <w:color w:val="auto"/>
          <w:strike w:val="1"/>
        </w:rPr>
        <w:t>The regulations in the relevant</w:t>
      </w:r>
      <w:r>
        <w:rPr>
          <w:rFonts w:ascii="Arial" w:cs="Arial" w:eastAsia="Arial" w:hAnsi="Arial"/>
          <w:sz w:val="16"/>
          <w:szCs w:val="16"/>
          <w:u w:val="single" w:color="auto"/>
          <w:color w:val="auto"/>
        </w:rPr>
        <w:t>No</w:t>
      </w:r>
      <w:r>
        <w:rPr>
          <w:rFonts w:ascii="Arial" w:cs="Arial" w:eastAsia="Arial" w:hAnsi="Arial"/>
          <w:sz w:val="16"/>
          <w:szCs w:val="16"/>
          <w:color w:val="auto"/>
        </w:rPr>
        <w:t xml:space="preserve"> model </w:t>
      </w:r>
      <w:r>
        <w:rPr>
          <w:rFonts w:ascii="Arial" w:cs="Arial" w:eastAsia="Arial" w:hAnsi="Arial"/>
          <w:sz w:val="16"/>
          <w:szCs w:val="16"/>
          <w:u w:val="single" w:color="auto"/>
          <w:color w:val="auto"/>
        </w:rPr>
        <w:t>or specimen</w:t>
      </w:r>
      <w:r>
        <w:rPr>
          <w:rFonts w:ascii="Arial" w:cs="Arial" w:eastAsia="Arial" w:hAnsi="Arial"/>
          <w:sz w:val="16"/>
          <w:szCs w:val="16"/>
          <w:color w:val="auto"/>
        </w:rPr>
        <w:t xml:space="preserve"> articles </w:t>
      </w:r>
      <w:r>
        <w:rPr>
          <w:rFonts w:ascii="Arial" w:cs="Arial" w:eastAsia="Arial" w:hAnsi="Arial"/>
          <w:sz w:val="16"/>
          <w:szCs w:val="16"/>
          <w:u w:val="single" w:color="auto"/>
          <w:color w:val="auto"/>
        </w:rPr>
        <w:t>of association prescribed under any legislation</w:t>
      </w:r>
      <w:r>
        <w:rPr>
          <w:rFonts w:ascii="Arial" w:cs="Arial" w:eastAsia="Arial" w:hAnsi="Arial"/>
          <w:sz w:val="16"/>
          <w:szCs w:val="16"/>
          <w:color w:val="auto"/>
        </w:rPr>
        <w:t xml:space="preserve"> shall </w:t>
      </w:r>
      <w:r>
        <w:rPr>
          <w:rFonts w:ascii="Arial" w:cs="Arial" w:eastAsia="Arial" w:hAnsi="Arial"/>
          <w:sz w:val="16"/>
          <w:szCs w:val="16"/>
          <w:color w:val="auto"/>
          <w:strike w:val="1"/>
        </w:rPr>
        <w:t>not</w:t>
      </w:r>
      <w:r>
        <w:rPr>
          <w:rFonts w:ascii="Arial" w:cs="Arial" w:eastAsia="Arial" w:hAnsi="Arial"/>
          <w:sz w:val="16"/>
          <w:szCs w:val="16"/>
          <w:color w:val="auto"/>
        </w:rPr>
        <w:t xml:space="preserve"> apply to the Company.</w:t>
      </w:r>
    </w:p>
    <w:p>
      <w:pPr>
        <w:spacing w:after="0" w:line="67" w:lineRule="exact"/>
        <w:rPr>
          <w:rFonts w:ascii="Arial" w:cs="Arial" w:eastAsia="Arial" w:hAnsi="Arial"/>
          <w:sz w:val="16"/>
          <w:szCs w:val="16"/>
          <w:b w:val="1"/>
          <w:bCs w:val="1"/>
          <w:color w:val="auto"/>
        </w:rPr>
      </w:pPr>
    </w:p>
    <w:p>
      <w:pPr>
        <w:ind w:left="1200" w:hanging="436"/>
        <w:spacing w:after="0"/>
        <w:tabs>
          <w:tab w:leader="none" w:pos="1200" w:val="left"/>
        </w:tabs>
        <w:numPr>
          <w:ilvl w:val="0"/>
          <w:numId w:val="92"/>
        </w:numPr>
        <w:rPr>
          <w:rFonts w:ascii="Arial" w:cs="Arial" w:eastAsia="Arial" w:hAnsi="Arial"/>
          <w:sz w:val="16"/>
          <w:szCs w:val="16"/>
          <w:b w:val="1"/>
          <w:bCs w:val="1"/>
          <w:color w:val="auto"/>
        </w:rPr>
      </w:pPr>
      <w:r>
        <w:rPr>
          <w:rFonts w:ascii="Arial" w:cs="Arial" w:eastAsia="Arial" w:hAnsi="Arial"/>
          <w:sz w:val="16"/>
          <w:szCs w:val="16"/>
          <w:b w:val="1"/>
          <w:bCs w:val="1"/>
          <w:color w:val="auto"/>
        </w:rPr>
        <w:t>INTERPRETATION</w:t>
      </w:r>
    </w:p>
    <w:p>
      <w:pPr>
        <w:spacing w:after="0" w:line="120" w:lineRule="exact"/>
        <w:rPr>
          <w:sz w:val="20"/>
          <w:szCs w:val="20"/>
          <w:color w:val="auto"/>
        </w:rPr>
      </w:pPr>
    </w:p>
    <w:p>
      <w:pPr>
        <w:ind w:left="760"/>
        <w:spacing w:after="0"/>
        <w:tabs>
          <w:tab w:leader="none" w:pos="1180" w:val="left"/>
        </w:tabs>
        <w:rPr>
          <w:sz w:val="20"/>
          <w:szCs w:val="20"/>
          <w:color w:val="auto"/>
        </w:rPr>
      </w:pPr>
      <w:r>
        <w:rPr>
          <w:rFonts w:ascii="Arial" w:cs="Arial" w:eastAsia="Arial" w:hAnsi="Arial"/>
          <w:sz w:val="16"/>
          <w:szCs w:val="16"/>
          <w:color w:val="auto"/>
        </w:rPr>
        <w:t>2.1</w:t>
      </w:r>
      <w:r>
        <w:rPr>
          <w:sz w:val="20"/>
          <w:szCs w:val="20"/>
          <w:color w:val="auto"/>
        </w:rPr>
        <w:tab/>
      </w:r>
      <w:r>
        <w:rPr>
          <w:rFonts w:ascii="Arial" w:cs="Arial" w:eastAsia="Arial" w:hAnsi="Arial"/>
          <w:sz w:val="15"/>
          <w:szCs w:val="15"/>
          <w:color w:val="auto"/>
        </w:rPr>
        <w:t>In these Articles (if not inconsistent with the subject or context) the following words shall bear the following meanings:</w:t>
      </w:r>
    </w:p>
    <w:p>
      <w:pPr>
        <w:spacing w:after="0" w:line="80" w:lineRule="exact"/>
        <w:rPr>
          <w:sz w:val="20"/>
          <w:szCs w:val="20"/>
          <w:color w:val="auto"/>
        </w:rPr>
      </w:pPr>
    </w:p>
    <w:p>
      <w:pPr>
        <w:ind w:left="1200" w:right="1060"/>
        <w:spacing w:after="0" w:line="286"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strike w:val="1"/>
        </w:rPr>
        <w:t>Affiliates</w:t>
      </w:r>
      <w:r>
        <w:rPr>
          <w:rFonts w:ascii="Arial" w:cs="Arial" w:eastAsia="Arial" w:hAnsi="Arial"/>
          <w:sz w:val="16"/>
          <w:szCs w:val="16"/>
          <w:color w:val="auto"/>
        </w:rPr>
        <w:t xml:space="preserve">” </w:t>
      </w:r>
      <w:r>
        <w:rPr>
          <w:rFonts w:ascii="Arial" w:cs="Arial" w:eastAsia="Arial" w:hAnsi="Arial"/>
          <w:sz w:val="16"/>
          <w:szCs w:val="16"/>
          <w:color w:val="auto"/>
          <w:strike w:val="1"/>
        </w:rPr>
        <w:t>means, with respect to any specified Person, any other Person that, directly or indirectly, through one or more</w:t>
      </w:r>
      <w:r>
        <w:rPr>
          <w:rFonts w:ascii="Arial" w:cs="Arial" w:eastAsia="Arial" w:hAnsi="Arial"/>
          <w:sz w:val="16"/>
          <w:szCs w:val="16"/>
          <w:color w:val="auto"/>
        </w:rPr>
        <w:t xml:space="preserve"> </w:t>
      </w:r>
      <w:r>
        <w:rPr>
          <w:rFonts w:ascii="Arial" w:cs="Arial" w:eastAsia="Arial" w:hAnsi="Arial"/>
          <w:sz w:val="16"/>
          <w:szCs w:val="16"/>
          <w:color w:val="auto"/>
          <w:strike w:val="1"/>
        </w:rPr>
        <w:t>intermediaries, Controls, is Controlled by or is under common Control with such specified Person;</w:t>
      </w:r>
    </w:p>
    <w:p>
      <w:pPr>
        <w:spacing w:after="0" w:line="21" w:lineRule="exact"/>
        <w:rPr>
          <w:sz w:val="20"/>
          <w:szCs w:val="20"/>
          <w:color w:val="auto"/>
        </w:rPr>
      </w:pPr>
    </w:p>
    <w:p>
      <w:pPr>
        <w:ind w:left="120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Articles</w:t>
      </w:r>
      <w:r>
        <w:rPr>
          <w:rFonts w:ascii="Arial" w:cs="Arial" w:eastAsia="Arial" w:hAnsi="Arial"/>
          <w:sz w:val="16"/>
          <w:szCs w:val="16"/>
          <w:color w:val="auto"/>
        </w:rPr>
        <w:t>” means the articles of association for the time being of the Company;</w:t>
      </w:r>
    </w:p>
    <w:p>
      <w:pPr>
        <w:spacing w:after="0" w:line="100" w:lineRule="exact"/>
        <w:rPr>
          <w:sz w:val="20"/>
          <w:szCs w:val="20"/>
          <w:color w:val="auto"/>
        </w:rPr>
      </w:pPr>
    </w:p>
    <w:p>
      <w:pPr>
        <w:ind w:left="120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Board</w:t>
      </w:r>
      <w:r>
        <w:rPr>
          <w:rFonts w:ascii="Arial" w:cs="Arial" w:eastAsia="Arial" w:hAnsi="Arial"/>
          <w:sz w:val="16"/>
          <w:szCs w:val="16"/>
          <w:color w:val="auto"/>
        </w:rPr>
        <w:t>” means the board of Directors of the Company from time to time;</w:t>
      </w:r>
    </w:p>
    <w:p>
      <w:pPr>
        <w:spacing w:after="0" w:line="100" w:lineRule="exact"/>
        <w:rPr>
          <w:sz w:val="20"/>
          <w:szCs w:val="20"/>
          <w:color w:val="auto"/>
        </w:rPr>
      </w:pPr>
    </w:p>
    <w:p>
      <w:pPr>
        <w:ind w:left="120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British Pounds Sterling</w:t>
      </w:r>
      <w:r>
        <w:rPr>
          <w:rFonts w:ascii="Arial" w:cs="Arial" w:eastAsia="Arial" w:hAnsi="Arial"/>
          <w:sz w:val="16"/>
          <w:szCs w:val="16"/>
          <w:color w:val="auto"/>
        </w:rPr>
        <w:t>” or “</w:t>
      </w:r>
      <w:r>
        <w:rPr>
          <w:rFonts w:ascii="Arial" w:cs="Arial" w:eastAsia="Arial" w:hAnsi="Arial"/>
          <w:sz w:val="16"/>
          <w:szCs w:val="16"/>
          <w:b w:val="1"/>
          <w:bCs w:val="1"/>
          <w:color w:val="auto"/>
        </w:rPr>
        <w:t>£</w:t>
      </w:r>
      <w:r>
        <w:rPr>
          <w:rFonts w:ascii="Arial" w:cs="Arial" w:eastAsia="Arial" w:hAnsi="Arial"/>
          <w:sz w:val="16"/>
          <w:szCs w:val="16"/>
          <w:color w:val="auto"/>
        </w:rPr>
        <w:t>” means the lawful currency of the United Kingdom;</w:t>
      </w:r>
    </w:p>
    <w:p>
      <w:pPr>
        <w:spacing w:after="0" w:line="86" w:lineRule="exact"/>
        <w:rPr>
          <w:sz w:val="20"/>
          <w:szCs w:val="20"/>
          <w:color w:val="auto"/>
        </w:rPr>
      </w:pPr>
    </w:p>
    <w:p>
      <w:pPr>
        <w:ind w:left="1200" w:right="1140"/>
        <w:spacing w:after="0" w:line="286"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certificated share</w:t>
      </w:r>
      <w:r>
        <w:rPr>
          <w:rFonts w:ascii="Arial" w:cs="Arial" w:eastAsia="Arial" w:hAnsi="Arial"/>
          <w:sz w:val="16"/>
          <w:szCs w:val="16"/>
          <w:color w:val="auto"/>
        </w:rPr>
        <w:t>” means a share in the capital of the Company which is not an uncertificated share and references in these Articles to a share being held in certificated form shall be construed accordingly;</w:t>
      </w:r>
    </w:p>
    <w:p>
      <w:pPr>
        <w:spacing w:after="0" w:line="34" w:lineRule="exact"/>
        <w:rPr>
          <w:sz w:val="20"/>
          <w:szCs w:val="20"/>
          <w:color w:val="auto"/>
        </w:rPr>
      </w:pPr>
    </w:p>
    <w:p>
      <w:pPr>
        <w:ind w:left="1200" w:right="900"/>
        <w:spacing w:after="0" w:line="286"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clear days</w:t>
      </w:r>
      <w:r>
        <w:rPr>
          <w:rFonts w:ascii="Arial" w:cs="Arial" w:eastAsia="Arial" w:hAnsi="Arial"/>
          <w:sz w:val="16"/>
          <w:szCs w:val="16"/>
          <w:color w:val="auto"/>
        </w:rPr>
        <w:t xml:space="preserve">” means, in relation to the period of a notice, that period excluding the day on which a notice is given or deemed to be given and the day for which it is given or </w:t>
      </w:r>
      <w:r>
        <w:rPr>
          <w:rFonts w:ascii="Arial" w:cs="Arial" w:eastAsia="Arial" w:hAnsi="Arial"/>
          <w:sz w:val="16"/>
          <w:szCs w:val="16"/>
          <w:u w:val="single" w:color="auto"/>
          <w:color w:val="auto"/>
        </w:rPr>
        <w:t>on</w:t>
      </w:r>
      <w:r>
        <w:rPr>
          <w:rFonts w:ascii="Arial" w:cs="Arial" w:eastAsia="Arial" w:hAnsi="Arial"/>
          <w:sz w:val="16"/>
          <w:szCs w:val="16"/>
          <w:color w:val="auto"/>
        </w:rPr>
        <w:t xml:space="preserve"> which it is to take effect;</w:t>
      </w:r>
    </w:p>
    <w:p>
      <w:pPr>
        <w:spacing w:after="0" w:line="34" w:lineRule="exact"/>
        <w:rPr>
          <w:sz w:val="20"/>
          <w:szCs w:val="20"/>
          <w:color w:val="auto"/>
        </w:rPr>
      </w:pPr>
    </w:p>
    <w:p>
      <w:pPr>
        <w:ind w:left="1200" w:right="1020"/>
        <w:spacing w:after="0" w:line="286"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Company</w:t>
      </w:r>
      <w:r>
        <w:rPr>
          <w:rFonts w:ascii="Arial" w:cs="Arial" w:eastAsia="Arial" w:hAnsi="Arial"/>
          <w:sz w:val="16"/>
          <w:szCs w:val="16"/>
          <w:color w:val="auto"/>
        </w:rPr>
        <w:t xml:space="preserve">” means LivaNova PLC </w:t>
      </w:r>
      <w:r>
        <w:rPr>
          <w:rFonts w:ascii="Arial" w:cs="Arial" w:eastAsia="Arial" w:hAnsi="Arial"/>
          <w:sz w:val="16"/>
          <w:szCs w:val="16"/>
          <w:color w:val="auto"/>
          <w:strike w:val="1"/>
        </w:rPr>
        <w:t>(</w:t>
      </w:r>
      <w:r>
        <w:rPr>
          <w:rFonts w:ascii="Arial" w:cs="Arial" w:eastAsia="Arial" w:hAnsi="Arial"/>
          <w:sz w:val="16"/>
          <w:szCs w:val="16"/>
          <w:u w:val="single" w:color="auto"/>
          <w:color w:val="auto"/>
        </w:rPr>
        <w:t>, a public</w:t>
      </w:r>
      <w:r>
        <w:rPr>
          <w:rFonts w:ascii="Arial" w:cs="Arial" w:eastAsia="Arial" w:hAnsi="Arial"/>
          <w:sz w:val="16"/>
          <w:szCs w:val="16"/>
          <w:color w:val="auto"/>
        </w:rPr>
        <w:t xml:space="preserve"> company </w:t>
      </w:r>
      <w:r>
        <w:rPr>
          <w:rFonts w:ascii="Arial" w:cs="Arial" w:eastAsia="Arial" w:hAnsi="Arial"/>
          <w:sz w:val="16"/>
          <w:szCs w:val="16"/>
          <w:u w:val="single" w:color="auto"/>
          <w:color w:val="auto"/>
        </w:rPr>
        <w:t>limited by shares, registered in England and Wales with registered</w:t>
      </w:r>
      <w:r>
        <w:rPr>
          <w:rFonts w:ascii="Arial" w:cs="Arial" w:eastAsia="Arial" w:hAnsi="Arial"/>
          <w:sz w:val="16"/>
          <w:szCs w:val="16"/>
          <w:color w:val="auto"/>
        </w:rPr>
        <w:t xml:space="preserve"> number 09451374</w:t>
      </w:r>
      <w:r>
        <w:rPr>
          <w:rFonts w:ascii="Arial" w:cs="Arial" w:eastAsia="Arial" w:hAnsi="Arial"/>
          <w:sz w:val="16"/>
          <w:szCs w:val="16"/>
          <w:color w:val="auto"/>
          <w:strike w:val="1"/>
        </w:rPr>
        <w:t>);</w:t>
      </w:r>
      <w:r>
        <w:rPr>
          <w:rFonts w:ascii="Arial" w:cs="Arial" w:eastAsia="Arial" w:hAnsi="Arial"/>
          <w:sz w:val="16"/>
          <w:szCs w:val="16"/>
          <w:u w:val="single" w:color="auto"/>
          <w:color w:val="auto"/>
        </w:rPr>
        <w:t>;</w:t>
      </w:r>
    </w:p>
    <w:p>
      <w:pPr>
        <w:spacing w:after="0" w:line="21" w:lineRule="exact"/>
        <w:rPr>
          <w:sz w:val="20"/>
          <w:szCs w:val="20"/>
          <w:color w:val="auto"/>
        </w:rPr>
      </w:pPr>
    </w:p>
    <w:p>
      <w:pPr>
        <w:ind w:left="1200" w:right="860"/>
        <w:spacing w:after="0" w:line="286"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Companies Act</w:t>
      </w:r>
      <w:r>
        <w:rPr>
          <w:rFonts w:ascii="Arial" w:cs="Arial" w:eastAsia="Arial" w:hAnsi="Arial"/>
          <w:sz w:val="16"/>
          <w:szCs w:val="16"/>
          <w:color w:val="auto"/>
        </w:rPr>
        <w:t xml:space="preserve">” means the </w:t>
      </w:r>
      <w:r>
        <w:rPr>
          <w:rFonts w:ascii="Arial" w:cs="Arial" w:eastAsia="Arial" w:hAnsi="Arial"/>
          <w:sz w:val="16"/>
          <w:szCs w:val="16"/>
          <w:u w:val="single" w:color="auto"/>
          <w:color w:val="auto"/>
        </w:rPr>
        <w:t>UK</w:t>
      </w:r>
      <w:r>
        <w:rPr>
          <w:rFonts w:ascii="Arial" w:cs="Arial" w:eastAsia="Arial" w:hAnsi="Arial"/>
          <w:sz w:val="16"/>
          <w:szCs w:val="16"/>
          <w:color w:val="auto"/>
        </w:rPr>
        <w:t xml:space="preserve"> Companies Act 2006 including any modifications or re-enactment of it for the time being in force;</w:t>
      </w:r>
    </w:p>
    <w:p>
      <w:pPr>
        <w:spacing w:after="0" w:line="34" w:lineRule="exact"/>
        <w:rPr>
          <w:sz w:val="20"/>
          <w:szCs w:val="20"/>
          <w:color w:val="auto"/>
        </w:rPr>
      </w:pPr>
    </w:p>
    <w:p>
      <w:pPr>
        <w:ind w:left="1200" w:right="1240"/>
        <w:spacing w:after="0" w:line="286"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strike w:val="1"/>
        </w:rPr>
        <w:t>Contract</w:t>
      </w:r>
      <w:r>
        <w:rPr>
          <w:rFonts w:ascii="Arial" w:cs="Arial" w:eastAsia="Arial" w:hAnsi="Arial"/>
          <w:sz w:val="16"/>
          <w:szCs w:val="16"/>
          <w:color w:val="auto"/>
        </w:rPr>
        <w:t xml:space="preserve">” </w:t>
      </w:r>
      <w:r>
        <w:rPr>
          <w:rFonts w:ascii="Arial" w:cs="Arial" w:eastAsia="Arial" w:hAnsi="Arial"/>
          <w:sz w:val="16"/>
          <w:szCs w:val="16"/>
          <w:color w:val="auto"/>
          <w:strike w:val="1"/>
        </w:rPr>
        <w:t>means, as to any Person, any contract, lease, easement, license, instrument or understanding to which the</w:t>
      </w:r>
      <w:r>
        <w:rPr>
          <w:rFonts w:ascii="Arial" w:cs="Arial" w:eastAsia="Arial" w:hAnsi="Arial"/>
          <w:sz w:val="16"/>
          <w:szCs w:val="16"/>
          <w:color w:val="auto"/>
        </w:rPr>
        <w:t xml:space="preserve"> </w:t>
      </w:r>
      <w:r>
        <w:rPr>
          <w:rFonts w:ascii="Arial" w:cs="Arial" w:eastAsia="Arial" w:hAnsi="Arial"/>
          <w:sz w:val="16"/>
          <w:szCs w:val="16"/>
          <w:color w:val="auto"/>
          <w:strike w:val="1"/>
        </w:rPr>
        <w:t>applicable Person is a party;</w:t>
      </w:r>
    </w:p>
    <w:p>
      <w:pPr>
        <w:spacing w:after="0" w:line="34" w:lineRule="exact"/>
        <w:rPr>
          <w:sz w:val="20"/>
          <w:szCs w:val="20"/>
          <w:color w:val="auto"/>
        </w:rPr>
      </w:pPr>
    </w:p>
    <w:p>
      <w:pPr>
        <w:ind w:left="1200" w:right="800"/>
        <w:spacing w:after="0" w:line="259"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strike w:val="1"/>
        </w:rPr>
        <w:t>Control</w:t>
      </w:r>
      <w:r>
        <w:rPr>
          <w:rFonts w:ascii="Arial" w:cs="Arial" w:eastAsia="Arial" w:hAnsi="Arial"/>
          <w:sz w:val="16"/>
          <w:szCs w:val="16"/>
          <w:color w:val="auto"/>
        </w:rPr>
        <w:t xml:space="preserve">” </w:t>
      </w:r>
      <w:r>
        <w:rPr>
          <w:rFonts w:ascii="Arial" w:cs="Arial" w:eastAsia="Arial" w:hAnsi="Arial"/>
          <w:sz w:val="16"/>
          <w:szCs w:val="16"/>
          <w:color w:val="auto"/>
          <w:strike w:val="1"/>
        </w:rPr>
        <w:t>means, as to any Person, the possession, directly or indirectly or as trustee or executor, of the power to direct or</w:t>
      </w:r>
      <w:r>
        <w:rPr>
          <w:rFonts w:ascii="Arial" w:cs="Arial" w:eastAsia="Arial" w:hAnsi="Arial"/>
          <w:sz w:val="16"/>
          <w:szCs w:val="16"/>
          <w:color w:val="auto"/>
        </w:rPr>
        <w:t xml:space="preserve"> </w:t>
      </w:r>
      <w:r>
        <w:rPr>
          <w:rFonts w:ascii="Arial" w:cs="Arial" w:eastAsia="Arial" w:hAnsi="Arial"/>
          <w:sz w:val="16"/>
          <w:szCs w:val="16"/>
          <w:color w:val="auto"/>
          <w:strike w:val="1"/>
        </w:rPr>
        <w:t>cause the direction of the management or policies of a Person, whether through the ownership of shares or other equity securities or as trustee or executor, by Contract or otherwise; the terms “Controlled” and “Controlling” shall have a correlative meaning;</w:t>
      </w:r>
    </w:p>
    <w:p>
      <w:pPr>
        <w:spacing w:after="0" w:line="43" w:lineRule="exact"/>
        <w:rPr>
          <w:sz w:val="20"/>
          <w:szCs w:val="20"/>
          <w:color w:val="auto"/>
        </w:rPr>
      </w:pPr>
    </w:p>
    <w:p>
      <w:pPr>
        <w:jc w:val="both"/>
        <w:ind w:left="1200" w:right="1220"/>
        <w:spacing w:after="0" w:line="321" w:lineRule="auto"/>
        <w:rPr>
          <w:sz w:val="20"/>
          <w:szCs w:val="20"/>
          <w:color w:val="auto"/>
        </w:rPr>
      </w:pPr>
      <w:r>
        <w:rPr>
          <w:rFonts w:ascii="Arial" w:cs="Arial" w:eastAsia="Arial" w:hAnsi="Arial"/>
          <w:sz w:val="15"/>
          <w:szCs w:val="15"/>
          <w:color w:val="auto"/>
        </w:rPr>
        <w:t>“</w:t>
      </w:r>
      <w:r>
        <w:rPr>
          <w:rFonts w:ascii="Arial" w:cs="Arial" w:eastAsia="Arial" w:hAnsi="Arial"/>
          <w:sz w:val="15"/>
          <w:szCs w:val="15"/>
          <w:b w:val="1"/>
          <w:bCs w:val="1"/>
          <w:color w:val="auto"/>
        </w:rPr>
        <w:t>Depositary</w:t>
      </w:r>
      <w:r>
        <w:rPr>
          <w:rFonts w:ascii="Arial" w:cs="Arial" w:eastAsia="Arial" w:hAnsi="Arial"/>
          <w:sz w:val="15"/>
          <w:szCs w:val="15"/>
          <w:color w:val="auto"/>
        </w:rPr>
        <w:t xml:space="preserve">” means any depositary, custodian or nominee approved by the Board that holds legal title to shares in the capital of the Company for the purposes of facilitating beneficial ownership of such shares by another </w:t>
      </w:r>
      <w:r>
        <w:rPr>
          <w:rFonts w:ascii="Arial" w:cs="Arial" w:eastAsia="Arial" w:hAnsi="Arial"/>
          <w:sz w:val="15"/>
          <w:szCs w:val="15"/>
          <w:color w:val="auto"/>
          <w:strike w:val="1"/>
        </w:rPr>
        <w:t>individual</w:t>
      </w:r>
      <w:r>
        <w:rPr>
          <w:rFonts w:ascii="Arial" w:cs="Arial" w:eastAsia="Arial" w:hAnsi="Arial"/>
          <w:sz w:val="15"/>
          <w:szCs w:val="15"/>
          <w:u w:val="single" w:color="auto"/>
          <w:color w:val="auto"/>
        </w:rPr>
        <w:t>person</w:t>
      </w:r>
      <w:r>
        <w:rPr>
          <w:rFonts w:ascii="Arial" w:cs="Arial" w:eastAsia="Arial" w:hAnsi="Arial"/>
          <w:sz w:val="15"/>
          <w:szCs w:val="15"/>
          <w:color w:val="auto"/>
        </w:rPr>
        <w:t>;</w:t>
      </w:r>
    </w:p>
    <w:p>
      <w:pPr>
        <w:spacing w:after="0" w:line="11" w:lineRule="exact"/>
        <w:rPr>
          <w:sz w:val="20"/>
          <w:szCs w:val="20"/>
          <w:color w:val="auto"/>
        </w:rPr>
      </w:pPr>
    </w:p>
    <w:p>
      <w:pPr>
        <w:ind w:left="120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Director</w:t>
      </w:r>
      <w:r>
        <w:rPr>
          <w:rFonts w:ascii="Arial" w:cs="Arial" w:eastAsia="Arial" w:hAnsi="Arial"/>
          <w:sz w:val="16"/>
          <w:szCs w:val="16"/>
          <w:color w:val="auto"/>
        </w:rPr>
        <w:t>” means a director of the Company from time to time;</w:t>
      </w:r>
    </w:p>
    <w:p>
      <w:pPr>
        <w:spacing w:after="0" w:line="100" w:lineRule="exact"/>
        <w:rPr>
          <w:sz w:val="20"/>
          <w:szCs w:val="20"/>
          <w:color w:val="auto"/>
        </w:rPr>
      </w:pPr>
    </w:p>
    <w:p>
      <w:pPr>
        <w:ind w:left="120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strike w:val="1"/>
        </w:rPr>
        <w:t>dividend</w:t>
      </w:r>
      <w:r>
        <w:rPr>
          <w:rFonts w:ascii="Arial" w:cs="Arial" w:eastAsia="Arial" w:hAnsi="Arial"/>
          <w:sz w:val="16"/>
          <w:szCs w:val="16"/>
          <w:color w:val="auto"/>
        </w:rPr>
        <w:t xml:space="preserve">” </w:t>
      </w:r>
      <w:r>
        <w:rPr>
          <w:rFonts w:ascii="Arial" w:cs="Arial" w:eastAsia="Arial" w:hAnsi="Arial"/>
          <w:sz w:val="16"/>
          <w:szCs w:val="16"/>
          <w:color w:val="auto"/>
          <w:strike w:val="1"/>
        </w:rPr>
        <w:t>means dividend or bonus;</w:t>
      </w:r>
    </w:p>
    <w:p>
      <w:pPr>
        <w:spacing w:after="0" w:line="86" w:lineRule="exact"/>
        <w:rPr>
          <w:sz w:val="20"/>
          <w:szCs w:val="20"/>
          <w:color w:val="auto"/>
        </w:rPr>
      </w:pPr>
    </w:p>
    <w:p>
      <w:pPr>
        <w:ind w:left="1200" w:right="1020"/>
        <w:spacing w:after="0" w:line="286"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electronic address</w:t>
      </w:r>
      <w:r>
        <w:rPr>
          <w:rFonts w:ascii="Arial" w:cs="Arial" w:eastAsia="Arial" w:hAnsi="Arial"/>
          <w:sz w:val="16"/>
          <w:szCs w:val="16"/>
          <w:color w:val="auto"/>
        </w:rPr>
        <w:t>” means any number or address used for the purposes of sending or receiving notices, documents or information by electronic means;</w:t>
      </w:r>
    </w:p>
    <w:p>
      <w:pPr>
        <w:spacing w:after="0" w:line="34" w:lineRule="exact"/>
        <w:rPr>
          <w:sz w:val="20"/>
          <w:szCs w:val="20"/>
          <w:color w:val="auto"/>
        </w:rPr>
      </w:pPr>
    </w:p>
    <w:p>
      <w:pPr>
        <w:ind w:left="1200" w:right="900"/>
        <w:spacing w:after="0" w:line="286"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strike w:val="1"/>
        </w:rPr>
        <w:t>equity security</w:t>
      </w:r>
      <w:r>
        <w:rPr>
          <w:rFonts w:ascii="Arial" w:cs="Arial" w:eastAsia="Arial" w:hAnsi="Arial"/>
          <w:sz w:val="16"/>
          <w:szCs w:val="16"/>
          <w:color w:val="auto"/>
        </w:rPr>
        <w:t xml:space="preserve">” </w:t>
      </w:r>
      <w:r>
        <w:rPr>
          <w:rFonts w:ascii="Arial" w:cs="Arial" w:eastAsia="Arial" w:hAnsi="Arial"/>
          <w:sz w:val="16"/>
          <w:szCs w:val="16"/>
          <w:color w:val="auto"/>
          <w:strike w:val="1"/>
        </w:rPr>
        <w:t>shall have the meaning given to such term in Rule 405 under the United States Securities Act of 1933, as</w:t>
      </w:r>
      <w:r>
        <w:rPr>
          <w:rFonts w:ascii="Arial" w:cs="Arial" w:eastAsia="Arial" w:hAnsi="Arial"/>
          <w:sz w:val="16"/>
          <w:szCs w:val="16"/>
          <w:color w:val="auto"/>
        </w:rPr>
        <w:t xml:space="preserve"> </w:t>
      </w:r>
      <w:r>
        <w:rPr>
          <w:rFonts w:ascii="Arial" w:cs="Arial" w:eastAsia="Arial" w:hAnsi="Arial"/>
          <w:sz w:val="16"/>
          <w:szCs w:val="16"/>
          <w:color w:val="auto"/>
          <w:strike w:val="1"/>
        </w:rPr>
        <w:t>amended, and the rules and regulations promulgated thereunder;</w:t>
      </w:r>
    </w:p>
    <w:p>
      <w:pPr>
        <w:spacing w:after="0" w:line="34" w:lineRule="exact"/>
        <w:rPr>
          <w:sz w:val="20"/>
          <w:szCs w:val="20"/>
          <w:color w:val="auto"/>
        </w:rPr>
      </w:pPr>
    </w:p>
    <w:p>
      <w:pPr>
        <w:ind w:left="120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u w:val="single" w:color="auto"/>
          <w:color w:val="auto"/>
        </w:rPr>
        <w:t>Exchange</w:t>
      </w:r>
      <w:r>
        <w:rPr>
          <w:rFonts w:ascii="Arial" w:cs="Arial" w:eastAsia="Arial" w:hAnsi="Arial"/>
          <w:sz w:val="16"/>
          <w:szCs w:val="16"/>
          <w:color w:val="auto"/>
        </w:rPr>
        <w:t xml:space="preserve">” </w:t>
      </w:r>
      <w:r>
        <w:rPr>
          <w:rFonts w:ascii="Arial" w:cs="Arial" w:eastAsia="Arial" w:hAnsi="Arial"/>
          <w:sz w:val="16"/>
          <w:szCs w:val="16"/>
          <w:u w:val="single" w:color="auto"/>
          <w:color w:val="auto"/>
        </w:rPr>
        <w:t>means any securities exchange, including NASDAQ, on which the securities of the Company are traded;</w:t>
      </w:r>
    </w:p>
    <w:p>
      <w:pPr>
        <w:spacing w:after="0" w:line="86" w:lineRule="exact"/>
        <w:rPr>
          <w:sz w:val="20"/>
          <w:szCs w:val="20"/>
          <w:color w:val="auto"/>
        </w:rPr>
      </w:pPr>
    </w:p>
    <w:p>
      <w:pPr>
        <w:ind w:left="1200" w:right="1460"/>
        <w:spacing w:after="0" w:line="286"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Exchange Act</w:t>
      </w:r>
      <w:r>
        <w:rPr>
          <w:rFonts w:ascii="Arial" w:cs="Arial" w:eastAsia="Arial" w:hAnsi="Arial"/>
          <w:sz w:val="16"/>
          <w:szCs w:val="16"/>
          <w:color w:val="auto"/>
        </w:rPr>
        <w:t>” means the United States Securities Exchange Act of 1934, as amended from time to time, and the regulations promulgated thereunder;</w:t>
      </w:r>
    </w:p>
    <w:p>
      <w:pPr>
        <w:spacing w:after="0" w:line="34" w:lineRule="exact"/>
        <w:rPr>
          <w:sz w:val="20"/>
          <w:szCs w:val="20"/>
          <w:color w:val="auto"/>
        </w:rPr>
      </w:pPr>
    </w:p>
    <w:p>
      <w:pPr>
        <w:ind w:left="120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strike w:val="1"/>
        </w:rPr>
        <w:t>executed</w:t>
      </w:r>
      <w:r>
        <w:rPr>
          <w:rFonts w:ascii="Arial" w:cs="Arial" w:eastAsia="Arial" w:hAnsi="Arial"/>
          <w:sz w:val="16"/>
          <w:szCs w:val="16"/>
          <w:color w:val="auto"/>
        </w:rPr>
        <w:t xml:space="preserve">” </w:t>
      </w:r>
      <w:r>
        <w:rPr>
          <w:rFonts w:ascii="Arial" w:cs="Arial" w:eastAsia="Arial" w:hAnsi="Arial"/>
          <w:sz w:val="16"/>
          <w:szCs w:val="16"/>
          <w:color w:val="auto"/>
          <w:strike w:val="1"/>
        </w:rPr>
        <w:t>means any mode of execution;</w:t>
      </w:r>
    </w:p>
    <w:p>
      <w:pPr>
        <w:spacing w:after="0" w:line="100" w:lineRule="exact"/>
        <w:rPr>
          <w:sz w:val="20"/>
          <w:szCs w:val="20"/>
          <w:color w:val="auto"/>
        </w:rPr>
      </w:pPr>
    </w:p>
    <w:p>
      <w:pPr>
        <w:ind w:left="1200" w:right="940"/>
        <w:spacing w:after="0" w:line="286"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strike w:val="1"/>
        </w:rPr>
        <w:t>financial institution</w:t>
      </w:r>
      <w:r>
        <w:rPr>
          <w:rFonts w:ascii="Arial" w:cs="Arial" w:eastAsia="Arial" w:hAnsi="Arial"/>
          <w:sz w:val="16"/>
          <w:szCs w:val="16"/>
          <w:color w:val="auto"/>
        </w:rPr>
        <w:t xml:space="preserve">” </w:t>
      </w:r>
      <w:r>
        <w:rPr>
          <w:rFonts w:ascii="Arial" w:cs="Arial" w:eastAsia="Arial" w:hAnsi="Arial"/>
          <w:sz w:val="16"/>
          <w:szCs w:val="16"/>
          <w:color w:val="auto"/>
          <w:strike w:val="1"/>
        </w:rPr>
        <w:t>means a recognised clearing house or a nominee of a recognised clearing house or of a recognised</w:t>
      </w:r>
      <w:r>
        <w:rPr>
          <w:rFonts w:ascii="Arial" w:cs="Arial" w:eastAsia="Arial" w:hAnsi="Arial"/>
          <w:sz w:val="16"/>
          <w:szCs w:val="16"/>
          <w:color w:val="auto"/>
        </w:rPr>
        <w:t xml:space="preserve"> </w:t>
      </w:r>
      <w:r>
        <w:rPr>
          <w:rFonts w:ascii="Arial" w:cs="Arial" w:eastAsia="Arial" w:hAnsi="Arial"/>
          <w:sz w:val="16"/>
          <w:szCs w:val="16"/>
          <w:color w:val="auto"/>
          <w:strike w:val="1"/>
        </w:rPr>
        <w:t>investment exchange who is designated within the meaning of section 778(2) of the Companies Act;</w:t>
      </w:r>
    </w:p>
    <w:p>
      <w:pPr>
        <w:spacing w:after="0" w:line="21" w:lineRule="exact"/>
        <w:rPr>
          <w:sz w:val="20"/>
          <w:szCs w:val="20"/>
          <w:color w:val="auto"/>
        </w:rPr>
      </w:pPr>
    </w:p>
    <w:p>
      <w:pPr>
        <w:ind w:left="120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strike w:val="1"/>
        </w:rPr>
        <w:t>FSMA</w:t>
      </w:r>
      <w:r>
        <w:rPr>
          <w:rFonts w:ascii="Arial" w:cs="Arial" w:eastAsia="Arial" w:hAnsi="Arial"/>
          <w:sz w:val="16"/>
          <w:szCs w:val="16"/>
          <w:color w:val="auto"/>
        </w:rPr>
        <w:t xml:space="preserve">” </w:t>
      </w:r>
      <w:r>
        <w:rPr>
          <w:rFonts w:ascii="Arial" w:cs="Arial" w:eastAsia="Arial" w:hAnsi="Arial"/>
          <w:sz w:val="16"/>
          <w:szCs w:val="16"/>
          <w:color w:val="auto"/>
          <w:strike w:val="1"/>
        </w:rPr>
        <w:t>means the Financial Services and Market Act 2000;</w:t>
      </w:r>
    </w:p>
    <w:p>
      <w:pPr>
        <w:spacing w:after="0" w:line="100" w:lineRule="exact"/>
        <w:rPr>
          <w:sz w:val="20"/>
          <w:szCs w:val="20"/>
          <w:color w:val="auto"/>
        </w:rPr>
      </w:pPr>
    </w:p>
    <w:p>
      <w:pPr>
        <w:ind w:left="1200" w:right="860"/>
        <w:spacing w:after="0" w:line="253"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strike w:val="1"/>
        </w:rPr>
        <w:t>Fully Diluted Interest</w:t>
      </w:r>
      <w:r>
        <w:rPr>
          <w:rFonts w:ascii="Arial" w:cs="Arial" w:eastAsia="Arial" w:hAnsi="Arial"/>
          <w:sz w:val="16"/>
          <w:szCs w:val="16"/>
          <w:color w:val="auto"/>
        </w:rPr>
        <w:t xml:space="preserve">” </w:t>
      </w:r>
      <w:r>
        <w:rPr>
          <w:rFonts w:ascii="Arial" w:cs="Arial" w:eastAsia="Arial" w:hAnsi="Arial"/>
          <w:sz w:val="16"/>
          <w:szCs w:val="16"/>
          <w:color w:val="auto"/>
          <w:strike w:val="1"/>
        </w:rPr>
        <w:t>means, with respect to any member, the percentage of the Ordinary Shares owned by that member</w:t>
      </w:r>
      <w:r>
        <w:rPr>
          <w:rFonts w:ascii="Arial" w:cs="Arial" w:eastAsia="Arial" w:hAnsi="Arial"/>
          <w:sz w:val="16"/>
          <w:szCs w:val="16"/>
          <w:color w:val="auto"/>
        </w:rPr>
        <w:t xml:space="preserve"> </w:t>
      </w:r>
      <w:r>
        <w:rPr>
          <w:rFonts w:ascii="Arial" w:cs="Arial" w:eastAsia="Arial" w:hAnsi="Arial"/>
          <w:sz w:val="16"/>
          <w:szCs w:val="16"/>
          <w:color w:val="auto"/>
          <w:strike w:val="1"/>
        </w:rPr>
        <w:t>assuming the exercise or conversion, as applicable, of all options, warrants, rights and convertible or other similar securities outstanding on the date in question, whether vested or unvested, on a cashless net exercise basis or conversion assuming the price of the Ordinary Share underlying such option, warrant, right or convertible or other similar securities equals the 5-day volume weighted average trading price of such Ordinary Shares ending on the trading day prior to the date in question. For the avoidance of doubt, it is intended that Fully Diluted Interest shall be calculated using a customary treasury stock method to determine fully diluted shares outstanding;</w:t>
      </w:r>
    </w:p>
    <w:p>
      <w:pPr>
        <w:spacing w:after="0" w:line="285" w:lineRule="exact"/>
        <w:rPr>
          <w:sz w:val="20"/>
          <w:szCs w:val="20"/>
          <w:color w:val="auto"/>
        </w:rPr>
      </w:pPr>
    </w:p>
    <w:tbl>
      <w:tblPr>
        <w:tblLayout w:type="fixed"/>
        <w:tblInd w:w="0" w:type="dxa"/>
        <w:tblCellMar>
          <w:top w:w="0" w:type="dxa"/>
          <w:left w:w="0" w:type="dxa"/>
          <w:bottom w:w="0" w:type="dxa"/>
          <w:right w:w="0" w:type="dxa"/>
        </w:tblCellMar>
      </w:tblPr>
      <w:tr>
        <w:trPr>
          <w:trHeight w:val="130"/>
        </w:trPr>
        <w:tc>
          <w:tcPr>
            <w:tcW w:w="820" w:type="dxa"/>
            <w:vAlign w:val="bottom"/>
            <w:vMerge w:val="restart"/>
          </w:tcPr>
          <w:p>
            <w:pPr>
              <w:spacing w:after="0"/>
              <w:rPr>
                <w:sz w:val="11"/>
                <w:szCs w:val="11"/>
                <w:color w:val="auto"/>
              </w:rPr>
            </w:pPr>
          </w:p>
        </w:tc>
        <w:tc>
          <w:tcPr>
            <w:tcW w:w="3080" w:type="dxa"/>
            <w:vAlign w:val="bottom"/>
            <w:tcBorders>
              <w:bottom w:val="single" w:sz="8" w:color="auto"/>
            </w:tcBorders>
          </w:tcPr>
          <w:p>
            <w:pPr>
              <w:spacing w:after="0"/>
              <w:rPr>
                <w:sz w:val="11"/>
                <w:szCs w:val="11"/>
                <w:color w:val="auto"/>
              </w:rPr>
            </w:pPr>
          </w:p>
        </w:tc>
        <w:tc>
          <w:tcPr>
            <w:tcW w:w="2760" w:type="dxa"/>
            <w:vAlign w:val="bottom"/>
            <w:vMerge w:val="restart"/>
          </w:tcPr>
          <w:p>
            <w:pPr>
              <w:ind w:left="400"/>
              <w:spacing w:after="0"/>
              <w:rPr>
                <w:sz w:val="20"/>
                <w:szCs w:val="20"/>
                <w:color w:val="auto"/>
              </w:rPr>
            </w:pPr>
            <w:r>
              <w:rPr>
                <w:rFonts w:ascii="Arial" w:cs="Arial" w:eastAsia="Arial" w:hAnsi="Arial"/>
                <w:sz w:val="13"/>
                <w:szCs w:val="13"/>
                <w:b w:val="1"/>
                <w:bCs w:val="1"/>
                <w:color w:val="4800E6"/>
              </w:rPr>
              <w:t xml:space="preserve">LIVANOVA </w:t>
            </w:r>
            <w:r>
              <w:rPr>
                <w:rFonts w:ascii="Arial" w:cs="Arial" w:eastAsia="Arial" w:hAnsi="Arial"/>
                <w:sz w:val="13"/>
                <w:szCs w:val="13"/>
                <w:color w:val="000000"/>
              </w:rPr>
              <w:t>|</w:t>
            </w:r>
            <w:r>
              <w:rPr>
                <w:rFonts w:ascii="Arial" w:cs="Arial" w:eastAsia="Arial" w:hAnsi="Arial"/>
                <w:sz w:val="13"/>
                <w:szCs w:val="13"/>
                <w:b w:val="1"/>
                <w:bCs w:val="1"/>
                <w:color w:val="4800E6"/>
              </w:rPr>
              <w:t xml:space="preserve"> </w:t>
            </w:r>
            <w:r>
              <w:rPr>
                <w:rFonts w:ascii="Arial" w:cs="Arial" w:eastAsia="Arial" w:hAnsi="Arial"/>
                <w:sz w:val="13"/>
                <w:szCs w:val="13"/>
                <w:color w:val="4800E6"/>
              </w:rPr>
              <w:t>2020</w:t>
            </w:r>
            <w:r>
              <w:rPr>
                <w:rFonts w:ascii="Arial" w:cs="Arial" w:eastAsia="Arial" w:hAnsi="Arial"/>
                <w:sz w:val="13"/>
                <w:szCs w:val="13"/>
                <w:b w:val="1"/>
                <w:bCs w:val="1"/>
                <w:color w:val="4800E6"/>
              </w:rPr>
              <w:t xml:space="preserve"> </w:t>
            </w:r>
            <w:r>
              <w:rPr>
                <w:rFonts w:ascii="Arial" w:cs="Arial" w:eastAsia="Arial" w:hAnsi="Arial"/>
                <w:sz w:val="13"/>
                <w:szCs w:val="13"/>
                <w:color w:val="000000"/>
              </w:rPr>
              <w:t>Proxy Statement</w:t>
            </w:r>
          </w:p>
        </w:tc>
        <w:tc>
          <w:tcPr>
            <w:tcW w:w="3080" w:type="dxa"/>
            <w:vAlign w:val="bottom"/>
            <w:tcBorders>
              <w:bottom w:val="single" w:sz="8" w:color="auto"/>
            </w:tcBorders>
          </w:tcPr>
          <w:p>
            <w:pPr>
              <w:spacing w:after="0"/>
              <w:rPr>
                <w:sz w:val="11"/>
                <w:szCs w:val="11"/>
                <w:color w:val="auto"/>
              </w:rPr>
            </w:pPr>
          </w:p>
        </w:tc>
        <w:tc>
          <w:tcPr>
            <w:tcW w:w="980" w:type="dxa"/>
            <w:vAlign w:val="bottom"/>
            <w:vMerge w:val="restart"/>
          </w:tcPr>
          <w:p>
            <w:pPr>
              <w:ind w:left="220"/>
              <w:spacing w:after="0"/>
              <w:rPr>
                <w:sz w:val="20"/>
                <w:szCs w:val="20"/>
                <w:color w:val="auto"/>
              </w:rPr>
            </w:pPr>
            <w:r>
              <w:rPr>
                <w:rFonts w:ascii="Arial" w:cs="Arial" w:eastAsia="Arial" w:hAnsi="Arial"/>
                <w:sz w:val="14"/>
                <w:szCs w:val="14"/>
                <w:b w:val="1"/>
                <w:bCs w:val="1"/>
                <w:color w:val="auto"/>
              </w:rPr>
              <w:t>A-1</w:t>
            </w:r>
          </w:p>
        </w:tc>
        <w:tc>
          <w:tcPr>
            <w:tcW w:w="0" w:type="dxa"/>
            <w:vAlign w:val="bottom"/>
          </w:tcPr>
          <w:p>
            <w:pPr>
              <w:spacing w:after="0"/>
              <w:rPr>
                <w:sz w:val="1"/>
                <w:szCs w:val="1"/>
                <w:color w:val="auto"/>
              </w:rPr>
            </w:pPr>
          </w:p>
        </w:tc>
      </w:tr>
      <w:tr>
        <w:trPr>
          <w:trHeight w:val="49"/>
        </w:trPr>
        <w:tc>
          <w:tcPr>
            <w:tcW w:w="820" w:type="dxa"/>
            <w:vAlign w:val="bottom"/>
            <w:vMerge w:val="continue"/>
          </w:tcPr>
          <w:p>
            <w:pPr>
              <w:spacing w:after="0"/>
              <w:rPr>
                <w:sz w:val="4"/>
                <w:szCs w:val="4"/>
                <w:color w:val="auto"/>
              </w:rPr>
            </w:pPr>
          </w:p>
        </w:tc>
        <w:tc>
          <w:tcPr>
            <w:tcW w:w="3080" w:type="dxa"/>
            <w:vAlign w:val="bottom"/>
          </w:tcPr>
          <w:p>
            <w:pPr>
              <w:spacing w:after="0"/>
              <w:rPr>
                <w:sz w:val="4"/>
                <w:szCs w:val="4"/>
                <w:color w:val="auto"/>
              </w:rPr>
            </w:pPr>
          </w:p>
        </w:tc>
        <w:tc>
          <w:tcPr>
            <w:tcW w:w="2760" w:type="dxa"/>
            <w:vAlign w:val="bottom"/>
            <w:vMerge w:val="continue"/>
          </w:tcPr>
          <w:p>
            <w:pPr>
              <w:spacing w:after="0"/>
              <w:rPr>
                <w:sz w:val="4"/>
                <w:szCs w:val="4"/>
                <w:color w:val="auto"/>
              </w:rPr>
            </w:pPr>
          </w:p>
        </w:tc>
        <w:tc>
          <w:tcPr>
            <w:tcW w:w="3080" w:type="dxa"/>
            <w:vAlign w:val="bottom"/>
          </w:tcPr>
          <w:p>
            <w:pPr>
              <w:spacing w:after="0"/>
              <w:rPr>
                <w:sz w:val="4"/>
                <w:szCs w:val="4"/>
                <w:color w:val="auto"/>
              </w:rPr>
            </w:pPr>
          </w:p>
        </w:tc>
        <w:tc>
          <w:tcPr>
            <w:tcW w:w="98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40"/>
        </w:trPr>
        <w:tc>
          <w:tcPr>
            <w:tcW w:w="820" w:type="dxa"/>
            <w:vAlign w:val="bottom"/>
            <w:tcBorders>
              <w:bottom w:val="single" w:sz="8" w:color="9A9A9A"/>
            </w:tcBorders>
          </w:tcPr>
          <w:p>
            <w:pPr>
              <w:spacing w:after="0"/>
              <w:rPr>
                <w:sz w:val="12"/>
                <w:szCs w:val="12"/>
                <w:color w:val="auto"/>
              </w:rPr>
            </w:pPr>
          </w:p>
        </w:tc>
        <w:tc>
          <w:tcPr>
            <w:tcW w:w="3080" w:type="dxa"/>
            <w:vAlign w:val="bottom"/>
            <w:tcBorders>
              <w:bottom w:val="single" w:sz="8" w:color="9A9A9A"/>
            </w:tcBorders>
          </w:tcPr>
          <w:p>
            <w:pPr>
              <w:spacing w:after="0"/>
              <w:rPr>
                <w:sz w:val="12"/>
                <w:szCs w:val="12"/>
                <w:color w:val="auto"/>
              </w:rPr>
            </w:pPr>
          </w:p>
        </w:tc>
        <w:tc>
          <w:tcPr>
            <w:tcW w:w="2760" w:type="dxa"/>
            <w:vAlign w:val="bottom"/>
            <w:tcBorders>
              <w:bottom w:val="single" w:sz="8" w:color="9A9A9A"/>
            </w:tcBorders>
          </w:tcPr>
          <w:p>
            <w:pPr>
              <w:spacing w:after="0"/>
              <w:rPr>
                <w:sz w:val="12"/>
                <w:szCs w:val="12"/>
                <w:color w:val="auto"/>
              </w:rPr>
            </w:pPr>
          </w:p>
        </w:tc>
        <w:tc>
          <w:tcPr>
            <w:tcW w:w="3080" w:type="dxa"/>
            <w:vAlign w:val="bottom"/>
            <w:tcBorders>
              <w:bottom w:val="single" w:sz="8" w:color="9A9A9A"/>
            </w:tcBorders>
          </w:tcPr>
          <w:p>
            <w:pPr>
              <w:spacing w:after="0"/>
              <w:rPr>
                <w:sz w:val="12"/>
                <w:szCs w:val="12"/>
                <w:color w:val="auto"/>
              </w:rPr>
            </w:pPr>
          </w:p>
        </w:tc>
        <w:tc>
          <w:tcPr>
            <w:tcW w:w="980" w:type="dxa"/>
            <w:vAlign w:val="bottom"/>
            <w:tcBorders>
              <w:bottom w:val="single" w:sz="8" w:color="9A9A9A"/>
            </w:tcBorders>
          </w:tcPr>
          <w:p>
            <w:pPr>
              <w:spacing w:after="0"/>
              <w:rPr>
                <w:sz w:val="12"/>
                <w:szCs w:val="12"/>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6802755</wp:posOffset>
            </wp:positionH>
            <wp:positionV relativeFrom="paragraph">
              <wp:posOffset>-7620</wp:posOffset>
            </wp:positionV>
            <wp:extent cx="8255" cy="8255"/>
            <wp:wrapNone/>
            <wp:docPr id="364" name="Picture 3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4"/>
                    <pic:cNvPicPr>
                      <a:picLocks noChangeAspect="1" noChangeArrowheads="1"/>
                    </pic:cNvPicPr>
                  </pic:nvPicPr>
                  <pic:blipFill>
                    <a:blip r:embed="rId37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wp:posOffset>
            </wp:positionV>
            <wp:extent cx="8890" cy="17145"/>
            <wp:wrapNone/>
            <wp:docPr id="365" name="Picture 3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5"/>
                    <pic:cNvPicPr>
                      <a:picLocks noChangeAspect="1" noChangeArrowheads="1"/>
                    </pic:cNvPicPr>
                  </pic:nvPicPr>
                  <pic:blipFill>
                    <a:blip r:embed="rId372">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sectPr>
          <w:pgSz w:w="11900" w:h="16838" w:orient="portrait"/>
          <w:cols w:equalWidth="0" w:num="1">
            <w:col w:w="10720"/>
          </w:cols>
          <w:pgMar w:left="320" w:top="131" w:right="859" w:bottom="1440" w:gutter="0" w:footer="0" w:header="0"/>
        </w:sectPr>
      </w:pPr>
    </w:p>
    <w:bookmarkStart w:id="80" w:name="page81"/>
    <w:bookmarkEnd w:id="80"/>
    <w:p>
      <w:pPr>
        <w:spacing w:after="0"/>
        <w:rPr>
          <w:rFonts w:ascii="Arial" w:cs="Arial" w:eastAsia="Arial" w:hAnsi="Arial"/>
          <w:sz w:val="14"/>
          <w:szCs w:val="14"/>
          <w:color w:val="003366"/>
        </w:rPr>
      </w:pPr>
      <w:hyperlink w:anchor="page5">
        <w:r>
          <w:rPr>
            <w:rFonts w:ascii="Arial" w:cs="Arial" w:eastAsia="Arial" w:hAnsi="Arial"/>
            <w:sz w:val="14"/>
            <w:szCs w:val="14"/>
            <w:color w:val="003366"/>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485140</wp:posOffset>
            </wp:positionH>
            <wp:positionV relativeFrom="paragraph">
              <wp:posOffset>357505</wp:posOffset>
            </wp:positionV>
            <wp:extent cx="5829300" cy="8255"/>
            <wp:wrapNone/>
            <wp:docPr id="366" name="Picture 3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6"/>
                    <pic:cNvPicPr>
                      <a:picLocks noChangeAspect="1" noChangeArrowheads="1"/>
                    </pic:cNvPicPr>
                  </pic:nvPicPr>
                  <pic:blipFill>
                    <a:blip r:embed="rId373">
                      <a:extLst>
                        <a:ext uri="{28A0092B-C50C-407E-A947-70E740481C1C}"/>
                      </a:extLst>
                    </a:blip>
                    <a:srcRect/>
                    <a:stretch>
                      <a:fillRect/>
                    </a:stretch>
                  </pic:blipFill>
                  <pic:spPr bwMode="auto">
                    <a:xfrm>
                      <a:off x="0" y="0"/>
                      <a:ext cx="5829300" cy="8255"/>
                    </a:xfrm>
                    <a:prstGeom prst="rect">
                      <a:avLst/>
                    </a:prstGeom>
                    <a:noFill/>
                  </pic:spPr>
                </pic:pic>
              </a:graphicData>
            </a:graphic>
          </wp:anchor>
        </w:drawing>
      </w:r>
    </w:p>
    <w:p>
      <w:pPr>
        <w:sectPr>
          <w:pgSz w:w="11900" w:h="16838" w:orient="portrait"/>
          <w:cols w:equalWidth="0" w:num="1">
            <w:col w:w="10139"/>
          </w:cols>
          <w:pgMar w:left="320" w:top="131"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ind w:left="1200" w:right="299"/>
        <w:spacing w:after="0" w:line="292" w:lineRule="auto"/>
        <w:rPr>
          <w:sz w:val="20"/>
          <w:szCs w:val="20"/>
          <w:color w:val="auto"/>
        </w:rPr>
      </w:pPr>
      <w:r>
        <w:rPr>
          <w:rFonts w:ascii="Arial" w:cs="Arial" w:eastAsia="Arial" w:hAnsi="Arial"/>
          <w:sz w:val="15"/>
          <w:szCs w:val="15"/>
          <w:color w:val="auto"/>
        </w:rPr>
        <w:t>“</w:t>
      </w:r>
      <w:r>
        <w:rPr>
          <w:rFonts w:ascii="Arial" w:cs="Arial" w:eastAsia="Arial" w:hAnsi="Arial"/>
          <w:sz w:val="15"/>
          <w:szCs w:val="15"/>
          <w:b w:val="1"/>
          <w:bCs w:val="1"/>
          <w:color w:val="auto"/>
        </w:rPr>
        <w:t>Governmental Authority</w:t>
      </w:r>
      <w:r>
        <w:rPr>
          <w:rFonts w:ascii="Arial" w:cs="Arial" w:eastAsia="Arial" w:hAnsi="Arial"/>
          <w:sz w:val="15"/>
          <w:szCs w:val="15"/>
          <w:color w:val="auto"/>
        </w:rPr>
        <w:t xml:space="preserve">” shall mean any </w:t>
      </w:r>
      <w:r>
        <w:rPr>
          <w:rFonts w:ascii="Arial" w:cs="Arial" w:eastAsia="Arial" w:hAnsi="Arial"/>
          <w:sz w:val="15"/>
          <w:szCs w:val="15"/>
          <w:u w:val="single" w:color="auto"/>
          <w:color w:val="auto"/>
        </w:rPr>
        <w:t>supranational,</w:t>
      </w:r>
      <w:r>
        <w:rPr>
          <w:rFonts w:ascii="Arial" w:cs="Arial" w:eastAsia="Arial" w:hAnsi="Arial"/>
          <w:sz w:val="15"/>
          <w:szCs w:val="15"/>
          <w:color w:val="auto"/>
        </w:rPr>
        <w:t xml:space="preserve"> national, federal, state, county, municipal, local or foreign government, or other political subdivision thereof, any entity exercising executive, legislative, judicial, regulatory, taxing or administrative functions of or pertaining to government, and any arbitrator or arbitral body or panel of competent jurisdiction;</w:t>
      </w:r>
    </w:p>
    <w:p>
      <w:pPr>
        <w:spacing w:after="0" w:line="32" w:lineRule="exact"/>
        <w:rPr>
          <w:sz w:val="20"/>
          <w:szCs w:val="20"/>
          <w:color w:val="auto"/>
        </w:rPr>
      </w:pPr>
    </w:p>
    <w:p>
      <w:pPr>
        <w:ind w:left="1200" w:right="439"/>
        <w:spacing w:after="0" w:line="286"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holder</w:t>
      </w:r>
      <w:r>
        <w:rPr>
          <w:rFonts w:ascii="Arial" w:cs="Arial" w:eastAsia="Arial" w:hAnsi="Arial"/>
          <w:sz w:val="16"/>
          <w:szCs w:val="16"/>
          <w:color w:val="auto"/>
        </w:rPr>
        <w:t xml:space="preserve">” means, in relation to a share in the capital of the Company, the member whose name is entered in the register </w:t>
      </w:r>
      <w:r>
        <w:rPr>
          <w:rFonts w:ascii="Arial" w:cs="Arial" w:eastAsia="Arial" w:hAnsi="Arial"/>
          <w:sz w:val="16"/>
          <w:szCs w:val="16"/>
          <w:color w:val="auto"/>
          <w:strike w:val="1"/>
        </w:rPr>
        <w:t>of</w:t>
      </w:r>
      <w:r>
        <w:rPr>
          <w:rFonts w:ascii="Arial" w:cs="Arial" w:eastAsia="Arial" w:hAnsi="Arial"/>
          <w:sz w:val="16"/>
          <w:szCs w:val="16"/>
          <w:color w:val="auto"/>
        </w:rPr>
        <w:t xml:space="preserve"> </w:t>
      </w:r>
      <w:r>
        <w:rPr>
          <w:rFonts w:ascii="Arial" w:cs="Arial" w:eastAsia="Arial" w:hAnsi="Arial"/>
          <w:sz w:val="16"/>
          <w:szCs w:val="16"/>
          <w:color w:val="auto"/>
          <w:strike w:val="1"/>
        </w:rPr>
        <w:t>members</w:t>
      </w:r>
      <w:r>
        <w:rPr>
          <w:rFonts w:ascii="Arial" w:cs="Arial" w:eastAsia="Arial" w:hAnsi="Arial"/>
          <w:sz w:val="16"/>
          <w:szCs w:val="16"/>
          <w:color w:val="auto"/>
        </w:rPr>
        <w:t xml:space="preserve"> as the holder of that share;</w:t>
      </w:r>
    </w:p>
    <w:p>
      <w:pPr>
        <w:spacing w:after="0" w:line="34" w:lineRule="exact"/>
        <w:rPr>
          <w:sz w:val="20"/>
          <w:szCs w:val="20"/>
          <w:color w:val="auto"/>
        </w:rPr>
      </w:pPr>
    </w:p>
    <w:p>
      <w:pPr>
        <w:ind w:left="1200" w:right="479"/>
        <w:spacing w:after="0" w:line="256"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Independent Director</w:t>
      </w:r>
      <w:r>
        <w:rPr>
          <w:rFonts w:ascii="Arial" w:cs="Arial" w:eastAsia="Arial" w:hAnsi="Arial"/>
          <w:sz w:val="16"/>
          <w:szCs w:val="16"/>
          <w:color w:val="auto"/>
        </w:rPr>
        <w:t xml:space="preserve">” means a </w:t>
      </w:r>
      <w:r>
        <w:rPr>
          <w:rFonts w:ascii="Arial" w:cs="Arial" w:eastAsia="Arial" w:hAnsi="Arial"/>
          <w:sz w:val="16"/>
          <w:szCs w:val="16"/>
          <w:color w:val="auto"/>
          <w:strike w:val="1"/>
        </w:rPr>
        <w:t>director</w:t>
      </w:r>
      <w:r>
        <w:rPr>
          <w:rFonts w:ascii="Arial" w:cs="Arial" w:eastAsia="Arial" w:hAnsi="Arial"/>
          <w:sz w:val="16"/>
          <w:szCs w:val="16"/>
          <w:u w:val="single" w:color="auto"/>
          <w:color w:val="auto"/>
        </w:rPr>
        <w:t>Director</w:t>
      </w:r>
      <w:r>
        <w:rPr>
          <w:rFonts w:ascii="Arial" w:cs="Arial" w:eastAsia="Arial" w:hAnsi="Arial"/>
          <w:sz w:val="16"/>
          <w:szCs w:val="16"/>
          <w:color w:val="auto"/>
        </w:rPr>
        <w:t xml:space="preserve"> who meets </w:t>
      </w:r>
      <w:r>
        <w:rPr>
          <w:rFonts w:ascii="Arial" w:cs="Arial" w:eastAsia="Arial" w:hAnsi="Arial"/>
          <w:sz w:val="16"/>
          <w:szCs w:val="16"/>
          <w:u w:val="single" w:color="auto"/>
          <w:color w:val="auto"/>
        </w:rPr>
        <w:t>(i)</w:t>
      </w:r>
      <w:r>
        <w:rPr>
          <w:rFonts w:ascii="Arial" w:cs="Arial" w:eastAsia="Arial" w:hAnsi="Arial"/>
          <w:sz w:val="16"/>
          <w:szCs w:val="16"/>
          <w:color w:val="auto"/>
        </w:rPr>
        <w:t xml:space="preserve"> the independence standards of the </w:t>
      </w:r>
      <w:r>
        <w:rPr>
          <w:rFonts w:ascii="Arial" w:cs="Arial" w:eastAsia="Arial" w:hAnsi="Arial"/>
          <w:sz w:val="16"/>
          <w:szCs w:val="16"/>
          <w:color w:val="auto"/>
          <w:strike w:val="1"/>
        </w:rPr>
        <w:t>NASDAQ</w:t>
      </w:r>
      <w:r>
        <w:rPr>
          <w:rFonts w:ascii="Arial" w:cs="Arial" w:eastAsia="Arial" w:hAnsi="Arial"/>
          <w:sz w:val="16"/>
          <w:szCs w:val="16"/>
          <w:u w:val="single" w:color="auto"/>
          <w:color w:val="auto"/>
        </w:rPr>
        <w:t>Relevant</w:t>
      </w:r>
      <w:r>
        <w:rPr>
          <w:rFonts w:ascii="Arial" w:cs="Arial" w:eastAsia="Arial" w:hAnsi="Arial"/>
          <w:sz w:val="16"/>
          <w:szCs w:val="16"/>
          <w:color w:val="auto"/>
        </w:rPr>
        <w:t xml:space="preserve"> </w:t>
      </w:r>
      <w:r>
        <w:rPr>
          <w:rFonts w:ascii="Arial" w:cs="Arial" w:eastAsia="Arial" w:hAnsi="Arial"/>
          <w:sz w:val="16"/>
          <w:szCs w:val="16"/>
          <w:u w:val="single" w:color="auto"/>
          <w:color w:val="auto"/>
        </w:rPr>
        <w:t>Rules</w:t>
      </w:r>
      <w:r>
        <w:rPr>
          <w:rFonts w:ascii="Arial" w:cs="Arial" w:eastAsia="Arial" w:hAnsi="Arial"/>
          <w:sz w:val="16"/>
          <w:szCs w:val="16"/>
          <w:color w:val="auto"/>
        </w:rPr>
        <w:t xml:space="preserve"> applicable to non-controlled domestic US issuers</w:t>
      </w:r>
      <w:r>
        <w:rPr>
          <w:rFonts w:ascii="Arial" w:cs="Arial" w:eastAsia="Arial" w:hAnsi="Arial"/>
          <w:sz w:val="16"/>
          <w:szCs w:val="16"/>
          <w:color w:val="auto"/>
          <w:strike w:val="1"/>
        </w:rPr>
        <w:t>;</w:t>
      </w:r>
      <w:r>
        <w:rPr>
          <w:rFonts w:ascii="Arial" w:cs="Arial" w:eastAsia="Arial" w:hAnsi="Arial"/>
          <w:sz w:val="16"/>
          <w:szCs w:val="16"/>
          <w:color w:val="auto"/>
        </w:rPr>
        <w:t xml:space="preserve"> “</w:t>
      </w:r>
      <w:r>
        <w:rPr>
          <w:rFonts w:ascii="Arial" w:cs="Arial" w:eastAsia="Arial" w:hAnsi="Arial"/>
          <w:sz w:val="16"/>
          <w:szCs w:val="16"/>
          <w:b w:val="1"/>
          <w:bCs w:val="1"/>
          <w:color w:val="auto"/>
          <w:strike w:val="1"/>
        </w:rPr>
        <w:t>Law</w:t>
      </w:r>
      <w:r>
        <w:rPr>
          <w:rFonts w:ascii="Arial" w:cs="Arial" w:eastAsia="Arial" w:hAnsi="Arial"/>
          <w:sz w:val="16"/>
          <w:szCs w:val="16"/>
          <w:color w:val="auto"/>
        </w:rPr>
        <w:t xml:space="preserve">” </w:t>
      </w:r>
      <w:r>
        <w:rPr>
          <w:rFonts w:ascii="Arial" w:cs="Arial" w:eastAsia="Arial" w:hAnsi="Arial"/>
          <w:sz w:val="16"/>
          <w:szCs w:val="16"/>
          <w:color w:val="auto"/>
          <w:strike w:val="1"/>
        </w:rPr>
        <w:t>means</w:t>
      </w:r>
      <w:r>
        <w:rPr>
          <w:rFonts w:ascii="Arial" w:cs="Arial" w:eastAsia="Arial" w:hAnsi="Arial"/>
          <w:sz w:val="16"/>
          <w:szCs w:val="16"/>
          <w:color w:val="auto"/>
        </w:rPr>
        <w:t xml:space="preserve"> </w:t>
      </w:r>
      <w:r>
        <w:rPr>
          <w:rFonts w:ascii="Arial" w:cs="Arial" w:eastAsia="Arial" w:hAnsi="Arial"/>
          <w:sz w:val="16"/>
          <w:szCs w:val="16"/>
          <w:u w:val="single" w:color="auto"/>
          <w:color w:val="auto"/>
        </w:rPr>
        <w:t>and (ii) in the case of</w:t>
      </w:r>
      <w:r>
        <w:rPr>
          <w:rFonts w:ascii="Arial" w:cs="Arial" w:eastAsia="Arial" w:hAnsi="Arial"/>
          <w:sz w:val="16"/>
          <w:szCs w:val="16"/>
          <w:color w:val="auto"/>
        </w:rPr>
        <w:t xml:space="preserve"> any </w:t>
      </w:r>
      <w:r>
        <w:rPr>
          <w:rFonts w:ascii="Arial" w:cs="Arial" w:eastAsia="Arial" w:hAnsi="Arial"/>
          <w:sz w:val="16"/>
          <w:szCs w:val="16"/>
          <w:color w:val="auto"/>
          <w:strike w:val="1"/>
        </w:rPr>
        <w:t>federal, state, provincial,</w:t>
      </w:r>
      <w:r>
        <w:rPr>
          <w:rFonts w:ascii="Arial" w:cs="Arial" w:eastAsia="Arial" w:hAnsi="Arial"/>
          <w:sz w:val="16"/>
          <w:szCs w:val="16"/>
          <w:color w:val="auto"/>
        </w:rPr>
        <w:t xml:space="preserve"> </w:t>
      </w:r>
      <w:r>
        <w:rPr>
          <w:rFonts w:ascii="Arial" w:cs="Arial" w:eastAsia="Arial" w:hAnsi="Arial"/>
          <w:sz w:val="16"/>
          <w:szCs w:val="16"/>
          <w:color w:val="auto"/>
          <w:strike w:val="1"/>
        </w:rPr>
        <w:t>municipal, local or foreign law, statute, code, ordinance, rule, regulation, circular, order, judgment, writ, stipulation, award, injunction, decree or arbitration award or finding</w:t>
      </w:r>
      <w:r>
        <w:rPr>
          <w:rFonts w:ascii="Arial" w:cs="Arial" w:eastAsia="Arial" w:hAnsi="Arial"/>
          <w:sz w:val="16"/>
          <w:szCs w:val="16"/>
          <w:u w:val="single" w:color="auto"/>
          <w:color w:val="auto"/>
          <w:strike w:val="1"/>
        </w:rPr>
        <w:t>appointment to the audit committee of the Company, the independence</w:t>
      </w:r>
      <w:r>
        <w:rPr>
          <w:rFonts w:ascii="Arial" w:cs="Arial" w:eastAsia="Arial" w:hAnsi="Arial"/>
          <w:sz w:val="16"/>
          <w:szCs w:val="16"/>
          <w:color w:val="auto"/>
          <w:strike w:val="1"/>
        </w:rPr>
        <w:t xml:space="preserve"> </w:t>
      </w:r>
      <w:r>
        <w:rPr>
          <w:rFonts w:ascii="Arial" w:cs="Arial" w:eastAsia="Arial" w:hAnsi="Arial"/>
          <w:sz w:val="16"/>
          <w:szCs w:val="16"/>
          <w:u w:val="single" w:color="auto"/>
          <w:color w:val="auto"/>
          <w:strike w:val="1"/>
        </w:rPr>
        <w:t>standards set forth in Rule 10A-3 under the Exchange Act as amended from time to time</w:t>
      </w:r>
      <w:r>
        <w:rPr>
          <w:rFonts w:ascii="Arial" w:cs="Arial" w:eastAsia="Arial" w:hAnsi="Arial"/>
          <w:sz w:val="16"/>
          <w:szCs w:val="16"/>
          <w:color w:val="auto"/>
          <w:strike w:val="1"/>
        </w:rPr>
        <w:t>;</w:t>
      </w:r>
    </w:p>
    <w:p>
      <w:pPr>
        <w:spacing w:after="0" w:line="45" w:lineRule="exact"/>
        <w:rPr>
          <w:sz w:val="20"/>
          <w:szCs w:val="20"/>
          <w:color w:val="auto"/>
        </w:rPr>
      </w:pPr>
    </w:p>
    <w:p>
      <w:pPr>
        <w:ind w:left="120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member</w:t>
      </w:r>
      <w:r>
        <w:rPr>
          <w:rFonts w:ascii="Arial" w:cs="Arial" w:eastAsia="Arial" w:hAnsi="Arial"/>
          <w:sz w:val="16"/>
          <w:szCs w:val="16"/>
          <w:color w:val="auto"/>
        </w:rPr>
        <w:t>” means a member of the Company;</w:t>
      </w:r>
    </w:p>
    <w:p>
      <w:pPr>
        <w:spacing w:after="0" w:line="100" w:lineRule="exact"/>
        <w:rPr>
          <w:sz w:val="20"/>
          <w:szCs w:val="20"/>
          <w:color w:val="auto"/>
        </w:rPr>
      </w:pPr>
    </w:p>
    <w:p>
      <w:pPr>
        <w:ind w:left="1200" w:right="2719"/>
        <w:spacing w:after="0" w:line="361"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NASDAQ</w:t>
      </w:r>
      <w:r>
        <w:rPr>
          <w:rFonts w:ascii="Arial" w:cs="Arial" w:eastAsia="Arial" w:hAnsi="Arial"/>
          <w:sz w:val="16"/>
          <w:szCs w:val="16"/>
          <w:color w:val="auto"/>
        </w:rPr>
        <w:t>” means the National Association of Securities Dealers Automated Quotations; “</w:t>
      </w:r>
      <w:r>
        <w:rPr>
          <w:rFonts w:ascii="Arial" w:cs="Arial" w:eastAsia="Arial" w:hAnsi="Arial"/>
          <w:sz w:val="16"/>
          <w:szCs w:val="16"/>
          <w:b w:val="1"/>
          <w:bCs w:val="1"/>
          <w:color w:val="auto"/>
        </w:rPr>
        <w:t>Office</w:t>
      </w:r>
      <w:r>
        <w:rPr>
          <w:rFonts w:ascii="Arial" w:cs="Arial" w:eastAsia="Arial" w:hAnsi="Arial"/>
          <w:sz w:val="16"/>
          <w:szCs w:val="16"/>
          <w:color w:val="auto"/>
        </w:rPr>
        <w:t>” means the registered office of the Company from time to time;</w:t>
      </w:r>
    </w:p>
    <w:p>
      <w:pPr>
        <w:ind w:left="120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strike w:val="1"/>
        </w:rPr>
        <w:t>officer</w:t>
      </w:r>
      <w:r>
        <w:rPr>
          <w:rFonts w:ascii="Arial" w:cs="Arial" w:eastAsia="Arial" w:hAnsi="Arial"/>
          <w:sz w:val="16"/>
          <w:szCs w:val="16"/>
          <w:color w:val="auto"/>
        </w:rPr>
        <w:t xml:space="preserve">” </w:t>
      </w:r>
      <w:r>
        <w:rPr>
          <w:rFonts w:ascii="Arial" w:cs="Arial" w:eastAsia="Arial" w:hAnsi="Arial"/>
          <w:sz w:val="16"/>
          <w:szCs w:val="16"/>
          <w:color w:val="auto"/>
          <w:strike w:val="1"/>
        </w:rPr>
        <w:t>includes a Director, manager and the secretary, but shall not include an auditor;</w:t>
      </w:r>
    </w:p>
    <w:p>
      <w:pPr>
        <w:spacing w:after="0" w:line="100" w:lineRule="exact"/>
        <w:rPr>
          <w:sz w:val="20"/>
          <w:szCs w:val="20"/>
          <w:color w:val="auto"/>
        </w:rPr>
      </w:pPr>
    </w:p>
    <w:p>
      <w:pPr>
        <w:ind w:left="1200" w:right="499"/>
        <w:spacing w:after="0" w:line="286"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strike w:val="1"/>
        </w:rPr>
        <w:t>Official List</w:t>
      </w:r>
      <w:r>
        <w:rPr>
          <w:rFonts w:ascii="Arial" w:cs="Arial" w:eastAsia="Arial" w:hAnsi="Arial"/>
          <w:sz w:val="16"/>
          <w:szCs w:val="16"/>
          <w:color w:val="auto"/>
        </w:rPr>
        <w:t xml:space="preserve">” </w:t>
      </w:r>
      <w:r>
        <w:rPr>
          <w:rFonts w:ascii="Arial" w:cs="Arial" w:eastAsia="Arial" w:hAnsi="Arial"/>
          <w:sz w:val="16"/>
          <w:szCs w:val="16"/>
          <w:color w:val="auto"/>
          <w:strike w:val="1"/>
        </w:rPr>
        <w:t>means the list of securities that have been admitted to listing which is maintained by the Financial Conduct</w:t>
      </w:r>
      <w:r>
        <w:rPr>
          <w:rFonts w:ascii="Arial" w:cs="Arial" w:eastAsia="Arial" w:hAnsi="Arial"/>
          <w:sz w:val="16"/>
          <w:szCs w:val="16"/>
          <w:color w:val="auto"/>
        </w:rPr>
        <w:t xml:space="preserve"> </w:t>
      </w:r>
      <w:r>
        <w:rPr>
          <w:rFonts w:ascii="Arial" w:cs="Arial" w:eastAsia="Arial" w:hAnsi="Arial"/>
          <w:sz w:val="16"/>
          <w:szCs w:val="16"/>
          <w:color w:val="auto"/>
          <w:strike w:val="1"/>
        </w:rPr>
        <w:t>Authority in accordance with section 74(1) of FSMA;</w:t>
      </w:r>
    </w:p>
    <w:p>
      <w:pPr>
        <w:spacing w:after="0" w:line="34" w:lineRule="exact"/>
        <w:rPr>
          <w:sz w:val="20"/>
          <w:szCs w:val="20"/>
          <w:color w:val="auto"/>
        </w:rPr>
      </w:pPr>
    </w:p>
    <w:p>
      <w:pPr>
        <w:ind w:left="1200" w:right="399"/>
        <w:spacing w:after="0" w:line="286"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Operator</w:t>
      </w:r>
      <w:r>
        <w:rPr>
          <w:rFonts w:ascii="Arial" w:cs="Arial" w:eastAsia="Arial" w:hAnsi="Arial"/>
          <w:sz w:val="16"/>
          <w:szCs w:val="16"/>
          <w:color w:val="auto"/>
        </w:rPr>
        <w:t xml:space="preserve">” means </w:t>
      </w:r>
      <w:r>
        <w:rPr>
          <w:rFonts w:ascii="Arial" w:cs="Arial" w:eastAsia="Arial" w:hAnsi="Arial"/>
          <w:sz w:val="16"/>
          <w:szCs w:val="16"/>
          <w:color w:val="auto"/>
          <w:strike w:val="1"/>
        </w:rPr>
        <w:t>Euroclear UK and Ireland Limited or such other person as may</w:t>
      </w:r>
      <w:r>
        <w:rPr>
          <w:rFonts w:ascii="Arial" w:cs="Arial" w:eastAsia="Arial" w:hAnsi="Arial"/>
          <w:sz w:val="16"/>
          <w:szCs w:val="16"/>
          <w:u w:val="single" w:color="auto"/>
          <w:color w:val="auto"/>
        </w:rPr>
        <w:t>the operator of a relevant system</w:t>
      </w:r>
      <w:r>
        <w:rPr>
          <w:rFonts w:ascii="Arial" w:cs="Arial" w:eastAsia="Arial" w:hAnsi="Arial"/>
          <w:sz w:val="16"/>
          <w:szCs w:val="16"/>
          <w:color w:val="auto"/>
        </w:rPr>
        <w:t xml:space="preserve"> for the </w:t>
      </w:r>
      <w:r>
        <w:rPr>
          <w:rFonts w:ascii="Arial" w:cs="Arial" w:eastAsia="Arial" w:hAnsi="Arial"/>
          <w:sz w:val="16"/>
          <w:szCs w:val="16"/>
          <w:color w:val="auto"/>
          <w:strike w:val="1"/>
        </w:rPr>
        <w:t>time being be approved by HM Treasury as Operator under</w:t>
      </w:r>
      <w:r>
        <w:rPr>
          <w:rFonts w:ascii="Arial" w:cs="Arial" w:eastAsia="Arial" w:hAnsi="Arial"/>
          <w:sz w:val="16"/>
          <w:szCs w:val="16"/>
          <w:u w:val="single" w:color="auto"/>
          <w:color w:val="auto"/>
        </w:rPr>
        <w:t>purposes of</w:t>
      </w:r>
      <w:r>
        <w:rPr>
          <w:rFonts w:ascii="Arial" w:cs="Arial" w:eastAsia="Arial" w:hAnsi="Arial"/>
          <w:sz w:val="16"/>
          <w:szCs w:val="16"/>
          <w:color w:val="auto"/>
        </w:rPr>
        <w:t xml:space="preserve"> the Uncertificated Securities Rules;</w:t>
      </w:r>
    </w:p>
    <w:p>
      <w:pPr>
        <w:spacing w:after="0" w:line="21" w:lineRule="exact"/>
        <w:rPr>
          <w:sz w:val="20"/>
          <w:szCs w:val="20"/>
          <w:color w:val="auto"/>
        </w:rPr>
      </w:pPr>
    </w:p>
    <w:p>
      <w:pPr>
        <w:ind w:left="1200" w:right="239"/>
        <w:spacing w:after="0" w:line="286"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Ordinary Shares</w:t>
      </w:r>
      <w:r>
        <w:rPr>
          <w:rFonts w:ascii="Arial" w:cs="Arial" w:eastAsia="Arial" w:hAnsi="Arial"/>
          <w:sz w:val="16"/>
          <w:szCs w:val="16"/>
          <w:color w:val="auto"/>
        </w:rPr>
        <w:t xml:space="preserve">” means the ordinary shares in the capital of the Company </w:t>
      </w:r>
      <w:r>
        <w:rPr>
          <w:rFonts w:ascii="Arial" w:cs="Arial" w:eastAsia="Arial" w:hAnsi="Arial"/>
          <w:sz w:val="16"/>
          <w:szCs w:val="16"/>
          <w:color w:val="auto"/>
          <w:strike w:val="1"/>
        </w:rPr>
        <w:t>from time to time, identified in Article 4.1(a) and</w:t>
      </w:r>
      <w:r>
        <w:rPr>
          <w:rFonts w:ascii="Arial" w:cs="Arial" w:eastAsia="Arial" w:hAnsi="Arial"/>
          <w:sz w:val="16"/>
          <w:szCs w:val="16"/>
          <w:color w:val="auto"/>
        </w:rPr>
        <w:t xml:space="preserve"> </w:t>
      </w:r>
      <w:r>
        <w:rPr>
          <w:rFonts w:ascii="Arial" w:cs="Arial" w:eastAsia="Arial" w:hAnsi="Arial"/>
          <w:sz w:val="16"/>
          <w:szCs w:val="16"/>
          <w:color w:val="auto"/>
          <w:strike w:val="1"/>
        </w:rPr>
        <w:t>with the rights set out therein and these Articles generally</w:t>
      </w:r>
      <w:r>
        <w:rPr>
          <w:rFonts w:ascii="Arial" w:cs="Arial" w:eastAsia="Arial" w:hAnsi="Arial"/>
          <w:sz w:val="16"/>
          <w:szCs w:val="16"/>
          <w:color w:val="auto"/>
        </w:rPr>
        <w:t>;</w:t>
      </w:r>
    </w:p>
    <w:p>
      <w:pPr>
        <w:spacing w:after="0" w:line="34" w:lineRule="exact"/>
        <w:rPr>
          <w:sz w:val="20"/>
          <w:szCs w:val="20"/>
          <w:color w:val="auto"/>
        </w:rPr>
      </w:pPr>
    </w:p>
    <w:p>
      <w:pPr>
        <w:ind w:left="120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paid</w:t>
      </w:r>
      <w:r>
        <w:rPr>
          <w:rFonts w:ascii="Arial" w:cs="Arial" w:eastAsia="Arial" w:hAnsi="Arial"/>
          <w:sz w:val="16"/>
          <w:szCs w:val="16"/>
          <w:color w:val="auto"/>
        </w:rPr>
        <w:t>” means paid or credited as paid;</w:t>
      </w:r>
    </w:p>
    <w:p>
      <w:pPr>
        <w:spacing w:after="0" w:line="100" w:lineRule="exact"/>
        <w:rPr>
          <w:sz w:val="20"/>
          <w:szCs w:val="20"/>
          <w:color w:val="auto"/>
        </w:rPr>
      </w:pPr>
    </w:p>
    <w:p>
      <w:pPr>
        <w:ind w:left="1200" w:right="239"/>
        <w:spacing w:after="0" w:line="286"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participating class</w:t>
      </w:r>
      <w:r>
        <w:rPr>
          <w:rFonts w:ascii="Arial" w:cs="Arial" w:eastAsia="Arial" w:hAnsi="Arial"/>
          <w:sz w:val="16"/>
          <w:szCs w:val="16"/>
          <w:color w:val="auto"/>
        </w:rPr>
        <w:t xml:space="preserve">” means a class of shares title to which is permitted by the </w:t>
      </w:r>
      <w:r>
        <w:rPr>
          <w:rFonts w:ascii="Arial" w:cs="Arial" w:eastAsia="Arial" w:hAnsi="Arial"/>
          <w:sz w:val="16"/>
          <w:szCs w:val="16"/>
          <w:color w:val="auto"/>
          <w:strike w:val="1"/>
        </w:rPr>
        <w:t>operator</w:t>
      </w:r>
      <w:r>
        <w:rPr>
          <w:rFonts w:ascii="Arial" w:cs="Arial" w:eastAsia="Arial" w:hAnsi="Arial"/>
          <w:sz w:val="16"/>
          <w:szCs w:val="16"/>
          <w:u w:val="single" w:color="auto"/>
          <w:color w:val="auto"/>
        </w:rPr>
        <w:t>Operator</w:t>
      </w:r>
      <w:r>
        <w:rPr>
          <w:rFonts w:ascii="Arial" w:cs="Arial" w:eastAsia="Arial" w:hAnsi="Arial"/>
          <w:sz w:val="16"/>
          <w:szCs w:val="16"/>
          <w:color w:val="auto"/>
        </w:rPr>
        <w:t xml:space="preserve"> to be transferred by means of a relevant system;</w:t>
      </w:r>
    </w:p>
    <w:p>
      <w:pPr>
        <w:spacing w:after="0" w:line="21" w:lineRule="exact"/>
        <w:rPr>
          <w:sz w:val="20"/>
          <w:szCs w:val="20"/>
          <w:color w:val="auto"/>
        </w:rPr>
      </w:pPr>
    </w:p>
    <w:p>
      <w:pPr>
        <w:ind w:left="1200" w:right="659"/>
        <w:spacing w:after="0" w:line="286"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strike w:val="1"/>
        </w:rPr>
        <w:t>Percentage Interest</w:t>
      </w:r>
      <w:r>
        <w:rPr>
          <w:rFonts w:ascii="Arial" w:cs="Arial" w:eastAsia="Arial" w:hAnsi="Arial"/>
          <w:sz w:val="16"/>
          <w:szCs w:val="16"/>
          <w:color w:val="auto"/>
        </w:rPr>
        <w:t xml:space="preserve">” </w:t>
      </w:r>
      <w:r>
        <w:rPr>
          <w:rFonts w:ascii="Arial" w:cs="Arial" w:eastAsia="Arial" w:hAnsi="Arial"/>
          <w:sz w:val="16"/>
          <w:szCs w:val="16"/>
          <w:color w:val="auto"/>
          <w:strike w:val="1"/>
        </w:rPr>
        <w:t>means, with respect to any member, the percentage of the total outstanding Ordinary Shares of</w:t>
      </w:r>
      <w:r>
        <w:rPr>
          <w:rFonts w:ascii="Arial" w:cs="Arial" w:eastAsia="Arial" w:hAnsi="Arial"/>
          <w:sz w:val="16"/>
          <w:szCs w:val="16"/>
          <w:color w:val="auto"/>
        </w:rPr>
        <w:t xml:space="preserve"> </w:t>
      </w:r>
      <w:r>
        <w:rPr>
          <w:rFonts w:ascii="Arial" w:cs="Arial" w:eastAsia="Arial" w:hAnsi="Arial"/>
          <w:sz w:val="16"/>
          <w:szCs w:val="16"/>
          <w:color w:val="auto"/>
          <w:strike w:val="1"/>
        </w:rPr>
        <w:t>owned by that member;</w:t>
      </w:r>
    </w:p>
    <w:p>
      <w:pPr>
        <w:spacing w:after="0" w:line="34" w:lineRule="exact"/>
        <w:rPr>
          <w:sz w:val="20"/>
          <w:szCs w:val="20"/>
          <w:color w:val="auto"/>
        </w:rPr>
      </w:pPr>
    </w:p>
    <w:p>
      <w:pPr>
        <w:ind w:left="1200" w:right="479"/>
        <w:spacing w:after="0" w:line="266"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strike w:val="1"/>
        </w:rPr>
        <w:t>Person</w:t>
      </w:r>
      <w:r>
        <w:rPr>
          <w:rFonts w:ascii="Arial" w:cs="Arial" w:eastAsia="Arial" w:hAnsi="Arial"/>
          <w:sz w:val="16"/>
          <w:szCs w:val="16"/>
          <w:color w:val="auto"/>
        </w:rPr>
        <w:t>”</w:t>
      </w:r>
      <w:r>
        <w:rPr>
          <w:rFonts w:ascii="Arial" w:cs="Arial" w:eastAsia="Arial" w:hAnsi="Arial"/>
          <w:sz w:val="16"/>
          <w:szCs w:val="16"/>
          <w:b w:val="1"/>
          <w:bCs w:val="1"/>
          <w:color w:val="auto"/>
        </w:rPr>
        <w:t>“</w:t>
      </w:r>
      <w:r>
        <w:rPr>
          <w:rFonts w:ascii="Arial" w:cs="Arial" w:eastAsia="Arial" w:hAnsi="Arial"/>
          <w:sz w:val="16"/>
          <w:szCs w:val="16"/>
          <w:b w:val="1"/>
          <w:bCs w:val="1"/>
          <w:u w:val="single" w:color="auto"/>
          <w:color w:val="auto"/>
        </w:rPr>
        <w:t>person</w:t>
      </w:r>
      <w:r>
        <w:rPr>
          <w:rFonts w:ascii="Arial" w:cs="Arial" w:eastAsia="Arial" w:hAnsi="Arial"/>
          <w:sz w:val="16"/>
          <w:szCs w:val="16"/>
          <w:color w:val="auto"/>
        </w:rPr>
        <w:t>” means any individual, corporation, limited company, limited liability company, partnership, association, trust, unincorporated organization, Governmental Authority, other entity or group (as defined in Section 13(d) of the Exchange Act);</w:t>
      </w:r>
    </w:p>
    <w:p>
      <w:pPr>
        <w:spacing w:after="0" w:line="50" w:lineRule="exact"/>
        <w:rPr>
          <w:sz w:val="20"/>
          <w:szCs w:val="20"/>
          <w:color w:val="auto"/>
        </w:rPr>
      </w:pPr>
    </w:p>
    <w:p>
      <w:pPr>
        <w:jc w:val="both"/>
        <w:ind w:left="1200" w:right="319"/>
        <w:spacing w:after="0" w:line="266"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present</w:t>
      </w:r>
      <w:r>
        <w:rPr>
          <w:rFonts w:ascii="Arial" w:cs="Arial" w:eastAsia="Arial" w:hAnsi="Arial"/>
          <w:sz w:val="16"/>
          <w:szCs w:val="16"/>
          <w:color w:val="auto"/>
        </w:rPr>
        <w:t>” means for the purposes of physical general meetings, present in person or, for the purposes of electronic general meetings, present by electronic means</w:t>
      </w:r>
      <w:r>
        <w:rPr>
          <w:rFonts w:ascii="Arial" w:cs="Arial" w:eastAsia="Arial" w:hAnsi="Arial"/>
          <w:sz w:val="16"/>
          <w:szCs w:val="16"/>
          <w:color w:val="auto"/>
          <w:strike w:val="1"/>
        </w:rPr>
        <w:t>;</w:t>
      </w:r>
      <w:r>
        <w:rPr>
          <w:rFonts w:ascii="Arial" w:cs="Arial" w:eastAsia="Arial" w:hAnsi="Arial"/>
          <w:sz w:val="16"/>
          <w:szCs w:val="16"/>
          <w:color w:val="auto"/>
        </w:rPr>
        <w:t xml:space="preserve"> </w:t>
      </w:r>
      <w:r>
        <w:rPr>
          <w:rFonts w:ascii="Arial" w:cs="Arial" w:eastAsia="Arial" w:hAnsi="Arial"/>
          <w:sz w:val="16"/>
          <w:szCs w:val="16"/>
          <w:u w:val="single" w:color="auto"/>
          <w:color w:val="auto"/>
        </w:rPr>
        <w:t>or, for the purposes of meetings which are both physical and electronic, present by</w:t>
      </w:r>
      <w:r>
        <w:rPr>
          <w:rFonts w:ascii="Arial" w:cs="Arial" w:eastAsia="Arial" w:hAnsi="Arial"/>
          <w:sz w:val="16"/>
          <w:szCs w:val="16"/>
          <w:color w:val="auto"/>
        </w:rPr>
        <w:t xml:space="preserve"> </w:t>
      </w:r>
      <w:r>
        <w:rPr>
          <w:rFonts w:ascii="Arial" w:cs="Arial" w:eastAsia="Arial" w:hAnsi="Arial"/>
          <w:sz w:val="16"/>
          <w:szCs w:val="16"/>
          <w:u w:val="single" w:color="auto"/>
          <w:color w:val="auto"/>
        </w:rPr>
        <w:t>either such means;</w:t>
      </w:r>
    </w:p>
    <w:p>
      <w:pPr>
        <w:spacing w:after="0" w:line="36" w:lineRule="exact"/>
        <w:rPr>
          <w:sz w:val="20"/>
          <w:szCs w:val="20"/>
          <w:color w:val="auto"/>
        </w:rPr>
      </w:pPr>
    </w:p>
    <w:p>
      <w:pPr>
        <w:ind w:left="1200" w:right="379"/>
        <w:spacing w:after="0" w:line="274" w:lineRule="auto"/>
        <w:rPr>
          <w:sz w:val="20"/>
          <w:szCs w:val="20"/>
          <w:color w:val="auto"/>
        </w:rPr>
      </w:pPr>
      <w:r>
        <w:rPr>
          <w:rFonts w:ascii="Arial" w:cs="Arial" w:eastAsia="Arial" w:hAnsi="Arial"/>
          <w:sz w:val="15"/>
          <w:szCs w:val="15"/>
          <w:color w:val="auto"/>
        </w:rPr>
        <w:t>“</w:t>
      </w:r>
      <w:r>
        <w:rPr>
          <w:rFonts w:ascii="Arial" w:cs="Arial" w:eastAsia="Arial" w:hAnsi="Arial"/>
          <w:sz w:val="15"/>
          <w:szCs w:val="15"/>
          <w:b w:val="1"/>
          <w:bCs w:val="1"/>
          <w:color w:val="auto"/>
        </w:rPr>
        <w:t>public announcement</w:t>
      </w:r>
      <w:r>
        <w:rPr>
          <w:rFonts w:ascii="Arial" w:cs="Arial" w:eastAsia="Arial" w:hAnsi="Arial"/>
          <w:sz w:val="15"/>
          <w:szCs w:val="15"/>
          <w:color w:val="auto"/>
        </w:rPr>
        <w:t xml:space="preserve">” shall mean </w:t>
      </w:r>
      <w:r>
        <w:rPr>
          <w:rFonts w:ascii="Arial" w:cs="Arial" w:eastAsia="Arial" w:hAnsi="Arial"/>
          <w:sz w:val="15"/>
          <w:szCs w:val="15"/>
          <w:color w:val="auto"/>
          <w:strike w:val="1"/>
        </w:rPr>
        <w:t>(a)</w:t>
      </w:r>
      <w:r>
        <w:rPr>
          <w:rFonts w:ascii="Arial" w:cs="Arial" w:eastAsia="Arial" w:hAnsi="Arial"/>
          <w:sz w:val="15"/>
          <w:szCs w:val="15"/>
          <w:color w:val="auto"/>
        </w:rPr>
        <w:t xml:space="preserve"> disclosure in a press release reported by Reuters, the Dow Jones News Service, Associated Press or a comparable news service or other method of public announcement as the Board may deem appropriate in the circumstances or in a document publicly filed by the Company with the US Securities and Exchange Commission pursuant to Section 13, 14 or 15(d) of the Exchange Act; </w:t>
      </w:r>
      <w:r>
        <w:rPr>
          <w:rFonts w:ascii="Arial" w:cs="Arial" w:eastAsia="Arial" w:hAnsi="Arial"/>
          <w:sz w:val="15"/>
          <w:szCs w:val="15"/>
          <w:color w:val="auto"/>
          <w:strike w:val="1"/>
        </w:rPr>
        <w:t>and (b) for so long as any of the Company</w:t>
      </w:r>
      <w:r>
        <w:rPr>
          <w:rFonts w:ascii="Arial" w:cs="Arial" w:eastAsia="Arial" w:hAnsi="Arial"/>
          <w:sz w:val="15"/>
          <w:szCs w:val="15"/>
          <w:color w:val="auto"/>
        </w:rPr>
        <w:t>’</w:t>
      </w:r>
      <w:r>
        <w:rPr>
          <w:rFonts w:ascii="Arial" w:cs="Arial" w:eastAsia="Arial" w:hAnsi="Arial"/>
          <w:sz w:val="15"/>
          <w:szCs w:val="15"/>
          <w:color w:val="auto"/>
          <w:strike w:val="1"/>
        </w:rPr>
        <w:t>s Shares</w:t>
      </w:r>
      <w:r>
        <w:rPr>
          <w:rFonts w:ascii="Arial" w:cs="Arial" w:eastAsia="Arial" w:hAnsi="Arial"/>
          <w:sz w:val="15"/>
          <w:szCs w:val="15"/>
          <w:color w:val="auto"/>
        </w:rPr>
        <w:t xml:space="preserve"> </w:t>
      </w:r>
      <w:r>
        <w:rPr>
          <w:rFonts w:ascii="Arial" w:cs="Arial" w:eastAsia="Arial" w:hAnsi="Arial"/>
          <w:sz w:val="15"/>
          <w:szCs w:val="15"/>
          <w:color w:val="auto"/>
          <w:strike w:val="1"/>
        </w:rPr>
        <w:t>are admitted to the Official List or to trading on the London Stock Exchange, disclosure via a regulatory information service and, where the Board considers appropriate, in one or more newspapers with a national circulation in the United Kingdom;</w:t>
      </w:r>
    </w:p>
    <w:p>
      <w:pPr>
        <w:spacing w:after="0" w:line="47" w:lineRule="exact"/>
        <w:rPr>
          <w:sz w:val="20"/>
          <w:szCs w:val="20"/>
          <w:color w:val="auto"/>
        </w:rPr>
      </w:pPr>
    </w:p>
    <w:p>
      <w:pPr>
        <w:ind w:left="120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register</w:t>
      </w:r>
      <w:r>
        <w:rPr>
          <w:rFonts w:ascii="Arial" w:cs="Arial" w:eastAsia="Arial" w:hAnsi="Arial"/>
          <w:sz w:val="16"/>
          <w:szCs w:val="16"/>
          <w:color w:val="auto"/>
        </w:rPr>
        <w:t>” means the register of members of the Company;</w:t>
      </w:r>
    </w:p>
    <w:p>
      <w:pPr>
        <w:spacing w:after="0" w:line="86" w:lineRule="exact"/>
        <w:rPr>
          <w:sz w:val="20"/>
          <w:szCs w:val="20"/>
          <w:color w:val="auto"/>
        </w:rPr>
      </w:pPr>
    </w:p>
    <w:p>
      <w:pPr>
        <w:ind w:left="120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u w:val="single" w:color="auto"/>
          <w:color w:val="auto"/>
        </w:rPr>
        <w:t>Relevant Rules</w:t>
      </w:r>
      <w:r>
        <w:rPr>
          <w:rFonts w:ascii="Arial" w:cs="Arial" w:eastAsia="Arial" w:hAnsi="Arial"/>
          <w:sz w:val="16"/>
          <w:szCs w:val="16"/>
          <w:color w:val="auto"/>
        </w:rPr>
        <w:t xml:space="preserve">” </w:t>
      </w:r>
      <w:r>
        <w:rPr>
          <w:rFonts w:ascii="Arial" w:cs="Arial" w:eastAsia="Arial" w:hAnsi="Arial"/>
          <w:sz w:val="16"/>
          <w:szCs w:val="16"/>
          <w:u w:val="single" w:color="auto"/>
          <w:color w:val="auto"/>
        </w:rPr>
        <w:t>means the rules of NASDAQ or any other Exchange;</w:t>
      </w:r>
    </w:p>
    <w:p>
      <w:pPr>
        <w:spacing w:after="0" w:line="100" w:lineRule="exact"/>
        <w:rPr>
          <w:sz w:val="20"/>
          <w:szCs w:val="20"/>
          <w:color w:val="auto"/>
        </w:rPr>
      </w:pPr>
    </w:p>
    <w:p>
      <w:pPr>
        <w:ind w:left="1200" w:right="739"/>
        <w:spacing w:after="0" w:line="286"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relevant system</w:t>
      </w:r>
      <w:r>
        <w:rPr>
          <w:rFonts w:ascii="Arial" w:cs="Arial" w:eastAsia="Arial" w:hAnsi="Arial"/>
          <w:sz w:val="16"/>
          <w:szCs w:val="16"/>
          <w:color w:val="auto"/>
        </w:rPr>
        <w:t xml:space="preserve">” means a computer-based system which allows units of securities </w:t>
      </w:r>
      <w:r>
        <w:rPr>
          <w:rFonts w:ascii="Arial" w:cs="Arial" w:eastAsia="Arial" w:hAnsi="Arial"/>
          <w:sz w:val="16"/>
          <w:szCs w:val="16"/>
          <w:color w:val="auto"/>
          <w:strike w:val="1"/>
        </w:rPr>
        <w:t>without written instruments</w:t>
      </w:r>
      <w:r>
        <w:rPr>
          <w:rFonts w:ascii="Arial" w:cs="Arial" w:eastAsia="Arial" w:hAnsi="Arial"/>
          <w:sz w:val="16"/>
          <w:szCs w:val="16"/>
          <w:color w:val="auto"/>
        </w:rPr>
        <w:t xml:space="preserve"> to be transferred and endorsed </w:t>
      </w:r>
      <w:r>
        <w:rPr>
          <w:rFonts w:ascii="Arial" w:cs="Arial" w:eastAsia="Arial" w:hAnsi="Arial"/>
          <w:sz w:val="16"/>
          <w:szCs w:val="16"/>
          <w:u w:val="single" w:color="auto"/>
          <w:color w:val="auto"/>
        </w:rPr>
        <w:t>without written instruments</w:t>
      </w:r>
      <w:r>
        <w:rPr>
          <w:rFonts w:ascii="Arial" w:cs="Arial" w:eastAsia="Arial" w:hAnsi="Arial"/>
          <w:sz w:val="16"/>
          <w:szCs w:val="16"/>
          <w:color w:val="auto"/>
        </w:rPr>
        <w:t xml:space="preserve"> pursuant to the Uncertificated Securities Rules;</w:t>
      </w:r>
    </w:p>
    <w:p>
      <w:pPr>
        <w:spacing w:after="0" w:line="34" w:lineRule="exact"/>
        <w:rPr>
          <w:sz w:val="20"/>
          <w:szCs w:val="20"/>
          <w:color w:val="auto"/>
        </w:rPr>
      </w:pPr>
    </w:p>
    <w:p>
      <w:pPr>
        <w:ind w:left="1200" w:right="199"/>
        <w:spacing w:after="0" w:line="286"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seal</w:t>
      </w:r>
      <w:r>
        <w:rPr>
          <w:rFonts w:ascii="Arial" w:cs="Arial" w:eastAsia="Arial" w:hAnsi="Arial"/>
          <w:sz w:val="16"/>
          <w:szCs w:val="16"/>
          <w:color w:val="auto"/>
        </w:rPr>
        <w:t>” means the common seal (if any) of the Company and includes an official seal (if any) kept by the Company by virtue of section 49 or 50 of the Companies Act;</w:t>
      </w:r>
    </w:p>
    <w:p>
      <w:pPr>
        <w:spacing w:after="0" w:line="21" w:lineRule="exact"/>
        <w:rPr>
          <w:sz w:val="20"/>
          <w:szCs w:val="20"/>
          <w:color w:val="auto"/>
        </w:rPr>
      </w:pPr>
    </w:p>
    <w:p>
      <w:pPr>
        <w:ind w:left="1200" w:right="559"/>
        <w:spacing w:after="0" w:line="286"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secretary</w:t>
      </w:r>
      <w:r>
        <w:rPr>
          <w:rFonts w:ascii="Arial" w:cs="Arial" w:eastAsia="Arial" w:hAnsi="Arial"/>
          <w:sz w:val="16"/>
          <w:szCs w:val="16"/>
          <w:color w:val="auto"/>
        </w:rPr>
        <w:t>” means the secretary of the Company and includes a joint, assistant, deputy or temporary secretary and any other person appointed to perform the duties of the secretary of the Company;</w:t>
      </w:r>
    </w:p>
    <w:p>
      <w:pPr>
        <w:spacing w:after="0" w:line="34" w:lineRule="exact"/>
        <w:rPr>
          <w:sz w:val="20"/>
          <w:szCs w:val="20"/>
          <w:color w:val="auto"/>
        </w:rPr>
      </w:pPr>
    </w:p>
    <w:p>
      <w:pPr>
        <w:ind w:left="1200" w:right="199"/>
        <w:spacing w:after="0" w:line="266"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Subsidiary</w:t>
      </w:r>
      <w:r>
        <w:rPr>
          <w:rFonts w:ascii="Arial" w:cs="Arial" w:eastAsia="Arial" w:hAnsi="Arial"/>
          <w:sz w:val="16"/>
          <w:szCs w:val="16"/>
          <w:color w:val="auto"/>
        </w:rPr>
        <w:t xml:space="preserve">” shall mean, with respect to any </w:t>
      </w:r>
      <w:r>
        <w:rPr>
          <w:rFonts w:ascii="Arial" w:cs="Arial" w:eastAsia="Arial" w:hAnsi="Arial"/>
          <w:sz w:val="16"/>
          <w:szCs w:val="16"/>
          <w:color w:val="auto"/>
          <w:strike w:val="1"/>
        </w:rPr>
        <w:t>Person</w:t>
      </w:r>
      <w:r>
        <w:rPr>
          <w:rFonts w:ascii="Arial" w:cs="Arial" w:eastAsia="Arial" w:hAnsi="Arial"/>
          <w:sz w:val="16"/>
          <w:szCs w:val="16"/>
          <w:u w:val="single" w:color="auto"/>
          <w:color w:val="auto"/>
        </w:rPr>
        <w:t>person</w:t>
      </w:r>
      <w:r>
        <w:rPr>
          <w:rFonts w:ascii="Arial" w:cs="Arial" w:eastAsia="Arial" w:hAnsi="Arial"/>
          <w:sz w:val="16"/>
          <w:szCs w:val="16"/>
          <w:color w:val="auto"/>
        </w:rPr>
        <w:t xml:space="preserve">, any corporation, partnership, joint venture or other legal entity of which such </w:t>
      </w:r>
      <w:r>
        <w:rPr>
          <w:rFonts w:ascii="Arial" w:cs="Arial" w:eastAsia="Arial" w:hAnsi="Arial"/>
          <w:sz w:val="16"/>
          <w:szCs w:val="16"/>
          <w:color w:val="auto"/>
          <w:strike w:val="1"/>
        </w:rPr>
        <w:t>Person</w:t>
      </w:r>
      <w:r>
        <w:rPr>
          <w:rFonts w:ascii="Arial" w:cs="Arial" w:eastAsia="Arial" w:hAnsi="Arial"/>
          <w:sz w:val="16"/>
          <w:szCs w:val="16"/>
          <w:u w:val="single" w:color="auto"/>
          <w:color w:val="auto"/>
        </w:rPr>
        <w:t>person</w:t>
      </w:r>
      <w:r>
        <w:rPr>
          <w:rFonts w:ascii="Arial" w:cs="Arial" w:eastAsia="Arial" w:hAnsi="Arial"/>
          <w:sz w:val="16"/>
          <w:szCs w:val="16"/>
          <w:color w:val="auto"/>
        </w:rPr>
        <w:t xml:space="preserve"> (either alone or through or together with any other Subsidiary), owns, directly or indirectly, a majority of the stock or other equity interests the holders of which are generally entitled to vote for the election</w:t>
      </w:r>
    </w:p>
    <w:p>
      <w:pPr>
        <w:spacing w:after="0" w:line="89" w:lineRule="exact"/>
        <w:rPr>
          <w:sz w:val="20"/>
          <w:szCs w:val="20"/>
          <w:color w:val="auto"/>
        </w:rPr>
      </w:pPr>
    </w:p>
    <w:p>
      <w:pPr>
        <w:ind w:left="480"/>
        <w:spacing w:after="0"/>
        <w:tabs>
          <w:tab w:leader="none" w:pos="4400" w:val="left"/>
          <w:tab w:leader="none" w:pos="8760" w:val="left"/>
        </w:tabs>
        <w:rPr>
          <w:sz w:val="20"/>
          <w:szCs w:val="20"/>
          <w:color w:val="auto"/>
        </w:rPr>
      </w:pPr>
      <w:r>
        <w:rPr>
          <w:rFonts w:ascii="Arial" w:cs="Arial" w:eastAsia="Arial" w:hAnsi="Arial"/>
          <w:sz w:val="28"/>
          <w:szCs w:val="28"/>
          <w:b w:val="1"/>
          <w:bCs w:val="1"/>
          <w:color w:val="000000"/>
          <w:vertAlign w:val="subscript"/>
        </w:rPr>
        <w:t>A-2</w:t>
      </w:r>
      <w:r>
        <w:rPr>
          <w:sz w:val="20"/>
          <w:szCs w:val="20"/>
          <w:color w:val="auto"/>
        </w:rPr>
        <w:tab/>
      </w:r>
      <w:r>
        <w:rPr>
          <w:rFonts w:ascii="Arial" w:cs="Arial" w:eastAsia="Arial" w:hAnsi="Arial"/>
          <w:sz w:val="13"/>
          <w:szCs w:val="13"/>
          <w:b w:val="1"/>
          <w:bCs w:val="1"/>
          <w:color w:val="4800E6"/>
        </w:rPr>
        <w:t xml:space="preserve">LIVANOVA </w:t>
      </w:r>
      <w:r>
        <w:rPr>
          <w:rFonts w:ascii="Arial" w:cs="Arial" w:eastAsia="Arial" w:hAnsi="Arial"/>
          <w:sz w:val="13"/>
          <w:szCs w:val="13"/>
          <w:color w:val="000000"/>
        </w:rPr>
        <w:t>|</w:t>
      </w:r>
      <w:r>
        <w:rPr>
          <w:rFonts w:ascii="Arial" w:cs="Arial" w:eastAsia="Arial" w:hAnsi="Arial"/>
          <w:sz w:val="13"/>
          <w:szCs w:val="13"/>
          <w:b w:val="1"/>
          <w:bCs w:val="1"/>
          <w:color w:val="4800E6"/>
        </w:rPr>
        <w:t xml:space="preserve"> </w:t>
      </w:r>
      <w:r>
        <w:rPr>
          <w:rFonts w:ascii="Arial" w:cs="Arial" w:eastAsia="Arial" w:hAnsi="Arial"/>
          <w:sz w:val="13"/>
          <w:szCs w:val="13"/>
          <w:color w:val="4800E6"/>
        </w:rPr>
        <w:t>2020</w:t>
      </w:r>
      <w:r>
        <w:rPr>
          <w:rFonts w:ascii="Arial" w:cs="Arial" w:eastAsia="Arial" w:hAnsi="Arial"/>
          <w:sz w:val="13"/>
          <w:szCs w:val="13"/>
          <w:b w:val="1"/>
          <w:bCs w:val="1"/>
          <w:color w:val="4800E6"/>
        </w:rPr>
        <w:t xml:space="preserve"> </w:t>
      </w:r>
      <w:r>
        <w:rPr>
          <w:rFonts w:ascii="Arial" w:cs="Arial" w:eastAsia="Arial" w:hAnsi="Arial"/>
          <w:sz w:val="13"/>
          <w:szCs w:val="13"/>
          <w:color w:val="000000"/>
        </w:rPr>
        <w:t>Proxy Statement</w:t>
      </w:r>
      <w:r>
        <w:rPr>
          <w:sz w:val="20"/>
          <w:szCs w:val="20"/>
          <w:color w:val="auto"/>
        </w:rPr>
        <w:tab/>
      </w:r>
      <w:r>
        <w:rPr>
          <w:rFonts w:ascii="Arial" w:cs="Arial" w:eastAsia="Arial" w:hAnsi="Arial"/>
          <w:sz w:val="12"/>
          <w:szCs w:val="12"/>
          <w:b w:val="1"/>
          <w:bCs w:val="1"/>
          <w:color w:val="4800E6"/>
        </w:rPr>
        <w:t>www.livanova.com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605155</wp:posOffset>
            </wp:positionH>
            <wp:positionV relativeFrom="paragraph">
              <wp:posOffset>-2540</wp:posOffset>
            </wp:positionV>
            <wp:extent cx="1954530" cy="8890"/>
            <wp:wrapNone/>
            <wp:docPr id="367" name="Picture 3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7"/>
                    <pic:cNvPicPr>
                      <a:picLocks noChangeAspect="1" noChangeArrowheads="1"/>
                    </pic:cNvPicPr>
                  </pic:nvPicPr>
                  <pic:blipFill>
                    <a:blip r:embed="rId374">
                      <a:extLst>
                        <a:ext uri="{28A0092B-C50C-407E-A947-70E740481C1C}"/>
                      </a:extLst>
                    </a:blip>
                    <a:srcRect/>
                    <a:stretch>
                      <a:fillRect/>
                    </a:stretch>
                  </pic:blipFill>
                  <pic:spPr bwMode="auto">
                    <a:xfrm>
                      <a:off x="0" y="0"/>
                      <a:ext cx="1954530" cy="8890"/>
                    </a:xfrm>
                    <a:prstGeom prst="rect">
                      <a:avLst/>
                    </a:prstGeom>
                    <a:noFill/>
                  </pic:spPr>
                </pic:pic>
              </a:graphicData>
            </a:graphic>
          </wp:anchor>
        </w:drawing>
        <w:drawing>
          <wp:anchor simplePos="0" relativeHeight="251657728" behindDoc="1" locked="0" layoutInCell="0" allowOverlap="1">
            <wp:simplePos x="0" y="0"/>
            <wp:positionH relativeFrom="column">
              <wp:posOffset>4316730</wp:posOffset>
            </wp:positionH>
            <wp:positionV relativeFrom="paragraph">
              <wp:posOffset>-2540</wp:posOffset>
            </wp:positionV>
            <wp:extent cx="1028700" cy="8890"/>
            <wp:wrapNone/>
            <wp:docPr id="368" name="Picture 3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8"/>
                    <pic:cNvPicPr>
                      <a:picLocks noChangeAspect="1" noChangeArrowheads="1"/>
                    </pic:cNvPicPr>
                  </pic:nvPicPr>
                  <pic:blipFill>
                    <a:blip r:embed="rId375">
                      <a:extLst>
                        <a:ext uri="{28A0092B-C50C-407E-A947-70E740481C1C}"/>
                      </a:extLst>
                    </a:blip>
                    <a:srcRect/>
                    <a:stretch>
                      <a:fillRect/>
                    </a:stretch>
                  </pic:blipFill>
                  <pic:spPr bwMode="auto">
                    <a:xfrm>
                      <a:off x="0" y="0"/>
                      <a:ext cx="102870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125095</wp:posOffset>
            </wp:positionV>
            <wp:extent cx="6806565" cy="17145"/>
            <wp:wrapNone/>
            <wp:docPr id="369" name="Picture 3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9"/>
                    <pic:cNvPicPr>
                      <a:picLocks noChangeAspect="1" noChangeArrowheads="1"/>
                    </pic:cNvPicPr>
                  </pic:nvPicPr>
                  <pic:blipFill>
                    <a:blip r:embed="rId376">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10139"/>
          </w:cols>
          <w:pgMar w:left="320" w:top="131" w:right="1440" w:bottom="1440" w:gutter="0" w:footer="0" w:header="0"/>
          <w:type w:val="continuous"/>
        </w:sectPr>
      </w:pPr>
    </w:p>
    <w:bookmarkStart w:id="81" w:name="page82"/>
    <w:bookmarkEnd w:id="81"/>
    <w:p>
      <w:pPr>
        <w:spacing w:after="0"/>
        <w:rPr>
          <w:rFonts w:ascii="Arial" w:cs="Arial" w:eastAsia="Arial" w:hAnsi="Arial"/>
          <w:sz w:val="14"/>
          <w:szCs w:val="14"/>
          <w:color w:val="003366"/>
        </w:rPr>
      </w:pPr>
      <w:hyperlink w:anchor="page5">
        <w:r>
          <w:rPr>
            <w:rFonts w:ascii="Arial" w:cs="Arial" w:eastAsia="Arial" w:hAnsi="Arial"/>
            <w:sz w:val="14"/>
            <w:szCs w:val="14"/>
            <w:color w:val="003366"/>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485140</wp:posOffset>
            </wp:positionH>
            <wp:positionV relativeFrom="paragraph">
              <wp:posOffset>357505</wp:posOffset>
            </wp:positionV>
            <wp:extent cx="5829300" cy="8255"/>
            <wp:wrapNone/>
            <wp:docPr id="370" name="Picture 3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0"/>
                    <pic:cNvPicPr>
                      <a:picLocks noChangeAspect="1" noChangeArrowheads="1"/>
                    </pic:cNvPicPr>
                  </pic:nvPicPr>
                  <pic:blipFill>
                    <a:blip r:embed="rId377">
                      <a:extLst>
                        <a:ext uri="{28A0092B-C50C-407E-A947-70E740481C1C}"/>
                      </a:extLst>
                    </a:blip>
                    <a:srcRect/>
                    <a:stretch>
                      <a:fillRect/>
                    </a:stretch>
                  </pic:blipFill>
                  <pic:spPr bwMode="auto">
                    <a:xfrm>
                      <a:off x="0" y="0"/>
                      <a:ext cx="582930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ind w:left="1200" w:right="1020"/>
        <w:spacing w:after="0" w:line="293" w:lineRule="auto"/>
        <w:rPr>
          <w:sz w:val="20"/>
          <w:szCs w:val="20"/>
          <w:color w:val="auto"/>
        </w:rPr>
      </w:pPr>
      <w:r>
        <w:rPr>
          <w:rFonts w:ascii="Arial" w:cs="Arial" w:eastAsia="Arial" w:hAnsi="Arial"/>
          <w:sz w:val="15"/>
          <w:szCs w:val="15"/>
          <w:color w:val="auto"/>
        </w:rPr>
        <w:t xml:space="preserve">of the board of directors or other governing body of such corporation, partnership, joint venture or other legal entity, or any </w:t>
      </w:r>
      <w:r>
        <w:rPr>
          <w:rFonts w:ascii="Arial" w:cs="Arial" w:eastAsia="Arial" w:hAnsi="Arial"/>
          <w:sz w:val="15"/>
          <w:szCs w:val="15"/>
          <w:color w:val="auto"/>
          <w:strike w:val="1"/>
        </w:rPr>
        <w:t>Person</w:t>
      </w:r>
      <w:r>
        <w:rPr>
          <w:rFonts w:ascii="Arial" w:cs="Arial" w:eastAsia="Arial" w:hAnsi="Arial"/>
          <w:sz w:val="15"/>
          <w:szCs w:val="15"/>
          <w:u w:val="single" w:color="auto"/>
          <w:color w:val="auto"/>
        </w:rPr>
        <w:t>person</w:t>
      </w:r>
      <w:r>
        <w:rPr>
          <w:rFonts w:ascii="Arial" w:cs="Arial" w:eastAsia="Arial" w:hAnsi="Arial"/>
          <w:sz w:val="15"/>
          <w:szCs w:val="15"/>
          <w:color w:val="auto"/>
        </w:rPr>
        <w:t xml:space="preserve"> that would otherwise be deemed a “subsidiary” under Rule 12b-2 promulgated under the Exchange Act;</w:t>
      </w:r>
    </w:p>
    <w:p>
      <w:pPr>
        <w:spacing w:after="0" w:line="31" w:lineRule="exact"/>
        <w:rPr>
          <w:sz w:val="20"/>
          <w:szCs w:val="20"/>
          <w:color w:val="auto"/>
        </w:rPr>
      </w:pPr>
    </w:p>
    <w:p>
      <w:pPr>
        <w:ind w:left="1200" w:right="940"/>
        <w:spacing w:after="0" w:line="286"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strike w:val="1"/>
        </w:rPr>
        <w:t>UKLA</w:t>
      </w:r>
      <w:r>
        <w:rPr>
          <w:rFonts w:ascii="Arial" w:cs="Arial" w:eastAsia="Arial" w:hAnsi="Arial"/>
          <w:sz w:val="16"/>
          <w:szCs w:val="16"/>
          <w:color w:val="auto"/>
        </w:rPr>
        <w:t xml:space="preserve">” </w:t>
      </w:r>
      <w:r>
        <w:rPr>
          <w:rFonts w:ascii="Arial" w:cs="Arial" w:eastAsia="Arial" w:hAnsi="Arial"/>
          <w:sz w:val="16"/>
          <w:szCs w:val="16"/>
          <w:color w:val="auto"/>
          <w:strike w:val="1"/>
        </w:rPr>
        <w:t>means the United Kingdom listing authority, which is the Financial Conduct Authority when performing its functions</w:t>
      </w:r>
      <w:r>
        <w:rPr>
          <w:rFonts w:ascii="Arial" w:cs="Arial" w:eastAsia="Arial" w:hAnsi="Arial"/>
          <w:sz w:val="16"/>
          <w:szCs w:val="16"/>
          <w:color w:val="auto"/>
        </w:rPr>
        <w:t xml:space="preserve"> </w:t>
      </w:r>
      <w:r>
        <w:rPr>
          <w:rFonts w:ascii="Arial" w:cs="Arial" w:eastAsia="Arial" w:hAnsi="Arial"/>
          <w:sz w:val="16"/>
          <w:szCs w:val="16"/>
          <w:color w:val="auto"/>
          <w:strike w:val="1"/>
        </w:rPr>
        <w:t>under Part VI of FSMA;</w:t>
      </w:r>
    </w:p>
    <w:p>
      <w:pPr>
        <w:spacing w:after="0" w:line="34" w:lineRule="exact"/>
        <w:rPr>
          <w:sz w:val="20"/>
          <w:szCs w:val="20"/>
          <w:color w:val="auto"/>
        </w:rPr>
      </w:pPr>
    </w:p>
    <w:p>
      <w:pPr>
        <w:jc w:val="both"/>
        <w:ind w:left="1200" w:right="860"/>
        <w:spacing w:after="0" w:line="266"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Uncertificated Securities Rules</w:t>
      </w:r>
      <w:r>
        <w:rPr>
          <w:rFonts w:ascii="Arial" w:cs="Arial" w:eastAsia="Arial" w:hAnsi="Arial"/>
          <w:sz w:val="16"/>
          <w:szCs w:val="16"/>
          <w:color w:val="auto"/>
        </w:rPr>
        <w:t>” means every statute (including any orders, regulations or other subordinate legalisation made under it) relating to the holding, evidencing of title to, or transfer of, uncertificated shares and legislation, rules or other arrangements made under or by virtue of such provisions;</w:t>
      </w:r>
    </w:p>
    <w:p>
      <w:pPr>
        <w:spacing w:after="0" w:line="36" w:lineRule="exact"/>
        <w:rPr>
          <w:sz w:val="20"/>
          <w:szCs w:val="20"/>
          <w:color w:val="auto"/>
        </w:rPr>
      </w:pPr>
    </w:p>
    <w:p>
      <w:pPr>
        <w:ind w:left="1200" w:right="960"/>
        <w:spacing w:after="0" w:line="266"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uncertificated share</w:t>
      </w:r>
      <w:r>
        <w:rPr>
          <w:rFonts w:ascii="Arial" w:cs="Arial" w:eastAsia="Arial" w:hAnsi="Arial"/>
          <w:sz w:val="16"/>
          <w:szCs w:val="16"/>
          <w:color w:val="auto"/>
        </w:rPr>
        <w:t xml:space="preserve">” means a share </w:t>
      </w:r>
      <w:r>
        <w:rPr>
          <w:rFonts w:ascii="Arial" w:cs="Arial" w:eastAsia="Arial" w:hAnsi="Arial"/>
          <w:sz w:val="16"/>
          <w:szCs w:val="16"/>
          <w:u w:val="single" w:color="auto"/>
          <w:color w:val="auto"/>
        </w:rPr>
        <w:t>(or a depositary interest representing such share)</w:t>
      </w:r>
      <w:r>
        <w:rPr>
          <w:rFonts w:ascii="Arial" w:cs="Arial" w:eastAsia="Arial" w:hAnsi="Arial"/>
          <w:sz w:val="16"/>
          <w:szCs w:val="16"/>
          <w:color w:val="auto"/>
        </w:rPr>
        <w:t xml:space="preserve"> of a class which is at the relevant time a participating class, title to which is recorded on the register as being held in uncertificated form and references in these Articles to a share being held in uncertificated form shall be construed accordingly;</w:t>
      </w:r>
    </w:p>
    <w:p>
      <w:pPr>
        <w:spacing w:after="0" w:line="50" w:lineRule="exact"/>
        <w:rPr>
          <w:sz w:val="20"/>
          <w:szCs w:val="20"/>
          <w:color w:val="auto"/>
        </w:rPr>
      </w:pPr>
    </w:p>
    <w:p>
      <w:pPr>
        <w:ind w:left="1200" w:right="880"/>
        <w:spacing w:after="0" w:line="259"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undertaking</w:t>
      </w:r>
      <w:r>
        <w:rPr>
          <w:rFonts w:ascii="Arial" w:cs="Arial" w:eastAsia="Arial" w:hAnsi="Arial"/>
          <w:sz w:val="16"/>
          <w:szCs w:val="16"/>
          <w:color w:val="auto"/>
        </w:rPr>
        <w:t>” includes a body corporate, trust or partnership, joint ventures or an unincorporated association carrying on a trade or business with or without a view to profit (and, in relation to an undertaking which is not a company, expressions in these articles appropriate to companies shall be construed as references to the corresponding persons, officers, documents or organs (as the case may be) appropriate to undertakings of that description);</w:t>
      </w:r>
    </w:p>
    <w:p>
      <w:pPr>
        <w:spacing w:after="0" w:line="56" w:lineRule="exact"/>
        <w:rPr>
          <w:sz w:val="20"/>
          <w:szCs w:val="20"/>
          <w:color w:val="auto"/>
        </w:rPr>
      </w:pPr>
    </w:p>
    <w:p>
      <w:pPr>
        <w:ind w:left="120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United Kingdom</w:t>
      </w:r>
      <w:r>
        <w:rPr>
          <w:rFonts w:ascii="Arial" w:cs="Arial" w:eastAsia="Arial" w:hAnsi="Arial"/>
          <w:sz w:val="16"/>
          <w:szCs w:val="16"/>
          <w:color w:val="auto"/>
        </w:rPr>
        <w:t xml:space="preserve">” </w:t>
      </w:r>
      <w:r>
        <w:rPr>
          <w:rFonts w:ascii="Arial" w:cs="Arial" w:eastAsia="Arial" w:hAnsi="Arial"/>
          <w:sz w:val="16"/>
          <w:szCs w:val="16"/>
          <w:u w:val="single" w:color="auto"/>
          <w:color w:val="auto"/>
        </w:rPr>
        <w:t>or</w:t>
      </w:r>
      <w:r>
        <w:rPr>
          <w:rFonts w:ascii="Arial" w:cs="Arial" w:eastAsia="Arial" w:hAnsi="Arial"/>
          <w:sz w:val="16"/>
          <w:szCs w:val="16"/>
          <w:color w:val="auto"/>
        </w:rPr>
        <w:t xml:space="preserve"> “</w:t>
      </w:r>
      <w:r>
        <w:rPr>
          <w:rFonts w:ascii="Arial" w:cs="Arial" w:eastAsia="Arial" w:hAnsi="Arial"/>
          <w:sz w:val="16"/>
          <w:szCs w:val="16"/>
          <w:b w:val="1"/>
          <w:bCs w:val="1"/>
          <w:u w:val="single" w:color="auto"/>
          <w:color w:val="auto"/>
        </w:rPr>
        <w:t>UK</w:t>
      </w:r>
      <w:r>
        <w:rPr>
          <w:rFonts w:ascii="Arial" w:cs="Arial" w:eastAsia="Arial" w:hAnsi="Arial"/>
          <w:sz w:val="16"/>
          <w:szCs w:val="16"/>
          <w:color w:val="auto"/>
        </w:rPr>
        <w:t xml:space="preserve">” means </w:t>
      </w:r>
      <w:r>
        <w:rPr>
          <w:rFonts w:ascii="Arial" w:cs="Arial" w:eastAsia="Arial" w:hAnsi="Arial"/>
          <w:sz w:val="16"/>
          <w:szCs w:val="16"/>
          <w:u w:val="single" w:color="auto"/>
          <w:color w:val="auto"/>
        </w:rPr>
        <w:t>the United Kingdom of</w:t>
      </w:r>
      <w:r>
        <w:rPr>
          <w:rFonts w:ascii="Arial" w:cs="Arial" w:eastAsia="Arial" w:hAnsi="Arial"/>
          <w:sz w:val="16"/>
          <w:szCs w:val="16"/>
          <w:color w:val="auto"/>
        </w:rPr>
        <w:t xml:space="preserve"> Great Britain and Northern Ireland;</w:t>
      </w:r>
    </w:p>
    <w:p>
      <w:pPr>
        <w:spacing w:after="0" w:line="86" w:lineRule="exact"/>
        <w:rPr>
          <w:sz w:val="20"/>
          <w:szCs w:val="20"/>
          <w:color w:val="auto"/>
        </w:rPr>
      </w:pPr>
    </w:p>
    <w:p>
      <w:pPr>
        <w:ind w:left="120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u w:val="single" w:color="auto"/>
          <w:color w:val="auto"/>
        </w:rPr>
        <w:t>United States</w:t>
      </w:r>
      <w:r>
        <w:rPr>
          <w:rFonts w:ascii="Arial" w:cs="Arial" w:eastAsia="Arial" w:hAnsi="Arial"/>
          <w:sz w:val="16"/>
          <w:szCs w:val="16"/>
          <w:color w:val="auto"/>
        </w:rPr>
        <w:t xml:space="preserve">” </w:t>
      </w:r>
      <w:r>
        <w:rPr>
          <w:rFonts w:ascii="Arial" w:cs="Arial" w:eastAsia="Arial" w:hAnsi="Arial"/>
          <w:sz w:val="16"/>
          <w:szCs w:val="16"/>
          <w:u w:val="single" w:color="auto"/>
          <w:color w:val="auto"/>
        </w:rPr>
        <w:t>or</w:t>
      </w:r>
      <w:r>
        <w:rPr>
          <w:rFonts w:ascii="Arial" w:cs="Arial" w:eastAsia="Arial" w:hAnsi="Arial"/>
          <w:sz w:val="16"/>
          <w:szCs w:val="16"/>
          <w:color w:val="auto"/>
        </w:rPr>
        <w:t xml:space="preserve"> “</w:t>
      </w:r>
      <w:r>
        <w:rPr>
          <w:rFonts w:ascii="Arial" w:cs="Arial" w:eastAsia="Arial" w:hAnsi="Arial"/>
          <w:sz w:val="16"/>
          <w:szCs w:val="16"/>
          <w:b w:val="1"/>
          <w:bCs w:val="1"/>
          <w:color w:val="auto"/>
        </w:rPr>
        <w:t>US</w:t>
      </w:r>
      <w:r>
        <w:rPr>
          <w:rFonts w:ascii="Arial" w:cs="Arial" w:eastAsia="Arial" w:hAnsi="Arial"/>
          <w:sz w:val="16"/>
          <w:szCs w:val="16"/>
          <w:color w:val="auto"/>
        </w:rPr>
        <w:t xml:space="preserve"> </w:t>
      </w:r>
      <w:r>
        <w:rPr>
          <w:rFonts w:ascii="Arial" w:cs="Arial" w:eastAsia="Arial" w:hAnsi="Arial"/>
          <w:sz w:val="16"/>
          <w:szCs w:val="16"/>
          <w:b w:val="1"/>
          <w:bCs w:val="1"/>
          <w:color w:val="auto"/>
          <w:strike w:val="1"/>
        </w:rPr>
        <w:t>Dollars</w:t>
      </w:r>
      <w:r>
        <w:rPr>
          <w:rFonts w:ascii="Arial" w:cs="Arial" w:eastAsia="Arial" w:hAnsi="Arial"/>
          <w:sz w:val="16"/>
          <w:szCs w:val="16"/>
          <w:color w:val="auto"/>
        </w:rPr>
        <w:t xml:space="preserve">” </w:t>
      </w:r>
      <w:r>
        <w:rPr>
          <w:rFonts w:ascii="Arial" w:cs="Arial" w:eastAsia="Arial" w:hAnsi="Arial"/>
          <w:sz w:val="16"/>
          <w:szCs w:val="16"/>
          <w:color w:val="auto"/>
          <w:strike w:val="1"/>
        </w:rPr>
        <w:t>or</w:t>
      </w:r>
      <w:r>
        <w:rPr>
          <w:rFonts w:ascii="Arial" w:cs="Arial" w:eastAsia="Arial" w:hAnsi="Arial"/>
          <w:sz w:val="16"/>
          <w:szCs w:val="16"/>
          <w:color w:val="auto"/>
        </w:rPr>
        <w:t xml:space="preserve"> “</w:t>
      </w:r>
      <w:r>
        <w:rPr>
          <w:rFonts w:ascii="Arial" w:cs="Arial" w:eastAsia="Arial" w:hAnsi="Arial"/>
          <w:sz w:val="16"/>
          <w:szCs w:val="16"/>
          <w:b w:val="1"/>
          <w:bCs w:val="1"/>
          <w:color w:val="auto"/>
          <w:strike w:val="1"/>
        </w:rPr>
        <w:t>$</w:t>
      </w:r>
      <w:r>
        <w:rPr>
          <w:rFonts w:ascii="Arial" w:cs="Arial" w:eastAsia="Arial" w:hAnsi="Arial"/>
          <w:sz w:val="16"/>
          <w:szCs w:val="16"/>
          <w:color w:val="auto"/>
        </w:rPr>
        <w:t xml:space="preserve">” “means </w:t>
      </w:r>
      <w:r>
        <w:rPr>
          <w:rFonts w:ascii="Arial" w:cs="Arial" w:eastAsia="Arial" w:hAnsi="Arial"/>
          <w:sz w:val="16"/>
          <w:szCs w:val="16"/>
          <w:color w:val="auto"/>
          <w:strike w:val="1"/>
        </w:rPr>
        <w:t>the lawful currency of</w:t>
      </w:r>
      <w:r>
        <w:rPr>
          <w:rFonts w:ascii="Arial" w:cs="Arial" w:eastAsia="Arial" w:hAnsi="Arial"/>
          <w:sz w:val="16"/>
          <w:szCs w:val="16"/>
          <w:color w:val="auto"/>
        </w:rPr>
        <w:t xml:space="preserve"> the United States of America; and</w:t>
      </w:r>
    </w:p>
    <w:p>
      <w:pPr>
        <w:spacing w:after="0" w:line="100" w:lineRule="exact"/>
        <w:rPr>
          <w:sz w:val="20"/>
          <w:szCs w:val="20"/>
          <w:color w:val="auto"/>
        </w:rPr>
      </w:pPr>
    </w:p>
    <w:p>
      <w:pPr>
        <w:ind w:left="1200" w:right="900"/>
        <w:spacing w:after="0" w:line="286"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Voting Shares</w:t>
      </w:r>
      <w:r>
        <w:rPr>
          <w:rFonts w:ascii="Arial" w:cs="Arial" w:eastAsia="Arial" w:hAnsi="Arial"/>
          <w:sz w:val="16"/>
          <w:szCs w:val="16"/>
          <w:color w:val="auto"/>
        </w:rPr>
        <w:t>” means the Ordinary Shares and any other shares which may be issued with the right to attend and vote at general meetings.</w:t>
      </w:r>
    </w:p>
    <w:p>
      <w:pPr>
        <w:spacing w:after="0" w:line="41" w:lineRule="exact"/>
        <w:rPr>
          <w:sz w:val="20"/>
          <w:szCs w:val="20"/>
          <w:color w:val="auto"/>
        </w:rPr>
      </w:pPr>
    </w:p>
    <w:p>
      <w:pPr>
        <w:jc w:val="center"/>
        <w:ind w:right="20"/>
        <w:spacing w:after="0"/>
        <w:tabs>
          <w:tab w:leader="none" w:pos="200" w:val="left"/>
        </w:tabs>
        <w:rPr>
          <w:sz w:val="20"/>
          <w:szCs w:val="20"/>
          <w:color w:val="auto"/>
        </w:rPr>
      </w:pPr>
      <w:r>
        <w:rPr>
          <w:rFonts w:ascii="Arial" w:cs="Arial" w:eastAsia="Arial" w:hAnsi="Arial"/>
          <w:sz w:val="16"/>
          <w:szCs w:val="16"/>
          <w:color w:val="auto"/>
        </w:rPr>
        <w:t>2.2</w:t>
      </w:r>
      <w:r>
        <w:rPr>
          <w:sz w:val="20"/>
          <w:szCs w:val="20"/>
          <w:color w:val="auto"/>
        </w:rPr>
        <w:tab/>
      </w:r>
      <w:r>
        <w:rPr>
          <w:rFonts w:ascii="Arial" w:cs="Arial" w:eastAsia="Arial" w:hAnsi="Arial"/>
          <w:sz w:val="15"/>
          <w:szCs w:val="15"/>
          <w:color w:val="auto"/>
        </w:rPr>
        <w:t>Subject to the following paragraph, references to any provision of any enactment or of any subordinate legislation (as defined</w:t>
      </w:r>
    </w:p>
    <w:p>
      <w:pPr>
        <w:spacing w:after="0" w:line="5" w:lineRule="exact"/>
        <w:rPr>
          <w:sz w:val="20"/>
          <w:szCs w:val="20"/>
          <w:color w:val="auto"/>
        </w:rPr>
      </w:pPr>
    </w:p>
    <w:p>
      <w:pPr>
        <w:ind w:left="1200" w:right="1200"/>
        <w:spacing w:after="0" w:line="260" w:lineRule="auto"/>
        <w:rPr>
          <w:sz w:val="20"/>
          <w:szCs w:val="20"/>
          <w:color w:val="auto"/>
        </w:rPr>
      </w:pPr>
      <w:r>
        <w:rPr>
          <w:rFonts w:ascii="Arial" w:cs="Arial" w:eastAsia="Arial" w:hAnsi="Arial"/>
          <w:sz w:val="16"/>
          <w:szCs w:val="16"/>
          <w:color w:val="auto"/>
        </w:rPr>
        <w:t xml:space="preserve">by section 2(1) of the </w:t>
      </w:r>
      <w:r>
        <w:rPr>
          <w:rFonts w:ascii="Arial" w:cs="Arial" w:eastAsia="Arial" w:hAnsi="Arial"/>
          <w:sz w:val="16"/>
          <w:szCs w:val="16"/>
          <w:u w:val="single" w:color="auto"/>
          <w:color w:val="auto"/>
        </w:rPr>
        <w:t>UK</w:t>
      </w:r>
      <w:r>
        <w:rPr>
          <w:rFonts w:ascii="Arial" w:cs="Arial" w:eastAsia="Arial" w:hAnsi="Arial"/>
          <w:sz w:val="16"/>
          <w:szCs w:val="16"/>
          <w:color w:val="auto"/>
        </w:rPr>
        <w:t xml:space="preserve"> Interpretation Act 1978) include any modification or re-enactment of that provision for the time being in force.</w:t>
      </w:r>
    </w:p>
    <w:p>
      <w:pPr>
        <w:spacing w:after="0" w:line="74" w:lineRule="exact"/>
        <w:rPr>
          <w:sz w:val="20"/>
          <w:szCs w:val="20"/>
          <w:color w:val="auto"/>
        </w:rPr>
      </w:pPr>
    </w:p>
    <w:p>
      <w:pPr>
        <w:jc w:val="both"/>
        <w:ind w:left="1200" w:right="1000" w:hanging="431"/>
        <w:spacing w:after="0" w:line="253" w:lineRule="auto"/>
        <w:tabs>
          <w:tab w:leader="none" w:pos="1180" w:val="left"/>
        </w:tabs>
        <w:rPr>
          <w:sz w:val="20"/>
          <w:szCs w:val="20"/>
          <w:color w:val="auto"/>
        </w:rPr>
      </w:pPr>
      <w:r>
        <w:rPr>
          <w:rFonts w:ascii="Arial" w:cs="Arial" w:eastAsia="Arial" w:hAnsi="Arial"/>
          <w:sz w:val="16"/>
          <w:szCs w:val="16"/>
          <w:color w:val="auto"/>
        </w:rPr>
        <w:t>2.3</w:t>
        <w:tab/>
        <w:t>Words and expressions contained in these Articles which are not defined in Article 2 but are defined in the Companies Act have the same meaning as in the Companies Act (but excluding any modification of the Companies Act not in force at the date these Articles took effect) unless inconsistent with the subject or the context.</w:t>
      </w:r>
    </w:p>
    <w:p>
      <w:pPr>
        <w:spacing w:after="0" w:line="66" w:lineRule="exact"/>
        <w:rPr>
          <w:sz w:val="20"/>
          <w:szCs w:val="20"/>
          <w:color w:val="auto"/>
        </w:rPr>
      </w:pPr>
    </w:p>
    <w:p>
      <w:pPr>
        <w:ind w:left="760"/>
        <w:spacing w:after="0"/>
        <w:tabs>
          <w:tab w:leader="none" w:pos="1180" w:val="left"/>
        </w:tabs>
        <w:rPr>
          <w:sz w:val="20"/>
          <w:szCs w:val="20"/>
          <w:color w:val="auto"/>
        </w:rPr>
      </w:pPr>
      <w:r>
        <w:rPr>
          <w:rFonts w:ascii="Arial" w:cs="Arial" w:eastAsia="Arial" w:hAnsi="Arial"/>
          <w:sz w:val="16"/>
          <w:szCs w:val="16"/>
          <w:color w:val="auto"/>
        </w:rPr>
        <w:t>2.4</w:t>
      </w:r>
      <w:r>
        <w:rPr>
          <w:sz w:val="20"/>
          <w:szCs w:val="20"/>
          <w:color w:val="auto"/>
        </w:rPr>
        <w:tab/>
      </w:r>
      <w:r>
        <w:rPr>
          <w:rFonts w:ascii="Arial" w:cs="Arial" w:eastAsia="Arial" w:hAnsi="Arial"/>
          <w:sz w:val="15"/>
          <w:szCs w:val="15"/>
          <w:color w:val="auto"/>
        </w:rPr>
        <w:t>In these Articles, unless the context otherwise requires:</w:t>
      </w:r>
    </w:p>
    <w:p>
      <w:pPr>
        <w:spacing w:after="0" w:line="70" w:lineRule="exact"/>
        <w:rPr>
          <w:sz w:val="20"/>
          <w:szCs w:val="20"/>
          <w:color w:val="auto"/>
        </w:rPr>
      </w:pPr>
    </w:p>
    <w:p>
      <w:pPr>
        <w:ind w:left="1620" w:hanging="424"/>
        <w:spacing w:after="0"/>
        <w:tabs>
          <w:tab w:leader="none" w:pos="1620" w:val="left"/>
        </w:tabs>
        <w:numPr>
          <w:ilvl w:val="0"/>
          <w:numId w:val="93"/>
        </w:numPr>
        <w:rPr>
          <w:rFonts w:ascii="Arial" w:cs="Arial" w:eastAsia="Arial" w:hAnsi="Arial"/>
          <w:sz w:val="16"/>
          <w:szCs w:val="16"/>
          <w:color w:val="auto"/>
        </w:rPr>
      </w:pPr>
      <w:r>
        <w:rPr>
          <w:rFonts w:ascii="Arial" w:cs="Arial" w:eastAsia="Arial" w:hAnsi="Arial"/>
          <w:sz w:val="16"/>
          <w:szCs w:val="16"/>
          <w:color w:val="auto"/>
        </w:rPr>
        <w:t xml:space="preserve">words in the singular include the plural, and </w:t>
      </w:r>
      <w:r>
        <w:rPr>
          <w:rFonts w:ascii="Arial" w:cs="Arial" w:eastAsia="Arial" w:hAnsi="Arial"/>
          <w:sz w:val="16"/>
          <w:szCs w:val="16"/>
          <w:i w:val="1"/>
          <w:iCs w:val="1"/>
          <w:color w:val="auto"/>
        </w:rPr>
        <w:t>vice versa</w:t>
      </w:r>
      <w:r>
        <w:rPr>
          <w:rFonts w:ascii="Arial" w:cs="Arial" w:eastAsia="Arial" w:hAnsi="Arial"/>
          <w:sz w:val="16"/>
          <w:szCs w:val="16"/>
          <w:color w:val="auto"/>
        </w:rPr>
        <w:t>;</w:t>
      </w:r>
    </w:p>
    <w:p>
      <w:pPr>
        <w:spacing w:after="0" w:line="115" w:lineRule="exact"/>
        <w:rPr>
          <w:rFonts w:ascii="Arial" w:cs="Arial" w:eastAsia="Arial" w:hAnsi="Arial"/>
          <w:sz w:val="16"/>
          <w:szCs w:val="16"/>
          <w:color w:val="auto"/>
        </w:rPr>
      </w:pPr>
    </w:p>
    <w:p>
      <w:pPr>
        <w:ind w:left="1620" w:hanging="424"/>
        <w:spacing w:after="0"/>
        <w:tabs>
          <w:tab w:leader="none" w:pos="1620" w:val="left"/>
        </w:tabs>
        <w:numPr>
          <w:ilvl w:val="0"/>
          <w:numId w:val="93"/>
        </w:numPr>
        <w:rPr>
          <w:rFonts w:ascii="Arial" w:cs="Arial" w:eastAsia="Arial" w:hAnsi="Arial"/>
          <w:sz w:val="16"/>
          <w:szCs w:val="16"/>
          <w:color w:val="auto"/>
        </w:rPr>
      </w:pPr>
      <w:r>
        <w:rPr>
          <w:rFonts w:ascii="Arial" w:cs="Arial" w:eastAsia="Arial" w:hAnsi="Arial"/>
          <w:sz w:val="16"/>
          <w:szCs w:val="16"/>
          <w:color w:val="auto"/>
        </w:rPr>
        <w:t>words importing any gender include all genders;</w:t>
      </w:r>
    </w:p>
    <w:p>
      <w:pPr>
        <w:spacing w:after="0" w:line="86" w:lineRule="exact"/>
        <w:rPr>
          <w:rFonts w:ascii="Arial" w:cs="Arial" w:eastAsia="Arial" w:hAnsi="Arial"/>
          <w:sz w:val="16"/>
          <w:szCs w:val="16"/>
          <w:color w:val="auto"/>
        </w:rPr>
      </w:pPr>
    </w:p>
    <w:p>
      <w:pPr>
        <w:ind w:left="1620" w:right="1560" w:hanging="424"/>
        <w:spacing w:after="0" w:line="260" w:lineRule="auto"/>
        <w:tabs>
          <w:tab w:leader="none" w:pos="1620" w:val="left"/>
        </w:tabs>
        <w:numPr>
          <w:ilvl w:val="0"/>
          <w:numId w:val="93"/>
        </w:numPr>
        <w:rPr>
          <w:rFonts w:ascii="Arial" w:cs="Arial" w:eastAsia="Arial" w:hAnsi="Arial"/>
          <w:sz w:val="16"/>
          <w:szCs w:val="16"/>
          <w:color w:val="auto"/>
        </w:rPr>
      </w:pPr>
      <w:r>
        <w:rPr>
          <w:rFonts w:ascii="Arial" w:cs="Arial" w:eastAsia="Arial" w:hAnsi="Arial"/>
          <w:sz w:val="16"/>
          <w:szCs w:val="16"/>
          <w:color w:val="auto"/>
        </w:rPr>
        <w:t>a reference to a person includes a reference to a body corporate (wherever resident or domiciled) and to an unincorporated body of persons;</w:t>
      </w:r>
    </w:p>
    <w:p>
      <w:pPr>
        <w:spacing w:after="0" w:line="73" w:lineRule="exact"/>
        <w:rPr>
          <w:rFonts w:ascii="Arial" w:cs="Arial" w:eastAsia="Arial" w:hAnsi="Arial"/>
          <w:sz w:val="16"/>
          <w:szCs w:val="16"/>
          <w:color w:val="auto"/>
        </w:rPr>
      </w:pPr>
    </w:p>
    <w:p>
      <w:pPr>
        <w:ind w:left="1620" w:right="920" w:hanging="424"/>
        <w:spacing w:after="0" w:line="251" w:lineRule="auto"/>
        <w:tabs>
          <w:tab w:leader="none" w:pos="1620" w:val="left"/>
        </w:tabs>
        <w:numPr>
          <w:ilvl w:val="0"/>
          <w:numId w:val="93"/>
        </w:numPr>
        <w:rPr>
          <w:rFonts w:ascii="Arial" w:cs="Arial" w:eastAsia="Arial" w:hAnsi="Arial"/>
          <w:sz w:val="16"/>
          <w:szCs w:val="16"/>
          <w:color w:val="auto"/>
        </w:rPr>
      </w:pPr>
      <w:r>
        <w:rPr>
          <w:rFonts w:ascii="Arial" w:cs="Arial" w:eastAsia="Arial" w:hAnsi="Arial"/>
          <w:sz w:val="16"/>
          <w:szCs w:val="16"/>
          <w:color w:val="auto"/>
        </w:rPr>
        <w:t>reference to a document or information being “sent”, “supplied” or “given” to or by a person means such document or information, or a copy of such document or information, being sent, supplied, given, delivered, issued or made available to or by, or served on or by, or deposited with or by that person by any method authorised by these Articles, and “sending”, “supplying” and “giving” shall be construed accordingly;</w:t>
      </w:r>
    </w:p>
    <w:p>
      <w:pPr>
        <w:spacing w:after="0" w:line="67" w:lineRule="exact"/>
        <w:rPr>
          <w:rFonts w:ascii="Arial" w:cs="Arial" w:eastAsia="Arial" w:hAnsi="Arial"/>
          <w:sz w:val="16"/>
          <w:szCs w:val="16"/>
          <w:color w:val="auto"/>
        </w:rPr>
      </w:pPr>
    </w:p>
    <w:p>
      <w:pPr>
        <w:ind w:left="1620" w:right="940" w:hanging="424"/>
        <w:spacing w:after="0" w:line="253" w:lineRule="auto"/>
        <w:tabs>
          <w:tab w:leader="none" w:pos="1620" w:val="left"/>
        </w:tabs>
        <w:numPr>
          <w:ilvl w:val="0"/>
          <w:numId w:val="93"/>
        </w:numPr>
        <w:rPr>
          <w:rFonts w:ascii="Arial" w:cs="Arial" w:eastAsia="Arial" w:hAnsi="Arial"/>
          <w:sz w:val="16"/>
          <w:szCs w:val="16"/>
          <w:color w:val="auto"/>
        </w:rPr>
      </w:pPr>
      <w:r>
        <w:rPr>
          <w:rFonts w:ascii="Arial" w:cs="Arial" w:eastAsia="Arial" w:hAnsi="Arial"/>
          <w:sz w:val="16"/>
          <w:szCs w:val="16"/>
          <w:color w:val="auto"/>
        </w:rPr>
        <w:t>references to “electronic platforms” include, without limitation, website addresses and conference call systems, and references to persons attending meetings “by electronic means” means attendance at electronic general meeting via the electronic platform(s) stated in the notice of such meeting;</w:t>
      </w:r>
    </w:p>
    <w:p>
      <w:pPr>
        <w:spacing w:after="0" w:line="79" w:lineRule="exact"/>
        <w:rPr>
          <w:rFonts w:ascii="Arial" w:cs="Arial" w:eastAsia="Arial" w:hAnsi="Arial"/>
          <w:sz w:val="16"/>
          <w:szCs w:val="16"/>
          <w:color w:val="auto"/>
        </w:rPr>
      </w:pPr>
    </w:p>
    <w:p>
      <w:pPr>
        <w:ind w:left="1620" w:right="860" w:hanging="424"/>
        <w:spacing w:after="0" w:line="253" w:lineRule="auto"/>
        <w:tabs>
          <w:tab w:leader="none" w:pos="1620" w:val="left"/>
        </w:tabs>
        <w:numPr>
          <w:ilvl w:val="0"/>
          <w:numId w:val="93"/>
        </w:numPr>
        <w:rPr>
          <w:rFonts w:ascii="Arial" w:cs="Arial" w:eastAsia="Arial" w:hAnsi="Arial"/>
          <w:sz w:val="16"/>
          <w:szCs w:val="16"/>
          <w:color w:val="auto"/>
        </w:rPr>
      </w:pPr>
      <w:r>
        <w:rPr>
          <w:rFonts w:ascii="Arial" w:cs="Arial" w:eastAsia="Arial" w:hAnsi="Arial"/>
          <w:sz w:val="16"/>
          <w:szCs w:val="16"/>
          <w:color w:val="auto"/>
        </w:rPr>
        <w:t>references to documents “being signed” or to “signature” include a reference to it being executed under hand or under seal or by any other method and, in the case of a communication in electronic form, such references are to its being authenticated as specified in the Companies Act;</w:t>
      </w:r>
    </w:p>
    <w:p>
      <w:pPr>
        <w:spacing w:after="0" w:line="66" w:lineRule="exact"/>
        <w:rPr>
          <w:rFonts w:ascii="Arial" w:cs="Arial" w:eastAsia="Arial" w:hAnsi="Arial"/>
          <w:sz w:val="16"/>
          <w:szCs w:val="16"/>
          <w:color w:val="auto"/>
        </w:rPr>
      </w:pPr>
    </w:p>
    <w:p>
      <w:pPr>
        <w:ind w:left="1620" w:right="960" w:hanging="424"/>
        <w:spacing w:after="0" w:line="253" w:lineRule="auto"/>
        <w:tabs>
          <w:tab w:leader="none" w:pos="1620" w:val="left"/>
        </w:tabs>
        <w:numPr>
          <w:ilvl w:val="0"/>
          <w:numId w:val="93"/>
        </w:numPr>
        <w:rPr>
          <w:rFonts w:ascii="Arial" w:cs="Arial" w:eastAsia="Arial" w:hAnsi="Arial"/>
          <w:sz w:val="16"/>
          <w:szCs w:val="16"/>
          <w:color w:val="auto"/>
        </w:rPr>
      </w:pPr>
      <w:r>
        <w:rPr>
          <w:rFonts w:ascii="Arial" w:cs="Arial" w:eastAsia="Arial" w:hAnsi="Arial"/>
          <w:sz w:val="16"/>
          <w:szCs w:val="16"/>
          <w:color w:val="auto"/>
        </w:rPr>
        <w:t>references to “writing” include references to typewriting, printing, lithography, photography and any other modes of representing or reproducing words in a legible and non-transitory form, whether sent or supplied in electronic form or made available on a website or otherwise and “written” shall be construed accordingly;</w:t>
      </w:r>
    </w:p>
    <w:p>
      <w:pPr>
        <w:spacing w:after="0" w:line="63" w:lineRule="exact"/>
        <w:rPr>
          <w:rFonts w:ascii="Arial" w:cs="Arial" w:eastAsia="Arial" w:hAnsi="Arial"/>
          <w:sz w:val="16"/>
          <w:szCs w:val="16"/>
          <w:color w:val="auto"/>
        </w:rPr>
      </w:pPr>
    </w:p>
    <w:p>
      <w:pPr>
        <w:ind w:left="1620" w:hanging="424"/>
        <w:spacing w:after="0"/>
        <w:tabs>
          <w:tab w:leader="none" w:pos="1620" w:val="left"/>
        </w:tabs>
        <w:numPr>
          <w:ilvl w:val="0"/>
          <w:numId w:val="93"/>
        </w:numPr>
        <w:rPr>
          <w:rFonts w:ascii="Arial" w:cs="Arial" w:eastAsia="Arial" w:hAnsi="Arial"/>
          <w:sz w:val="16"/>
          <w:szCs w:val="16"/>
          <w:color w:val="auto"/>
        </w:rPr>
      </w:pPr>
      <w:r>
        <w:rPr>
          <w:rFonts w:ascii="Arial" w:cs="Arial" w:eastAsia="Arial" w:hAnsi="Arial"/>
          <w:sz w:val="16"/>
          <w:szCs w:val="16"/>
          <w:color w:val="auto"/>
        </w:rPr>
        <w:t xml:space="preserve">references to “other” and “otherwise” shall not be construed </w:t>
      </w:r>
      <w:r>
        <w:rPr>
          <w:rFonts w:ascii="Arial" w:cs="Arial" w:eastAsia="Arial" w:hAnsi="Arial"/>
          <w:sz w:val="16"/>
          <w:szCs w:val="16"/>
          <w:i w:val="1"/>
          <w:iCs w:val="1"/>
          <w:color w:val="auto"/>
        </w:rPr>
        <w:t>ejusdem generis</w:t>
      </w:r>
      <w:r>
        <w:rPr>
          <w:rFonts w:ascii="Arial" w:cs="Arial" w:eastAsia="Arial" w:hAnsi="Arial"/>
          <w:sz w:val="16"/>
          <w:szCs w:val="16"/>
          <w:color w:val="auto"/>
        </w:rPr>
        <w:t xml:space="preserve"> where a wider construction is possible;</w:t>
      </w:r>
    </w:p>
    <w:p>
      <w:pPr>
        <w:spacing w:after="0" w:line="102" w:lineRule="exact"/>
        <w:rPr>
          <w:rFonts w:ascii="Arial" w:cs="Arial" w:eastAsia="Arial" w:hAnsi="Arial"/>
          <w:sz w:val="16"/>
          <w:szCs w:val="16"/>
          <w:color w:val="auto"/>
        </w:rPr>
      </w:pPr>
    </w:p>
    <w:p>
      <w:pPr>
        <w:ind w:left="1620" w:hanging="424"/>
        <w:spacing w:after="0"/>
        <w:tabs>
          <w:tab w:leader="none" w:pos="1620" w:val="left"/>
        </w:tabs>
        <w:numPr>
          <w:ilvl w:val="0"/>
          <w:numId w:val="93"/>
        </w:numPr>
        <w:rPr>
          <w:rFonts w:ascii="Arial" w:cs="Arial" w:eastAsia="Arial" w:hAnsi="Arial"/>
          <w:sz w:val="16"/>
          <w:szCs w:val="16"/>
          <w:color w:val="auto"/>
        </w:rPr>
      </w:pPr>
      <w:r>
        <w:rPr>
          <w:rFonts w:ascii="Arial" w:cs="Arial" w:eastAsia="Arial" w:hAnsi="Arial"/>
          <w:sz w:val="16"/>
          <w:szCs w:val="16"/>
          <w:color w:val="auto"/>
        </w:rPr>
        <w:t>references to a power are to power of any kind, whether administrative, discretionary or otherwise;</w:t>
      </w:r>
    </w:p>
    <w:p>
      <w:pPr>
        <w:spacing w:after="0" w:line="99" w:lineRule="exact"/>
        <w:rPr>
          <w:rFonts w:ascii="Arial" w:cs="Arial" w:eastAsia="Arial" w:hAnsi="Arial"/>
          <w:sz w:val="16"/>
          <w:szCs w:val="16"/>
          <w:color w:val="auto"/>
        </w:rPr>
      </w:pPr>
    </w:p>
    <w:p>
      <w:pPr>
        <w:ind w:left="1620" w:right="1120" w:hanging="424"/>
        <w:spacing w:after="0" w:line="260" w:lineRule="auto"/>
        <w:tabs>
          <w:tab w:leader="none" w:pos="1620" w:val="left"/>
        </w:tabs>
        <w:numPr>
          <w:ilvl w:val="0"/>
          <w:numId w:val="93"/>
        </w:numPr>
        <w:rPr>
          <w:rFonts w:ascii="Arial" w:cs="Arial" w:eastAsia="Arial" w:hAnsi="Arial"/>
          <w:sz w:val="16"/>
          <w:szCs w:val="16"/>
          <w:color w:val="auto"/>
        </w:rPr>
      </w:pPr>
      <w:r>
        <w:rPr>
          <w:rFonts w:ascii="Arial" w:cs="Arial" w:eastAsia="Arial" w:hAnsi="Arial"/>
          <w:sz w:val="16"/>
          <w:szCs w:val="16"/>
          <w:color w:val="auto"/>
        </w:rPr>
        <w:t xml:space="preserve">references to a committee of the </w:t>
      </w:r>
      <w:r>
        <w:rPr>
          <w:rFonts w:ascii="Arial" w:cs="Arial" w:eastAsia="Arial" w:hAnsi="Arial"/>
          <w:sz w:val="16"/>
          <w:szCs w:val="16"/>
          <w:color w:val="auto"/>
          <w:strike w:val="1"/>
        </w:rPr>
        <w:t>Directors</w:t>
      </w:r>
      <w:r>
        <w:rPr>
          <w:rFonts w:ascii="Arial" w:cs="Arial" w:eastAsia="Arial" w:hAnsi="Arial"/>
          <w:sz w:val="16"/>
          <w:szCs w:val="16"/>
          <w:u w:val="single" w:color="auto"/>
          <w:color w:val="auto"/>
        </w:rPr>
        <w:t>Board</w:t>
      </w:r>
      <w:r>
        <w:rPr>
          <w:rFonts w:ascii="Arial" w:cs="Arial" w:eastAsia="Arial" w:hAnsi="Arial"/>
          <w:sz w:val="16"/>
          <w:szCs w:val="16"/>
          <w:color w:val="auto"/>
        </w:rPr>
        <w:t xml:space="preserve"> are to a committee established in accordance with these Articles, whether or not comprised wholly of Directors;</w:t>
      </w:r>
    </w:p>
    <w:p>
      <w:pPr>
        <w:spacing w:after="0" w:line="60" w:lineRule="exact"/>
        <w:rPr>
          <w:rFonts w:ascii="Arial" w:cs="Arial" w:eastAsia="Arial" w:hAnsi="Arial"/>
          <w:sz w:val="16"/>
          <w:szCs w:val="16"/>
          <w:color w:val="auto"/>
        </w:rPr>
      </w:pPr>
    </w:p>
    <w:p>
      <w:pPr>
        <w:jc w:val="both"/>
        <w:ind w:left="1620" w:right="1140" w:hanging="424"/>
        <w:spacing w:after="0" w:line="293" w:lineRule="auto"/>
        <w:tabs>
          <w:tab w:leader="none" w:pos="1620" w:val="left"/>
        </w:tabs>
        <w:numPr>
          <w:ilvl w:val="0"/>
          <w:numId w:val="93"/>
        </w:numPr>
        <w:rPr>
          <w:rFonts w:ascii="Arial" w:cs="Arial" w:eastAsia="Arial" w:hAnsi="Arial"/>
          <w:sz w:val="15"/>
          <w:szCs w:val="15"/>
          <w:color w:val="auto"/>
        </w:rPr>
      </w:pPr>
      <w:r>
        <w:rPr>
          <w:rFonts w:ascii="Arial" w:cs="Arial" w:eastAsia="Arial" w:hAnsi="Arial"/>
          <w:sz w:val="15"/>
          <w:szCs w:val="15"/>
          <w:color w:val="auto"/>
        </w:rPr>
        <w:t>any words following the terms “including”, “include”, “in particular” or any similar expression shall be construed as illustrative and shall not limit the sense of the words, description, definition, phrase or term preceding those terms;</w:t>
      </w:r>
    </w:p>
    <w:p>
      <w:pPr>
        <w:spacing w:after="0" w:line="257" w:lineRule="exact"/>
        <w:rPr>
          <w:sz w:val="20"/>
          <w:szCs w:val="20"/>
          <w:color w:val="auto"/>
        </w:rPr>
      </w:pPr>
    </w:p>
    <w:tbl>
      <w:tblPr>
        <w:tblLayout w:type="fixed"/>
        <w:tblInd w:w="0" w:type="dxa"/>
        <w:tblCellMar>
          <w:top w:w="0" w:type="dxa"/>
          <w:left w:w="0" w:type="dxa"/>
          <w:bottom w:w="0" w:type="dxa"/>
          <w:right w:w="0" w:type="dxa"/>
        </w:tblCellMar>
      </w:tblPr>
      <w:tr>
        <w:trPr>
          <w:trHeight w:val="130"/>
        </w:trPr>
        <w:tc>
          <w:tcPr>
            <w:tcW w:w="820" w:type="dxa"/>
            <w:vAlign w:val="bottom"/>
            <w:vMerge w:val="restart"/>
          </w:tcPr>
          <w:p>
            <w:pPr>
              <w:spacing w:after="0"/>
              <w:rPr>
                <w:sz w:val="11"/>
                <w:szCs w:val="11"/>
                <w:color w:val="auto"/>
              </w:rPr>
            </w:pPr>
          </w:p>
        </w:tc>
        <w:tc>
          <w:tcPr>
            <w:tcW w:w="3080" w:type="dxa"/>
            <w:vAlign w:val="bottom"/>
            <w:tcBorders>
              <w:bottom w:val="single" w:sz="8" w:color="auto"/>
            </w:tcBorders>
          </w:tcPr>
          <w:p>
            <w:pPr>
              <w:spacing w:after="0"/>
              <w:rPr>
                <w:sz w:val="11"/>
                <w:szCs w:val="11"/>
                <w:color w:val="auto"/>
              </w:rPr>
            </w:pPr>
          </w:p>
        </w:tc>
        <w:tc>
          <w:tcPr>
            <w:tcW w:w="2760" w:type="dxa"/>
            <w:vAlign w:val="bottom"/>
            <w:vMerge w:val="restart"/>
          </w:tcPr>
          <w:p>
            <w:pPr>
              <w:ind w:left="400"/>
              <w:spacing w:after="0"/>
              <w:rPr>
                <w:sz w:val="20"/>
                <w:szCs w:val="20"/>
                <w:color w:val="auto"/>
              </w:rPr>
            </w:pPr>
            <w:r>
              <w:rPr>
                <w:rFonts w:ascii="Arial" w:cs="Arial" w:eastAsia="Arial" w:hAnsi="Arial"/>
                <w:sz w:val="13"/>
                <w:szCs w:val="13"/>
                <w:b w:val="1"/>
                <w:bCs w:val="1"/>
                <w:color w:val="4800E6"/>
              </w:rPr>
              <w:t xml:space="preserve">LIVANOVA </w:t>
            </w:r>
            <w:r>
              <w:rPr>
                <w:rFonts w:ascii="Arial" w:cs="Arial" w:eastAsia="Arial" w:hAnsi="Arial"/>
                <w:sz w:val="13"/>
                <w:szCs w:val="13"/>
                <w:color w:val="000000"/>
              </w:rPr>
              <w:t>|</w:t>
            </w:r>
            <w:r>
              <w:rPr>
                <w:rFonts w:ascii="Arial" w:cs="Arial" w:eastAsia="Arial" w:hAnsi="Arial"/>
                <w:sz w:val="13"/>
                <w:szCs w:val="13"/>
                <w:b w:val="1"/>
                <w:bCs w:val="1"/>
                <w:color w:val="4800E6"/>
              </w:rPr>
              <w:t xml:space="preserve"> </w:t>
            </w:r>
            <w:r>
              <w:rPr>
                <w:rFonts w:ascii="Arial" w:cs="Arial" w:eastAsia="Arial" w:hAnsi="Arial"/>
                <w:sz w:val="13"/>
                <w:szCs w:val="13"/>
                <w:color w:val="4800E6"/>
              </w:rPr>
              <w:t>2020</w:t>
            </w:r>
            <w:r>
              <w:rPr>
                <w:rFonts w:ascii="Arial" w:cs="Arial" w:eastAsia="Arial" w:hAnsi="Arial"/>
                <w:sz w:val="13"/>
                <w:szCs w:val="13"/>
                <w:b w:val="1"/>
                <w:bCs w:val="1"/>
                <w:color w:val="4800E6"/>
              </w:rPr>
              <w:t xml:space="preserve"> </w:t>
            </w:r>
            <w:r>
              <w:rPr>
                <w:rFonts w:ascii="Arial" w:cs="Arial" w:eastAsia="Arial" w:hAnsi="Arial"/>
                <w:sz w:val="13"/>
                <w:szCs w:val="13"/>
                <w:color w:val="000000"/>
              </w:rPr>
              <w:t>Proxy Statement</w:t>
            </w:r>
          </w:p>
        </w:tc>
        <w:tc>
          <w:tcPr>
            <w:tcW w:w="3080" w:type="dxa"/>
            <w:vAlign w:val="bottom"/>
            <w:tcBorders>
              <w:bottom w:val="single" w:sz="8" w:color="auto"/>
            </w:tcBorders>
          </w:tcPr>
          <w:p>
            <w:pPr>
              <w:spacing w:after="0"/>
              <w:rPr>
                <w:sz w:val="11"/>
                <w:szCs w:val="11"/>
                <w:color w:val="auto"/>
              </w:rPr>
            </w:pPr>
          </w:p>
        </w:tc>
        <w:tc>
          <w:tcPr>
            <w:tcW w:w="980" w:type="dxa"/>
            <w:vAlign w:val="bottom"/>
            <w:vMerge w:val="restart"/>
          </w:tcPr>
          <w:p>
            <w:pPr>
              <w:ind w:left="220"/>
              <w:spacing w:after="0"/>
              <w:rPr>
                <w:sz w:val="20"/>
                <w:szCs w:val="20"/>
                <w:color w:val="auto"/>
              </w:rPr>
            </w:pPr>
            <w:r>
              <w:rPr>
                <w:rFonts w:ascii="Arial" w:cs="Arial" w:eastAsia="Arial" w:hAnsi="Arial"/>
                <w:sz w:val="14"/>
                <w:szCs w:val="14"/>
                <w:b w:val="1"/>
                <w:bCs w:val="1"/>
                <w:color w:val="auto"/>
              </w:rPr>
              <w:t>A-3</w:t>
            </w:r>
          </w:p>
        </w:tc>
        <w:tc>
          <w:tcPr>
            <w:tcW w:w="0" w:type="dxa"/>
            <w:vAlign w:val="bottom"/>
          </w:tcPr>
          <w:p>
            <w:pPr>
              <w:spacing w:after="0"/>
              <w:rPr>
                <w:sz w:val="1"/>
                <w:szCs w:val="1"/>
                <w:color w:val="auto"/>
              </w:rPr>
            </w:pPr>
          </w:p>
        </w:tc>
      </w:tr>
      <w:tr>
        <w:trPr>
          <w:trHeight w:val="49"/>
        </w:trPr>
        <w:tc>
          <w:tcPr>
            <w:tcW w:w="820" w:type="dxa"/>
            <w:vAlign w:val="bottom"/>
            <w:vMerge w:val="continue"/>
          </w:tcPr>
          <w:p>
            <w:pPr>
              <w:spacing w:after="0"/>
              <w:rPr>
                <w:sz w:val="4"/>
                <w:szCs w:val="4"/>
                <w:color w:val="auto"/>
              </w:rPr>
            </w:pPr>
          </w:p>
        </w:tc>
        <w:tc>
          <w:tcPr>
            <w:tcW w:w="3080" w:type="dxa"/>
            <w:vAlign w:val="bottom"/>
          </w:tcPr>
          <w:p>
            <w:pPr>
              <w:spacing w:after="0"/>
              <w:rPr>
                <w:sz w:val="4"/>
                <w:szCs w:val="4"/>
                <w:color w:val="auto"/>
              </w:rPr>
            </w:pPr>
          </w:p>
        </w:tc>
        <w:tc>
          <w:tcPr>
            <w:tcW w:w="2760" w:type="dxa"/>
            <w:vAlign w:val="bottom"/>
            <w:vMerge w:val="continue"/>
          </w:tcPr>
          <w:p>
            <w:pPr>
              <w:spacing w:after="0"/>
              <w:rPr>
                <w:sz w:val="4"/>
                <w:szCs w:val="4"/>
                <w:color w:val="auto"/>
              </w:rPr>
            </w:pPr>
          </w:p>
        </w:tc>
        <w:tc>
          <w:tcPr>
            <w:tcW w:w="3080" w:type="dxa"/>
            <w:vAlign w:val="bottom"/>
          </w:tcPr>
          <w:p>
            <w:pPr>
              <w:spacing w:after="0"/>
              <w:rPr>
                <w:sz w:val="4"/>
                <w:szCs w:val="4"/>
                <w:color w:val="auto"/>
              </w:rPr>
            </w:pPr>
          </w:p>
        </w:tc>
        <w:tc>
          <w:tcPr>
            <w:tcW w:w="98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54"/>
        </w:trPr>
        <w:tc>
          <w:tcPr>
            <w:tcW w:w="820" w:type="dxa"/>
            <w:vAlign w:val="bottom"/>
            <w:tcBorders>
              <w:bottom w:val="single" w:sz="8" w:color="9A9A9A"/>
            </w:tcBorders>
          </w:tcPr>
          <w:p>
            <w:pPr>
              <w:spacing w:after="0"/>
              <w:rPr>
                <w:sz w:val="13"/>
                <w:szCs w:val="13"/>
                <w:color w:val="auto"/>
              </w:rPr>
            </w:pPr>
          </w:p>
        </w:tc>
        <w:tc>
          <w:tcPr>
            <w:tcW w:w="3080" w:type="dxa"/>
            <w:vAlign w:val="bottom"/>
            <w:tcBorders>
              <w:bottom w:val="single" w:sz="8" w:color="9A9A9A"/>
            </w:tcBorders>
          </w:tcPr>
          <w:p>
            <w:pPr>
              <w:spacing w:after="0"/>
              <w:rPr>
                <w:sz w:val="13"/>
                <w:szCs w:val="13"/>
                <w:color w:val="auto"/>
              </w:rPr>
            </w:pPr>
          </w:p>
        </w:tc>
        <w:tc>
          <w:tcPr>
            <w:tcW w:w="2760" w:type="dxa"/>
            <w:vAlign w:val="bottom"/>
            <w:tcBorders>
              <w:bottom w:val="single" w:sz="8" w:color="9A9A9A"/>
            </w:tcBorders>
          </w:tcPr>
          <w:p>
            <w:pPr>
              <w:spacing w:after="0"/>
              <w:rPr>
                <w:sz w:val="13"/>
                <w:szCs w:val="13"/>
                <w:color w:val="auto"/>
              </w:rPr>
            </w:pPr>
          </w:p>
        </w:tc>
        <w:tc>
          <w:tcPr>
            <w:tcW w:w="3080" w:type="dxa"/>
            <w:vAlign w:val="bottom"/>
            <w:tcBorders>
              <w:bottom w:val="single" w:sz="8" w:color="9A9A9A"/>
            </w:tcBorders>
          </w:tcPr>
          <w:p>
            <w:pPr>
              <w:spacing w:after="0"/>
              <w:rPr>
                <w:sz w:val="13"/>
                <w:szCs w:val="13"/>
                <w:color w:val="auto"/>
              </w:rPr>
            </w:pPr>
          </w:p>
        </w:tc>
        <w:tc>
          <w:tcPr>
            <w:tcW w:w="980" w:type="dxa"/>
            <w:vAlign w:val="bottom"/>
            <w:tcBorders>
              <w:bottom w:val="single" w:sz="8" w:color="9A9A9A"/>
            </w:tcBorders>
          </w:tcPr>
          <w:p>
            <w:pPr>
              <w:spacing w:after="0"/>
              <w:rPr>
                <w:sz w:val="13"/>
                <w:szCs w:val="1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6802755</wp:posOffset>
            </wp:positionH>
            <wp:positionV relativeFrom="paragraph">
              <wp:posOffset>-7620</wp:posOffset>
            </wp:positionV>
            <wp:extent cx="8255" cy="8255"/>
            <wp:wrapNone/>
            <wp:docPr id="371" name="Picture 3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1"/>
                    <pic:cNvPicPr>
                      <a:picLocks noChangeAspect="1" noChangeArrowheads="1"/>
                    </pic:cNvPicPr>
                  </pic:nvPicPr>
                  <pic:blipFill>
                    <a:blip r:embed="rId37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wp:posOffset>
            </wp:positionV>
            <wp:extent cx="8890" cy="17145"/>
            <wp:wrapNone/>
            <wp:docPr id="372" name="Picture 3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2"/>
                    <pic:cNvPicPr>
                      <a:picLocks noChangeAspect="1" noChangeArrowheads="1"/>
                    </pic:cNvPicPr>
                  </pic:nvPicPr>
                  <pic:blipFill>
                    <a:blip r:embed="rId379">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sectPr>
          <w:pgSz w:w="11900" w:h="16838" w:orient="portrait"/>
          <w:cols w:equalWidth="0" w:num="1">
            <w:col w:w="10720"/>
          </w:cols>
          <w:pgMar w:left="320" w:top="131" w:right="859" w:bottom="1440" w:gutter="0" w:footer="0" w:header="0"/>
        </w:sectPr>
      </w:pPr>
    </w:p>
    <w:bookmarkStart w:id="82" w:name="page83"/>
    <w:bookmarkEnd w:id="82"/>
    <w:p>
      <w:pPr>
        <w:spacing w:after="0"/>
        <w:rPr>
          <w:rFonts w:ascii="Arial" w:cs="Arial" w:eastAsia="Arial" w:hAnsi="Arial"/>
          <w:sz w:val="14"/>
          <w:szCs w:val="14"/>
          <w:color w:val="003366"/>
        </w:rPr>
      </w:pPr>
      <w:hyperlink w:anchor="page77">
        <w:r>
          <w:rPr>
            <w:rFonts w:ascii="Arial" w:cs="Arial" w:eastAsia="Arial" w:hAnsi="Arial"/>
            <w:sz w:val="14"/>
            <w:szCs w:val="14"/>
            <w:color w:val="003366"/>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485140</wp:posOffset>
            </wp:positionH>
            <wp:positionV relativeFrom="paragraph">
              <wp:posOffset>357505</wp:posOffset>
            </wp:positionV>
            <wp:extent cx="5829300" cy="8255"/>
            <wp:wrapNone/>
            <wp:docPr id="373" name="Picture 3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3"/>
                    <pic:cNvPicPr>
                      <a:picLocks noChangeAspect="1" noChangeArrowheads="1"/>
                    </pic:cNvPicPr>
                  </pic:nvPicPr>
                  <pic:blipFill>
                    <a:blip r:embed="rId380">
                      <a:extLst>
                        <a:ext uri="{28A0092B-C50C-407E-A947-70E740481C1C}"/>
                      </a:extLst>
                    </a:blip>
                    <a:srcRect/>
                    <a:stretch>
                      <a:fillRect/>
                    </a:stretch>
                  </pic:blipFill>
                  <pic:spPr bwMode="auto">
                    <a:xfrm>
                      <a:off x="0" y="0"/>
                      <a:ext cx="5829300" cy="8255"/>
                    </a:xfrm>
                    <a:prstGeom prst="rect">
                      <a:avLst/>
                    </a:prstGeom>
                    <a:noFill/>
                  </pic:spPr>
                </pic:pic>
              </a:graphicData>
            </a:graphic>
          </wp:anchor>
        </w:drawing>
      </w:r>
    </w:p>
    <w:p>
      <w:pPr>
        <w:sectPr>
          <w:pgSz w:w="11900" w:h="16838" w:orient="portrait"/>
          <w:cols w:equalWidth="0" w:num="1">
            <w:col w:w="10139"/>
          </w:cols>
          <w:pgMar w:left="320" w:top="131"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p>
      <w:pPr>
        <w:ind w:left="1620" w:hanging="424"/>
        <w:spacing w:after="0"/>
        <w:tabs>
          <w:tab w:leader="none" w:pos="1620" w:val="left"/>
        </w:tabs>
        <w:numPr>
          <w:ilvl w:val="0"/>
          <w:numId w:val="94"/>
        </w:numPr>
        <w:rPr>
          <w:rFonts w:ascii="Arial" w:cs="Arial" w:eastAsia="Arial" w:hAnsi="Arial"/>
          <w:sz w:val="16"/>
          <w:szCs w:val="16"/>
          <w:color w:val="auto"/>
        </w:rPr>
      </w:pPr>
      <w:r>
        <w:rPr>
          <w:rFonts w:ascii="Arial" w:cs="Arial" w:eastAsia="Arial" w:hAnsi="Arial"/>
          <w:sz w:val="16"/>
          <w:szCs w:val="16"/>
          <w:color w:val="auto"/>
        </w:rPr>
        <w:t>powers of delegation shall not be restrictively construed but the widest interpretation shall be given to them;</w:t>
      </w:r>
    </w:p>
    <w:p>
      <w:pPr>
        <w:spacing w:after="0" w:line="99" w:lineRule="exact"/>
        <w:rPr>
          <w:rFonts w:ascii="Arial" w:cs="Arial" w:eastAsia="Arial" w:hAnsi="Arial"/>
          <w:sz w:val="16"/>
          <w:szCs w:val="16"/>
          <w:color w:val="auto"/>
        </w:rPr>
      </w:pPr>
    </w:p>
    <w:p>
      <w:pPr>
        <w:ind w:left="1620" w:right="399" w:hanging="424"/>
        <w:spacing w:after="0" w:line="251" w:lineRule="auto"/>
        <w:tabs>
          <w:tab w:leader="none" w:pos="1620" w:val="left"/>
        </w:tabs>
        <w:numPr>
          <w:ilvl w:val="0"/>
          <w:numId w:val="94"/>
        </w:numPr>
        <w:rPr>
          <w:rFonts w:ascii="Arial" w:cs="Arial" w:eastAsia="Arial" w:hAnsi="Arial"/>
          <w:sz w:val="16"/>
          <w:szCs w:val="16"/>
          <w:color w:val="auto"/>
        </w:rPr>
      </w:pPr>
      <w:r>
        <w:rPr>
          <w:rFonts w:ascii="Arial" w:cs="Arial" w:eastAsia="Arial" w:hAnsi="Arial"/>
          <w:sz w:val="16"/>
          <w:szCs w:val="16"/>
          <w:color w:val="auto"/>
        </w:rPr>
        <w:t xml:space="preserve">the word “Board” in the context of the exercise of any power contained in these Articles includes any committee consisting of one or more Directors, any Director, any other officer of the Company and any local or divisional board, manager or agent of the Company to which or, as the case may be, to whom the power in question has been delegated </w:t>
      </w:r>
      <w:r>
        <w:rPr>
          <w:rFonts w:ascii="Arial" w:cs="Arial" w:eastAsia="Arial" w:hAnsi="Arial"/>
          <w:sz w:val="16"/>
          <w:szCs w:val="16"/>
          <w:u w:val="single" w:color="auto"/>
          <w:color w:val="auto"/>
        </w:rPr>
        <w:t>by the Board</w:t>
      </w:r>
      <w:r>
        <w:rPr>
          <w:rFonts w:ascii="Arial" w:cs="Arial" w:eastAsia="Arial" w:hAnsi="Arial"/>
          <w:sz w:val="16"/>
          <w:szCs w:val="16"/>
          <w:color w:val="auto"/>
        </w:rPr>
        <w:t>;</w:t>
      </w:r>
    </w:p>
    <w:p>
      <w:pPr>
        <w:spacing w:after="0" w:line="80" w:lineRule="exact"/>
        <w:rPr>
          <w:rFonts w:ascii="Arial" w:cs="Arial" w:eastAsia="Arial" w:hAnsi="Arial"/>
          <w:sz w:val="16"/>
          <w:szCs w:val="16"/>
          <w:color w:val="auto"/>
        </w:rPr>
      </w:pPr>
    </w:p>
    <w:p>
      <w:pPr>
        <w:ind w:left="1620" w:right="959" w:hanging="424"/>
        <w:spacing w:after="0" w:line="260" w:lineRule="auto"/>
        <w:tabs>
          <w:tab w:leader="none" w:pos="1620" w:val="left"/>
        </w:tabs>
        <w:numPr>
          <w:ilvl w:val="0"/>
          <w:numId w:val="94"/>
        </w:numPr>
        <w:rPr>
          <w:rFonts w:ascii="Arial" w:cs="Arial" w:eastAsia="Arial" w:hAnsi="Arial"/>
          <w:sz w:val="16"/>
          <w:szCs w:val="16"/>
          <w:color w:val="auto"/>
        </w:rPr>
      </w:pPr>
      <w:r>
        <w:rPr>
          <w:rFonts w:ascii="Arial" w:cs="Arial" w:eastAsia="Arial" w:hAnsi="Arial"/>
          <w:sz w:val="16"/>
          <w:szCs w:val="16"/>
          <w:color w:val="auto"/>
        </w:rPr>
        <w:t>no power of delegation shall be limited by the existence or, except where expressly provided by the terms of delegation, the exercise of that or any other power of delegation; and</w:t>
      </w:r>
    </w:p>
    <w:p>
      <w:pPr>
        <w:spacing w:after="0" w:line="87" w:lineRule="exact"/>
        <w:rPr>
          <w:rFonts w:ascii="Arial" w:cs="Arial" w:eastAsia="Arial" w:hAnsi="Arial"/>
          <w:sz w:val="16"/>
          <w:szCs w:val="16"/>
          <w:color w:val="auto"/>
        </w:rPr>
      </w:pPr>
    </w:p>
    <w:p>
      <w:pPr>
        <w:ind w:left="1620" w:right="219" w:hanging="424"/>
        <w:spacing w:after="0" w:line="253" w:lineRule="auto"/>
        <w:tabs>
          <w:tab w:leader="none" w:pos="1620" w:val="left"/>
        </w:tabs>
        <w:numPr>
          <w:ilvl w:val="0"/>
          <w:numId w:val="94"/>
        </w:numPr>
        <w:rPr>
          <w:rFonts w:ascii="Arial" w:cs="Arial" w:eastAsia="Arial" w:hAnsi="Arial"/>
          <w:sz w:val="16"/>
          <w:szCs w:val="16"/>
          <w:color w:val="auto"/>
        </w:rPr>
      </w:pPr>
      <w:r>
        <w:rPr>
          <w:rFonts w:ascii="Arial" w:cs="Arial" w:eastAsia="Arial" w:hAnsi="Arial"/>
          <w:sz w:val="16"/>
          <w:szCs w:val="16"/>
          <w:color w:val="auto"/>
        </w:rPr>
        <w:t>except where expressly provided by the terms of delegation, the delegation of a power shall not exclude the concurrent exercise of that power by any other body or person who is for the time being authorised to exercise it under these Articles or under another delegation of the power.</w:t>
      </w:r>
    </w:p>
    <w:p>
      <w:pPr>
        <w:spacing w:after="0" w:line="80" w:lineRule="exact"/>
        <w:rPr>
          <w:sz w:val="20"/>
          <w:szCs w:val="20"/>
          <w:color w:val="auto"/>
        </w:rPr>
      </w:pPr>
    </w:p>
    <w:p>
      <w:pPr>
        <w:ind w:left="760"/>
        <w:spacing w:after="0"/>
        <w:tabs>
          <w:tab w:leader="none" w:pos="1180" w:val="left"/>
        </w:tabs>
        <w:rPr>
          <w:sz w:val="20"/>
          <w:szCs w:val="20"/>
          <w:color w:val="auto"/>
        </w:rPr>
      </w:pPr>
      <w:r>
        <w:rPr>
          <w:rFonts w:ascii="Arial" w:cs="Arial" w:eastAsia="Arial" w:hAnsi="Arial"/>
          <w:sz w:val="16"/>
          <w:szCs w:val="16"/>
          <w:color w:val="auto"/>
        </w:rPr>
        <w:t>2.5</w:t>
      </w:r>
      <w:r>
        <w:rPr>
          <w:sz w:val="20"/>
          <w:szCs w:val="20"/>
          <w:color w:val="auto"/>
        </w:rPr>
        <w:tab/>
      </w:r>
      <w:r>
        <w:rPr>
          <w:rFonts w:ascii="Arial" w:cs="Arial" w:eastAsia="Arial" w:hAnsi="Arial"/>
          <w:sz w:val="15"/>
          <w:szCs w:val="15"/>
          <w:color w:val="auto"/>
        </w:rPr>
        <w:t>The headings are inserted for convenience only and do not affect the construction of these Articles.</w:t>
      </w:r>
    </w:p>
    <w:p>
      <w:pPr>
        <w:spacing w:after="0" w:line="80" w:lineRule="exact"/>
        <w:rPr>
          <w:sz w:val="20"/>
          <w:szCs w:val="20"/>
          <w:color w:val="auto"/>
        </w:rPr>
      </w:pPr>
    </w:p>
    <w:p>
      <w:pPr>
        <w:ind w:left="1200" w:hanging="436"/>
        <w:spacing w:after="0"/>
        <w:tabs>
          <w:tab w:leader="none" w:pos="1200" w:val="left"/>
        </w:tabs>
        <w:numPr>
          <w:ilvl w:val="0"/>
          <w:numId w:val="95"/>
        </w:numPr>
        <w:rPr>
          <w:rFonts w:ascii="Arial" w:cs="Arial" w:eastAsia="Arial" w:hAnsi="Arial"/>
          <w:sz w:val="16"/>
          <w:szCs w:val="16"/>
          <w:b w:val="1"/>
          <w:bCs w:val="1"/>
          <w:color w:val="auto"/>
        </w:rPr>
      </w:pPr>
      <w:r>
        <w:rPr>
          <w:rFonts w:ascii="Arial" w:cs="Arial" w:eastAsia="Arial" w:hAnsi="Arial"/>
          <w:sz w:val="16"/>
          <w:szCs w:val="16"/>
          <w:b w:val="1"/>
          <w:bCs w:val="1"/>
          <w:color w:val="auto"/>
        </w:rPr>
        <w:t>LIABILITY OF MEMBERS</w:t>
      </w:r>
    </w:p>
    <w:p>
      <w:pPr>
        <w:spacing w:after="0" w:line="106" w:lineRule="exact"/>
        <w:rPr>
          <w:rFonts w:ascii="Arial" w:cs="Arial" w:eastAsia="Arial" w:hAnsi="Arial"/>
          <w:sz w:val="16"/>
          <w:szCs w:val="16"/>
          <w:b w:val="1"/>
          <w:bCs w:val="1"/>
          <w:color w:val="auto"/>
        </w:rPr>
      </w:pPr>
    </w:p>
    <w:p>
      <w:pPr>
        <w:ind w:left="1200"/>
        <w:spacing w:after="0"/>
        <w:rPr>
          <w:rFonts w:ascii="Arial" w:cs="Arial" w:eastAsia="Arial" w:hAnsi="Arial"/>
          <w:sz w:val="16"/>
          <w:szCs w:val="16"/>
          <w:b w:val="1"/>
          <w:bCs w:val="1"/>
          <w:color w:val="auto"/>
        </w:rPr>
      </w:pPr>
      <w:r>
        <w:rPr>
          <w:rFonts w:ascii="Arial" w:cs="Arial" w:eastAsia="Arial" w:hAnsi="Arial"/>
          <w:sz w:val="16"/>
          <w:szCs w:val="16"/>
          <w:color w:val="auto"/>
        </w:rPr>
        <w:t>The liability of each member is limited to the amount, if any, unpaid on the shares held by that member.</w:t>
      </w:r>
    </w:p>
    <w:p>
      <w:pPr>
        <w:spacing w:after="0" w:line="79" w:lineRule="exact"/>
        <w:rPr>
          <w:rFonts w:ascii="Arial" w:cs="Arial" w:eastAsia="Arial" w:hAnsi="Arial"/>
          <w:sz w:val="16"/>
          <w:szCs w:val="16"/>
          <w:b w:val="1"/>
          <w:bCs w:val="1"/>
          <w:color w:val="auto"/>
        </w:rPr>
      </w:pPr>
    </w:p>
    <w:p>
      <w:pPr>
        <w:ind w:left="1200" w:hanging="436"/>
        <w:spacing w:after="0"/>
        <w:tabs>
          <w:tab w:leader="none" w:pos="1200" w:val="left"/>
        </w:tabs>
        <w:numPr>
          <w:ilvl w:val="0"/>
          <w:numId w:val="95"/>
        </w:numPr>
        <w:rPr>
          <w:rFonts w:ascii="Arial" w:cs="Arial" w:eastAsia="Arial" w:hAnsi="Arial"/>
          <w:sz w:val="16"/>
          <w:szCs w:val="16"/>
          <w:b w:val="1"/>
          <w:bCs w:val="1"/>
          <w:color w:val="auto"/>
        </w:rPr>
      </w:pPr>
      <w:r>
        <w:rPr>
          <w:rFonts w:ascii="Arial" w:cs="Arial" w:eastAsia="Arial" w:hAnsi="Arial"/>
          <w:sz w:val="16"/>
          <w:szCs w:val="16"/>
          <w:b w:val="1"/>
          <w:bCs w:val="1"/>
          <w:color w:val="auto"/>
        </w:rPr>
        <w:t>SHARES AND SHARE CAPITAL</w:t>
      </w:r>
    </w:p>
    <w:p>
      <w:pPr>
        <w:spacing w:after="0" w:line="120" w:lineRule="exact"/>
        <w:rPr>
          <w:sz w:val="20"/>
          <w:szCs w:val="20"/>
          <w:color w:val="auto"/>
        </w:rPr>
      </w:pPr>
    </w:p>
    <w:p>
      <w:pPr>
        <w:ind w:left="1200" w:right="319" w:hanging="431"/>
        <w:spacing w:after="0" w:line="260" w:lineRule="auto"/>
        <w:tabs>
          <w:tab w:leader="none" w:pos="1180" w:val="left"/>
        </w:tabs>
        <w:rPr>
          <w:sz w:val="20"/>
          <w:szCs w:val="20"/>
          <w:color w:val="auto"/>
        </w:rPr>
      </w:pPr>
      <w:r>
        <w:rPr>
          <w:rFonts w:ascii="Arial" w:cs="Arial" w:eastAsia="Arial" w:hAnsi="Arial"/>
          <w:sz w:val="16"/>
          <w:szCs w:val="16"/>
          <w:color w:val="auto"/>
          <w:strike w:val="1"/>
        </w:rPr>
        <w:t>4.1</w:t>
      </w:r>
      <w:r>
        <w:rPr>
          <w:sz w:val="20"/>
          <w:szCs w:val="20"/>
          <w:color w:val="auto"/>
        </w:rPr>
        <w:tab/>
      </w:r>
      <w:r>
        <w:rPr>
          <w:rFonts w:ascii="Arial" w:cs="Arial" w:eastAsia="Arial" w:hAnsi="Arial"/>
          <w:sz w:val="16"/>
          <w:szCs w:val="16"/>
          <w:color w:val="auto"/>
        </w:rPr>
        <w:t xml:space="preserve">The Company may issue </w:t>
      </w:r>
      <w:r>
        <w:rPr>
          <w:rFonts w:ascii="Arial" w:cs="Arial" w:eastAsia="Arial" w:hAnsi="Arial"/>
          <w:sz w:val="16"/>
          <w:szCs w:val="16"/>
          <w:color w:val="auto"/>
          <w:strike w:val="1"/>
        </w:rPr>
        <w:t>the following shares in the capital of the Company with rights attaching to them and denominated,</w:t>
      </w:r>
      <w:r>
        <w:rPr>
          <w:rFonts w:ascii="Arial" w:cs="Arial" w:eastAsia="Arial" w:hAnsi="Arial"/>
          <w:sz w:val="16"/>
          <w:szCs w:val="16"/>
          <w:color w:val="auto"/>
        </w:rPr>
        <w:t xml:space="preserve"> </w:t>
      </w:r>
      <w:r>
        <w:rPr>
          <w:rFonts w:ascii="Arial" w:cs="Arial" w:eastAsia="Arial" w:hAnsi="Arial"/>
          <w:sz w:val="16"/>
          <w:szCs w:val="16"/>
          <w:color w:val="auto"/>
          <w:strike w:val="1"/>
        </w:rPr>
        <w:t>in each case, as follows:</w:t>
      </w:r>
    </w:p>
    <w:p>
      <w:pPr>
        <w:spacing w:after="0" w:line="74" w:lineRule="exact"/>
        <w:rPr>
          <w:sz w:val="20"/>
          <w:szCs w:val="20"/>
          <w:color w:val="auto"/>
        </w:rPr>
      </w:pPr>
    </w:p>
    <w:p>
      <w:pPr>
        <w:ind w:left="1200" w:right="259" w:hanging="431"/>
        <w:spacing w:after="0" w:line="250" w:lineRule="auto"/>
        <w:rPr>
          <w:sz w:val="20"/>
          <w:szCs w:val="20"/>
          <w:color w:val="auto"/>
        </w:rPr>
      </w:pPr>
      <w:r>
        <w:rPr>
          <w:rFonts w:ascii="Arial" w:cs="Arial" w:eastAsia="Arial" w:hAnsi="Arial"/>
          <w:sz w:val="16"/>
          <w:szCs w:val="16"/>
          <w:color w:val="auto"/>
          <w:strike w:val="1"/>
        </w:rPr>
        <w:t>(a)</w:t>
      </w:r>
      <w:r>
        <w:rPr>
          <w:rFonts w:ascii="Arial" w:cs="Arial" w:eastAsia="Arial" w:hAnsi="Arial"/>
          <w:sz w:val="16"/>
          <w:szCs w:val="16"/>
          <w:color w:val="auto"/>
        </w:rPr>
        <w:t xml:space="preserve">4.1Ordinary Shares, </w:t>
      </w:r>
      <w:r>
        <w:rPr>
          <w:rFonts w:ascii="Arial" w:cs="Arial" w:eastAsia="Arial" w:hAnsi="Arial"/>
          <w:sz w:val="16"/>
          <w:szCs w:val="16"/>
          <w:color w:val="auto"/>
          <w:strike w:val="1"/>
        </w:rPr>
        <w:t>each of</w:t>
      </w:r>
      <w:r>
        <w:rPr>
          <w:rFonts w:ascii="Arial" w:cs="Arial" w:eastAsia="Arial" w:hAnsi="Arial"/>
          <w:sz w:val="16"/>
          <w:szCs w:val="16"/>
          <w:color w:val="auto"/>
        </w:rPr>
        <w:t xml:space="preserve"> which shall be denominated in British Pounds Sterling with a nominal value of £1. Each Ordinary Share shall be issued with one vote attaching to it for voting purposes in respect of all matters on which Voting Shares </w:t>
      </w:r>
      <w:r>
        <w:rPr>
          <w:rFonts w:ascii="Arial" w:cs="Arial" w:eastAsia="Arial" w:hAnsi="Arial"/>
          <w:sz w:val="16"/>
          <w:szCs w:val="16"/>
          <w:color w:val="auto"/>
          <w:strike w:val="1"/>
        </w:rPr>
        <w:t>in the</w:t>
      </w:r>
      <w:r>
        <w:rPr>
          <w:rFonts w:ascii="Arial" w:cs="Arial" w:eastAsia="Arial" w:hAnsi="Arial"/>
          <w:sz w:val="16"/>
          <w:szCs w:val="16"/>
          <w:color w:val="auto"/>
        </w:rPr>
        <w:t xml:space="preserve"> </w:t>
      </w:r>
      <w:r>
        <w:rPr>
          <w:rFonts w:ascii="Arial" w:cs="Arial" w:eastAsia="Arial" w:hAnsi="Arial"/>
          <w:sz w:val="16"/>
          <w:szCs w:val="16"/>
          <w:color w:val="auto"/>
          <w:strike w:val="1"/>
        </w:rPr>
        <w:t>capital of the Company</w:t>
      </w:r>
      <w:r>
        <w:rPr>
          <w:rFonts w:ascii="Arial" w:cs="Arial" w:eastAsia="Arial" w:hAnsi="Arial"/>
          <w:sz w:val="16"/>
          <w:szCs w:val="16"/>
          <w:color w:val="auto"/>
        </w:rPr>
        <w:t xml:space="preserve"> have voting rights and shall form a single class with the other Voting Shares </w:t>
      </w:r>
      <w:r>
        <w:rPr>
          <w:rFonts w:ascii="Arial" w:cs="Arial" w:eastAsia="Arial" w:hAnsi="Arial"/>
          <w:sz w:val="16"/>
          <w:szCs w:val="16"/>
          <w:color w:val="auto"/>
          <w:strike w:val="1"/>
        </w:rPr>
        <w:t>in the capital of the</w:t>
      </w:r>
      <w:r>
        <w:rPr>
          <w:rFonts w:ascii="Arial" w:cs="Arial" w:eastAsia="Arial" w:hAnsi="Arial"/>
          <w:sz w:val="16"/>
          <w:szCs w:val="16"/>
          <w:color w:val="auto"/>
        </w:rPr>
        <w:t xml:space="preserve"> </w:t>
      </w:r>
      <w:r>
        <w:rPr>
          <w:rFonts w:ascii="Arial" w:cs="Arial" w:eastAsia="Arial" w:hAnsi="Arial"/>
          <w:sz w:val="16"/>
          <w:szCs w:val="16"/>
          <w:color w:val="auto"/>
          <w:strike w:val="1"/>
        </w:rPr>
        <w:t>Company</w:t>
      </w:r>
      <w:r>
        <w:rPr>
          <w:rFonts w:ascii="Arial" w:cs="Arial" w:eastAsia="Arial" w:hAnsi="Arial"/>
          <w:sz w:val="16"/>
          <w:szCs w:val="16"/>
          <w:color w:val="auto"/>
        </w:rPr>
        <w:t xml:space="preserve"> for such purposes. The holders of Ordinary Shares shall, in respect of the Ordinary Shares held by them, be entitled to receive notice of, attend and speak at and vote at, general meetings of the Company.</w:t>
      </w:r>
    </w:p>
    <w:p>
      <w:pPr>
        <w:spacing w:after="0" w:line="95" w:lineRule="exact"/>
        <w:rPr>
          <w:sz w:val="20"/>
          <w:szCs w:val="20"/>
          <w:color w:val="auto"/>
        </w:rPr>
      </w:pPr>
    </w:p>
    <w:p>
      <w:pPr>
        <w:ind w:left="1200" w:right="399" w:hanging="431"/>
        <w:spacing w:after="0" w:line="260" w:lineRule="auto"/>
        <w:tabs>
          <w:tab w:leader="none" w:pos="1180" w:val="left"/>
        </w:tabs>
        <w:rPr>
          <w:sz w:val="20"/>
          <w:szCs w:val="20"/>
          <w:color w:val="auto"/>
        </w:rPr>
      </w:pPr>
      <w:r>
        <w:rPr>
          <w:rFonts w:ascii="Arial" w:cs="Arial" w:eastAsia="Arial" w:hAnsi="Arial"/>
          <w:sz w:val="16"/>
          <w:szCs w:val="16"/>
          <w:color w:val="auto"/>
        </w:rPr>
        <w:t>4.2</w:t>
        <w:tab/>
        <w:t>Notwithstanding Article 4.1, subject to the provisions of the Companies Act, and without prejudice to any rights attached to any existing shares or class of shares:</w:t>
      </w:r>
    </w:p>
    <w:p>
      <w:pPr>
        <w:spacing w:after="0" w:line="74" w:lineRule="exact"/>
        <w:rPr>
          <w:sz w:val="20"/>
          <w:szCs w:val="20"/>
          <w:color w:val="auto"/>
        </w:rPr>
      </w:pPr>
    </w:p>
    <w:p>
      <w:pPr>
        <w:ind w:left="1620" w:right="699" w:hanging="424"/>
        <w:spacing w:after="0" w:line="293" w:lineRule="auto"/>
        <w:tabs>
          <w:tab w:leader="none" w:pos="1620" w:val="left"/>
        </w:tabs>
        <w:numPr>
          <w:ilvl w:val="0"/>
          <w:numId w:val="96"/>
        </w:numPr>
        <w:rPr>
          <w:rFonts w:ascii="Arial" w:cs="Arial" w:eastAsia="Arial" w:hAnsi="Arial"/>
          <w:sz w:val="15"/>
          <w:szCs w:val="15"/>
          <w:color w:val="auto"/>
        </w:rPr>
      </w:pPr>
      <w:r>
        <w:rPr>
          <w:rFonts w:ascii="Arial" w:cs="Arial" w:eastAsia="Arial" w:hAnsi="Arial"/>
          <w:sz w:val="15"/>
          <w:szCs w:val="15"/>
          <w:color w:val="auto"/>
        </w:rPr>
        <w:t>any share may be issued in one or more classes with such rights or restrictions as the Company may by special resolution determine or, subject to and in default of such determination, as the Board shall determine; and</w:t>
      </w:r>
    </w:p>
    <w:p>
      <w:pPr>
        <w:spacing w:after="0" w:line="51" w:lineRule="exact"/>
        <w:rPr>
          <w:rFonts w:ascii="Arial" w:cs="Arial" w:eastAsia="Arial" w:hAnsi="Arial"/>
          <w:sz w:val="15"/>
          <w:szCs w:val="15"/>
          <w:color w:val="auto"/>
        </w:rPr>
      </w:pPr>
    </w:p>
    <w:p>
      <w:pPr>
        <w:ind w:left="1620" w:right="399" w:hanging="424"/>
        <w:spacing w:after="0" w:line="253" w:lineRule="auto"/>
        <w:tabs>
          <w:tab w:leader="none" w:pos="1620" w:val="left"/>
        </w:tabs>
        <w:numPr>
          <w:ilvl w:val="0"/>
          <w:numId w:val="96"/>
        </w:numPr>
        <w:rPr>
          <w:rFonts w:ascii="Arial" w:cs="Arial" w:eastAsia="Arial" w:hAnsi="Arial"/>
          <w:sz w:val="16"/>
          <w:szCs w:val="16"/>
          <w:color w:val="auto"/>
        </w:rPr>
      </w:pPr>
      <w:r>
        <w:rPr>
          <w:rFonts w:ascii="Arial" w:cs="Arial" w:eastAsia="Arial" w:hAnsi="Arial"/>
          <w:sz w:val="16"/>
          <w:szCs w:val="16"/>
          <w:color w:val="auto"/>
        </w:rPr>
        <w:t>shares may be issued which are to be redeemed or are to be liable to be redeemed at the option of the Company or the holder and the Board may determine the terms, conditions and manner of redemption of shares provided that it does so before the shares are allotted.</w:t>
      </w:r>
    </w:p>
    <w:p>
      <w:pPr>
        <w:spacing w:after="0" w:line="80" w:lineRule="exact"/>
        <w:rPr>
          <w:sz w:val="20"/>
          <w:szCs w:val="20"/>
          <w:color w:val="auto"/>
        </w:rPr>
      </w:pPr>
    </w:p>
    <w:p>
      <w:pPr>
        <w:ind w:left="1200" w:right="219" w:hanging="431"/>
        <w:spacing w:after="0" w:line="251" w:lineRule="auto"/>
        <w:tabs>
          <w:tab w:leader="none" w:pos="1180" w:val="left"/>
        </w:tabs>
        <w:rPr>
          <w:sz w:val="20"/>
          <w:szCs w:val="20"/>
          <w:color w:val="auto"/>
        </w:rPr>
      </w:pPr>
      <w:r>
        <w:rPr>
          <w:rFonts w:ascii="Arial" w:cs="Arial" w:eastAsia="Arial" w:hAnsi="Arial"/>
          <w:sz w:val="16"/>
          <w:szCs w:val="16"/>
          <w:color w:val="auto"/>
        </w:rPr>
        <w:t>4.3</w:t>
        <w:tab/>
        <w:t>The Company may exercise all powers of paying commissions or brokerage conferred or permitted by the Companies Act. Subject to the provisions of the Companies Act, any such commission may be satisfied by the payment of cash or by the allotment of fully or partly paid shares or partly in one way and partly in the other and may be in respect of a conditional or an absolute subscription.</w:t>
      </w:r>
    </w:p>
    <w:p>
      <w:pPr>
        <w:spacing w:after="0" w:line="81" w:lineRule="exact"/>
        <w:rPr>
          <w:sz w:val="20"/>
          <w:szCs w:val="20"/>
          <w:color w:val="auto"/>
        </w:rPr>
      </w:pPr>
    </w:p>
    <w:p>
      <w:pPr>
        <w:ind w:left="1200" w:right="199" w:hanging="431"/>
        <w:spacing w:after="0" w:line="251" w:lineRule="auto"/>
        <w:tabs>
          <w:tab w:leader="none" w:pos="1180" w:val="left"/>
        </w:tabs>
        <w:rPr>
          <w:sz w:val="20"/>
          <w:szCs w:val="20"/>
          <w:color w:val="auto"/>
        </w:rPr>
      </w:pPr>
      <w:r>
        <w:rPr>
          <w:rFonts w:ascii="Arial" w:cs="Arial" w:eastAsia="Arial" w:hAnsi="Arial"/>
          <w:sz w:val="16"/>
          <w:szCs w:val="16"/>
          <w:color w:val="auto"/>
        </w:rPr>
        <w:t>4.4</w:t>
        <w:tab/>
        <w:t>Except as required by law, no person shall be recognised by the Company as holding any share upon any trust. Except as otherwise provided by these Articles or by law, the Company shall not be bound by or recognise (even if having notice of it) any equitable, contingent, future, partial or other claim or any interest in any share (or in any fractional part of a share) except the holder’s absolute ownership of the entirety of the share and all the rights attaching to it.</w:t>
      </w:r>
    </w:p>
    <w:p>
      <w:pPr>
        <w:spacing w:after="0" w:line="81" w:lineRule="exact"/>
        <w:rPr>
          <w:sz w:val="20"/>
          <w:szCs w:val="20"/>
          <w:color w:val="auto"/>
        </w:rPr>
      </w:pPr>
    </w:p>
    <w:p>
      <w:pPr>
        <w:ind w:left="1200" w:right="219" w:hanging="431"/>
        <w:spacing w:after="0" w:line="248" w:lineRule="auto"/>
        <w:tabs>
          <w:tab w:leader="none" w:pos="1180" w:val="left"/>
        </w:tabs>
        <w:rPr>
          <w:sz w:val="20"/>
          <w:szCs w:val="20"/>
          <w:color w:val="auto"/>
        </w:rPr>
      </w:pPr>
      <w:r>
        <w:rPr>
          <w:rFonts w:ascii="Arial" w:cs="Arial" w:eastAsia="Arial" w:hAnsi="Arial"/>
          <w:sz w:val="16"/>
          <w:szCs w:val="16"/>
          <w:color w:val="auto"/>
        </w:rPr>
        <w:t>4.5</w:t>
        <w:tab/>
        <w:t xml:space="preserve">Under and subject to the Uncertificated Securities Rules, the Board may permit title to shares of any class to be evidenced otherwise than by certificate and title to shares of such a class to be transferred by means of a relevant system and may make arrangements for a class of shares (if all shares of that class are in all respects identical) to become a participating class. Title to shares </w:t>
      </w:r>
      <w:r>
        <w:rPr>
          <w:rFonts w:ascii="Arial" w:cs="Arial" w:eastAsia="Arial" w:hAnsi="Arial"/>
          <w:sz w:val="16"/>
          <w:szCs w:val="16"/>
          <w:color w:val="auto"/>
          <w:strike w:val="1"/>
        </w:rPr>
        <w:t>of a participating class</w:t>
      </w:r>
      <w:r>
        <w:rPr>
          <w:rFonts w:ascii="Arial" w:cs="Arial" w:eastAsia="Arial" w:hAnsi="Arial"/>
          <w:sz w:val="16"/>
          <w:szCs w:val="16"/>
          <w:color w:val="auto"/>
        </w:rPr>
        <w:t xml:space="preserve"> may only be evidenced otherwise than by a certificate where that class of shares is at the relevant time a participating class. The Board may also, subject to compliance with the Uncertificated Securities Rules, determine at any time that title to any class of shares may from a date specified by the Board no longer be evidenced otherwise than by a certificate or that title to such a class shall cease to be transferred by means of any particular relevant system.</w:t>
      </w:r>
    </w:p>
    <w:p>
      <w:pPr>
        <w:spacing w:after="0" w:line="86" w:lineRule="exact"/>
        <w:rPr>
          <w:sz w:val="20"/>
          <w:szCs w:val="20"/>
          <w:color w:val="auto"/>
        </w:rPr>
      </w:pPr>
    </w:p>
    <w:p>
      <w:pPr>
        <w:ind w:left="1200" w:right="219" w:hanging="431"/>
        <w:spacing w:after="0" w:line="260" w:lineRule="auto"/>
        <w:tabs>
          <w:tab w:leader="none" w:pos="1180" w:val="left"/>
        </w:tabs>
        <w:rPr>
          <w:sz w:val="20"/>
          <w:szCs w:val="20"/>
          <w:color w:val="auto"/>
        </w:rPr>
      </w:pPr>
      <w:r>
        <w:rPr>
          <w:rFonts w:ascii="Arial" w:cs="Arial" w:eastAsia="Arial" w:hAnsi="Arial"/>
          <w:sz w:val="16"/>
          <w:szCs w:val="16"/>
          <w:color w:val="auto"/>
        </w:rPr>
        <w:t>4.6</w:t>
        <w:tab/>
        <w:t>In relation to a class of shares which is a participating class and for so long as it remains a participating class, no provision of these Articles shall apply or have effect to the extent that it is inconsistent in any respect with:</w:t>
      </w:r>
    </w:p>
    <w:p>
      <w:pPr>
        <w:spacing w:after="0" w:line="74" w:lineRule="exact"/>
        <w:rPr>
          <w:sz w:val="20"/>
          <w:szCs w:val="20"/>
          <w:color w:val="auto"/>
        </w:rPr>
      </w:pPr>
    </w:p>
    <w:p>
      <w:pPr>
        <w:ind w:left="1620" w:hanging="424"/>
        <w:spacing w:after="0"/>
        <w:tabs>
          <w:tab w:leader="none" w:pos="1620" w:val="left"/>
        </w:tabs>
        <w:numPr>
          <w:ilvl w:val="0"/>
          <w:numId w:val="97"/>
        </w:numPr>
        <w:rPr>
          <w:rFonts w:ascii="Arial" w:cs="Arial" w:eastAsia="Arial" w:hAnsi="Arial"/>
          <w:sz w:val="16"/>
          <w:szCs w:val="16"/>
          <w:color w:val="auto"/>
        </w:rPr>
      </w:pPr>
      <w:r>
        <w:rPr>
          <w:rFonts w:ascii="Arial" w:cs="Arial" w:eastAsia="Arial" w:hAnsi="Arial"/>
          <w:sz w:val="16"/>
          <w:szCs w:val="16"/>
          <w:color w:val="auto"/>
        </w:rPr>
        <w:t>the holding of shares of that class in uncertificated form;</w:t>
      </w:r>
    </w:p>
    <w:p>
      <w:pPr>
        <w:spacing w:after="0" w:line="99" w:lineRule="exact"/>
        <w:rPr>
          <w:rFonts w:ascii="Arial" w:cs="Arial" w:eastAsia="Arial" w:hAnsi="Arial"/>
          <w:sz w:val="16"/>
          <w:szCs w:val="16"/>
          <w:color w:val="auto"/>
        </w:rPr>
      </w:pPr>
    </w:p>
    <w:p>
      <w:pPr>
        <w:ind w:left="1620" w:hanging="424"/>
        <w:spacing w:after="0"/>
        <w:tabs>
          <w:tab w:leader="none" w:pos="1620" w:val="left"/>
        </w:tabs>
        <w:numPr>
          <w:ilvl w:val="0"/>
          <w:numId w:val="97"/>
        </w:numPr>
        <w:rPr>
          <w:rFonts w:ascii="Arial" w:cs="Arial" w:eastAsia="Arial" w:hAnsi="Arial"/>
          <w:sz w:val="16"/>
          <w:szCs w:val="16"/>
          <w:color w:val="auto"/>
        </w:rPr>
      </w:pPr>
      <w:r>
        <w:rPr>
          <w:rFonts w:ascii="Arial" w:cs="Arial" w:eastAsia="Arial" w:hAnsi="Arial"/>
          <w:sz w:val="16"/>
          <w:szCs w:val="16"/>
          <w:color w:val="auto"/>
        </w:rPr>
        <w:t>the transfer of title to shares of that class by means of a relevant system; or</w:t>
      </w:r>
    </w:p>
    <w:p>
      <w:pPr>
        <w:spacing w:after="0" w:line="99" w:lineRule="exact"/>
        <w:rPr>
          <w:rFonts w:ascii="Arial" w:cs="Arial" w:eastAsia="Arial" w:hAnsi="Arial"/>
          <w:sz w:val="16"/>
          <w:szCs w:val="16"/>
          <w:color w:val="auto"/>
        </w:rPr>
      </w:pPr>
    </w:p>
    <w:p>
      <w:pPr>
        <w:ind w:left="1620" w:hanging="424"/>
        <w:spacing w:after="0"/>
        <w:tabs>
          <w:tab w:leader="none" w:pos="1620" w:val="left"/>
        </w:tabs>
        <w:numPr>
          <w:ilvl w:val="0"/>
          <w:numId w:val="97"/>
        </w:numPr>
        <w:rPr>
          <w:rFonts w:ascii="Arial" w:cs="Arial" w:eastAsia="Arial" w:hAnsi="Arial"/>
          <w:sz w:val="16"/>
          <w:szCs w:val="16"/>
          <w:color w:val="auto"/>
        </w:rPr>
      </w:pPr>
      <w:r>
        <w:rPr>
          <w:rFonts w:ascii="Arial" w:cs="Arial" w:eastAsia="Arial" w:hAnsi="Arial"/>
          <w:sz w:val="16"/>
          <w:szCs w:val="16"/>
          <w:color w:val="auto"/>
        </w:rPr>
        <w:t>any provision of the Uncertificated Securities Rules,</w:t>
      </w:r>
    </w:p>
    <w:p>
      <w:pPr>
        <w:spacing w:after="0" w:line="119" w:lineRule="exact"/>
        <w:rPr>
          <w:sz w:val="20"/>
          <w:szCs w:val="20"/>
          <w:color w:val="auto"/>
        </w:rPr>
      </w:pPr>
    </w:p>
    <w:p>
      <w:pPr>
        <w:ind w:left="480"/>
        <w:spacing w:after="0"/>
        <w:tabs>
          <w:tab w:leader="none" w:pos="4400" w:val="left"/>
          <w:tab w:leader="none" w:pos="8760" w:val="left"/>
        </w:tabs>
        <w:rPr>
          <w:sz w:val="20"/>
          <w:szCs w:val="20"/>
          <w:color w:val="auto"/>
        </w:rPr>
      </w:pPr>
      <w:r>
        <w:rPr>
          <w:rFonts w:ascii="Arial" w:cs="Arial" w:eastAsia="Arial" w:hAnsi="Arial"/>
          <w:sz w:val="28"/>
          <w:szCs w:val="28"/>
          <w:b w:val="1"/>
          <w:bCs w:val="1"/>
          <w:color w:val="000000"/>
          <w:vertAlign w:val="subscript"/>
        </w:rPr>
        <w:t>A-4</w:t>
      </w:r>
      <w:r>
        <w:rPr>
          <w:sz w:val="20"/>
          <w:szCs w:val="20"/>
          <w:color w:val="auto"/>
        </w:rPr>
        <w:tab/>
      </w:r>
      <w:r>
        <w:rPr>
          <w:rFonts w:ascii="Arial" w:cs="Arial" w:eastAsia="Arial" w:hAnsi="Arial"/>
          <w:sz w:val="13"/>
          <w:szCs w:val="13"/>
          <w:b w:val="1"/>
          <w:bCs w:val="1"/>
          <w:color w:val="4800E6"/>
        </w:rPr>
        <w:t xml:space="preserve">LIVANOVA </w:t>
      </w:r>
      <w:r>
        <w:rPr>
          <w:rFonts w:ascii="Arial" w:cs="Arial" w:eastAsia="Arial" w:hAnsi="Arial"/>
          <w:sz w:val="13"/>
          <w:szCs w:val="13"/>
          <w:color w:val="000000"/>
        </w:rPr>
        <w:t>|</w:t>
      </w:r>
      <w:r>
        <w:rPr>
          <w:rFonts w:ascii="Arial" w:cs="Arial" w:eastAsia="Arial" w:hAnsi="Arial"/>
          <w:sz w:val="13"/>
          <w:szCs w:val="13"/>
          <w:b w:val="1"/>
          <w:bCs w:val="1"/>
          <w:color w:val="4800E6"/>
        </w:rPr>
        <w:t xml:space="preserve"> </w:t>
      </w:r>
      <w:r>
        <w:rPr>
          <w:rFonts w:ascii="Arial" w:cs="Arial" w:eastAsia="Arial" w:hAnsi="Arial"/>
          <w:sz w:val="13"/>
          <w:szCs w:val="13"/>
          <w:color w:val="4800E6"/>
        </w:rPr>
        <w:t>2020</w:t>
      </w:r>
      <w:r>
        <w:rPr>
          <w:rFonts w:ascii="Arial" w:cs="Arial" w:eastAsia="Arial" w:hAnsi="Arial"/>
          <w:sz w:val="13"/>
          <w:szCs w:val="13"/>
          <w:b w:val="1"/>
          <w:bCs w:val="1"/>
          <w:color w:val="4800E6"/>
        </w:rPr>
        <w:t xml:space="preserve"> </w:t>
      </w:r>
      <w:r>
        <w:rPr>
          <w:rFonts w:ascii="Arial" w:cs="Arial" w:eastAsia="Arial" w:hAnsi="Arial"/>
          <w:sz w:val="13"/>
          <w:szCs w:val="13"/>
          <w:color w:val="000000"/>
        </w:rPr>
        <w:t>Proxy Statement</w:t>
      </w:r>
      <w:r>
        <w:rPr>
          <w:sz w:val="20"/>
          <w:szCs w:val="20"/>
          <w:color w:val="auto"/>
        </w:rPr>
        <w:tab/>
      </w:r>
      <w:r>
        <w:rPr>
          <w:rFonts w:ascii="Arial" w:cs="Arial" w:eastAsia="Arial" w:hAnsi="Arial"/>
          <w:sz w:val="12"/>
          <w:szCs w:val="12"/>
          <w:b w:val="1"/>
          <w:bCs w:val="1"/>
          <w:color w:val="4800E6"/>
        </w:rPr>
        <w:t>www.livanova.com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605155</wp:posOffset>
            </wp:positionH>
            <wp:positionV relativeFrom="paragraph">
              <wp:posOffset>-11430</wp:posOffset>
            </wp:positionV>
            <wp:extent cx="1954530" cy="8890"/>
            <wp:wrapNone/>
            <wp:docPr id="374" name="Picture 3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4"/>
                    <pic:cNvPicPr>
                      <a:picLocks noChangeAspect="1" noChangeArrowheads="1"/>
                    </pic:cNvPicPr>
                  </pic:nvPicPr>
                  <pic:blipFill>
                    <a:blip r:embed="rId381">
                      <a:extLst>
                        <a:ext uri="{28A0092B-C50C-407E-A947-70E740481C1C}"/>
                      </a:extLst>
                    </a:blip>
                    <a:srcRect/>
                    <a:stretch>
                      <a:fillRect/>
                    </a:stretch>
                  </pic:blipFill>
                  <pic:spPr bwMode="auto">
                    <a:xfrm>
                      <a:off x="0" y="0"/>
                      <a:ext cx="1954530" cy="8890"/>
                    </a:xfrm>
                    <a:prstGeom prst="rect">
                      <a:avLst/>
                    </a:prstGeom>
                    <a:noFill/>
                  </pic:spPr>
                </pic:pic>
              </a:graphicData>
            </a:graphic>
          </wp:anchor>
        </w:drawing>
        <w:drawing>
          <wp:anchor simplePos="0" relativeHeight="251657728" behindDoc="1" locked="0" layoutInCell="0" allowOverlap="1">
            <wp:simplePos x="0" y="0"/>
            <wp:positionH relativeFrom="column">
              <wp:posOffset>4316730</wp:posOffset>
            </wp:positionH>
            <wp:positionV relativeFrom="paragraph">
              <wp:posOffset>-11430</wp:posOffset>
            </wp:positionV>
            <wp:extent cx="1028700" cy="8890"/>
            <wp:wrapNone/>
            <wp:docPr id="375" name="Picture 3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5"/>
                    <pic:cNvPicPr>
                      <a:picLocks noChangeAspect="1" noChangeArrowheads="1"/>
                    </pic:cNvPicPr>
                  </pic:nvPicPr>
                  <pic:blipFill>
                    <a:blip r:embed="rId382">
                      <a:extLst>
                        <a:ext uri="{28A0092B-C50C-407E-A947-70E740481C1C}"/>
                      </a:extLst>
                    </a:blip>
                    <a:srcRect/>
                    <a:stretch>
                      <a:fillRect/>
                    </a:stretch>
                  </pic:blipFill>
                  <pic:spPr bwMode="auto">
                    <a:xfrm>
                      <a:off x="0" y="0"/>
                      <a:ext cx="102870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125095</wp:posOffset>
            </wp:positionV>
            <wp:extent cx="6806565" cy="17145"/>
            <wp:wrapNone/>
            <wp:docPr id="376" name="Picture 3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6"/>
                    <pic:cNvPicPr>
                      <a:picLocks noChangeAspect="1" noChangeArrowheads="1"/>
                    </pic:cNvPicPr>
                  </pic:nvPicPr>
                  <pic:blipFill>
                    <a:blip r:embed="rId383">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10139"/>
          </w:cols>
          <w:pgMar w:left="320" w:top="131" w:right="1440" w:bottom="1440" w:gutter="0" w:footer="0" w:header="0"/>
          <w:type w:val="continuous"/>
        </w:sectPr>
      </w:pPr>
    </w:p>
    <w:bookmarkStart w:id="83" w:name="page84"/>
    <w:bookmarkEnd w:id="83"/>
    <w:p>
      <w:pPr>
        <w:spacing w:after="0"/>
        <w:rPr>
          <w:rFonts w:ascii="Arial" w:cs="Arial" w:eastAsia="Arial" w:hAnsi="Arial"/>
          <w:sz w:val="14"/>
          <w:szCs w:val="14"/>
          <w:color w:val="003366"/>
        </w:rPr>
      </w:pPr>
      <w:hyperlink w:anchor="page77">
        <w:r>
          <w:rPr>
            <w:rFonts w:ascii="Arial" w:cs="Arial" w:eastAsia="Arial" w:hAnsi="Arial"/>
            <w:sz w:val="14"/>
            <w:szCs w:val="14"/>
            <w:color w:val="003366"/>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485140</wp:posOffset>
            </wp:positionH>
            <wp:positionV relativeFrom="paragraph">
              <wp:posOffset>357505</wp:posOffset>
            </wp:positionV>
            <wp:extent cx="5829300" cy="8255"/>
            <wp:wrapNone/>
            <wp:docPr id="377" name="Picture 3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7"/>
                    <pic:cNvPicPr>
                      <a:picLocks noChangeAspect="1" noChangeArrowheads="1"/>
                    </pic:cNvPicPr>
                  </pic:nvPicPr>
                  <pic:blipFill>
                    <a:blip r:embed="rId384">
                      <a:extLst>
                        <a:ext uri="{28A0092B-C50C-407E-A947-70E740481C1C}"/>
                      </a:extLst>
                    </a:blip>
                    <a:srcRect/>
                    <a:stretch>
                      <a:fillRect/>
                    </a:stretch>
                  </pic:blipFill>
                  <pic:spPr bwMode="auto">
                    <a:xfrm>
                      <a:off x="0" y="0"/>
                      <a:ext cx="582930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ind w:left="1200" w:right="1020"/>
        <w:spacing w:after="0" w:line="251" w:lineRule="auto"/>
        <w:rPr>
          <w:sz w:val="20"/>
          <w:szCs w:val="20"/>
          <w:color w:val="auto"/>
        </w:rPr>
      </w:pPr>
      <w:r>
        <w:rPr>
          <w:rFonts w:ascii="Arial" w:cs="Arial" w:eastAsia="Arial" w:hAnsi="Arial"/>
          <w:sz w:val="16"/>
          <w:szCs w:val="16"/>
          <w:color w:val="auto"/>
        </w:rPr>
        <w:t>and, without prejudice to the generality of this Article, no provision of these Articles shall apply or have effect to the extent that it is in any respect inconsistent with the maintenance, keeping or entering up by the Operator, so long as that is permitted or required by the Uncertificated Securities Rules, of an Operator register of securities in respect of that class of shares in registered form.</w:t>
      </w:r>
    </w:p>
    <w:p>
      <w:pPr>
        <w:spacing w:after="0" w:line="81" w:lineRule="exact"/>
        <w:rPr>
          <w:sz w:val="20"/>
          <w:szCs w:val="20"/>
          <w:color w:val="auto"/>
        </w:rPr>
      </w:pPr>
    </w:p>
    <w:p>
      <w:pPr>
        <w:ind w:left="1200" w:right="780" w:hanging="431"/>
        <w:spacing w:after="0" w:line="293" w:lineRule="auto"/>
        <w:tabs>
          <w:tab w:leader="none" w:pos="1180" w:val="left"/>
        </w:tabs>
        <w:rPr>
          <w:sz w:val="20"/>
          <w:szCs w:val="20"/>
          <w:color w:val="auto"/>
        </w:rPr>
      </w:pPr>
      <w:r>
        <w:rPr>
          <w:rFonts w:ascii="Arial" w:cs="Arial" w:eastAsia="Arial" w:hAnsi="Arial"/>
          <w:sz w:val="16"/>
          <w:szCs w:val="16"/>
          <w:color w:val="auto"/>
        </w:rPr>
        <w:t>4.7</w:t>
      </w:r>
      <w:r>
        <w:rPr>
          <w:sz w:val="20"/>
          <w:szCs w:val="20"/>
          <w:color w:val="auto"/>
        </w:rPr>
        <w:tab/>
      </w:r>
      <w:r>
        <w:rPr>
          <w:rFonts w:ascii="Arial" w:cs="Arial" w:eastAsia="Arial" w:hAnsi="Arial"/>
          <w:sz w:val="15"/>
          <w:szCs w:val="15"/>
          <w:color w:val="auto"/>
        </w:rPr>
        <w:t>Shares of a class which is at the relevant time a participating class may be changed from uncertificated to certificated form, and from certificated to uncertificated form, in accordance with and subject as provided in the Uncertificated Securities Rules.</w:t>
      </w:r>
    </w:p>
    <w:p>
      <w:pPr>
        <w:spacing w:after="0" w:line="51" w:lineRule="exact"/>
        <w:rPr>
          <w:sz w:val="20"/>
          <w:szCs w:val="20"/>
          <w:color w:val="auto"/>
        </w:rPr>
      </w:pPr>
    </w:p>
    <w:p>
      <w:pPr>
        <w:ind w:left="1200" w:right="1060" w:hanging="431"/>
        <w:spacing w:after="0" w:line="251" w:lineRule="auto"/>
        <w:tabs>
          <w:tab w:leader="none" w:pos="1180" w:val="left"/>
        </w:tabs>
        <w:rPr>
          <w:sz w:val="20"/>
          <w:szCs w:val="20"/>
          <w:color w:val="auto"/>
        </w:rPr>
      </w:pPr>
      <w:r>
        <w:rPr>
          <w:rFonts w:ascii="Arial" w:cs="Arial" w:eastAsia="Arial" w:hAnsi="Arial"/>
          <w:sz w:val="16"/>
          <w:szCs w:val="16"/>
          <w:color w:val="auto"/>
        </w:rPr>
        <w:t>4.8</w:t>
        <w:tab/>
        <w:t>Unless the Board determines otherwise, shares which a member holds in uncertificated form shall be treated as separate holdings from any shares which that member holds in certificated form, but shares in the capital of the Company that fall within a certain class shall not form a separate class of shares from other shares in that class because any share in that class is held in uncertificated form.</w:t>
      </w:r>
    </w:p>
    <w:p>
      <w:pPr>
        <w:spacing w:after="0" w:line="67" w:lineRule="exact"/>
        <w:rPr>
          <w:sz w:val="20"/>
          <w:szCs w:val="20"/>
          <w:color w:val="auto"/>
        </w:rPr>
      </w:pPr>
    </w:p>
    <w:p>
      <w:pPr>
        <w:ind w:left="1200" w:right="1020" w:hanging="431"/>
        <w:spacing w:after="0" w:line="253" w:lineRule="auto"/>
        <w:tabs>
          <w:tab w:leader="none" w:pos="1180" w:val="left"/>
        </w:tabs>
        <w:rPr>
          <w:sz w:val="20"/>
          <w:szCs w:val="20"/>
          <w:color w:val="auto"/>
        </w:rPr>
      </w:pPr>
      <w:r>
        <w:rPr>
          <w:rFonts w:ascii="Arial" w:cs="Arial" w:eastAsia="Arial" w:hAnsi="Arial"/>
          <w:sz w:val="16"/>
          <w:szCs w:val="16"/>
          <w:color w:val="auto"/>
        </w:rPr>
        <w:t>4.9</w:t>
        <w:tab/>
        <w:t>Where the Company is entitled under any provision of the Companies Act or these Articles to sell, transfer or otherwise dispose of, forfeit, re-allot, accept the surrender of, or otherwise enforce a lien over, an uncertificated share, the Company shall be entitled, subject to the provisions of the Companies Act and these Articles to:</w:t>
      </w:r>
    </w:p>
    <w:p>
      <w:pPr>
        <w:spacing w:after="0" w:line="80" w:lineRule="exact"/>
        <w:rPr>
          <w:sz w:val="20"/>
          <w:szCs w:val="20"/>
          <w:color w:val="auto"/>
        </w:rPr>
      </w:pPr>
    </w:p>
    <w:p>
      <w:pPr>
        <w:ind w:left="1620" w:right="980" w:hanging="424"/>
        <w:spacing w:after="0" w:line="260" w:lineRule="auto"/>
        <w:tabs>
          <w:tab w:leader="none" w:pos="1620" w:val="left"/>
        </w:tabs>
        <w:numPr>
          <w:ilvl w:val="0"/>
          <w:numId w:val="98"/>
        </w:numPr>
        <w:rPr>
          <w:rFonts w:ascii="Arial" w:cs="Arial" w:eastAsia="Arial" w:hAnsi="Arial"/>
          <w:sz w:val="16"/>
          <w:szCs w:val="16"/>
          <w:color w:val="auto"/>
        </w:rPr>
      </w:pPr>
      <w:r>
        <w:rPr>
          <w:rFonts w:ascii="Arial" w:cs="Arial" w:eastAsia="Arial" w:hAnsi="Arial"/>
          <w:sz w:val="16"/>
          <w:szCs w:val="16"/>
          <w:color w:val="auto"/>
        </w:rPr>
        <w:t>require the holder of the uncertificated share by notice in writing to change that share into certificated form within the period specified in the notice and to hold that share in certificated form so long as required by the Company;</w:t>
      </w:r>
    </w:p>
    <w:p>
      <w:pPr>
        <w:spacing w:after="0" w:line="73" w:lineRule="exact"/>
        <w:rPr>
          <w:rFonts w:ascii="Arial" w:cs="Arial" w:eastAsia="Arial" w:hAnsi="Arial"/>
          <w:sz w:val="16"/>
          <w:szCs w:val="16"/>
          <w:color w:val="auto"/>
        </w:rPr>
      </w:pPr>
    </w:p>
    <w:p>
      <w:pPr>
        <w:jc w:val="both"/>
        <w:ind w:left="1620" w:right="780" w:hanging="424"/>
        <w:spacing w:after="0" w:line="253" w:lineRule="auto"/>
        <w:tabs>
          <w:tab w:leader="none" w:pos="1620" w:val="left"/>
        </w:tabs>
        <w:numPr>
          <w:ilvl w:val="0"/>
          <w:numId w:val="98"/>
        </w:numPr>
        <w:rPr>
          <w:rFonts w:ascii="Arial" w:cs="Arial" w:eastAsia="Arial" w:hAnsi="Arial"/>
          <w:sz w:val="16"/>
          <w:szCs w:val="16"/>
          <w:color w:val="auto"/>
        </w:rPr>
      </w:pPr>
      <w:r>
        <w:rPr>
          <w:rFonts w:ascii="Arial" w:cs="Arial" w:eastAsia="Arial" w:hAnsi="Arial"/>
          <w:sz w:val="16"/>
          <w:szCs w:val="16"/>
          <w:color w:val="auto"/>
        </w:rPr>
        <w:t xml:space="preserve">appoint any person to take such steps, by instruction given by means of a relevant system or otherwise, in the name of the holder of such share as may be required to effect the transfer of such share and such steps shall be as effective as if they had been taken by the </w:t>
      </w:r>
      <w:r>
        <w:rPr>
          <w:rFonts w:ascii="Arial" w:cs="Arial" w:eastAsia="Arial" w:hAnsi="Arial"/>
          <w:sz w:val="16"/>
          <w:szCs w:val="16"/>
          <w:color w:val="auto"/>
          <w:strike w:val="1"/>
        </w:rPr>
        <w:t>registered</w:t>
      </w:r>
      <w:r>
        <w:rPr>
          <w:rFonts w:ascii="Arial" w:cs="Arial" w:eastAsia="Arial" w:hAnsi="Arial"/>
          <w:sz w:val="16"/>
          <w:szCs w:val="16"/>
          <w:color w:val="auto"/>
        </w:rPr>
        <w:t xml:space="preserve"> holder of that share; and</w:t>
      </w:r>
    </w:p>
    <w:p>
      <w:pPr>
        <w:spacing w:after="0" w:line="66" w:lineRule="exact"/>
        <w:rPr>
          <w:rFonts w:ascii="Arial" w:cs="Arial" w:eastAsia="Arial" w:hAnsi="Arial"/>
          <w:sz w:val="16"/>
          <w:szCs w:val="16"/>
          <w:color w:val="auto"/>
        </w:rPr>
      </w:pPr>
    </w:p>
    <w:p>
      <w:pPr>
        <w:ind w:left="1620" w:right="780" w:hanging="424"/>
        <w:spacing w:after="0" w:line="260" w:lineRule="auto"/>
        <w:tabs>
          <w:tab w:leader="none" w:pos="1620" w:val="left"/>
        </w:tabs>
        <w:numPr>
          <w:ilvl w:val="0"/>
          <w:numId w:val="98"/>
        </w:numPr>
        <w:rPr>
          <w:rFonts w:ascii="Arial" w:cs="Arial" w:eastAsia="Arial" w:hAnsi="Arial"/>
          <w:sz w:val="16"/>
          <w:szCs w:val="16"/>
          <w:color w:val="auto"/>
        </w:rPr>
      </w:pPr>
      <w:r>
        <w:rPr>
          <w:rFonts w:ascii="Arial" w:cs="Arial" w:eastAsia="Arial" w:hAnsi="Arial"/>
          <w:sz w:val="16"/>
          <w:szCs w:val="16"/>
          <w:color w:val="auto"/>
        </w:rPr>
        <w:t>take any other action that the Board considers appropriate to achieve the sale, transfer, disposal, forfeiture, reallotment or surrender of that share, or otherwise to enforce a lien in respect of that share.</w:t>
      </w:r>
    </w:p>
    <w:p>
      <w:pPr>
        <w:spacing w:after="0" w:line="74" w:lineRule="exact"/>
        <w:rPr>
          <w:sz w:val="20"/>
          <w:szCs w:val="20"/>
          <w:color w:val="auto"/>
        </w:rPr>
      </w:pPr>
    </w:p>
    <w:p>
      <w:pPr>
        <w:ind w:left="1200" w:right="920" w:hanging="431"/>
        <w:spacing w:after="0" w:line="253" w:lineRule="auto"/>
        <w:rPr>
          <w:sz w:val="20"/>
          <w:szCs w:val="20"/>
          <w:color w:val="auto"/>
        </w:rPr>
      </w:pPr>
      <w:r>
        <w:rPr>
          <w:rFonts w:ascii="Arial" w:cs="Arial" w:eastAsia="Arial" w:hAnsi="Arial"/>
          <w:sz w:val="16"/>
          <w:szCs w:val="16"/>
          <w:color w:val="auto"/>
        </w:rPr>
        <w:t>4.10 Unless the Board determines otherwise or the Uncertificated Securities Rules require otherwise, any shares issued or created out of or in respect of any uncertificated shares shall be uncertificated shares and any shares issued or created out of or in respect of any certificated shares shall be certificated shares.</w:t>
      </w:r>
    </w:p>
    <w:p>
      <w:pPr>
        <w:spacing w:after="0" w:line="80" w:lineRule="exact"/>
        <w:rPr>
          <w:sz w:val="20"/>
          <w:szCs w:val="20"/>
          <w:color w:val="auto"/>
        </w:rPr>
      </w:pPr>
    </w:p>
    <w:p>
      <w:pPr>
        <w:ind w:left="1200" w:right="880" w:hanging="431"/>
        <w:spacing w:after="0" w:line="248" w:lineRule="auto"/>
        <w:rPr>
          <w:sz w:val="20"/>
          <w:szCs w:val="20"/>
          <w:color w:val="auto"/>
        </w:rPr>
      </w:pPr>
      <w:r>
        <w:rPr>
          <w:rFonts w:ascii="Arial" w:cs="Arial" w:eastAsia="Arial" w:hAnsi="Arial"/>
          <w:sz w:val="16"/>
          <w:szCs w:val="16"/>
          <w:color w:val="auto"/>
        </w:rPr>
        <w:t>4.11 The Company shall be entitled to assume that the entries on the record of securities maintained by it in accordance with the Uncertificated Securities Rules and regularly reconciled with the relevant Operator register of securities are a complete and accurate reproduction of the particulars entered in the Operator register of securities and shall accordingly not be liable in respect of any act or thing done or omitted to be done by or on behalf of the Company in reliance on such assumption. Any provision of these Articles which requires or envisages that action will be taken in reliance on information contained in the register shall be construed to permit that action to be taken in reliance on information contained in any relevant record of securities (as so maintained and reconciled).</w:t>
      </w:r>
    </w:p>
    <w:p>
      <w:pPr>
        <w:spacing w:after="0" w:line="53" w:lineRule="exact"/>
        <w:rPr>
          <w:sz w:val="20"/>
          <w:szCs w:val="20"/>
          <w:color w:val="auto"/>
        </w:rPr>
      </w:pPr>
    </w:p>
    <w:p>
      <w:pPr>
        <w:ind w:left="1200" w:hanging="436"/>
        <w:spacing w:after="0"/>
        <w:tabs>
          <w:tab w:leader="none" w:pos="1200" w:val="left"/>
        </w:tabs>
        <w:numPr>
          <w:ilvl w:val="0"/>
          <w:numId w:val="99"/>
        </w:numPr>
        <w:rPr>
          <w:rFonts w:ascii="Arial" w:cs="Arial" w:eastAsia="Arial" w:hAnsi="Arial"/>
          <w:sz w:val="16"/>
          <w:szCs w:val="16"/>
          <w:b w:val="1"/>
          <w:bCs w:val="1"/>
          <w:color w:val="auto"/>
        </w:rPr>
      </w:pPr>
      <w:r>
        <w:rPr>
          <w:rFonts w:ascii="Arial" w:cs="Arial" w:eastAsia="Arial" w:hAnsi="Arial"/>
          <w:sz w:val="16"/>
          <w:szCs w:val="16"/>
          <w:b w:val="1"/>
          <w:bCs w:val="1"/>
          <w:color w:val="auto"/>
        </w:rPr>
        <w:t>AUTHORITY TO ALLOT SHARES AND DISAPPLICATION OF PRE-EMPTION RIGHTS</w:t>
      </w:r>
    </w:p>
    <w:p>
      <w:pPr>
        <w:spacing w:after="0" w:line="120" w:lineRule="exact"/>
        <w:rPr>
          <w:sz w:val="20"/>
          <w:szCs w:val="20"/>
          <w:color w:val="auto"/>
        </w:rPr>
      </w:pPr>
    </w:p>
    <w:p>
      <w:pPr>
        <w:ind w:left="1200" w:right="1440" w:hanging="431"/>
        <w:spacing w:after="0" w:line="260" w:lineRule="auto"/>
        <w:tabs>
          <w:tab w:leader="none" w:pos="1180" w:val="left"/>
        </w:tabs>
        <w:rPr>
          <w:sz w:val="20"/>
          <w:szCs w:val="20"/>
          <w:color w:val="auto"/>
        </w:rPr>
      </w:pPr>
      <w:r>
        <w:rPr>
          <w:rFonts w:ascii="Arial" w:cs="Arial" w:eastAsia="Arial" w:hAnsi="Arial"/>
          <w:sz w:val="16"/>
          <w:szCs w:val="16"/>
          <w:color w:val="auto"/>
        </w:rPr>
        <w:t>5.1</w:t>
        <w:tab/>
        <w:t>In addition to any similar authority which has not been fully utilised, the Board shall be generally and unconditionally authorised pursuant to section 551 of the Companies Act to:</w:t>
      </w:r>
    </w:p>
    <w:p>
      <w:pPr>
        <w:spacing w:after="0" w:line="74" w:lineRule="exact"/>
        <w:rPr>
          <w:sz w:val="20"/>
          <w:szCs w:val="20"/>
          <w:color w:val="auto"/>
        </w:rPr>
      </w:pPr>
    </w:p>
    <w:p>
      <w:pPr>
        <w:ind w:left="1620" w:right="840" w:hanging="424"/>
        <w:spacing w:after="0" w:line="248" w:lineRule="auto"/>
        <w:tabs>
          <w:tab w:leader="none" w:pos="1620" w:val="left"/>
        </w:tabs>
        <w:numPr>
          <w:ilvl w:val="0"/>
          <w:numId w:val="100"/>
        </w:numPr>
        <w:rPr>
          <w:rFonts w:ascii="Arial" w:cs="Arial" w:eastAsia="Arial" w:hAnsi="Arial"/>
          <w:sz w:val="16"/>
          <w:szCs w:val="16"/>
          <w:color w:val="auto"/>
        </w:rPr>
      </w:pPr>
      <w:r>
        <w:rPr>
          <w:rFonts w:ascii="Arial" w:cs="Arial" w:eastAsia="Arial" w:hAnsi="Arial"/>
          <w:sz w:val="16"/>
          <w:szCs w:val="16"/>
          <w:color w:val="auto"/>
        </w:rPr>
        <w:t>exercise all of the powers of the Company to allot shares in the Company, and to grant rights to subscribe for or to convert any security into shares in the Company up to an aggregate nominal amount representing 20 per cent of the number of shares in the capital of the Company as at the date of the adoption of these Articles and after consummation of the transactions contemplated by the transaction Agreement between, amongst others, Sorin S.P.A. and Cyberonics, Inc. first dated 26 February 2015 (in addition to any authority to allot that has not yet expired granted to the Board prior to the date of the adoption of these Articles) for a period expiring (unless previously renewed, varied or revoked by the Company in general meeting) on the date which is five years from the date of the adoption of these Articles by the Company; and</w:t>
      </w:r>
    </w:p>
    <w:p>
      <w:pPr>
        <w:spacing w:after="0" w:line="72" w:lineRule="exact"/>
        <w:rPr>
          <w:rFonts w:ascii="Arial" w:cs="Arial" w:eastAsia="Arial" w:hAnsi="Arial"/>
          <w:sz w:val="16"/>
          <w:szCs w:val="16"/>
          <w:color w:val="auto"/>
        </w:rPr>
      </w:pPr>
    </w:p>
    <w:p>
      <w:pPr>
        <w:ind w:left="1620" w:right="780" w:hanging="424"/>
        <w:spacing w:after="0" w:line="253" w:lineRule="auto"/>
        <w:tabs>
          <w:tab w:leader="none" w:pos="1620" w:val="left"/>
        </w:tabs>
        <w:numPr>
          <w:ilvl w:val="0"/>
          <w:numId w:val="100"/>
        </w:numPr>
        <w:rPr>
          <w:rFonts w:ascii="Arial" w:cs="Arial" w:eastAsia="Arial" w:hAnsi="Arial"/>
          <w:sz w:val="16"/>
          <w:szCs w:val="16"/>
          <w:color w:val="auto"/>
        </w:rPr>
      </w:pPr>
      <w:r>
        <w:rPr>
          <w:rFonts w:ascii="Arial" w:cs="Arial" w:eastAsia="Arial" w:hAnsi="Arial"/>
          <w:sz w:val="16"/>
          <w:szCs w:val="16"/>
          <w:color w:val="auto"/>
        </w:rPr>
        <w:t>make an offer or agreement which would or might require shares to be allotted, or rights to subscribe for or convert any security into shares to be granted, after expiry of the authority described in this Article 5.1 and the Board may allot shares and grant rights in pursuance of that offer or agreement as if this authority had not expired.</w:t>
      </w:r>
    </w:p>
    <w:p>
      <w:pPr>
        <w:spacing w:after="0" w:line="80" w:lineRule="exact"/>
        <w:rPr>
          <w:sz w:val="20"/>
          <w:szCs w:val="20"/>
          <w:color w:val="auto"/>
        </w:rPr>
      </w:pPr>
    </w:p>
    <w:p>
      <w:pPr>
        <w:ind w:left="1200" w:right="800" w:hanging="431"/>
        <w:spacing w:after="0" w:line="253" w:lineRule="auto"/>
        <w:tabs>
          <w:tab w:leader="none" w:pos="1180" w:val="left"/>
        </w:tabs>
        <w:rPr>
          <w:sz w:val="20"/>
          <w:szCs w:val="20"/>
          <w:color w:val="auto"/>
        </w:rPr>
      </w:pPr>
      <w:r>
        <w:rPr>
          <w:rFonts w:ascii="Arial" w:cs="Arial" w:eastAsia="Arial" w:hAnsi="Arial"/>
          <w:sz w:val="16"/>
          <w:szCs w:val="16"/>
          <w:color w:val="auto"/>
        </w:rPr>
        <w:t>5.2</w:t>
        <w:tab/>
        <w:t>Subject to these Articles, the Board shall be generally empowered pursuant to section 570 of the Companies Act and section 573 of the Companies Act to allot equity securities (as defined in the Companies Act) for cash, pursuant to the authority conferred by Article 5.1 of these Articles as if section 561(1) of the Companies Act did not apply to the allotment.</w:t>
      </w:r>
    </w:p>
    <w:p>
      <w:pPr>
        <w:spacing w:after="0" w:line="80" w:lineRule="exact"/>
        <w:rPr>
          <w:sz w:val="20"/>
          <w:szCs w:val="20"/>
          <w:color w:val="auto"/>
        </w:rPr>
      </w:pPr>
    </w:p>
    <w:p>
      <w:pPr>
        <w:ind w:left="1200" w:right="800" w:hanging="431"/>
        <w:spacing w:after="0" w:line="253" w:lineRule="auto"/>
        <w:tabs>
          <w:tab w:leader="none" w:pos="1180" w:val="left"/>
        </w:tabs>
        <w:rPr>
          <w:sz w:val="20"/>
          <w:szCs w:val="20"/>
          <w:color w:val="auto"/>
        </w:rPr>
      </w:pPr>
      <w:r>
        <w:rPr>
          <w:rFonts w:ascii="Arial" w:cs="Arial" w:eastAsia="Arial" w:hAnsi="Arial"/>
          <w:sz w:val="16"/>
          <w:szCs w:val="16"/>
          <w:color w:val="auto"/>
        </w:rPr>
        <w:t>5.3</w:t>
        <w:tab/>
        <w:t>Subject to the provisions of the Companies Act relating to the authority to allot shares and the disapplication of pre-emption rights or otherwise and of any resolution of the Company in general meeting passed pursuant to those provisions, and, in the case of redeemable shares, the provisions of Article 5.4:</w:t>
      </w:r>
    </w:p>
    <w:p>
      <w:pPr>
        <w:spacing w:after="0" w:line="66" w:lineRule="exact"/>
        <w:rPr>
          <w:sz w:val="20"/>
          <w:szCs w:val="20"/>
          <w:color w:val="auto"/>
        </w:rPr>
      </w:pPr>
    </w:p>
    <w:p>
      <w:pPr>
        <w:ind w:left="1620" w:hanging="424"/>
        <w:spacing w:after="0"/>
        <w:tabs>
          <w:tab w:leader="none" w:pos="1620" w:val="left"/>
        </w:tabs>
        <w:numPr>
          <w:ilvl w:val="0"/>
          <w:numId w:val="101"/>
        </w:numPr>
        <w:rPr>
          <w:rFonts w:ascii="Arial" w:cs="Arial" w:eastAsia="Arial" w:hAnsi="Arial"/>
          <w:sz w:val="16"/>
          <w:szCs w:val="16"/>
          <w:color w:val="auto"/>
        </w:rPr>
      </w:pPr>
      <w:r>
        <w:rPr>
          <w:rFonts w:ascii="Arial" w:cs="Arial" w:eastAsia="Arial" w:hAnsi="Arial"/>
          <w:sz w:val="16"/>
          <w:szCs w:val="16"/>
          <w:color w:val="auto"/>
        </w:rPr>
        <w:t>all shares for the time being in the capital of the Company shall be at the disposal of the Board; and</w:t>
      </w:r>
    </w:p>
    <w:p>
      <w:pPr>
        <w:spacing w:after="0" w:line="305" w:lineRule="exact"/>
        <w:rPr>
          <w:sz w:val="20"/>
          <w:szCs w:val="20"/>
          <w:color w:val="auto"/>
        </w:rPr>
      </w:pPr>
    </w:p>
    <w:tbl>
      <w:tblPr>
        <w:tblLayout w:type="fixed"/>
        <w:tblInd w:w="0" w:type="dxa"/>
        <w:tblCellMar>
          <w:top w:w="0" w:type="dxa"/>
          <w:left w:w="0" w:type="dxa"/>
          <w:bottom w:w="0" w:type="dxa"/>
          <w:right w:w="0" w:type="dxa"/>
        </w:tblCellMar>
      </w:tblPr>
      <w:tr>
        <w:trPr>
          <w:trHeight w:val="130"/>
        </w:trPr>
        <w:tc>
          <w:tcPr>
            <w:tcW w:w="820" w:type="dxa"/>
            <w:vAlign w:val="bottom"/>
            <w:vMerge w:val="restart"/>
          </w:tcPr>
          <w:p>
            <w:pPr>
              <w:spacing w:after="0"/>
              <w:rPr>
                <w:sz w:val="11"/>
                <w:szCs w:val="11"/>
                <w:color w:val="auto"/>
              </w:rPr>
            </w:pPr>
          </w:p>
        </w:tc>
        <w:tc>
          <w:tcPr>
            <w:tcW w:w="3080" w:type="dxa"/>
            <w:vAlign w:val="bottom"/>
            <w:tcBorders>
              <w:bottom w:val="single" w:sz="8" w:color="auto"/>
            </w:tcBorders>
          </w:tcPr>
          <w:p>
            <w:pPr>
              <w:spacing w:after="0"/>
              <w:rPr>
                <w:sz w:val="11"/>
                <w:szCs w:val="11"/>
                <w:color w:val="auto"/>
              </w:rPr>
            </w:pPr>
          </w:p>
        </w:tc>
        <w:tc>
          <w:tcPr>
            <w:tcW w:w="2760" w:type="dxa"/>
            <w:vAlign w:val="bottom"/>
            <w:vMerge w:val="restart"/>
          </w:tcPr>
          <w:p>
            <w:pPr>
              <w:ind w:left="400"/>
              <w:spacing w:after="0"/>
              <w:rPr>
                <w:sz w:val="20"/>
                <w:szCs w:val="20"/>
                <w:color w:val="auto"/>
              </w:rPr>
            </w:pPr>
            <w:r>
              <w:rPr>
                <w:rFonts w:ascii="Arial" w:cs="Arial" w:eastAsia="Arial" w:hAnsi="Arial"/>
                <w:sz w:val="13"/>
                <w:szCs w:val="13"/>
                <w:b w:val="1"/>
                <w:bCs w:val="1"/>
                <w:color w:val="4800E6"/>
              </w:rPr>
              <w:t xml:space="preserve">LIVANOVA </w:t>
            </w:r>
            <w:r>
              <w:rPr>
                <w:rFonts w:ascii="Arial" w:cs="Arial" w:eastAsia="Arial" w:hAnsi="Arial"/>
                <w:sz w:val="13"/>
                <w:szCs w:val="13"/>
                <w:color w:val="000000"/>
              </w:rPr>
              <w:t>|</w:t>
            </w:r>
            <w:r>
              <w:rPr>
                <w:rFonts w:ascii="Arial" w:cs="Arial" w:eastAsia="Arial" w:hAnsi="Arial"/>
                <w:sz w:val="13"/>
                <w:szCs w:val="13"/>
                <w:b w:val="1"/>
                <w:bCs w:val="1"/>
                <w:color w:val="4800E6"/>
              </w:rPr>
              <w:t xml:space="preserve"> </w:t>
            </w:r>
            <w:r>
              <w:rPr>
                <w:rFonts w:ascii="Arial" w:cs="Arial" w:eastAsia="Arial" w:hAnsi="Arial"/>
                <w:sz w:val="13"/>
                <w:szCs w:val="13"/>
                <w:color w:val="4800E6"/>
              </w:rPr>
              <w:t>2020</w:t>
            </w:r>
            <w:r>
              <w:rPr>
                <w:rFonts w:ascii="Arial" w:cs="Arial" w:eastAsia="Arial" w:hAnsi="Arial"/>
                <w:sz w:val="13"/>
                <w:szCs w:val="13"/>
                <w:b w:val="1"/>
                <w:bCs w:val="1"/>
                <w:color w:val="4800E6"/>
              </w:rPr>
              <w:t xml:space="preserve"> </w:t>
            </w:r>
            <w:r>
              <w:rPr>
                <w:rFonts w:ascii="Arial" w:cs="Arial" w:eastAsia="Arial" w:hAnsi="Arial"/>
                <w:sz w:val="13"/>
                <w:szCs w:val="13"/>
                <w:color w:val="000000"/>
              </w:rPr>
              <w:t>Proxy Statement</w:t>
            </w:r>
          </w:p>
        </w:tc>
        <w:tc>
          <w:tcPr>
            <w:tcW w:w="3080" w:type="dxa"/>
            <w:vAlign w:val="bottom"/>
            <w:tcBorders>
              <w:bottom w:val="single" w:sz="8" w:color="auto"/>
            </w:tcBorders>
          </w:tcPr>
          <w:p>
            <w:pPr>
              <w:spacing w:after="0"/>
              <w:rPr>
                <w:sz w:val="11"/>
                <w:szCs w:val="11"/>
                <w:color w:val="auto"/>
              </w:rPr>
            </w:pPr>
          </w:p>
        </w:tc>
        <w:tc>
          <w:tcPr>
            <w:tcW w:w="980" w:type="dxa"/>
            <w:vAlign w:val="bottom"/>
            <w:vMerge w:val="restart"/>
          </w:tcPr>
          <w:p>
            <w:pPr>
              <w:ind w:left="220"/>
              <w:spacing w:after="0"/>
              <w:rPr>
                <w:sz w:val="20"/>
                <w:szCs w:val="20"/>
                <w:color w:val="auto"/>
              </w:rPr>
            </w:pPr>
            <w:r>
              <w:rPr>
                <w:rFonts w:ascii="Arial" w:cs="Arial" w:eastAsia="Arial" w:hAnsi="Arial"/>
                <w:sz w:val="14"/>
                <w:szCs w:val="14"/>
                <w:b w:val="1"/>
                <w:bCs w:val="1"/>
                <w:color w:val="auto"/>
              </w:rPr>
              <w:t>A-5</w:t>
            </w:r>
          </w:p>
        </w:tc>
        <w:tc>
          <w:tcPr>
            <w:tcW w:w="0" w:type="dxa"/>
            <w:vAlign w:val="bottom"/>
          </w:tcPr>
          <w:p>
            <w:pPr>
              <w:spacing w:after="0"/>
              <w:rPr>
                <w:sz w:val="1"/>
                <w:szCs w:val="1"/>
                <w:color w:val="auto"/>
              </w:rPr>
            </w:pPr>
          </w:p>
        </w:tc>
      </w:tr>
      <w:tr>
        <w:trPr>
          <w:trHeight w:val="49"/>
        </w:trPr>
        <w:tc>
          <w:tcPr>
            <w:tcW w:w="820" w:type="dxa"/>
            <w:vAlign w:val="bottom"/>
            <w:vMerge w:val="continue"/>
          </w:tcPr>
          <w:p>
            <w:pPr>
              <w:spacing w:after="0"/>
              <w:rPr>
                <w:sz w:val="4"/>
                <w:szCs w:val="4"/>
                <w:color w:val="auto"/>
              </w:rPr>
            </w:pPr>
          </w:p>
        </w:tc>
        <w:tc>
          <w:tcPr>
            <w:tcW w:w="3080" w:type="dxa"/>
            <w:vAlign w:val="bottom"/>
          </w:tcPr>
          <w:p>
            <w:pPr>
              <w:spacing w:after="0"/>
              <w:rPr>
                <w:sz w:val="4"/>
                <w:szCs w:val="4"/>
                <w:color w:val="auto"/>
              </w:rPr>
            </w:pPr>
          </w:p>
        </w:tc>
        <w:tc>
          <w:tcPr>
            <w:tcW w:w="2760" w:type="dxa"/>
            <w:vAlign w:val="bottom"/>
            <w:vMerge w:val="continue"/>
          </w:tcPr>
          <w:p>
            <w:pPr>
              <w:spacing w:after="0"/>
              <w:rPr>
                <w:sz w:val="4"/>
                <w:szCs w:val="4"/>
                <w:color w:val="auto"/>
              </w:rPr>
            </w:pPr>
          </w:p>
        </w:tc>
        <w:tc>
          <w:tcPr>
            <w:tcW w:w="3080" w:type="dxa"/>
            <w:vAlign w:val="bottom"/>
          </w:tcPr>
          <w:p>
            <w:pPr>
              <w:spacing w:after="0"/>
              <w:rPr>
                <w:sz w:val="4"/>
                <w:szCs w:val="4"/>
                <w:color w:val="auto"/>
              </w:rPr>
            </w:pPr>
          </w:p>
        </w:tc>
        <w:tc>
          <w:tcPr>
            <w:tcW w:w="98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40"/>
        </w:trPr>
        <w:tc>
          <w:tcPr>
            <w:tcW w:w="820" w:type="dxa"/>
            <w:vAlign w:val="bottom"/>
            <w:tcBorders>
              <w:bottom w:val="single" w:sz="8" w:color="9A9A9A"/>
            </w:tcBorders>
          </w:tcPr>
          <w:p>
            <w:pPr>
              <w:spacing w:after="0"/>
              <w:rPr>
                <w:sz w:val="12"/>
                <w:szCs w:val="12"/>
                <w:color w:val="auto"/>
              </w:rPr>
            </w:pPr>
          </w:p>
        </w:tc>
        <w:tc>
          <w:tcPr>
            <w:tcW w:w="3080" w:type="dxa"/>
            <w:vAlign w:val="bottom"/>
            <w:tcBorders>
              <w:bottom w:val="single" w:sz="8" w:color="9A9A9A"/>
            </w:tcBorders>
          </w:tcPr>
          <w:p>
            <w:pPr>
              <w:spacing w:after="0"/>
              <w:rPr>
                <w:sz w:val="12"/>
                <w:szCs w:val="12"/>
                <w:color w:val="auto"/>
              </w:rPr>
            </w:pPr>
          </w:p>
        </w:tc>
        <w:tc>
          <w:tcPr>
            <w:tcW w:w="2760" w:type="dxa"/>
            <w:vAlign w:val="bottom"/>
            <w:tcBorders>
              <w:bottom w:val="single" w:sz="8" w:color="9A9A9A"/>
            </w:tcBorders>
          </w:tcPr>
          <w:p>
            <w:pPr>
              <w:spacing w:after="0"/>
              <w:rPr>
                <w:sz w:val="12"/>
                <w:szCs w:val="12"/>
                <w:color w:val="auto"/>
              </w:rPr>
            </w:pPr>
          </w:p>
        </w:tc>
        <w:tc>
          <w:tcPr>
            <w:tcW w:w="3080" w:type="dxa"/>
            <w:vAlign w:val="bottom"/>
            <w:tcBorders>
              <w:bottom w:val="single" w:sz="8" w:color="9A9A9A"/>
            </w:tcBorders>
          </w:tcPr>
          <w:p>
            <w:pPr>
              <w:spacing w:after="0"/>
              <w:rPr>
                <w:sz w:val="12"/>
                <w:szCs w:val="12"/>
                <w:color w:val="auto"/>
              </w:rPr>
            </w:pPr>
          </w:p>
        </w:tc>
        <w:tc>
          <w:tcPr>
            <w:tcW w:w="980" w:type="dxa"/>
            <w:vAlign w:val="bottom"/>
            <w:tcBorders>
              <w:bottom w:val="single" w:sz="8" w:color="9A9A9A"/>
            </w:tcBorders>
          </w:tcPr>
          <w:p>
            <w:pPr>
              <w:spacing w:after="0"/>
              <w:rPr>
                <w:sz w:val="12"/>
                <w:szCs w:val="12"/>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6802755</wp:posOffset>
            </wp:positionH>
            <wp:positionV relativeFrom="paragraph">
              <wp:posOffset>-8255</wp:posOffset>
            </wp:positionV>
            <wp:extent cx="8255" cy="8890"/>
            <wp:wrapNone/>
            <wp:docPr id="378" name="Picture 3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8"/>
                    <pic:cNvPicPr>
                      <a:picLocks noChangeAspect="1" noChangeArrowheads="1"/>
                    </pic:cNvPicPr>
                  </pic:nvPicPr>
                  <pic:blipFill>
                    <a:blip r:embed="rId385">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wp:posOffset>
            </wp:positionV>
            <wp:extent cx="8890" cy="17145"/>
            <wp:wrapNone/>
            <wp:docPr id="379" name="Picture 3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9"/>
                    <pic:cNvPicPr>
                      <a:picLocks noChangeAspect="1" noChangeArrowheads="1"/>
                    </pic:cNvPicPr>
                  </pic:nvPicPr>
                  <pic:blipFill>
                    <a:blip r:embed="rId386">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sectPr>
          <w:pgSz w:w="11900" w:h="16838" w:orient="portrait"/>
          <w:cols w:equalWidth="0" w:num="1">
            <w:col w:w="10720"/>
          </w:cols>
          <w:pgMar w:left="320" w:top="131" w:right="859" w:bottom="1440" w:gutter="0" w:footer="0" w:header="0"/>
        </w:sectPr>
      </w:pPr>
    </w:p>
    <w:bookmarkStart w:id="84" w:name="page85"/>
    <w:bookmarkEnd w:id="84"/>
    <w:p>
      <w:pPr>
        <w:spacing w:after="0"/>
        <w:rPr>
          <w:rFonts w:ascii="Arial" w:cs="Arial" w:eastAsia="Arial" w:hAnsi="Arial"/>
          <w:sz w:val="14"/>
          <w:szCs w:val="14"/>
          <w:color w:val="003366"/>
        </w:rPr>
      </w:pPr>
      <w:hyperlink w:anchor="page77">
        <w:r>
          <w:rPr>
            <w:rFonts w:ascii="Arial" w:cs="Arial" w:eastAsia="Arial" w:hAnsi="Arial"/>
            <w:sz w:val="14"/>
            <w:szCs w:val="14"/>
            <w:color w:val="003366"/>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485140</wp:posOffset>
            </wp:positionH>
            <wp:positionV relativeFrom="paragraph">
              <wp:posOffset>357505</wp:posOffset>
            </wp:positionV>
            <wp:extent cx="5829300" cy="8255"/>
            <wp:wrapNone/>
            <wp:docPr id="380" name="Picture 3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0"/>
                    <pic:cNvPicPr>
                      <a:picLocks noChangeAspect="1" noChangeArrowheads="1"/>
                    </pic:cNvPicPr>
                  </pic:nvPicPr>
                  <pic:blipFill>
                    <a:blip r:embed="rId387">
                      <a:extLst>
                        <a:ext uri="{28A0092B-C50C-407E-A947-70E740481C1C}"/>
                      </a:extLst>
                    </a:blip>
                    <a:srcRect/>
                    <a:stretch>
                      <a:fillRect/>
                    </a:stretch>
                  </pic:blipFill>
                  <pic:spPr bwMode="auto">
                    <a:xfrm>
                      <a:off x="0" y="0"/>
                      <a:ext cx="582930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ind w:left="1620" w:right="639" w:hanging="424"/>
        <w:spacing w:after="0" w:line="260" w:lineRule="auto"/>
        <w:tabs>
          <w:tab w:leader="none" w:pos="1620" w:val="left"/>
        </w:tabs>
        <w:numPr>
          <w:ilvl w:val="0"/>
          <w:numId w:val="102"/>
        </w:numPr>
        <w:rPr>
          <w:rFonts w:ascii="Arial" w:cs="Arial" w:eastAsia="Arial" w:hAnsi="Arial"/>
          <w:sz w:val="16"/>
          <w:szCs w:val="16"/>
          <w:color w:val="auto"/>
        </w:rPr>
      </w:pPr>
      <w:r>
        <w:rPr>
          <w:rFonts w:ascii="Arial" w:cs="Arial" w:eastAsia="Arial" w:hAnsi="Arial"/>
          <w:sz w:val="16"/>
          <w:szCs w:val="16"/>
          <w:color w:val="auto"/>
        </w:rPr>
        <w:t>the Board may reclassify, allot (with or without conferring a right of renunciation), grant options over, or otherwise dispose of them to such persons on such terms and conditions and at such times as it thinks fit.</w:t>
      </w:r>
    </w:p>
    <w:p>
      <w:pPr>
        <w:spacing w:after="0" w:line="74" w:lineRule="exact"/>
        <w:rPr>
          <w:sz w:val="20"/>
          <w:szCs w:val="20"/>
          <w:color w:val="auto"/>
        </w:rPr>
      </w:pPr>
    </w:p>
    <w:p>
      <w:pPr>
        <w:jc w:val="both"/>
        <w:ind w:left="1200" w:right="299" w:hanging="431"/>
        <w:spacing w:after="0" w:line="251" w:lineRule="auto"/>
        <w:tabs>
          <w:tab w:leader="none" w:pos="1180" w:val="left"/>
        </w:tabs>
        <w:rPr>
          <w:sz w:val="20"/>
          <w:szCs w:val="20"/>
          <w:color w:val="auto"/>
        </w:rPr>
      </w:pPr>
      <w:r>
        <w:rPr>
          <w:rFonts w:ascii="Arial" w:cs="Arial" w:eastAsia="Arial" w:hAnsi="Arial"/>
          <w:sz w:val="16"/>
          <w:szCs w:val="16"/>
          <w:color w:val="auto"/>
        </w:rPr>
        <w:t>5.4</w:t>
        <w:tab/>
        <w:t>Subject to the provisions of the Companies Act, and without prejudice to any rights attached to existing shares, any share may be issued which is to be redeemed, or is liable to be redeemed at the option of the Company or the holder. The Board may determine the terms, conditions and manner of redemption of any redeemable share so issued provided that it does so before the share is allotted.</w:t>
      </w:r>
    </w:p>
    <w:p>
      <w:pPr>
        <w:spacing w:after="0" w:line="81" w:lineRule="exact"/>
        <w:rPr>
          <w:sz w:val="20"/>
          <w:szCs w:val="20"/>
          <w:color w:val="auto"/>
        </w:rPr>
      </w:pPr>
    </w:p>
    <w:p>
      <w:pPr>
        <w:ind w:left="760"/>
        <w:spacing w:after="0"/>
        <w:tabs>
          <w:tab w:leader="none" w:pos="1180" w:val="left"/>
        </w:tabs>
        <w:rPr>
          <w:sz w:val="20"/>
          <w:szCs w:val="20"/>
          <w:color w:val="auto"/>
        </w:rPr>
      </w:pPr>
      <w:r>
        <w:rPr>
          <w:rFonts w:ascii="Arial" w:cs="Arial" w:eastAsia="Arial" w:hAnsi="Arial"/>
          <w:sz w:val="16"/>
          <w:szCs w:val="16"/>
          <w:color w:val="auto"/>
        </w:rPr>
        <w:t>5.5</w:t>
      </w:r>
      <w:r>
        <w:rPr>
          <w:sz w:val="20"/>
          <w:szCs w:val="20"/>
          <w:color w:val="auto"/>
        </w:rPr>
        <w:tab/>
      </w:r>
      <w:r>
        <w:rPr>
          <w:rFonts w:ascii="Arial" w:cs="Arial" w:eastAsia="Arial" w:hAnsi="Arial"/>
          <w:sz w:val="15"/>
          <w:szCs w:val="15"/>
          <w:color w:val="auto"/>
        </w:rPr>
        <w:t xml:space="preserve">The Board may at any time after the allotment of a </w:t>
      </w:r>
      <w:r>
        <w:rPr>
          <w:rFonts w:ascii="Arial" w:cs="Arial" w:eastAsia="Arial" w:hAnsi="Arial"/>
          <w:sz w:val="15"/>
          <w:szCs w:val="15"/>
          <w:color w:val="auto"/>
          <w:strike w:val="1"/>
        </w:rPr>
        <w:t>Share</w:t>
      </w:r>
      <w:r>
        <w:rPr>
          <w:rFonts w:ascii="Arial" w:cs="Arial" w:eastAsia="Arial" w:hAnsi="Arial"/>
          <w:sz w:val="15"/>
          <w:szCs w:val="15"/>
          <w:u w:val="single" w:color="auto"/>
          <w:color w:val="auto"/>
        </w:rPr>
        <w:t>share</w:t>
      </w:r>
      <w:r>
        <w:rPr>
          <w:rFonts w:ascii="Arial" w:cs="Arial" w:eastAsia="Arial" w:hAnsi="Arial"/>
          <w:sz w:val="15"/>
          <w:szCs w:val="15"/>
          <w:color w:val="auto"/>
        </w:rPr>
        <w:t xml:space="preserve">, but before a </w:t>
      </w:r>
      <w:r>
        <w:rPr>
          <w:rFonts w:ascii="Arial" w:cs="Arial" w:eastAsia="Arial" w:hAnsi="Arial"/>
          <w:sz w:val="15"/>
          <w:szCs w:val="15"/>
          <w:color w:val="auto"/>
          <w:strike w:val="1"/>
        </w:rPr>
        <w:t>Person</w:t>
      </w:r>
      <w:r>
        <w:rPr>
          <w:rFonts w:ascii="Arial" w:cs="Arial" w:eastAsia="Arial" w:hAnsi="Arial"/>
          <w:sz w:val="15"/>
          <w:szCs w:val="15"/>
          <w:u w:val="single" w:color="auto"/>
          <w:color w:val="auto"/>
        </w:rPr>
        <w:t>person</w:t>
      </w:r>
      <w:r>
        <w:rPr>
          <w:rFonts w:ascii="Arial" w:cs="Arial" w:eastAsia="Arial" w:hAnsi="Arial"/>
          <w:sz w:val="15"/>
          <w:szCs w:val="15"/>
          <w:color w:val="auto"/>
        </w:rPr>
        <w:t xml:space="preserve"> has been entered in the register</w:t>
      </w:r>
    </w:p>
    <w:p>
      <w:pPr>
        <w:spacing w:after="0" w:line="5" w:lineRule="exact"/>
        <w:rPr>
          <w:sz w:val="20"/>
          <w:szCs w:val="20"/>
          <w:color w:val="auto"/>
        </w:rPr>
      </w:pPr>
    </w:p>
    <w:p>
      <w:pPr>
        <w:ind w:left="1200"/>
        <w:spacing w:after="0"/>
        <w:rPr>
          <w:sz w:val="20"/>
          <w:szCs w:val="20"/>
          <w:color w:val="auto"/>
        </w:rPr>
      </w:pPr>
      <w:r>
        <w:rPr>
          <w:rFonts w:ascii="Arial" w:cs="Arial" w:eastAsia="Arial" w:hAnsi="Arial"/>
          <w:sz w:val="16"/>
          <w:szCs w:val="16"/>
          <w:color w:val="auto"/>
        </w:rPr>
        <w:t xml:space="preserve">as the holder of the </w:t>
      </w:r>
      <w:r>
        <w:rPr>
          <w:rFonts w:ascii="Arial" w:cs="Arial" w:eastAsia="Arial" w:hAnsi="Arial"/>
          <w:sz w:val="16"/>
          <w:szCs w:val="16"/>
          <w:color w:val="auto"/>
          <w:strike w:val="1"/>
        </w:rPr>
        <w:t>Share</w:t>
      </w:r>
      <w:r>
        <w:rPr>
          <w:rFonts w:ascii="Arial" w:cs="Arial" w:eastAsia="Arial" w:hAnsi="Arial"/>
          <w:sz w:val="16"/>
          <w:szCs w:val="16"/>
          <w:u w:val="single" w:color="auto"/>
          <w:color w:val="auto"/>
        </w:rPr>
        <w:t>share</w:t>
      </w:r>
      <w:r>
        <w:rPr>
          <w:rFonts w:ascii="Arial" w:cs="Arial" w:eastAsia="Arial" w:hAnsi="Arial"/>
          <w:sz w:val="16"/>
          <w:szCs w:val="16"/>
          <w:color w:val="auto"/>
        </w:rPr>
        <w:t xml:space="preserve">, recognise a renunciation of the </w:t>
      </w:r>
      <w:r>
        <w:rPr>
          <w:rFonts w:ascii="Arial" w:cs="Arial" w:eastAsia="Arial" w:hAnsi="Arial"/>
          <w:sz w:val="16"/>
          <w:szCs w:val="16"/>
          <w:color w:val="auto"/>
          <w:strike w:val="1"/>
        </w:rPr>
        <w:t>Share</w:t>
      </w:r>
      <w:r>
        <w:rPr>
          <w:rFonts w:ascii="Arial" w:cs="Arial" w:eastAsia="Arial" w:hAnsi="Arial"/>
          <w:sz w:val="16"/>
          <w:szCs w:val="16"/>
          <w:u w:val="single" w:color="auto"/>
          <w:color w:val="auto"/>
        </w:rPr>
        <w:t>share</w:t>
      </w:r>
      <w:r>
        <w:rPr>
          <w:rFonts w:ascii="Arial" w:cs="Arial" w:eastAsia="Arial" w:hAnsi="Arial"/>
          <w:sz w:val="16"/>
          <w:szCs w:val="16"/>
          <w:color w:val="auto"/>
        </w:rPr>
        <w:t xml:space="preserve"> by the allottee in favour of another</w:t>
      </w:r>
    </w:p>
    <w:p>
      <w:pPr>
        <w:spacing w:after="0" w:line="5" w:lineRule="exact"/>
        <w:rPr>
          <w:sz w:val="20"/>
          <w:szCs w:val="20"/>
          <w:color w:val="auto"/>
        </w:rPr>
      </w:pPr>
    </w:p>
    <w:p>
      <w:pPr>
        <w:ind w:left="1200"/>
        <w:spacing w:after="0"/>
        <w:rPr>
          <w:sz w:val="20"/>
          <w:szCs w:val="20"/>
          <w:color w:val="auto"/>
        </w:rPr>
      </w:pPr>
      <w:r>
        <w:rPr>
          <w:rFonts w:ascii="Arial" w:cs="Arial" w:eastAsia="Arial" w:hAnsi="Arial"/>
          <w:sz w:val="16"/>
          <w:szCs w:val="16"/>
          <w:color w:val="auto"/>
          <w:strike w:val="1"/>
        </w:rPr>
        <w:t>Person</w:t>
      </w:r>
      <w:r>
        <w:rPr>
          <w:rFonts w:ascii="Arial" w:cs="Arial" w:eastAsia="Arial" w:hAnsi="Arial"/>
          <w:sz w:val="16"/>
          <w:szCs w:val="16"/>
          <w:u w:val="single" w:color="auto"/>
          <w:color w:val="auto"/>
        </w:rPr>
        <w:t>person</w:t>
      </w:r>
      <w:r>
        <w:rPr>
          <w:rFonts w:ascii="Arial" w:cs="Arial" w:eastAsia="Arial" w:hAnsi="Arial"/>
          <w:sz w:val="16"/>
          <w:szCs w:val="16"/>
          <w:color w:val="auto"/>
        </w:rPr>
        <w:t xml:space="preserve"> and may grant to an allottee a right to effect a renunciation on such terms and conditions as the Board thinks</w:t>
      </w:r>
    </w:p>
    <w:p>
      <w:pPr>
        <w:spacing w:after="0" w:line="5" w:lineRule="exact"/>
        <w:rPr>
          <w:sz w:val="20"/>
          <w:szCs w:val="20"/>
          <w:color w:val="auto"/>
        </w:rPr>
      </w:pPr>
    </w:p>
    <w:p>
      <w:pPr>
        <w:ind w:left="1200"/>
        <w:spacing w:after="0"/>
        <w:rPr>
          <w:sz w:val="20"/>
          <w:szCs w:val="20"/>
          <w:color w:val="auto"/>
        </w:rPr>
      </w:pPr>
      <w:r>
        <w:rPr>
          <w:rFonts w:ascii="Arial" w:cs="Arial" w:eastAsia="Arial" w:hAnsi="Arial"/>
          <w:sz w:val="16"/>
          <w:szCs w:val="16"/>
          <w:color w:val="auto"/>
        </w:rPr>
        <w:t>fit.</w:t>
      </w:r>
    </w:p>
    <w:p>
      <w:pPr>
        <w:spacing w:after="0" w:line="80" w:lineRule="exact"/>
        <w:rPr>
          <w:sz w:val="20"/>
          <w:szCs w:val="20"/>
          <w:color w:val="auto"/>
        </w:rPr>
      </w:pPr>
    </w:p>
    <w:p>
      <w:pPr>
        <w:ind w:left="1200" w:hanging="436"/>
        <w:spacing w:after="0"/>
        <w:tabs>
          <w:tab w:leader="none" w:pos="1200" w:val="left"/>
        </w:tabs>
        <w:numPr>
          <w:ilvl w:val="0"/>
          <w:numId w:val="103"/>
        </w:numPr>
        <w:rPr>
          <w:rFonts w:ascii="Arial" w:cs="Arial" w:eastAsia="Arial" w:hAnsi="Arial"/>
          <w:sz w:val="16"/>
          <w:szCs w:val="16"/>
          <w:b w:val="1"/>
          <w:bCs w:val="1"/>
          <w:color w:val="auto"/>
        </w:rPr>
      </w:pPr>
      <w:r>
        <w:rPr>
          <w:rFonts w:ascii="Arial" w:cs="Arial" w:eastAsia="Arial" w:hAnsi="Arial"/>
          <w:sz w:val="16"/>
          <w:szCs w:val="16"/>
          <w:b w:val="1"/>
          <w:bCs w:val="1"/>
          <w:color w:val="auto"/>
        </w:rPr>
        <w:t>VARIATION OF RIGHTS</w:t>
      </w:r>
    </w:p>
    <w:p>
      <w:pPr>
        <w:spacing w:after="0" w:line="120" w:lineRule="exact"/>
        <w:rPr>
          <w:sz w:val="20"/>
          <w:szCs w:val="20"/>
          <w:color w:val="auto"/>
        </w:rPr>
      </w:pPr>
    </w:p>
    <w:p>
      <w:pPr>
        <w:jc w:val="both"/>
        <w:ind w:left="1200" w:right="379" w:hanging="431"/>
        <w:spacing w:after="0" w:line="253" w:lineRule="auto"/>
        <w:tabs>
          <w:tab w:leader="none" w:pos="1180" w:val="left"/>
        </w:tabs>
        <w:rPr>
          <w:sz w:val="20"/>
          <w:szCs w:val="20"/>
          <w:color w:val="auto"/>
        </w:rPr>
      </w:pPr>
      <w:r>
        <w:rPr>
          <w:rFonts w:ascii="Arial" w:cs="Arial" w:eastAsia="Arial" w:hAnsi="Arial"/>
          <w:sz w:val="16"/>
          <w:szCs w:val="16"/>
          <w:color w:val="auto"/>
        </w:rPr>
        <w:t>6.1</w:t>
        <w:tab/>
        <w:t>Subject to the provisions of the Companies Act, if at any time the capital of the Company is divided into different classes of shares, all or any of the rights attached to any existing class may from time to time be varied or abrogated, either while the Company is a going concern or during or in contemplation of a winding up:</w:t>
      </w:r>
    </w:p>
    <w:p>
      <w:pPr>
        <w:spacing w:after="0" w:line="66" w:lineRule="exact"/>
        <w:rPr>
          <w:sz w:val="20"/>
          <w:szCs w:val="20"/>
          <w:color w:val="auto"/>
        </w:rPr>
      </w:pPr>
    </w:p>
    <w:p>
      <w:pPr>
        <w:ind w:left="1620" w:hanging="424"/>
        <w:spacing w:after="0"/>
        <w:tabs>
          <w:tab w:leader="none" w:pos="1620" w:val="left"/>
        </w:tabs>
        <w:numPr>
          <w:ilvl w:val="0"/>
          <w:numId w:val="104"/>
        </w:numPr>
        <w:rPr>
          <w:rFonts w:ascii="Arial" w:cs="Arial" w:eastAsia="Arial" w:hAnsi="Arial"/>
          <w:sz w:val="16"/>
          <w:szCs w:val="16"/>
          <w:color w:val="auto"/>
        </w:rPr>
      </w:pPr>
      <w:r>
        <w:rPr>
          <w:rFonts w:ascii="Arial" w:cs="Arial" w:eastAsia="Arial" w:hAnsi="Arial"/>
          <w:sz w:val="16"/>
          <w:szCs w:val="16"/>
          <w:color w:val="auto"/>
        </w:rPr>
        <w:t>in such manner (if any) as may be provided by those rights;</w:t>
      </w:r>
    </w:p>
    <w:p>
      <w:pPr>
        <w:spacing w:after="0" w:line="99" w:lineRule="exact"/>
        <w:rPr>
          <w:rFonts w:ascii="Arial" w:cs="Arial" w:eastAsia="Arial" w:hAnsi="Arial"/>
          <w:sz w:val="16"/>
          <w:szCs w:val="16"/>
          <w:color w:val="auto"/>
        </w:rPr>
      </w:pPr>
    </w:p>
    <w:p>
      <w:pPr>
        <w:ind w:left="1620" w:right="199" w:hanging="424"/>
        <w:spacing w:after="0" w:line="250" w:lineRule="auto"/>
        <w:tabs>
          <w:tab w:leader="none" w:pos="1620" w:val="left"/>
        </w:tabs>
        <w:numPr>
          <w:ilvl w:val="0"/>
          <w:numId w:val="104"/>
        </w:numPr>
        <w:rPr>
          <w:rFonts w:ascii="Arial" w:cs="Arial" w:eastAsia="Arial" w:hAnsi="Arial"/>
          <w:sz w:val="16"/>
          <w:szCs w:val="16"/>
          <w:color w:val="auto"/>
        </w:rPr>
      </w:pPr>
      <w:r>
        <w:rPr>
          <w:rFonts w:ascii="Arial" w:cs="Arial" w:eastAsia="Arial" w:hAnsi="Arial"/>
          <w:sz w:val="16"/>
          <w:szCs w:val="16"/>
          <w:color w:val="auto"/>
        </w:rPr>
        <w:t>with the written consent of the holders of 75% in nominal value of the issued shares of that class (excluding any shares of that class held as treasury shares), which consent shall be in hard copy form or in electronic form sent to such address (if any) for the time being specified by or on behalf of the Company for that purpose, or in default of such specification to the Office, and may consist of several documents, each executed or authenticated in such manner as the Board may approve by or on behalf of one or more holders, or a combination of both; or</w:t>
      </w:r>
    </w:p>
    <w:p>
      <w:pPr>
        <w:spacing w:after="0" w:line="81" w:lineRule="exact"/>
        <w:rPr>
          <w:rFonts w:ascii="Arial" w:cs="Arial" w:eastAsia="Arial" w:hAnsi="Arial"/>
          <w:sz w:val="16"/>
          <w:szCs w:val="16"/>
          <w:color w:val="auto"/>
        </w:rPr>
      </w:pPr>
    </w:p>
    <w:p>
      <w:pPr>
        <w:ind w:left="1620" w:hanging="424"/>
        <w:spacing w:after="0"/>
        <w:tabs>
          <w:tab w:leader="none" w:pos="1620" w:val="left"/>
        </w:tabs>
        <w:numPr>
          <w:ilvl w:val="0"/>
          <w:numId w:val="104"/>
        </w:numPr>
        <w:rPr>
          <w:rFonts w:ascii="Arial" w:cs="Arial" w:eastAsia="Arial" w:hAnsi="Arial"/>
          <w:sz w:val="16"/>
          <w:szCs w:val="16"/>
          <w:color w:val="auto"/>
        </w:rPr>
      </w:pPr>
      <w:r>
        <w:rPr>
          <w:rFonts w:ascii="Arial" w:cs="Arial" w:eastAsia="Arial" w:hAnsi="Arial"/>
          <w:sz w:val="16"/>
          <w:szCs w:val="16"/>
          <w:color w:val="auto"/>
        </w:rPr>
        <w:t>with the sanction of a special resolution passed at a separate meeting of the holders of the shares of that class,</w:t>
      </w:r>
    </w:p>
    <w:p>
      <w:pPr>
        <w:spacing w:after="0" w:line="100" w:lineRule="exact"/>
        <w:rPr>
          <w:sz w:val="20"/>
          <w:szCs w:val="20"/>
          <w:color w:val="auto"/>
        </w:rPr>
      </w:pPr>
    </w:p>
    <w:p>
      <w:pPr>
        <w:ind w:left="1200"/>
        <w:spacing w:after="0"/>
        <w:rPr>
          <w:sz w:val="20"/>
          <w:szCs w:val="20"/>
          <w:color w:val="auto"/>
        </w:rPr>
      </w:pPr>
      <w:r>
        <w:rPr>
          <w:rFonts w:ascii="Arial" w:cs="Arial" w:eastAsia="Arial" w:hAnsi="Arial"/>
          <w:sz w:val="16"/>
          <w:szCs w:val="16"/>
          <w:color w:val="auto"/>
        </w:rPr>
        <w:t>but not otherwise.</w:t>
      </w:r>
    </w:p>
    <w:p>
      <w:pPr>
        <w:spacing w:after="0" w:line="86" w:lineRule="exact"/>
        <w:rPr>
          <w:sz w:val="20"/>
          <w:szCs w:val="20"/>
          <w:color w:val="auto"/>
        </w:rPr>
      </w:pPr>
    </w:p>
    <w:p>
      <w:pPr>
        <w:ind w:left="1200" w:right="379" w:hanging="431"/>
        <w:spacing w:after="0" w:line="253" w:lineRule="auto"/>
        <w:tabs>
          <w:tab w:leader="none" w:pos="1180" w:val="left"/>
        </w:tabs>
        <w:rPr>
          <w:sz w:val="20"/>
          <w:szCs w:val="20"/>
          <w:color w:val="auto"/>
        </w:rPr>
      </w:pPr>
      <w:r>
        <w:rPr>
          <w:rFonts w:ascii="Arial" w:cs="Arial" w:eastAsia="Arial" w:hAnsi="Arial"/>
          <w:sz w:val="16"/>
          <w:szCs w:val="16"/>
          <w:color w:val="auto"/>
        </w:rPr>
        <w:t>6.2</w:t>
        <w:tab/>
        <w:t>For the purposes of Article 6.1, if at any time the capital of the Company is divided into different classes of shares, unless otherwise expressly provided by the rights attached to any share or class of shares, those rights shall be deemed not to be varied by:</w:t>
      </w:r>
    </w:p>
    <w:p>
      <w:pPr>
        <w:spacing w:after="0" w:line="64" w:lineRule="exact"/>
        <w:rPr>
          <w:sz w:val="20"/>
          <w:szCs w:val="20"/>
          <w:color w:val="auto"/>
        </w:rPr>
      </w:pPr>
    </w:p>
    <w:p>
      <w:pPr>
        <w:ind w:left="1620" w:hanging="424"/>
        <w:spacing w:after="0"/>
        <w:tabs>
          <w:tab w:leader="none" w:pos="1620" w:val="left"/>
        </w:tabs>
        <w:numPr>
          <w:ilvl w:val="1"/>
          <w:numId w:val="105"/>
        </w:numPr>
        <w:rPr>
          <w:rFonts w:ascii="Arial" w:cs="Arial" w:eastAsia="Arial" w:hAnsi="Arial"/>
          <w:sz w:val="16"/>
          <w:szCs w:val="16"/>
          <w:color w:val="auto"/>
        </w:rPr>
      </w:pPr>
      <w:r>
        <w:rPr>
          <w:rFonts w:ascii="Arial" w:cs="Arial" w:eastAsia="Arial" w:hAnsi="Arial"/>
          <w:sz w:val="16"/>
          <w:szCs w:val="16"/>
          <w:color w:val="auto"/>
        </w:rPr>
        <w:t xml:space="preserve">the issue of further shares ranking </w:t>
      </w:r>
      <w:r>
        <w:rPr>
          <w:rFonts w:ascii="Arial" w:cs="Arial" w:eastAsia="Arial" w:hAnsi="Arial"/>
          <w:sz w:val="16"/>
          <w:szCs w:val="16"/>
          <w:i w:val="1"/>
          <w:iCs w:val="1"/>
          <w:color w:val="auto"/>
        </w:rPr>
        <w:t>pari passu</w:t>
      </w:r>
      <w:r>
        <w:rPr>
          <w:rFonts w:ascii="Arial" w:cs="Arial" w:eastAsia="Arial" w:hAnsi="Arial"/>
          <w:sz w:val="16"/>
          <w:szCs w:val="16"/>
          <w:color w:val="auto"/>
        </w:rPr>
        <w:t xml:space="preserve"> with, or subsequent to, that share or class of shares;</w:t>
      </w:r>
    </w:p>
    <w:p>
      <w:pPr>
        <w:spacing w:after="0" w:line="115" w:lineRule="exact"/>
        <w:rPr>
          <w:rFonts w:ascii="Arial" w:cs="Arial" w:eastAsia="Arial" w:hAnsi="Arial"/>
          <w:sz w:val="16"/>
          <w:szCs w:val="16"/>
          <w:color w:val="auto"/>
        </w:rPr>
      </w:pPr>
    </w:p>
    <w:p>
      <w:pPr>
        <w:ind w:left="1620" w:hanging="424"/>
        <w:spacing w:after="0"/>
        <w:tabs>
          <w:tab w:leader="none" w:pos="1620" w:val="left"/>
        </w:tabs>
        <w:numPr>
          <w:ilvl w:val="1"/>
          <w:numId w:val="105"/>
        </w:numPr>
        <w:rPr>
          <w:rFonts w:ascii="Arial" w:cs="Arial" w:eastAsia="Arial" w:hAnsi="Arial"/>
          <w:sz w:val="16"/>
          <w:szCs w:val="16"/>
          <w:color w:val="auto"/>
        </w:rPr>
      </w:pPr>
      <w:r>
        <w:rPr>
          <w:rFonts w:ascii="Arial" w:cs="Arial" w:eastAsia="Arial" w:hAnsi="Arial"/>
          <w:sz w:val="16"/>
          <w:szCs w:val="16"/>
          <w:color w:val="auto"/>
        </w:rPr>
        <w:t>the purchase or redemption by the Company of any of its own shares; and</w:t>
      </w:r>
    </w:p>
    <w:p>
      <w:pPr>
        <w:spacing w:after="0" w:line="86" w:lineRule="exact"/>
        <w:rPr>
          <w:rFonts w:ascii="Arial" w:cs="Arial" w:eastAsia="Arial" w:hAnsi="Arial"/>
          <w:sz w:val="16"/>
          <w:szCs w:val="16"/>
          <w:color w:val="auto"/>
        </w:rPr>
      </w:pPr>
    </w:p>
    <w:p>
      <w:pPr>
        <w:ind w:left="1620" w:hanging="424"/>
        <w:spacing w:after="0"/>
        <w:tabs>
          <w:tab w:leader="none" w:pos="1620" w:val="left"/>
        </w:tabs>
        <w:numPr>
          <w:ilvl w:val="1"/>
          <w:numId w:val="105"/>
        </w:numPr>
        <w:rPr>
          <w:rFonts w:ascii="Arial" w:cs="Arial" w:eastAsia="Arial" w:hAnsi="Arial"/>
          <w:sz w:val="16"/>
          <w:szCs w:val="16"/>
          <w:color w:val="auto"/>
        </w:rPr>
      </w:pPr>
      <w:r>
        <w:rPr>
          <w:rFonts w:ascii="Arial" w:cs="Arial" w:eastAsia="Arial" w:hAnsi="Arial"/>
          <w:sz w:val="16"/>
          <w:szCs w:val="16"/>
          <w:color w:val="auto"/>
        </w:rPr>
        <w:t xml:space="preserve">the exercise by the Board of any of the powers contemplated by Articles 38.7, 38.8 and </w:t>
      </w:r>
      <w:r>
        <w:rPr>
          <w:rFonts w:ascii="Arial" w:cs="Arial" w:eastAsia="Arial" w:hAnsi="Arial"/>
          <w:sz w:val="16"/>
          <w:szCs w:val="16"/>
          <w:color w:val="auto"/>
          <w:strike w:val="1"/>
        </w:rPr>
        <w:t>39.1</w:t>
      </w:r>
      <w:r>
        <w:rPr>
          <w:rFonts w:ascii="Arial" w:cs="Arial" w:eastAsia="Arial" w:hAnsi="Arial"/>
          <w:sz w:val="16"/>
          <w:szCs w:val="16"/>
          <w:color w:val="auto"/>
        </w:rPr>
        <w:t xml:space="preserve"> 39.1.</w:t>
      </w:r>
    </w:p>
    <w:p>
      <w:pPr>
        <w:spacing w:after="0" w:line="79" w:lineRule="exact"/>
        <w:rPr>
          <w:rFonts w:ascii="Arial" w:cs="Arial" w:eastAsia="Arial" w:hAnsi="Arial"/>
          <w:sz w:val="16"/>
          <w:szCs w:val="16"/>
          <w:color w:val="auto"/>
        </w:rPr>
      </w:pPr>
    </w:p>
    <w:p>
      <w:pPr>
        <w:ind w:left="1200" w:hanging="436"/>
        <w:spacing w:after="0"/>
        <w:tabs>
          <w:tab w:leader="none" w:pos="1200" w:val="left"/>
        </w:tabs>
        <w:numPr>
          <w:ilvl w:val="0"/>
          <w:numId w:val="106"/>
        </w:numPr>
        <w:rPr>
          <w:rFonts w:ascii="Arial" w:cs="Arial" w:eastAsia="Arial" w:hAnsi="Arial"/>
          <w:sz w:val="16"/>
          <w:szCs w:val="16"/>
          <w:b w:val="1"/>
          <w:bCs w:val="1"/>
          <w:color w:val="auto"/>
        </w:rPr>
      </w:pPr>
      <w:r>
        <w:rPr>
          <w:rFonts w:ascii="Arial" w:cs="Arial" w:eastAsia="Arial" w:hAnsi="Arial"/>
          <w:sz w:val="16"/>
          <w:szCs w:val="16"/>
          <w:b w:val="1"/>
          <w:bCs w:val="1"/>
          <w:color w:val="auto"/>
        </w:rPr>
        <w:t>SHARE CERTIFICATES</w:t>
      </w:r>
    </w:p>
    <w:p>
      <w:pPr>
        <w:spacing w:after="0" w:line="120" w:lineRule="exact"/>
        <w:rPr>
          <w:sz w:val="20"/>
          <w:szCs w:val="20"/>
          <w:color w:val="auto"/>
        </w:rPr>
      </w:pPr>
    </w:p>
    <w:p>
      <w:pPr>
        <w:ind w:left="1200" w:right="239" w:hanging="431"/>
        <w:spacing w:after="0" w:line="248" w:lineRule="auto"/>
        <w:tabs>
          <w:tab w:leader="none" w:pos="1180" w:val="left"/>
        </w:tabs>
        <w:rPr>
          <w:sz w:val="20"/>
          <w:szCs w:val="20"/>
          <w:color w:val="auto"/>
        </w:rPr>
      </w:pPr>
      <w:r>
        <w:rPr>
          <w:rFonts w:ascii="Arial" w:cs="Arial" w:eastAsia="Arial" w:hAnsi="Arial"/>
          <w:sz w:val="16"/>
          <w:szCs w:val="16"/>
          <w:color w:val="auto"/>
        </w:rPr>
        <w:t>7.1</w:t>
        <w:tab/>
        <w:t xml:space="preserve">On becoming the holder of any share other than a share in uncertificated form, every person (other than a </w:t>
      </w:r>
      <w:r>
        <w:rPr>
          <w:rFonts w:ascii="Arial" w:cs="Arial" w:eastAsia="Arial" w:hAnsi="Arial"/>
          <w:sz w:val="16"/>
          <w:szCs w:val="16"/>
          <w:color w:val="auto"/>
          <w:strike w:val="1"/>
        </w:rPr>
        <w:t>financial</w:t>
      </w:r>
      <w:r>
        <w:rPr>
          <w:rFonts w:ascii="Arial" w:cs="Arial" w:eastAsia="Arial" w:hAnsi="Arial"/>
          <w:sz w:val="16"/>
          <w:szCs w:val="16"/>
          <w:color w:val="auto"/>
        </w:rPr>
        <w:t xml:space="preserve"> </w:t>
      </w:r>
      <w:r>
        <w:rPr>
          <w:rFonts w:ascii="Arial" w:cs="Arial" w:eastAsia="Arial" w:hAnsi="Arial"/>
          <w:sz w:val="16"/>
          <w:szCs w:val="16"/>
          <w:color w:val="auto"/>
          <w:strike w:val="1"/>
        </w:rPr>
        <w:t>institution</w:t>
      </w:r>
      <w:r>
        <w:rPr>
          <w:rFonts w:ascii="Arial" w:cs="Arial" w:eastAsia="Arial" w:hAnsi="Arial"/>
          <w:sz w:val="16"/>
          <w:szCs w:val="16"/>
          <w:u w:val="single" w:color="auto"/>
          <w:color w:val="auto"/>
        </w:rPr>
        <w:t>person</w:t>
      </w:r>
      <w:r>
        <w:rPr>
          <w:rFonts w:ascii="Arial" w:cs="Arial" w:eastAsia="Arial" w:hAnsi="Arial"/>
          <w:sz w:val="16"/>
          <w:szCs w:val="16"/>
          <w:color w:val="auto"/>
        </w:rPr>
        <w:t xml:space="preserve"> in respect of whom the Company is not required by law to complete and have ready a certificate) shall be entitled, without payment, to have issued to </w:t>
      </w:r>
      <w:r>
        <w:rPr>
          <w:rFonts w:ascii="Arial" w:cs="Arial" w:eastAsia="Arial" w:hAnsi="Arial"/>
          <w:sz w:val="16"/>
          <w:szCs w:val="16"/>
          <w:color w:val="auto"/>
          <w:strike w:val="1"/>
        </w:rPr>
        <w:t>him</w:t>
      </w:r>
      <w:r>
        <w:rPr>
          <w:rFonts w:ascii="Arial" w:cs="Arial" w:eastAsia="Arial" w:hAnsi="Arial"/>
          <w:sz w:val="16"/>
          <w:szCs w:val="16"/>
          <w:u w:val="single" w:color="auto"/>
          <w:color w:val="auto"/>
        </w:rPr>
        <w:t>them</w:t>
      </w:r>
      <w:r>
        <w:rPr>
          <w:rFonts w:ascii="Arial" w:cs="Arial" w:eastAsia="Arial" w:hAnsi="Arial"/>
          <w:sz w:val="16"/>
          <w:szCs w:val="16"/>
          <w:color w:val="auto"/>
        </w:rPr>
        <w:t xml:space="preserve"> within two months after allotment or lodgement of a transfer (unless the terms of issue of the shares provide otherwise) one certificate for all the shares of each class held by </w:t>
      </w:r>
      <w:r>
        <w:rPr>
          <w:rFonts w:ascii="Arial" w:cs="Arial" w:eastAsia="Arial" w:hAnsi="Arial"/>
          <w:sz w:val="16"/>
          <w:szCs w:val="16"/>
          <w:color w:val="auto"/>
          <w:strike w:val="1"/>
        </w:rPr>
        <w:t>him</w:t>
      </w:r>
      <w:r>
        <w:rPr>
          <w:rFonts w:ascii="Arial" w:cs="Arial" w:eastAsia="Arial" w:hAnsi="Arial"/>
          <w:sz w:val="16"/>
          <w:szCs w:val="16"/>
          <w:u w:val="single" w:color="auto"/>
          <w:color w:val="auto"/>
        </w:rPr>
        <w:t>them</w:t>
      </w:r>
      <w:r>
        <w:rPr>
          <w:rFonts w:ascii="Arial" w:cs="Arial" w:eastAsia="Arial" w:hAnsi="Arial"/>
          <w:sz w:val="16"/>
          <w:szCs w:val="16"/>
          <w:color w:val="auto"/>
        </w:rPr>
        <w:t xml:space="preserve"> (and, upon transferring a part of </w:t>
      </w:r>
      <w:r>
        <w:rPr>
          <w:rFonts w:ascii="Arial" w:cs="Arial" w:eastAsia="Arial" w:hAnsi="Arial"/>
          <w:sz w:val="16"/>
          <w:szCs w:val="16"/>
          <w:color w:val="auto"/>
          <w:strike w:val="1"/>
        </w:rPr>
        <w:t>his</w:t>
      </w:r>
      <w:r>
        <w:rPr>
          <w:rFonts w:ascii="Arial" w:cs="Arial" w:eastAsia="Arial" w:hAnsi="Arial"/>
          <w:sz w:val="16"/>
          <w:szCs w:val="16"/>
          <w:u w:val="single" w:color="auto"/>
          <w:color w:val="auto"/>
        </w:rPr>
        <w:t>their</w:t>
      </w:r>
      <w:r>
        <w:rPr>
          <w:rFonts w:ascii="Arial" w:cs="Arial" w:eastAsia="Arial" w:hAnsi="Arial"/>
          <w:sz w:val="16"/>
          <w:szCs w:val="16"/>
          <w:color w:val="auto"/>
        </w:rPr>
        <w:t xml:space="preserve"> holding of shares of any class, to a certificate for the balance of that holding). A holder may elect to receive one or more additional certificates for any of </w:t>
      </w:r>
      <w:r>
        <w:rPr>
          <w:rFonts w:ascii="Arial" w:cs="Arial" w:eastAsia="Arial" w:hAnsi="Arial"/>
          <w:sz w:val="16"/>
          <w:szCs w:val="16"/>
          <w:color w:val="auto"/>
          <w:strike w:val="1"/>
        </w:rPr>
        <w:t>his</w:t>
      </w:r>
      <w:r>
        <w:rPr>
          <w:rFonts w:ascii="Arial" w:cs="Arial" w:eastAsia="Arial" w:hAnsi="Arial"/>
          <w:sz w:val="16"/>
          <w:szCs w:val="16"/>
          <w:u w:val="single" w:color="auto"/>
          <w:color w:val="auto"/>
        </w:rPr>
        <w:t>their</w:t>
      </w:r>
      <w:r>
        <w:rPr>
          <w:rFonts w:ascii="Arial" w:cs="Arial" w:eastAsia="Arial" w:hAnsi="Arial"/>
          <w:sz w:val="16"/>
          <w:szCs w:val="16"/>
          <w:color w:val="auto"/>
        </w:rPr>
        <w:t xml:space="preserve"> shares upon payment for every certificate after the first of such reasonable sum as the </w:t>
      </w:r>
      <w:r>
        <w:rPr>
          <w:rFonts w:ascii="Arial" w:cs="Arial" w:eastAsia="Arial" w:hAnsi="Arial"/>
          <w:sz w:val="16"/>
          <w:szCs w:val="16"/>
          <w:color w:val="auto"/>
          <w:strike w:val="1"/>
        </w:rPr>
        <w:t>Directors</w:t>
      </w:r>
      <w:r>
        <w:rPr>
          <w:rFonts w:ascii="Arial" w:cs="Arial" w:eastAsia="Arial" w:hAnsi="Arial"/>
          <w:sz w:val="16"/>
          <w:szCs w:val="16"/>
          <w:u w:val="single" w:color="auto"/>
          <w:color w:val="auto"/>
        </w:rPr>
        <w:t>Board</w:t>
      </w:r>
      <w:r>
        <w:rPr>
          <w:rFonts w:ascii="Arial" w:cs="Arial" w:eastAsia="Arial" w:hAnsi="Arial"/>
          <w:sz w:val="16"/>
          <w:szCs w:val="16"/>
          <w:color w:val="auto"/>
        </w:rPr>
        <w:t xml:space="preserve"> may determine from time to time.</w:t>
      </w:r>
    </w:p>
    <w:p>
      <w:pPr>
        <w:spacing w:after="0" w:line="73" w:lineRule="exact"/>
        <w:rPr>
          <w:sz w:val="20"/>
          <w:szCs w:val="20"/>
          <w:color w:val="auto"/>
        </w:rPr>
      </w:pPr>
    </w:p>
    <w:p>
      <w:pPr>
        <w:ind w:left="760"/>
        <w:spacing w:after="0"/>
        <w:tabs>
          <w:tab w:leader="none" w:pos="1180" w:val="left"/>
        </w:tabs>
        <w:rPr>
          <w:sz w:val="20"/>
          <w:szCs w:val="20"/>
          <w:color w:val="auto"/>
        </w:rPr>
      </w:pPr>
      <w:r>
        <w:rPr>
          <w:rFonts w:ascii="Arial" w:cs="Arial" w:eastAsia="Arial" w:hAnsi="Arial"/>
          <w:sz w:val="16"/>
          <w:szCs w:val="16"/>
          <w:color w:val="auto"/>
        </w:rPr>
        <w:t>7.2</w:t>
      </w:r>
      <w:r>
        <w:rPr>
          <w:sz w:val="20"/>
          <w:szCs w:val="20"/>
          <w:color w:val="auto"/>
        </w:rPr>
        <w:tab/>
      </w:r>
      <w:r>
        <w:rPr>
          <w:rFonts w:ascii="Arial" w:cs="Arial" w:eastAsia="Arial" w:hAnsi="Arial"/>
          <w:sz w:val="15"/>
          <w:szCs w:val="15"/>
          <w:color w:val="auto"/>
        </w:rPr>
        <w:t>Every certificate shall:</w:t>
      </w:r>
    </w:p>
    <w:p>
      <w:pPr>
        <w:spacing w:after="0" w:line="100" w:lineRule="exact"/>
        <w:rPr>
          <w:sz w:val="20"/>
          <w:szCs w:val="20"/>
          <w:color w:val="auto"/>
        </w:rPr>
      </w:pPr>
    </w:p>
    <w:p>
      <w:pPr>
        <w:ind w:left="1620" w:right="219" w:hanging="424"/>
        <w:spacing w:after="0" w:line="253" w:lineRule="auto"/>
        <w:tabs>
          <w:tab w:leader="none" w:pos="1620" w:val="left"/>
        </w:tabs>
        <w:numPr>
          <w:ilvl w:val="0"/>
          <w:numId w:val="107"/>
        </w:numPr>
        <w:rPr>
          <w:rFonts w:ascii="Arial" w:cs="Arial" w:eastAsia="Arial" w:hAnsi="Arial"/>
          <w:sz w:val="16"/>
          <w:szCs w:val="16"/>
          <w:color w:val="auto"/>
        </w:rPr>
      </w:pPr>
      <w:r>
        <w:rPr>
          <w:rFonts w:ascii="Arial" w:cs="Arial" w:eastAsia="Arial" w:hAnsi="Arial"/>
          <w:sz w:val="16"/>
          <w:szCs w:val="16"/>
          <w:color w:val="auto"/>
        </w:rPr>
        <w:t xml:space="preserve">be </w:t>
      </w:r>
      <w:r>
        <w:rPr>
          <w:rFonts w:ascii="Arial" w:cs="Arial" w:eastAsia="Arial" w:hAnsi="Arial"/>
          <w:sz w:val="16"/>
          <w:szCs w:val="16"/>
          <w:color w:val="auto"/>
          <w:strike w:val="1"/>
        </w:rPr>
        <w:t>issued under</w:t>
      </w:r>
      <w:r>
        <w:rPr>
          <w:rFonts w:ascii="Arial" w:cs="Arial" w:eastAsia="Arial" w:hAnsi="Arial"/>
          <w:sz w:val="16"/>
          <w:szCs w:val="16"/>
          <w:u w:val="single" w:color="auto"/>
          <w:color w:val="auto"/>
        </w:rPr>
        <w:t>executed by</w:t>
      </w:r>
      <w:r>
        <w:rPr>
          <w:rFonts w:ascii="Arial" w:cs="Arial" w:eastAsia="Arial" w:hAnsi="Arial"/>
          <w:sz w:val="16"/>
          <w:szCs w:val="16"/>
          <w:color w:val="auto"/>
        </w:rPr>
        <w:t xml:space="preserve"> the </w:t>
      </w:r>
      <w:r>
        <w:rPr>
          <w:rFonts w:ascii="Arial" w:cs="Arial" w:eastAsia="Arial" w:hAnsi="Arial"/>
          <w:sz w:val="16"/>
          <w:szCs w:val="16"/>
          <w:color w:val="auto"/>
          <w:strike w:val="1"/>
        </w:rPr>
        <w:t>seal, or under</w:t>
      </w:r>
      <w:r>
        <w:rPr>
          <w:rFonts w:ascii="Arial" w:cs="Arial" w:eastAsia="Arial" w:hAnsi="Arial"/>
          <w:sz w:val="16"/>
          <w:szCs w:val="16"/>
          <w:u w:val="single" w:color="auto"/>
          <w:color w:val="auto"/>
        </w:rPr>
        <w:t>Company in</w:t>
      </w:r>
      <w:r>
        <w:rPr>
          <w:rFonts w:ascii="Arial" w:cs="Arial" w:eastAsia="Arial" w:hAnsi="Arial"/>
          <w:sz w:val="16"/>
          <w:szCs w:val="16"/>
          <w:color w:val="auto"/>
        </w:rPr>
        <w:t xml:space="preserve"> such </w:t>
      </w:r>
      <w:r>
        <w:rPr>
          <w:rFonts w:ascii="Arial" w:cs="Arial" w:eastAsia="Arial" w:hAnsi="Arial"/>
          <w:sz w:val="16"/>
          <w:szCs w:val="16"/>
          <w:color w:val="auto"/>
          <w:strike w:val="1"/>
        </w:rPr>
        <w:t>other form of authentication</w:t>
      </w:r>
      <w:r>
        <w:rPr>
          <w:rFonts w:ascii="Arial" w:cs="Arial" w:eastAsia="Arial" w:hAnsi="Arial"/>
          <w:sz w:val="16"/>
          <w:szCs w:val="16"/>
          <w:u w:val="single" w:color="auto"/>
          <w:color w:val="auto"/>
        </w:rPr>
        <w:t>manner</w:t>
      </w:r>
      <w:r>
        <w:rPr>
          <w:rFonts w:ascii="Arial" w:cs="Arial" w:eastAsia="Arial" w:hAnsi="Arial"/>
          <w:sz w:val="16"/>
          <w:szCs w:val="16"/>
          <w:color w:val="auto"/>
        </w:rPr>
        <w:t xml:space="preserve"> as the Board </w:t>
      </w:r>
      <w:r>
        <w:rPr>
          <w:rFonts w:ascii="Arial" w:cs="Arial" w:eastAsia="Arial" w:hAnsi="Arial"/>
          <w:sz w:val="16"/>
          <w:szCs w:val="16"/>
          <w:u w:val="single" w:color="auto"/>
          <w:color w:val="auto"/>
        </w:rPr>
        <w:t>(having regard to the Companies Act)</w:t>
      </w:r>
      <w:r>
        <w:rPr>
          <w:rFonts w:ascii="Arial" w:cs="Arial" w:eastAsia="Arial" w:hAnsi="Arial"/>
          <w:sz w:val="16"/>
          <w:szCs w:val="16"/>
          <w:color w:val="auto"/>
        </w:rPr>
        <w:t xml:space="preserve"> may approve </w:t>
      </w:r>
      <w:r>
        <w:rPr>
          <w:rFonts w:ascii="Arial" w:cs="Arial" w:eastAsia="Arial" w:hAnsi="Arial"/>
          <w:sz w:val="16"/>
          <w:szCs w:val="16"/>
          <w:color w:val="auto"/>
          <w:strike w:val="1"/>
        </w:rPr>
        <w:t>(which may include manual or facsimile signatures by one or more</w:t>
      </w:r>
      <w:r>
        <w:rPr>
          <w:rFonts w:ascii="Arial" w:cs="Arial" w:eastAsia="Arial" w:hAnsi="Arial"/>
          <w:sz w:val="16"/>
          <w:szCs w:val="16"/>
          <w:color w:val="auto"/>
        </w:rPr>
        <w:t xml:space="preserve"> </w:t>
      </w:r>
      <w:r>
        <w:rPr>
          <w:rFonts w:ascii="Arial" w:cs="Arial" w:eastAsia="Arial" w:hAnsi="Arial"/>
          <w:sz w:val="16"/>
          <w:szCs w:val="16"/>
          <w:color w:val="auto"/>
          <w:strike w:val="1"/>
        </w:rPr>
        <w:t>Directors);</w:t>
      </w:r>
      <w:r>
        <w:rPr>
          <w:rFonts w:ascii="Arial" w:cs="Arial" w:eastAsia="Arial" w:hAnsi="Arial"/>
          <w:sz w:val="16"/>
          <w:szCs w:val="16"/>
          <w:u w:val="single" w:color="auto"/>
          <w:color w:val="auto"/>
        </w:rPr>
        <w:t>;</w:t>
      </w:r>
      <w:r>
        <w:rPr>
          <w:rFonts w:ascii="Arial" w:cs="Arial" w:eastAsia="Arial" w:hAnsi="Arial"/>
          <w:sz w:val="16"/>
          <w:szCs w:val="16"/>
          <w:color w:val="auto"/>
        </w:rPr>
        <w:t xml:space="preserve"> and</w:t>
      </w:r>
    </w:p>
    <w:p>
      <w:pPr>
        <w:spacing w:after="0" w:line="66" w:lineRule="exact"/>
        <w:rPr>
          <w:rFonts w:ascii="Arial" w:cs="Arial" w:eastAsia="Arial" w:hAnsi="Arial"/>
          <w:sz w:val="16"/>
          <w:szCs w:val="16"/>
          <w:color w:val="auto"/>
        </w:rPr>
      </w:pPr>
    </w:p>
    <w:p>
      <w:pPr>
        <w:ind w:left="1620" w:right="319" w:hanging="424"/>
        <w:spacing w:after="0" w:line="260" w:lineRule="auto"/>
        <w:tabs>
          <w:tab w:leader="none" w:pos="1620" w:val="left"/>
        </w:tabs>
        <w:numPr>
          <w:ilvl w:val="0"/>
          <w:numId w:val="107"/>
        </w:numPr>
        <w:rPr>
          <w:rFonts w:ascii="Arial" w:cs="Arial" w:eastAsia="Arial" w:hAnsi="Arial"/>
          <w:sz w:val="16"/>
          <w:szCs w:val="16"/>
          <w:color w:val="auto"/>
        </w:rPr>
      </w:pPr>
      <w:r>
        <w:rPr>
          <w:rFonts w:ascii="Arial" w:cs="Arial" w:eastAsia="Arial" w:hAnsi="Arial"/>
          <w:sz w:val="16"/>
          <w:szCs w:val="16"/>
          <w:color w:val="auto"/>
        </w:rPr>
        <w:t>shall specify the number, class and distinguishing numbers (if any) of the shares to which it relates and the amount or respective amounts paid up on the shares.</w:t>
      </w:r>
    </w:p>
    <w:p>
      <w:pPr>
        <w:spacing w:after="0" w:line="74" w:lineRule="exact"/>
        <w:rPr>
          <w:sz w:val="20"/>
          <w:szCs w:val="20"/>
          <w:color w:val="auto"/>
        </w:rPr>
      </w:pPr>
    </w:p>
    <w:p>
      <w:pPr>
        <w:jc w:val="center"/>
        <w:ind w:right="-180"/>
        <w:spacing w:after="0"/>
        <w:tabs>
          <w:tab w:leader="none" w:pos="200" w:val="left"/>
        </w:tabs>
        <w:rPr>
          <w:sz w:val="20"/>
          <w:szCs w:val="20"/>
          <w:color w:val="auto"/>
        </w:rPr>
      </w:pPr>
      <w:r>
        <w:rPr>
          <w:rFonts w:ascii="Arial" w:cs="Arial" w:eastAsia="Arial" w:hAnsi="Arial"/>
          <w:sz w:val="16"/>
          <w:szCs w:val="16"/>
          <w:color w:val="auto"/>
        </w:rPr>
        <w:t>7.3</w:t>
      </w:r>
      <w:r>
        <w:rPr>
          <w:sz w:val="20"/>
          <w:szCs w:val="20"/>
          <w:color w:val="auto"/>
        </w:rPr>
        <w:tab/>
      </w:r>
      <w:r>
        <w:rPr>
          <w:rFonts w:ascii="Arial" w:cs="Arial" w:eastAsia="Arial" w:hAnsi="Arial"/>
          <w:sz w:val="15"/>
          <w:szCs w:val="15"/>
          <w:color w:val="auto"/>
        </w:rPr>
        <w:t>The Company shall not be bound to issue more than one certificate for shares held jointly by more than one person and</w:t>
      </w:r>
    </w:p>
    <w:p>
      <w:pPr>
        <w:spacing w:after="0" w:line="5" w:lineRule="exact"/>
        <w:rPr>
          <w:sz w:val="20"/>
          <w:szCs w:val="20"/>
          <w:color w:val="auto"/>
        </w:rPr>
      </w:pPr>
    </w:p>
    <w:p>
      <w:pPr>
        <w:ind w:left="1200" w:right="359"/>
        <w:spacing w:after="0" w:line="293" w:lineRule="auto"/>
        <w:rPr>
          <w:sz w:val="20"/>
          <w:szCs w:val="20"/>
          <w:color w:val="auto"/>
        </w:rPr>
      </w:pPr>
      <w:r>
        <w:rPr>
          <w:rFonts w:ascii="Arial" w:cs="Arial" w:eastAsia="Arial" w:hAnsi="Arial"/>
          <w:sz w:val="15"/>
          <w:szCs w:val="15"/>
          <w:color w:val="auto"/>
        </w:rPr>
        <w:t xml:space="preserve">delivery of a certificate to </w:t>
      </w:r>
      <w:r>
        <w:rPr>
          <w:rFonts w:ascii="Arial" w:cs="Arial" w:eastAsia="Arial" w:hAnsi="Arial"/>
          <w:sz w:val="15"/>
          <w:szCs w:val="15"/>
          <w:color w:val="auto"/>
          <w:strike w:val="1"/>
        </w:rPr>
        <w:t>one</w:t>
      </w:r>
      <w:r>
        <w:rPr>
          <w:rFonts w:ascii="Arial" w:cs="Arial" w:eastAsia="Arial" w:hAnsi="Arial"/>
          <w:sz w:val="15"/>
          <w:szCs w:val="15"/>
          <w:u w:val="single" w:color="auto"/>
          <w:color w:val="auto"/>
        </w:rPr>
        <w:t>the senior</w:t>
      </w:r>
      <w:r>
        <w:rPr>
          <w:rFonts w:ascii="Arial" w:cs="Arial" w:eastAsia="Arial" w:hAnsi="Arial"/>
          <w:sz w:val="15"/>
          <w:szCs w:val="15"/>
          <w:color w:val="auto"/>
        </w:rPr>
        <w:t xml:space="preserve"> joint holder shall be sufficient delivery to all of them, and seniority shall be determined in the manner described in Article 21.3. Shares of different classes may not be included in the same certificate.</w:t>
      </w:r>
    </w:p>
    <w:p>
      <w:pPr>
        <w:spacing w:after="0" w:line="51" w:lineRule="exact"/>
        <w:rPr>
          <w:sz w:val="20"/>
          <w:szCs w:val="20"/>
          <w:color w:val="auto"/>
        </w:rPr>
      </w:pPr>
    </w:p>
    <w:p>
      <w:pPr>
        <w:ind w:left="1200" w:right="379" w:hanging="431"/>
        <w:spacing w:after="0" w:line="250" w:lineRule="auto"/>
        <w:tabs>
          <w:tab w:leader="none" w:pos="1180" w:val="left"/>
        </w:tabs>
        <w:rPr>
          <w:sz w:val="20"/>
          <w:szCs w:val="20"/>
          <w:color w:val="auto"/>
        </w:rPr>
      </w:pPr>
      <w:r>
        <w:rPr>
          <w:rFonts w:ascii="Arial" w:cs="Arial" w:eastAsia="Arial" w:hAnsi="Arial"/>
          <w:sz w:val="16"/>
          <w:szCs w:val="16"/>
          <w:color w:val="auto"/>
        </w:rPr>
        <w:t>7.4</w:t>
        <w:tab/>
        <w:t xml:space="preserve">If a share certificate is damaged, defaced or worn out or said to be lost, stolen or destroyed, it may be renewed on such terms (if any) as to evidence and indemnity and payment of any exceptional out-of-pocket expenses incurred by the Company in investigating evidence and preparing the requisite form of indemnity as the </w:t>
      </w:r>
      <w:r>
        <w:rPr>
          <w:rFonts w:ascii="Arial" w:cs="Arial" w:eastAsia="Arial" w:hAnsi="Arial"/>
          <w:sz w:val="16"/>
          <w:szCs w:val="16"/>
          <w:color w:val="auto"/>
          <w:strike w:val="1"/>
        </w:rPr>
        <w:t>Directors</w:t>
      </w:r>
      <w:r>
        <w:rPr>
          <w:rFonts w:ascii="Arial" w:cs="Arial" w:eastAsia="Arial" w:hAnsi="Arial"/>
          <w:sz w:val="16"/>
          <w:szCs w:val="16"/>
          <w:u w:val="single" w:color="auto"/>
          <w:color w:val="auto"/>
        </w:rPr>
        <w:t>Board</w:t>
      </w:r>
      <w:r>
        <w:rPr>
          <w:rFonts w:ascii="Arial" w:cs="Arial" w:eastAsia="Arial" w:hAnsi="Arial"/>
          <w:sz w:val="16"/>
          <w:szCs w:val="16"/>
          <w:color w:val="auto"/>
        </w:rPr>
        <w:t xml:space="preserve"> may determine but otherwise free of charge, and (in the case of damage, defacement or wearing out) on delivery of the old certificate to the Company.</w:t>
      </w:r>
    </w:p>
    <w:p>
      <w:pPr>
        <w:spacing w:after="0" w:line="100" w:lineRule="exact"/>
        <w:rPr>
          <w:sz w:val="20"/>
          <w:szCs w:val="20"/>
          <w:color w:val="auto"/>
        </w:rPr>
      </w:pPr>
    </w:p>
    <w:p>
      <w:pPr>
        <w:ind w:left="480"/>
        <w:spacing w:after="0"/>
        <w:tabs>
          <w:tab w:leader="none" w:pos="4400" w:val="left"/>
          <w:tab w:leader="none" w:pos="8760" w:val="left"/>
        </w:tabs>
        <w:rPr>
          <w:sz w:val="20"/>
          <w:szCs w:val="20"/>
          <w:color w:val="auto"/>
        </w:rPr>
      </w:pPr>
      <w:r>
        <w:rPr>
          <w:rFonts w:ascii="Arial" w:cs="Arial" w:eastAsia="Arial" w:hAnsi="Arial"/>
          <w:sz w:val="28"/>
          <w:szCs w:val="28"/>
          <w:b w:val="1"/>
          <w:bCs w:val="1"/>
          <w:color w:val="000000"/>
          <w:vertAlign w:val="subscript"/>
        </w:rPr>
        <w:t>A-6</w:t>
      </w:r>
      <w:r>
        <w:rPr>
          <w:sz w:val="20"/>
          <w:szCs w:val="20"/>
          <w:color w:val="auto"/>
        </w:rPr>
        <w:tab/>
      </w:r>
      <w:r>
        <w:rPr>
          <w:rFonts w:ascii="Arial" w:cs="Arial" w:eastAsia="Arial" w:hAnsi="Arial"/>
          <w:sz w:val="13"/>
          <w:szCs w:val="13"/>
          <w:b w:val="1"/>
          <w:bCs w:val="1"/>
          <w:color w:val="4800E6"/>
        </w:rPr>
        <w:t xml:space="preserve">LIVANOVA </w:t>
      </w:r>
      <w:r>
        <w:rPr>
          <w:rFonts w:ascii="Arial" w:cs="Arial" w:eastAsia="Arial" w:hAnsi="Arial"/>
          <w:sz w:val="13"/>
          <w:szCs w:val="13"/>
          <w:color w:val="000000"/>
        </w:rPr>
        <w:t>|</w:t>
      </w:r>
      <w:r>
        <w:rPr>
          <w:rFonts w:ascii="Arial" w:cs="Arial" w:eastAsia="Arial" w:hAnsi="Arial"/>
          <w:sz w:val="13"/>
          <w:szCs w:val="13"/>
          <w:b w:val="1"/>
          <w:bCs w:val="1"/>
          <w:color w:val="4800E6"/>
        </w:rPr>
        <w:t xml:space="preserve"> </w:t>
      </w:r>
      <w:r>
        <w:rPr>
          <w:rFonts w:ascii="Arial" w:cs="Arial" w:eastAsia="Arial" w:hAnsi="Arial"/>
          <w:sz w:val="13"/>
          <w:szCs w:val="13"/>
          <w:color w:val="4800E6"/>
        </w:rPr>
        <w:t>2020</w:t>
      </w:r>
      <w:r>
        <w:rPr>
          <w:rFonts w:ascii="Arial" w:cs="Arial" w:eastAsia="Arial" w:hAnsi="Arial"/>
          <w:sz w:val="13"/>
          <w:szCs w:val="13"/>
          <w:b w:val="1"/>
          <w:bCs w:val="1"/>
          <w:color w:val="4800E6"/>
        </w:rPr>
        <w:t xml:space="preserve"> </w:t>
      </w:r>
      <w:r>
        <w:rPr>
          <w:rFonts w:ascii="Arial" w:cs="Arial" w:eastAsia="Arial" w:hAnsi="Arial"/>
          <w:sz w:val="13"/>
          <w:szCs w:val="13"/>
          <w:color w:val="000000"/>
        </w:rPr>
        <w:t>Proxy Statement</w:t>
      </w:r>
      <w:r>
        <w:rPr>
          <w:sz w:val="20"/>
          <w:szCs w:val="20"/>
          <w:color w:val="auto"/>
        </w:rPr>
        <w:tab/>
      </w:r>
      <w:r>
        <w:rPr>
          <w:rFonts w:ascii="Arial" w:cs="Arial" w:eastAsia="Arial" w:hAnsi="Arial"/>
          <w:sz w:val="12"/>
          <w:szCs w:val="12"/>
          <w:b w:val="1"/>
          <w:bCs w:val="1"/>
          <w:color w:val="4800E6"/>
        </w:rPr>
        <w:t>www.livanova.com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605155</wp:posOffset>
            </wp:positionH>
            <wp:positionV relativeFrom="paragraph">
              <wp:posOffset>-11430</wp:posOffset>
            </wp:positionV>
            <wp:extent cx="1954530" cy="8890"/>
            <wp:wrapNone/>
            <wp:docPr id="381" name="Picture 3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1"/>
                    <pic:cNvPicPr>
                      <a:picLocks noChangeAspect="1" noChangeArrowheads="1"/>
                    </pic:cNvPicPr>
                  </pic:nvPicPr>
                  <pic:blipFill>
                    <a:blip r:embed="rId388">
                      <a:extLst>
                        <a:ext uri="{28A0092B-C50C-407E-A947-70E740481C1C}"/>
                      </a:extLst>
                    </a:blip>
                    <a:srcRect/>
                    <a:stretch>
                      <a:fillRect/>
                    </a:stretch>
                  </pic:blipFill>
                  <pic:spPr bwMode="auto">
                    <a:xfrm>
                      <a:off x="0" y="0"/>
                      <a:ext cx="1954530" cy="8890"/>
                    </a:xfrm>
                    <a:prstGeom prst="rect">
                      <a:avLst/>
                    </a:prstGeom>
                    <a:noFill/>
                  </pic:spPr>
                </pic:pic>
              </a:graphicData>
            </a:graphic>
          </wp:anchor>
        </w:drawing>
        <w:drawing>
          <wp:anchor simplePos="0" relativeHeight="251657728" behindDoc="1" locked="0" layoutInCell="0" allowOverlap="1">
            <wp:simplePos x="0" y="0"/>
            <wp:positionH relativeFrom="column">
              <wp:posOffset>4316730</wp:posOffset>
            </wp:positionH>
            <wp:positionV relativeFrom="paragraph">
              <wp:posOffset>-11430</wp:posOffset>
            </wp:positionV>
            <wp:extent cx="1028700" cy="8890"/>
            <wp:wrapNone/>
            <wp:docPr id="382" name="Picture 3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2"/>
                    <pic:cNvPicPr>
                      <a:picLocks noChangeAspect="1" noChangeArrowheads="1"/>
                    </pic:cNvPicPr>
                  </pic:nvPicPr>
                  <pic:blipFill>
                    <a:blip r:embed="rId389">
                      <a:extLst>
                        <a:ext uri="{28A0092B-C50C-407E-A947-70E740481C1C}"/>
                      </a:extLst>
                    </a:blip>
                    <a:srcRect/>
                    <a:stretch>
                      <a:fillRect/>
                    </a:stretch>
                  </pic:blipFill>
                  <pic:spPr bwMode="auto">
                    <a:xfrm>
                      <a:off x="0" y="0"/>
                      <a:ext cx="102870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125095</wp:posOffset>
            </wp:positionV>
            <wp:extent cx="6806565" cy="17145"/>
            <wp:wrapNone/>
            <wp:docPr id="383" name="Picture 3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3"/>
                    <pic:cNvPicPr>
                      <a:picLocks noChangeAspect="1" noChangeArrowheads="1"/>
                    </pic:cNvPicPr>
                  </pic:nvPicPr>
                  <pic:blipFill>
                    <a:blip r:embed="rId390">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10139"/>
          </w:cols>
          <w:pgMar w:left="320" w:top="131" w:right="1440" w:bottom="1440" w:gutter="0" w:footer="0" w:header="0"/>
        </w:sectPr>
      </w:pPr>
    </w:p>
    <w:bookmarkStart w:id="85" w:name="page86"/>
    <w:bookmarkEnd w:id="85"/>
    <w:p>
      <w:pPr>
        <w:spacing w:after="0"/>
        <w:rPr>
          <w:rFonts w:ascii="Arial" w:cs="Arial" w:eastAsia="Arial" w:hAnsi="Arial"/>
          <w:sz w:val="14"/>
          <w:szCs w:val="14"/>
          <w:color w:val="003366"/>
        </w:rPr>
      </w:pPr>
      <w:hyperlink w:anchor="page77">
        <w:r>
          <w:rPr>
            <w:rFonts w:ascii="Arial" w:cs="Arial" w:eastAsia="Arial" w:hAnsi="Arial"/>
            <w:sz w:val="14"/>
            <w:szCs w:val="14"/>
            <w:color w:val="003366"/>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485140</wp:posOffset>
            </wp:positionH>
            <wp:positionV relativeFrom="paragraph">
              <wp:posOffset>357505</wp:posOffset>
            </wp:positionV>
            <wp:extent cx="5829300" cy="8255"/>
            <wp:wrapNone/>
            <wp:docPr id="384" name="Picture 3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4"/>
                    <pic:cNvPicPr>
                      <a:picLocks noChangeAspect="1" noChangeArrowheads="1"/>
                    </pic:cNvPicPr>
                  </pic:nvPicPr>
                  <pic:blipFill>
                    <a:blip r:embed="rId391">
                      <a:extLst>
                        <a:ext uri="{28A0092B-C50C-407E-A947-70E740481C1C}"/>
                      </a:extLst>
                    </a:blip>
                    <a:srcRect/>
                    <a:stretch>
                      <a:fillRect/>
                    </a:stretch>
                  </pic:blipFill>
                  <pic:spPr bwMode="auto">
                    <a:xfrm>
                      <a:off x="0" y="0"/>
                      <a:ext cx="582930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ind w:left="1200" w:right="840" w:hanging="431"/>
        <w:spacing w:after="0" w:line="248" w:lineRule="auto"/>
        <w:tabs>
          <w:tab w:leader="none" w:pos="1180" w:val="left"/>
        </w:tabs>
        <w:rPr>
          <w:sz w:val="20"/>
          <w:szCs w:val="20"/>
          <w:color w:val="auto"/>
        </w:rPr>
      </w:pPr>
      <w:r>
        <w:rPr>
          <w:rFonts w:ascii="Arial" w:cs="Arial" w:eastAsia="Arial" w:hAnsi="Arial"/>
          <w:sz w:val="16"/>
          <w:szCs w:val="16"/>
          <w:color w:val="auto"/>
        </w:rPr>
        <w:t>7.5</w:t>
        <w:tab/>
        <w:t xml:space="preserve">When a member’s holding of </w:t>
      </w:r>
      <w:r>
        <w:rPr>
          <w:rFonts w:ascii="Arial" w:cs="Arial" w:eastAsia="Arial" w:hAnsi="Arial"/>
          <w:sz w:val="16"/>
          <w:szCs w:val="16"/>
          <w:color w:val="auto"/>
          <w:strike w:val="1"/>
        </w:rPr>
        <w:t>Shares</w:t>
      </w:r>
      <w:r>
        <w:rPr>
          <w:rFonts w:ascii="Arial" w:cs="Arial" w:eastAsia="Arial" w:hAnsi="Arial"/>
          <w:sz w:val="16"/>
          <w:szCs w:val="16"/>
          <w:u w:val="single" w:color="auto"/>
          <w:color w:val="auto"/>
        </w:rPr>
        <w:t>shares</w:t>
      </w:r>
      <w:r>
        <w:rPr>
          <w:rFonts w:ascii="Arial" w:cs="Arial" w:eastAsia="Arial" w:hAnsi="Arial"/>
          <w:sz w:val="16"/>
          <w:szCs w:val="16"/>
          <w:color w:val="auto"/>
        </w:rPr>
        <w:t xml:space="preserve"> of a particular class increases, the Company may issue such holder with a single, consolidated certificate in respect of all the </w:t>
      </w:r>
      <w:r>
        <w:rPr>
          <w:rFonts w:ascii="Arial" w:cs="Arial" w:eastAsia="Arial" w:hAnsi="Arial"/>
          <w:sz w:val="16"/>
          <w:szCs w:val="16"/>
          <w:color w:val="auto"/>
          <w:strike w:val="1"/>
        </w:rPr>
        <w:t>Shares</w:t>
      </w:r>
      <w:r>
        <w:rPr>
          <w:rFonts w:ascii="Arial" w:cs="Arial" w:eastAsia="Arial" w:hAnsi="Arial"/>
          <w:sz w:val="16"/>
          <w:szCs w:val="16"/>
          <w:u w:val="single" w:color="auto"/>
          <w:color w:val="auto"/>
        </w:rPr>
        <w:t>shares</w:t>
      </w:r>
      <w:r>
        <w:rPr>
          <w:rFonts w:ascii="Arial" w:cs="Arial" w:eastAsia="Arial" w:hAnsi="Arial"/>
          <w:sz w:val="16"/>
          <w:szCs w:val="16"/>
          <w:color w:val="auto"/>
        </w:rPr>
        <w:t xml:space="preserve"> of a particular class which that member holds or a separate certificate in respect of only those </w:t>
      </w:r>
      <w:r>
        <w:rPr>
          <w:rFonts w:ascii="Arial" w:cs="Arial" w:eastAsia="Arial" w:hAnsi="Arial"/>
          <w:sz w:val="16"/>
          <w:szCs w:val="16"/>
          <w:color w:val="auto"/>
          <w:strike w:val="1"/>
        </w:rPr>
        <w:t>Shares</w:t>
      </w:r>
      <w:r>
        <w:rPr>
          <w:rFonts w:ascii="Arial" w:cs="Arial" w:eastAsia="Arial" w:hAnsi="Arial"/>
          <w:sz w:val="16"/>
          <w:szCs w:val="16"/>
          <w:u w:val="single" w:color="auto"/>
          <w:color w:val="auto"/>
        </w:rPr>
        <w:t>shares</w:t>
      </w:r>
      <w:r>
        <w:rPr>
          <w:rFonts w:ascii="Arial" w:cs="Arial" w:eastAsia="Arial" w:hAnsi="Arial"/>
          <w:sz w:val="16"/>
          <w:szCs w:val="16"/>
          <w:color w:val="auto"/>
        </w:rPr>
        <w:t xml:space="preserve"> by which that member’s holding has increased. When a member’s holding of </w:t>
      </w:r>
      <w:r>
        <w:rPr>
          <w:rFonts w:ascii="Arial" w:cs="Arial" w:eastAsia="Arial" w:hAnsi="Arial"/>
          <w:sz w:val="16"/>
          <w:szCs w:val="16"/>
          <w:color w:val="auto"/>
          <w:strike w:val="1"/>
        </w:rPr>
        <w:t>Shares</w:t>
      </w:r>
      <w:r>
        <w:rPr>
          <w:rFonts w:ascii="Arial" w:cs="Arial" w:eastAsia="Arial" w:hAnsi="Arial"/>
          <w:sz w:val="16"/>
          <w:szCs w:val="16"/>
          <w:u w:val="single" w:color="auto"/>
          <w:color w:val="auto"/>
        </w:rPr>
        <w:t>shares</w:t>
      </w:r>
      <w:r>
        <w:rPr>
          <w:rFonts w:ascii="Arial" w:cs="Arial" w:eastAsia="Arial" w:hAnsi="Arial"/>
          <w:sz w:val="16"/>
          <w:szCs w:val="16"/>
          <w:color w:val="auto"/>
        </w:rPr>
        <w:t xml:space="preserve"> of a particular class is reduced, the Company must ensure that the member is issued with one or more certificates in respect of the number of </w:t>
      </w:r>
      <w:r>
        <w:rPr>
          <w:rFonts w:ascii="Arial" w:cs="Arial" w:eastAsia="Arial" w:hAnsi="Arial"/>
          <w:sz w:val="16"/>
          <w:szCs w:val="16"/>
          <w:color w:val="auto"/>
          <w:strike w:val="1"/>
        </w:rPr>
        <w:t>Shares</w:t>
      </w:r>
      <w:r>
        <w:rPr>
          <w:rFonts w:ascii="Arial" w:cs="Arial" w:eastAsia="Arial" w:hAnsi="Arial"/>
          <w:sz w:val="16"/>
          <w:szCs w:val="16"/>
          <w:u w:val="single" w:color="auto"/>
          <w:color w:val="auto"/>
        </w:rPr>
        <w:t>shares</w:t>
      </w:r>
      <w:r>
        <w:rPr>
          <w:rFonts w:ascii="Arial" w:cs="Arial" w:eastAsia="Arial" w:hAnsi="Arial"/>
          <w:sz w:val="16"/>
          <w:szCs w:val="16"/>
          <w:color w:val="auto"/>
        </w:rPr>
        <w:t xml:space="preserve"> held by the member after that reduction, save that the Company need not (in the absence of a request from the member) issue any new certificate if all the </w:t>
      </w:r>
      <w:r>
        <w:rPr>
          <w:rFonts w:ascii="Arial" w:cs="Arial" w:eastAsia="Arial" w:hAnsi="Arial"/>
          <w:sz w:val="16"/>
          <w:szCs w:val="16"/>
          <w:color w:val="auto"/>
          <w:strike w:val="1"/>
        </w:rPr>
        <w:t>Shares</w:t>
      </w:r>
      <w:r>
        <w:rPr>
          <w:rFonts w:ascii="Arial" w:cs="Arial" w:eastAsia="Arial" w:hAnsi="Arial"/>
          <w:sz w:val="16"/>
          <w:szCs w:val="16"/>
          <w:u w:val="single" w:color="auto"/>
          <w:color w:val="auto"/>
        </w:rPr>
        <w:t>shares</w:t>
      </w:r>
      <w:r>
        <w:rPr>
          <w:rFonts w:ascii="Arial" w:cs="Arial" w:eastAsia="Arial" w:hAnsi="Arial"/>
          <w:sz w:val="16"/>
          <w:szCs w:val="16"/>
          <w:color w:val="auto"/>
        </w:rPr>
        <w:t xml:space="preserve"> which the member no longer holds as a result of the reduction and none of the </w:t>
      </w:r>
      <w:r>
        <w:rPr>
          <w:rFonts w:ascii="Arial" w:cs="Arial" w:eastAsia="Arial" w:hAnsi="Arial"/>
          <w:sz w:val="16"/>
          <w:szCs w:val="16"/>
          <w:color w:val="auto"/>
          <w:strike w:val="1"/>
        </w:rPr>
        <w:t>Shares</w:t>
      </w:r>
      <w:r>
        <w:rPr>
          <w:rFonts w:ascii="Arial" w:cs="Arial" w:eastAsia="Arial" w:hAnsi="Arial"/>
          <w:sz w:val="16"/>
          <w:szCs w:val="16"/>
          <w:u w:val="single" w:color="auto"/>
          <w:color w:val="auto"/>
        </w:rPr>
        <w:t>shares</w:t>
      </w:r>
      <w:r>
        <w:rPr>
          <w:rFonts w:ascii="Arial" w:cs="Arial" w:eastAsia="Arial" w:hAnsi="Arial"/>
          <w:sz w:val="16"/>
          <w:szCs w:val="16"/>
          <w:color w:val="auto"/>
        </w:rPr>
        <w:t xml:space="preserve"> which the member retains following the reduction, were, immediately before the reduction, represented by the same certificate.</w:t>
      </w:r>
    </w:p>
    <w:p>
      <w:pPr>
        <w:spacing w:after="0" w:line="66" w:lineRule="exact"/>
        <w:rPr>
          <w:sz w:val="20"/>
          <w:szCs w:val="20"/>
          <w:color w:val="auto"/>
        </w:rPr>
      </w:pPr>
    </w:p>
    <w:p>
      <w:pPr>
        <w:ind w:left="1200" w:hanging="436"/>
        <w:spacing w:after="0"/>
        <w:tabs>
          <w:tab w:leader="none" w:pos="1200" w:val="left"/>
        </w:tabs>
        <w:numPr>
          <w:ilvl w:val="0"/>
          <w:numId w:val="108"/>
        </w:numPr>
        <w:rPr>
          <w:rFonts w:ascii="Arial" w:cs="Arial" w:eastAsia="Arial" w:hAnsi="Arial"/>
          <w:sz w:val="16"/>
          <w:szCs w:val="16"/>
          <w:b w:val="1"/>
          <w:bCs w:val="1"/>
          <w:color w:val="auto"/>
        </w:rPr>
      </w:pPr>
      <w:r>
        <w:rPr>
          <w:rFonts w:ascii="Arial" w:cs="Arial" w:eastAsia="Arial" w:hAnsi="Arial"/>
          <w:sz w:val="16"/>
          <w:szCs w:val="16"/>
          <w:b w:val="1"/>
          <w:bCs w:val="1"/>
          <w:color w:val="auto"/>
        </w:rPr>
        <w:t>LIEN</w:t>
      </w:r>
    </w:p>
    <w:p>
      <w:pPr>
        <w:spacing w:after="0" w:line="120" w:lineRule="exact"/>
        <w:rPr>
          <w:sz w:val="20"/>
          <w:szCs w:val="20"/>
          <w:color w:val="auto"/>
        </w:rPr>
      </w:pPr>
    </w:p>
    <w:p>
      <w:pPr>
        <w:ind w:left="1200" w:right="940" w:hanging="431"/>
        <w:spacing w:after="0" w:line="250" w:lineRule="auto"/>
        <w:tabs>
          <w:tab w:leader="none" w:pos="1180" w:val="left"/>
        </w:tabs>
        <w:rPr>
          <w:sz w:val="20"/>
          <w:szCs w:val="20"/>
          <w:color w:val="auto"/>
        </w:rPr>
      </w:pPr>
      <w:r>
        <w:rPr>
          <w:rFonts w:ascii="Arial" w:cs="Arial" w:eastAsia="Arial" w:hAnsi="Arial"/>
          <w:sz w:val="16"/>
          <w:szCs w:val="16"/>
          <w:color w:val="auto"/>
        </w:rPr>
        <w:t>8.1</w:t>
        <w:tab/>
        <w:t>The Company shall have a first and paramount lien on every share (not being a fully paid share) for all amounts payable to the Company (whether presently or not) in respect of that share. The Board may at any time (generally or in a particular case) waive any lien or declare any share to be wholly or in part exempt from the provisions of Articles 8.1 to 8.4 inclusive. The Company’s lien on a share takes priority over any third party’s interest in that share and shall extend to all amounts (including without limitation dividends) payable in respect of it.</w:t>
      </w:r>
    </w:p>
    <w:p>
      <w:pPr>
        <w:spacing w:after="0" w:line="81" w:lineRule="exact"/>
        <w:rPr>
          <w:sz w:val="20"/>
          <w:szCs w:val="20"/>
          <w:color w:val="auto"/>
        </w:rPr>
      </w:pPr>
    </w:p>
    <w:p>
      <w:pPr>
        <w:jc w:val="both"/>
        <w:ind w:left="1200" w:right="860" w:hanging="431"/>
        <w:spacing w:after="0" w:line="273" w:lineRule="auto"/>
        <w:tabs>
          <w:tab w:leader="none" w:pos="1180" w:val="left"/>
        </w:tabs>
        <w:rPr>
          <w:sz w:val="20"/>
          <w:szCs w:val="20"/>
          <w:color w:val="auto"/>
        </w:rPr>
      </w:pPr>
      <w:r>
        <w:rPr>
          <w:rFonts w:ascii="Arial" w:cs="Arial" w:eastAsia="Arial" w:hAnsi="Arial"/>
          <w:sz w:val="16"/>
          <w:szCs w:val="16"/>
          <w:color w:val="auto"/>
        </w:rPr>
        <w:t>8.2</w:t>
      </w:r>
      <w:r>
        <w:rPr>
          <w:sz w:val="20"/>
          <w:szCs w:val="20"/>
          <w:color w:val="auto"/>
        </w:rPr>
        <w:tab/>
      </w:r>
      <w:r>
        <w:rPr>
          <w:rFonts w:ascii="Arial" w:cs="Arial" w:eastAsia="Arial" w:hAnsi="Arial"/>
          <w:sz w:val="15"/>
          <w:szCs w:val="15"/>
          <w:color w:val="auto"/>
        </w:rPr>
        <w:t>The Company may sell, in such manner as the Board determines, any share on which the Company has a lien if an amount in respect of which the lien exists is presently payable and is not paid within 14 clear days after written notice has been sent to the holder of the share, or to the person entitled to it in consequence of the death or bankruptcy of the holder or otherwise by operation of law, demanding payment and stating that if the notice is not complied with the shares may be sold.</w:t>
      </w:r>
    </w:p>
    <w:p>
      <w:pPr>
        <w:spacing w:after="0" w:line="66" w:lineRule="exact"/>
        <w:rPr>
          <w:sz w:val="20"/>
          <w:szCs w:val="20"/>
          <w:color w:val="auto"/>
        </w:rPr>
      </w:pPr>
    </w:p>
    <w:p>
      <w:pPr>
        <w:ind w:left="1200" w:right="880" w:hanging="431"/>
        <w:spacing w:after="0" w:line="249" w:lineRule="auto"/>
        <w:tabs>
          <w:tab w:leader="none" w:pos="1180" w:val="left"/>
        </w:tabs>
        <w:rPr>
          <w:sz w:val="20"/>
          <w:szCs w:val="20"/>
          <w:color w:val="auto"/>
        </w:rPr>
      </w:pPr>
      <w:r>
        <w:rPr>
          <w:rFonts w:ascii="Arial" w:cs="Arial" w:eastAsia="Arial" w:hAnsi="Arial"/>
          <w:sz w:val="16"/>
          <w:szCs w:val="16"/>
          <w:color w:val="auto"/>
        </w:rPr>
        <w:t>8.3</w:t>
        <w:tab/>
        <w:t>To give effect to the sale the Board may, in the case of a share in certificated form, authorise any person to execute an instrument of transfer of the share sold to, or in accordance with the directions of, the purchaser. In the case of a share in uncertificated form, the Board may, to enable the Company to deal with the share in accordance with the provisions of this Article 8.3, exercise any of the powers of the Company under Article 4.9 to effect the sale of the share. The title of the transferee to the share shall not be affected by any irregularity in or invalidity of the proceedings in reference to the sale and the transferee shall not be bound to see to the application of the purchase money.</w:t>
      </w:r>
    </w:p>
    <w:p>
      <w:pPr>
        <w:spacing w:after="0" w:line="70" w:lineRule="exact"/>
        <w:rPr>
          <w:sz w:val="20"/>
          <w:szCs w:val="20"/>
          <w:color w:val="auto"/>
        </w:rPr>
      </w:pPr>
    </w:p>
    <w:p>
      <w:pPr>
        <w:jc w:val="center"/>
        <w:ind w:right="40"/>
        <w:spacing w:after="0"/>
        <w:tabs>
          <w:tab w:leader="none" w:pos="200" w:val="left"/>
        </w:tabs>
        <w:rPr>
          <w:sz w:val="20"/>
          <w:szCs w:val="20"/>
          <w:color w:val="auto"/>
        </w:rPr>
      </w:pPr>
      <w:r>
        <w:rPr>
          <w:rFonts w:ascii="Arial" w:cs="Arial" w:eastAsia="Arial" w:hAnsi="Arial"/>
          <w:sz w:val="16"/>
          <w:szCs w:val="16"/>
          <w:color w:val="auto"/>
        </w:rPr>
        <w:t>8.4</w:t>
      </w:r>
      <w:r>
        <w:rPr>
          <w:sz w:val="20"/>
          <w:szCs w:val="20"/>
          <w:color w:val="auto"/>
        </w:rPr>
        <w:tab/>
      </w:r>
      <w:r>
        <w:rPr>
          <w:rFonts w:ascii="Arial" w:cs="Arial" w:eastAsia="Arial" w:hAnsi="Arial"/>
          <w:sz w:val="15"/>
          <w:szCs w:val="15"/>
          <w:color w:val="auto"/>
        </w:rPr>
        <w:t>The net proceeds of the sale, after payment of the costs, shall be applied in or towards payment or satisfaction of so much of</w:t>
      </w:r>
    </w:p>
    <w:p>
      <w:pPr>
        <w:spacing w:after="0" w:line="5" w:lineRule="exact"/>
        <w:rPr>
          <w:sz w:val="20"/>
          <w:szCs w:val="20"/>
          <w:color w:val="auto"/>
        </w:rPr>
      </w:pPr>
    </w:p>
    <w:p>
      <w:pPr>
        <w:ind w:left="1200" w:right="900"/>
        <w:spacing w:after="0" w:line="251" w:lineRule="auto"/>
        <w:rPr>
          <w:sz w:val="20"/>
          <w:szCs w:val="20"/>
          <w:color w:val="auto"/>
        </w:rPr>
      </w:pPr>
      <w:r>
        <w:rPr>
          <w:rFonts w:ascii="Arial" w:cs="Arial" w:eastAsia="Arial" w:hAnsi="Arial"/>
          <w:sz w:val="16"/>
          <w:szCs w:val="16"/>
          <w:color w:val="auto"/>
        </w:rPr>
        <w:t>the amount for which the lien exists as is presently payable, and any residue shall (upon surrender to the Company for cancellation of the certificate for the share sold, in the case of a share in certificated form, and, whether the share sold is in certificated form or uncertificated form, subject to a like lien for any amount not presently payable as existed upon the share before the sale) be paid to the person entitled to the share at the date of the sale.</w:t>
      </w:r>
    </w:p>
    <w:p>
      <w:pPr>
        <w:spacing w:after="0" w:line="61" w:lineRule="exact"/>
        <w:rPr>
          <w:sz w:val="20"/>
          <w:szCs w:val="20"/>
          <w:color w:val="auto"/>
        </w:rPr>
      </w:pPr>
    </w:p>
    <w:p>
      <w:pPr>
        <w:ind w:left="1200" w:hanging="436"/>
        <w:spacing w:after="0"/>
        <w:tabs>
          <w:tab w:leader="none" w:pos="1200" w:val="left"/>
        </w:tabs>
        <w:numPr>
          <w:ilvl w:val="0"/>
          <w:numId w:val="109"/>
        </w:numPr>
        <w:rPr>
          <w:rFonts w:ascii="Arial" w:cs="Arial" w:eastAsia="Arial" w:hAnsi="Arial"/>
          <w:sz w:val="16"/>
          <w:szCs w:val="16"/>
          <w:b w:val="1"/>
          <w:bCs w:val="1"/>
          <w:color w:val="auto"/>
        </w:rPr>
      </w:pPr>
      <w:r>
        <w:rPr>
          <w:rFonts w:ascii="Arial" w:cs="Arial" w:eastAsia="Arial" w:hAnsi="Arial"/>
          <w:sz w:val="16"/>
          <w:szCs w:val="16"/>
          <w:b w:val="1"/>
          <w:bCs w:val="1"/>
          <w:color w:val="auto"/>
        </w:rPr>
        <w:t>CALLS ON SHARES</w:t>
      </w:r>
    </w:p>
    <w:p>
      <w:pPr>
        <w:spacing w:after="0" w:line="120" w:lineRule="exact"/>
        <w:rPr>
          <w:sz w:val="20"/>
          <w:szCs w:val="20"/>
          <w:color w:val="auto"/>
        </w:rPr>
      </w:pPr>
    </w:p>
    <w:p>
      <w:pPr>
        <w:ind w:left="1200" w:right="800" w:hanging="431"/>
        <w:spacing w:after="0" w:line="248" w:lineRule="auto"/>
        <w:tabs>
          <w:tab w:leader="none" w:pos="1180" w:val="left"/>
        </w:tabs>
        <w:rPr>
          <w:sz w:val="20"/>
          <w:szCs w:val="20"/>
          <w:color w:val="auto"/>
        </w:rPr>
      </w:pPr>
      <w:r>
        <w:rPr>
          <w:rFonts w:ascii="Arial" w:cs="Arial" w:eastAsia="Arial" w:hAnsi="Arial"/>
          <w:sz w:val="16"/>
          <w:szCs w:val="16"/>
          <w:color w:val="auto"/>
        </w:rPr>
        <w:t>9.1</w:t>
        <w:tab/>
        <w:t xml:space="preserve">Subject to the terms of allotment, the Board may from time to time make calls upon the members in respect of any amounts unpaid on their shares (whether in respect of nominal value or premium) and each member shall (subject to receiving at least 14 clear days’ notice specifying when and where payment is to be made) pay to the Company as required by the notice the amount called on </w:t>
      </w:r>
      <w:r>
        <w:rPr>
          <w:rFonts w:ascii="Arial" w:cs="Arial" w:eastAsia="Arial" w:hAnsi="Arial"/>
          <w:sz w:val="16"/>
          <w:szCs w:val="16"/>
          <w:color w:val="auto"/>
          <w:strike w:val="1"/>
        </w:rPr>
        <w:t>his</w:t>
      </w:r>
      <w:r>
        <w:rPr>
          <w:rFonts w:ascii="Arial" w:cs="Arial" w:eastAsia="Arial" w:hAnsi="Arial"/>
          <w:sz w:val="16"/>
          <w:szCs w:val="16"/>
          <w:u w:val="single" w:color="auto"/>
          <w:color w:val="auto"/>
        </w:rPr>
        <w:t>their</w:t>
      </w:r>
      <w:r>
        <w:rPr>
          <w:rFonts w:ascii="Arial" w:cs="Arial" w:eastAsia="Arial" w:hAnsi="Arial"/>
          <w:sz w:val="16"/>
          <w:szCs w:val="16"/>
          <w:color w:val="auto"/>
        </w:rPr>
        <w:t xml:space="preserve"> shares. A call may be required or permitted to be paid by instalments. A call may, by further notice in writing, before receipt by the Company of an amount due under it, be revoked in whole or in part and payment of a call may be postponed in whole or part. A person upon whom a call is made shall remain liable for calls made upon </w:t>
      </w:r>
      <w:r>
        <w:rPr>
          <w:rFonts w:ascii="Arial" w:cs="Arial" w:eastAsia="Arial" w:hAnsi="Arial"/>
          <w:sz w:val="16"/>
          <w:szCs w:val="16"/>
          <w:color w:val="auto"/>
          <w:strike w:val="1"/>
        </w:rPr>
        <w:t>him</w:t>
      </w:r>
      <w:r>
        <w:rPr>
          <w:rFonts w:ascii="Arial" w:cs="Arial" w:eastAsia="Arial" w:hAnsi="Arial"/>
          <w:sz w:val="16"/>
          <w:szCs w:val="16"/>
          <w:u w:val="single" w:color="auto"/>
          <w:color w:val="auto"/>
        </w:rPr>
        <w:t>them</w:t>
      </w:r>
      <w:r>
        <w:rPr>
          <w:rFonts w:ascii="Arial" w:cs="Arial" w:eastAsia="Arial" w:hAnsi="Arial"/>
          <w:sz w:val="16"/>
          <w:szCs w:val="16"/>
          <w:color w:val="auto"/>
        </w:rPr>
        <w:t xml:space="preserve"> notwithstanding the subsequent transfer of the shares in respect of which the call was made.</w:t>
      </w:r>
    </w:p>
    <w:p>
      <w:pPr>
        <w:spacing w:after="0" w:line="87" w:lineRule="exact"/>
        <w:rPr>
          <w:sz w:val="20"/>
          <w:szCs w:val="20"/>
          <w:color w:val="auto"/>
        </w:rPr>
      </w:pPr>
    </w:p>
    <w:p>
      <w:pPr>
        <w:ind w:left="760"/>
        <w:spacing w:after="0"/>
        <w:tabs>
          <w:tab w:leader="none" w:pos="1180" w:val="left"/>
        </w:tabs>
        <w:rPr>
          <w:sz w:val="20"/>
          <w:szCs w:val="20"/>
          <w:color w:val="auto"/>
        </w:rPr>
      </w:pPr>
      <w:r>
        <w:rPr>
          <w:rFonts w:ascii="Arial" w:cs="Arial" w:eastAsia="Arial" w:hAnsi="Arial"/>
          <w:sz w:val="16"/>
          <w:szCs w:val="16"/>
          <w:color w:val="auto"/>
        </w:rPr>
        <w:t>9.2</w:t>
      </w:r>
      <w:r>
        <w:rPr>
          <w:sz w:val="20"/>
          <w:szCs w:val="20"/>
          <w:color w:val="auto"/>
        </w:rPr>
        <w:tab/>
      </w:r>
      <w:r>
        <w:rPr>
          <w:rFonts w:ascii="Arial" w:cs="Arial" w:eastAsia="Arial" w:hAnsi="Arial"/>
          <w:sz w:val="15"/>
          <w:szCs w:val="15"/>
          <w:color w:val="auto"/>
        </w:rPr>
        <w:t>A call shall be deemed to have been made at the time when the resolution of the Board authorising the call was passed.</w:t>
      </w:r>
    </w:p>
    <w:p>
      <w:pPr>
        <w:spacing w:after="0" w:line="86" w:lineRule="exact"/>
        <w:rPr>
          <w:sz w:val="20"/>
          <w:szCs w:val="20"/>
          <w:color w:val="auto"/>
        </w:rPr>
      </w:pPr>
    </w:p>
    <w:p>
      <w:pPr>
        <w:ind w:left="760"/>
        <w:spacing w:after="0"/>
        <w:tabs>
          <w:tab w:leader="none" w:pos="1180" w:val="left"/>
        </w:tabs>
        <w:rPr>
          <w:sz w:val="20"/>
          <w:szCs w:val="20"/>
          <w:color w:val="auto"/>
        </w:rPr>
      </w:pPr>
      <w:r>
        <w:rPr>
          <w:rFonts w:ascii="Arial" w:cs="Arial" w:eastAsia="Arial" w:hAnsi="Arial"/>
          <w:sz w:val="16"/>
          <w:szCs w:val="16"/>
          <w:color w:val="auto"/>
        </w:rPr>
        <w:t>9.3</w:t>
      </w:r>
      <w:r>
        <w:rPr>
          <w:sz w:val="20"/>
          <w:szCs w:val="20"/>
          <w:color w:val="auto"/>
        </w:rPr>
        <w:tab/>
      </w:r>
      <w:r>
        <w:rPr>
          <w:rFonts w:ascii="Arial" w:cs="Arial" w:eastAsia="Arial" w:hAnsi="Arial"/>
          <w:sz w:val="15"/>
          <w:szCs w:val="15"/>
          <w:color w:val="auto"/>
        </w:rPr>
        <w:t>The joint holders of a share shall be jointly and severally liable to pay all calls in respect of it.</w:t>
      </w:r>
    </w:p>
    <w:p>
      <w:pPr>
        <w:spacing w:after="0" w:line="100" w:lineRule="exact"/>
        <w:rPr>
          <w:sz w:val="20"/>
          <w:szCs w:val="20"/>
          <w:color w:val="auto"/>
        </w:rPr>
      </w:pPr>
    </w:p>
    <w:p>
      <w:pPr>
        <w:ind w:left="1200" w:right="860" w:hanging="431"/>
        <w:spacing w:after="0" w:line="249" w:lineRule="auto"/>
        <w:tabs>
          <w:tab w:leader="none" w:pos="1180" w:val="left"/>
        </w:tabs>
        <w:rPr>
          <w:sz w:val="20"/>
          <w:szCs w:val="20"/>
          <w:color w:val="auto"/>
        </w:rPr>
      </w:pPr>
      <w:r>
        <w:rPr>
          <w:rFonts w:ascii="Arial" w:cs="Arial" w:eastAsia="Arial" w:hAnsi="Arial"/>
          <w:sz w:val="16"/>
          <w:szCs w:val="16"/>
          <w:color w:val="auto"/>
        </w:rPr>
        <w:t>9.4</w:t>
        <w:tab/>
        <w:t>A call notice need not be issued in respect of sums which are specified, in the terms on which a share is issued, as being payable to the Company in respect of that share (whether in respect of nominal value or premium) on allotment or on a date fixed by or in accordance with the terms of issue; provided that if the due date for payment of such sum has passed and it has not been paid, the holder of the share concerned at the due date for payment will be treated in all respects as having failed to comply with a call notice in respect of that sum and is liable to the same consequences as a person having failed to comply with a call notice as regards the payment of interest and forfeiture.</w:t>
      </w:r>
    </w:p>
    <w:p>
      <w:pPr>
        <w:spacing w:after="0" w:line="83" w:lineRule="exact"/>
        <w:rPr>
          <w:sz w:val="20"/>
          <w:szCs w:val="20"/>
          <w:color w:val="auto"/>
        </w:rPr>
      </w:pPr>
    </w:p>
    <w:p>
      <w:pPr>
        <w:ind w:left="1200" w:right="980" w:hanging="431"/>
        <w:spacing w:after="0" w:line="250" w:lineRule="auto"/>
        <w:tabs>
          <w:tab w:leader="none" w:pos="1180" w:val="left"/>
        </w:tabs>
        <w:rPr>
          <w:sz w:val="20"/>
          <w:szCs w:val="20"/>
          <w:color w:val="auto"/>
        </w:rPr>
      </w:pPr>
      <w:r>
        <w:rPr>
          <w:rFonts w:ascii="Arial" w:cs="Arial" w:eastAsia="Arial" w:hAnsi="Arial"/>
          <w:sz w:val="16"/>
          <w:szCs w:val="16"/>
          <w:color w:val="auto"/>
        </w:rPr>
        <w:t>9.5</w:t>
        <w:tab/>
        <w:t xml:space="preserve">If a call or an instalment of a call remains unpaid in whole or in part after it has become due and payable the person from whom it is due shall pay interest on the amount unpaid from the day it became due and payable until it is paid at the rate fixed by the terms of allotment of the shares in question or in the notice of the call or, if no rate is fixed, the rate determined by the Board, not exceeding </w:t>
      </w:r>
      <w:r>
        <w:rPr>
          <w:rFonts w:ascii="Arial" w:cs="Arial" w:eastAsia="Arial" w:hAnsi="Arial"/>
          <w:sz w:val="16"/>
          <w:szCs w:val="16"/>
          <w:color w:val="auto"/>
          <w:strike w:val="1"/>
        </w:rPr>
        <w:t>20</w:t>
      </w:r>
      <w:r>
        <w:rPr>
          <w:rFonts w:ascii="Arial" w:cs="Arial" w:eastAsia="Arial" w:hAnsi="Arial"/>
          <w:sz w:val="16"/>
          <w:szCs w:val="16"/>
          <w:u w:val="single" w:color="auto"/>
          <w:color w:val="auto"/>
        </w:rPr>
        <w:t>15</w:t>
      </w:r>
      <w:r>
        <w:rPr>
          <w:rFonts w:ascii="Arial" w:cs="Arial" w:eastAsia="Arial" w:hAnsi="Arial"/>
          <w:sz w:val="16"/>
          <w:szCs w:val="16"/>
          <w:color w:val="auto"/>
        </w:rPr>
        <w:t xml:space="preserve"> per cent. per annum, or, if higher, at the appropriate rate (as defined by the Companies Act), but the Board may in respect of any individual member waive payment of interest wholly or in part.</w:t>
      </w:r>
    </w:p>
    <w:p>
      <w:pPr>
        <w:spacing w:after="0" w:line="81" w:lineRule="exact"/>
        <w:rPr>
          <w:sz w:val="20"/>
          <w:szCs w:val="20"/>
          <w:color w:val="auto"/>
        </w:rPr>
      </w:pPr>
    </w:p>
    <w:p>
      <w:pPr>
        <w:ind w:left="1200" w:right="960" w:hanging="431"/>
        <w:spacing w:after="0" w:line="260" w:lineRule="auto"/>
        <w:tabs>
          <w:tab w:leader="none" w:pos="1180" w:val="left"/>
        </w:tabs>
        <w:rPr>
          <w:sz w:val="20"/>
          <w:szCs w:val="20"/>
          <w:color w:val="auto"/>
        </w:rPr>
      </w:pPr>
      <w:r>
        <w:rPr>
          <w:rFonts w:ascii="Arial" w:cs="Arial" w:eastAsia="Arial" w:hAnsi="Arial"/>
          <w:sz w:val="16"/>
          <w:szCs w:val="16"/>
          <w:color w:val="auto"/>
        </w:rPr>
        <w:t>9.6</w:t>
        <w:tab/>
        <w:t>An amount payable in respect of a share on allotment or at any fixed date, whether in respect of nominal value or premium or as an instalment of a call, shall be deemed to be a call duly made and notified and payable on the date so</w:t>
      </w:r>
    </w:p>
    <w:p>
      <w:pPr>
        <w:spacing w:after="0" w:line="279" w:lineRule="exact"/>
        <w:rPr>
          <w:sz w:val="20"/>
          <w:szCs w:val="20"/>
          <w:color w:val="auto"/>
        </w:rPr>
      </w:pPr>
    </w:p>
    <w:tbl>
      <w:tblPr>
        <w:tblLayout w:type="fixed"/>
        <w:tblInd w:w="0" w:type="dxa"/>
        <w:tblCellMar>
          <w:top w:w="0" w:type="dxa"/>
          <w:left w:w="0" w:type="dxa"/>
          <w:bottom w:w="0" w:type="dxa"/>
          <w:right w:w="0" w:type="dxa"/>
        </w:tblCellMar>
      </w:tblPr>
      <w:tr>
        <w:trPr>
          <w:trHeight w:val="116"/>
        </w:trPr>
        <w:tc>
          <w:tcPr>
            <w:tcW w:w="820" w:type="dxa"/>
            <w:vAlign w:val="bottom"/>
            <w:vMerge w:val="restart"/>
          </w:tcPr>
          <w:p>
            <w:pPr>
              <w:spacing w:after="0"/>
              <w:rPr>
                <w:sz w:val="10"/>
                <w:szCs w:val="10"/>
                <w:color w:val="auto"/>
              </w:rPr>
            </w:pPr>
          </w:p>
        </w:tc>
        <w:tc>
          <w:tcPr>
            <w:tcW w:w="3080" w:type="dxa"/>
            <w:vAlign w:val="bottom"/>
            <w:tcBorders>
              <w:bottom w:val="single" w:sz="8" w:color="auto"/>
            </w:tcBorders>
          </w:tcPr>
          <w:p>
            <w:pPr>
              <w:spacing w:after="0"/>
              <w:rPr>
                <w:sz w:val="10"/>
                <w:szCs w:val="10"/>
                <w:color w:val="auto"/>
              </w:rPr>
            </w:pPr>
          </w:p>
        </w:tc>
        <w:tc>
          <w:tcPr>
            <w:tcW w:w="2760" w:type="dxa"/>
            <w:vAlign w:val="bottom"/>
            <w:vMerge w:val="restart"/>
          </w:tcPr>
          <w:p>
            <w:pPr>
              <w:ind w:left="400"/>
              <w:spacing w:after="0"/>
              <w:rPr>
                <w:sz w:val="20"/>
                <w:szCs w:val="20"/>
                <w:color w:val="auto"/>
              </w:rPr>
            </w:pPr>
            <w:r>
              <w:rPr>
                <w:rFonts w:ascii="Arial" w:cs="Arial" w:eastAsia="Arial" w:hAnsi="Arial"/>
                <w:sz w:val="13"/>
                <w:szCs w:val="13"/>
                <w:b w:val="1"/>
                <w:bCs w:val="1"/>
                <w:color w:val="4800E6"/>
              </w:rPr>
              <w:t xml:space="preserve">LIVANOVA </w:t>
            </w:r>
            <w:r>
              <w:rPr>
                <w:rFonts w:ascii="Arial" w:cs="Arial" w:eastAsia="Arial" w:hAnsi="Arial"/>
                <w:sz w:val="13"/>
                <w:szCs w:val="13"/>
                <w:color w:val="000000"/>
              </w:rPr>
              <w:t>|</w:t>
            </w:r>
            <w:r>
              <w:rPr>
                <w:rFonts w:ascii="Arial" w:cs="Arial" w:eastAsia="Arial" w:hAnsi="Arial"/>
                <w:sz w:val="13"/>
                <w:szCs w:val="13"/>
                <w:b w:val="1"/>
                <w:bCs w:val="1"/>
                <w:color w:val="4800E6"/>
              </w:rPr>
              <w:t xml:space="preserve"> </w:t>
            </w:r>
            <w:r>
              <w:rPr>
                <w:rFonts w:ascii="Arial" w:cs="Arial" w:eastAsia="Arial" w:hAnsi="Arial"/>
                <w:sz w:val="13"/>
                <w:szCs w:val="13"/>
                <w:color w:val="4800E6"/>
              </w:rPr>
              <w:t>2020</w:t>
            </w:r>
            <w:r>
              <w:rPr>
                <w:rFonts w:ascii="Arial" w:cs="Arial" w:eastAsia="Arial" w:hAnsi="Arial"/>
                <w:sz w:val="13"/>
                <w:szCs w:val="13"/>
                <w:b w:val="1"/>
                <w:bCs w:val="1"/>
                <w:color w:val="4800E6"/>
              </w:rPr>
              <w:t xml:space="preserve"> </w:t>
            </w:r>
            <w:r>
              <w:rPr>
                <w:rFonts w:ascii="Arial" w:cs="Arial" w:eastAsia="Arial" w:hAnsi="Arial"/>
                <w:sz w:val="13"/>
                <w:szCs w:val="13"/>
                <w:color w:val="000000"/>
              </w:rPr>
              <w:t>Proxy Statement</w:t>
            </w:r>
          </w:p>
        </w:tc>
        <w:tc>
          <w:tcPr>
            <w:tcW w:w="3080" w:type="dxa"/>
            <w:vAlign w:val="bottom"/>
            <w:tcBorders>
              <w:bottom w:val="single" w:sz="8" w:color="auto"/>
            </w:tcBorders>
          </w:tcPr>
          <w:p>
            <w:pPr>
              <w:spacing w:after="0"/>
              <w:rPr>
                <w:sz w:val="10"/>
                <w:szCs w:val="10"/>
                <w:color w:val="auto"/>
              </w:rPr>
            </w:pPr>
          </w:p>
        </w:tc>
        <w:tc>
          <w:tcPr>
            <w:tcW w:w="980" w:type="dxa"/>
            <w:vAlign w:val="bottom"/>
            <w:vMerge w:val="restart"/>
          </w:tcPr>
          <w:p>
            <w:pPr>
              <w:ind w:left="220"/>
              <w:spacing w:after="0"/>
              <w:rPr>
                <w:sz w:val="20"/>
                <w:szCs w:val="20"/>
                <w:color w:val="auto"/>
              </w:rPr>
            </w:pPr>
            <w:r>
              <w:rPr>
                <w:rFonts w:ascii="Arial" w:cs="Arial" w:eastAsia="Arial" w:hAnsi="Arial"/>
                <w:sz w:val="14"/>
                <w:szCs w:val="14"/>
                <w:b w:val="1"/>
                <w:bCs w:val="1"/>
                <w:color w:val="auto"/>
              </w:rPr>
              <w:t>A-7</w:t>
            </w:r>
          </w:p>
        </w:tc>
        <w:tc>
          <w:tcPr>
            <w:tcW w:w="0" w:type="dxa"/>
            <w:vAlign w:val="bottom"/>
          </w:tcPr>
          <w:p>
            <w:pPr>
              <w:spacing w:after="0"/>
              <w:rPr>
                <w:sz w:val="1"/>
                <w:szCs w:val="1"/>
                <w:color w:val="auto"/>
              </w:rPr>
            </w:pPr>
          </w:p>
        </w:tc>
      </w:tr>
      <w:tr>
        <w:trPr>
          <w:trHeight w:val="63"/>
        </w:trPr>
        <w:tc>
          <w:tcPr>
            <w:tcW w:w="820" w:type="dxa"/>
            <w:vAlign w:val="bottom"/>
            <w:vMerge w:val="continue"/>
          </w:tcPr>
          <w:p>
            <w:pPr>
              <w:spacing w:after="0"/>
              <w:rPr>
                <w:sz w:val="5"/>
                <w:szCs w:val="5"/>
                <w:color w:val="auto"/>
              </w:rPr>
            </w:pPr>
          </w:p>
        </w:tc>
        <w:tc>
          <w:tcPr>
            <w:tcW w:w="3080" w:type="dxa"/>
            <w:vAlign w:val="bottom"/>
          </w:tcPr>
          <w:p>
            <w:pPr>
              <w:spacing w:after="0"/>
              <w:rPr>
                <w:sz w:val="5"/>
                <w:szCs w:val="5"/>
                <w:color w:val="auto"/>
              </w:rPr>
            </w:pPr>
          </w:p>
        </w:tc>
        <w:tc>
          <w:tcPr>
            <w:tcW w:w="2760" w:type="dxa"/>
            <w:vAlign w:val="bottom"/>
            <w:vMerge w:val="continue"/>
          </w:tcPr>
          <w:p>
            <w:pPr>
              <w:spacing w:after="0"/>
              <w:rPr>
                <w:sz w:val="5"/>
                <w:szCs w:val="5"/>
                <w:color w:val="auto"/>
              </w:rPr>
            </w:pPr>
          </w:p>
        </w:tc>
        <w:tc>
          <w:tcPr>
            <w:tcW w:w="3080" w:type="dxa"/>
            <w:vAlign w:val="bottom"/>
          </w:tcPr>
          <w:p>
            <w:pPr>
              <w:spacing w:after="0"/>
              <w:rPr>
                <w:sz w:val="5"/>
                <w:szCs w:val="5"/>
                <w:color w:val="auto"/>
              </w:rPr>
            </w:pPr>
          </w:p>
        </w:tc>
        <w:tc>
          <w:tcPr>
            <w:tcW w:w="98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40"/>
        </w:trPr>
        <w:tc>
          <w:tcPr>
            <w:tcW w:w="820" w:type="dxa"/>
            <w:vAlign w:val="bottom"/>
            <w:tcBorders>
              <w:bottom w:val="single" w:sz="8" w:color="9A9A9A"/>
            </w:tcBorders>
          </w:tcPr>
          <w:p>
            <w:pPr>
              <w:spacing w:after="0"/>
              <w:rPr>
                <w:sz w:val="12"/>
                <w:szCs w:val="12"/>
                <w:color w:val="auto"/>
              </w:rPr>
            </w:pPr>
          </w:p>
        </w:tc>
        <w:tc>
          <w:tcPr>
            <w:tcW w:w="3080" w:type="dxa"/>
            <w:vAlign w:val="bottom"/>
            <w:tcBorders>
              <w:bottom w:val="single" w:sz="8" w:color="9A9A9A"/>
            </w:tcBorders>
          </w:tcPr>
          <w:p>
            <w:pPr>
              <w:spacing w:after="0"/>
              <w:rPr>
                <w:sz w:val="12"/>
                <w:szCs w:val="12"/>
                <w:color w:val="auto"/>
              </w:rPr>
            </w:pPr>
          </w:p>
        </w:tc>
        <w:tc>
          <w:tcPr>
            <w:tcW w:w="2760" w:type="dxa"/>
            <w:vAlign w:val="bottom"/>
            <w:tcBorders>
              <w:bottom w:val="single" w:sz="8" w:color="9A9A9A"/>
            </w:tcBorders>
          </w:tcPr>
          <w:p>
            <w:pPr>
              <w:spacing w:after="0"/>
              <w:rPr>
                <w:sz w:val="12"/>
                <w:szCs w:val="12"/>
                <w:color w:val="auto"/>
              </w:rPr>
            </w:pPr>
          </w:p>
        </w:tc>
        <w:tc>
          <w:tcPr>
            <w:tcW w:w="3080" w:type="dxa"/>
            <w:vAlign w:val="bottom"/>
            <w:tcBorders>
              <w:bottom w:val="single" w:sz="8" w:color="9A9A9A"/>
            </w:tcBorders>
          </w:tcPr>
          <w:p>
            <w:pPr>
              <w:spacing w:after="0"/>
              <w:rPr>
                <w:sz w:val="12"/>
                <w:szCs w:val="12"/>
                <w:color w:val="auto"/>
              </w:rPr>
            </w:pPr>
          </w:p>
        </w:tc>
        <w:tc>
          <w:tcPr>
            <w:tcW w:w="980" w:type="dxa"/>
            <w:vAlign w:val="bottom"/>
            <w:tcBorders>
              <w:bottom w:val="single" w:sz="8" w:color="9A9A9A"/>
            </w:tcBorders>
          </w:tcPr>
          <w:p>
            <w:pPr>
              <w:spacing w:after="0"/>
              <w:rPr>
                <w:sz w:val="12"/>
                <w:szCs w:val="12"/>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6802755</wp:posOffset>
            </wp:positionH>
            <wp:positionV relativeFrom="paragraph">
              <wp:posOffset>-8255</wp:posOffset>
            </wp:positionV>
            <wp:extent cx="8255" cy="8890"/>
            <wp:wrapNone/>
            <wp:docPr id="385" name="Picture 3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5"/>
                    <pic:cNvPicPr>
                      <a:picLocks noChangeAspect="1" noChangeArrowheads="1"/>
                    </pic:cNvPicPr>
                  </pic:nvPicPr>
                  <pic:blipFill>
                    <a:blip r:embed="rId392">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wp:posOffset>
            </wp:positionV>
            <wp:extent cx="8890" cy="17145"/>
            <wp:wrapNone/>
            <wp:docPr id="386" name="Picture 3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6"/>
                    <pic:cNvPicPr>
                      <a:picLocks noChangeAspect="1" noChangeArrowheads="1"/>
                    </pic:cNvPicPr>
                  </pic:nvPicPr>
                  <pic:blipFill>
                    <a:blip r:embed="rId393">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sectPr>
          <w:pgSz w:w="11900" w:h="16838" w:orient="portrait"/>
          <w:cols w:equalWidth="0" w:num="1">
            <w:col w:w="10720"/>
          </w:cols>
          <w:pgMar w:left="320" w:top="131" w:right="859" w:bottom="1440" w:gutter="0" w:footer="0" w:header="0"/>
        </w:sectPr>
      </w:pPr>
    </w:p>
    <w:bookmarkStart w:id="86" w:name="page87"/>
    <w:bookmarkEnd w:id="86"/>
    <w:p>
      <w:pPr>
        <w:spacing w:after="0"/>
        <w:rPr>
          <w:rFonts w:ascii="Arial" w:cs="Arial" w:eastAsia="Arial" w:hAnsi="Arial"/>
          <w:sz w:val="14"/>
          <w:szCs w:val="14"/>
          <w:color w:val="003366"/>
        </w:rPr>
      </w:pPr>
      <w:hyperlink w:anchor="page77">
        <w:r>
          <w:rPr>
            <w:rFonts w:ascii="Arial" w:cs="Arial" w:eastAsia="Arial" w:hAnsi="Arial"/>
            <w:sz w:val="14"/>
            <w:szCs w:val="14"/>
            <w:color w:val="003366"/>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485140</wp:posOffset>
            </wp:positionH>
            <wp:positionV relativeFrom="paragraph">
              <wp:posOffset>357505</wp:posOffset>
            </wp:positionV>
            <wp:extent cx="5829300" cy="8255"/>
            <wp:wrapNone/>
            <wp:docPr id="387" name="Picture 3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7"/>
                    <pic:cNvPicPr>
                      <a:picLocks noChangeAspect="1" noChangeArrowheads="1"/>
                    </pic:cNvPicPr>
                  </pic:nvPicPr>
                  <pic:blipFill>
                    <a:blip r:embed="rId394">
                      <a:extLst>
                        <a:ext uri="{28A0092B-C50C-407E-A947-70E740481C1C}"/>
                      </a:extLst>
                    </a:blip>
                    <a:srcRect/>
                    <a:stretch>
                      <a:fillRect/>
                    </a:stretch>
                  </pic:blipFill>
                  <pic:spPr bwMode="auto">
                    <a:xfrm>
                      <a:off x="0" y="0"/>
                      <a:ext cx="5829300" cy="8255"/>
                    </a:xfrm>
                    <a:prstGeom prst="rect">
                      <a:avLst/>
                    </a:prstGeom>
                    <a:noFill/>
                  </pic:spPr>
                </pic:pic>
              </a:graphicData>
            </a:graphic>
          </wp:anchor>
        </w:drawing>
      </w:r>
    </w:p>
    <w:p>
      <w:pPr>
        <w:sectPr>
          <w:pgSz w:w="11900" w:h="16838" w:orient="portrait"/>
          <w:cols w:equalWidth="0" w:num="1">
            <w:col w:w="10139"/>
          </w:cols>
          <w:pgMar w:left="320" w:top="131"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p>
      <w:pPr>
        <w:ind w:left="1200" w:right="499"/>
        <w:spacing w:after="0" w:line="260" w:lineRule="auto"/>
        <w:rPr>
          <w:sz w:val="20"/>
          <w:szCs w:val="20"/>
          <w:color w:val="auto"/>
        </w:rPr>
      </w:pPr>
      <w:r>
        <w:rPr>
          <w:rFonts w:ascii="Arial" w:cs="Arial" w:eastAsia="Arial" w:hAnsi="Arial"/>
          <w:sz w:val="16"/>
          <w:szCs w:val="16"/>
          <w:color w:val="auto"/>
        </w:rPr>
        <w:t>fixed or in accordance with the terms of the allotment. If it is not paid these Articles shall apply as if that sum had become due and payable by virtue of a call duly made and notified.</w:t>
      </w:r>
    </w:p>
    <w:p>
      <w:pPr>
        <w:spacing w:after="0" w:line="74" w:lineRule="exact"/>
        <w:rPr>
          <w:sz w:val="20"/>
          <w:szCs w:val="20"/>
          <w:color w:val="auto"/>
        </w:rPr>
      </w:pPr>
    </w:p>
    <w:p>
      <w:pPr>
        <w:ind w:left="1200" w:right="739" w:hanging="431"/>
        <w:spacing w:after="0" w:line="260" w:lineRule="auto"/>
        <w:tabs>
          <w:tab w:leader="none" w:pos="1180" w:val="left"/>
        </w:tabs>
        <w:rPr>
          <w:sz w:val="20"/>
          <w:szCs w:val="20"/>
          <w:color w:val="auto"/>
        </w:rPr>
      </w:pPr>
      <w:r>
        <w:rPr>
          <w:rFonts w:ascii="Arial" w:cs="Arial" w:eastAsia="Arial" w:hAnsi="Arial"/>
          <w:sz w:val="16"/>
          <w:szCs w:val="16"/>
          <w:color w:val="auto"/>
        </w:rPr>
        <w:t>9.7</w:t>
        <w:tab/>
        <w:t xml:space="preserve">Subject to the terms of allotment, the </w:t>
      </w:r>
      <w:r>
        <w:rPr>
          <w:rFonts w:ascii="Arial" w:cs="Arial" w:eastAsia="Arial" w:hAnsi="Arial"/>
          <w:sz w:val="16"/>
          <w:szCs w:val="16"/>
          <w:color w:val="auto"/>
          <w:strike w:val="1"/>
        </w:rPr>
        <w:t>Directors</w:t>
      </w:r>
      <w:r>
        <w:rPr>
          <w:rFonts w:ascii="Arial" w:cs="Arial" w:eastAsia="Arial" w:hAnsi="Arial"/>
          <w:sz w:val="16"/>
          <w:szCs w:val="16"/>
          <w:u w:val="single" w:color="auto"/>
          <w:color w:val="auto"/>
        </w:rPr>
        <w:t>Board</w:t>
      </w:r>
      <w:r>
        <w:rPr>
          <w:rFonts w:ascii="Arial" w:cs="Arial" w:eastAsia="Arial" w:hAnsi="Arial"/>
          <w:sz w:val="16"/>
          <w:szCs w:val="16"/>
          <w:color w:val="auto"/>
        </w:rPr>
        <w:t xml:space="preserve"> may on the issue of shares differentiate between the allottees or holders in the amounts and times of payment of calls on their shares.</w:t>
      </w:r>
    </w:p>
    <w:p>
      <w:pPr>
        <w:spacing w:after="0" w:line="74" w:lineRule="exact"/>
        <w:rPr>
          <w:sz w:val="20"/>
          <w:szCs w:val="20"/>
          <w:color w:val="auto"/>
        </w:rPr>
      </w:pPr>
    </w:p>
    <w:p>
      <w:pPr>
        <w:ind w:left="1200" w:right="239" w:hanging="431"/>
        <w:spacing w:after="0" w:line="248" w:lineRule="auto"/>
        <w:tabs>
          <w:tab w:leader="none" w:pos="1180" w:val="left"/>
        </w:tabs>
        <w:rPr>
          <w:sz w:val="20"/>
          <w:szCs w:val="20"/>
          <w:color w:val="auto"/>
        </w:rPr>
      </w:pPr>
      <w:r>
        <w:rPr>
          <w:rFonts w:ascii="Arial" w:cs="Arial" w:eastAsia="Arial" w:hAnsi="Arial"/>
          <w:sz w:val="16"/>
          <w:szCs w:val="16"/>
          <w:color w:val="auto"/>
        </w:rPr>
        <w:t>9.8</w:t>
        <w:tab/>
        <w:t xml:space="preserve">The Board may, if it thinks fit, receive from any member willing to advance it all or any part of the amount unpaid on any shares held by </w:t>
      </w:r>
      <w:r>
        <w:rPr>
          <w:rFonts w:ascii="Arial" w:cs="Arial" w:eastAsia="Arial" w:hAnsi="Arial"/>
          <w:sz w:val="16"/>
          <w:szCs w:val="16"/>
          <w:color w:val="auto"/>
          <w:strike w:val="1"/>
        </w:rPr>
        <w:t>him</w:t>
      </w:r>
      <w:r>
        <w:rPr>
          <w:rFonts w:ascii="Arial" w:cs="Arial" w:eastAsia="Arial" w:hAnsi="Arial"/>
          <w:sz w:val="16"/>
          <w:szCs w:val="16"/>
          <w:u w:val="single" w:color="auto"/>
          <w:color w:val="auto"/>
        </w:rPr>
        <w:t>them</w:t>
      </w:r>
      <w:r>
        <w:rPr>
          <w:rFonts w:ascii="Arial" w:cs="Arial" w:eastAsia="Arial" w:hAnsi="Arial"/>
          <w:sz w:val="16"/>
          <w:szCs w:val="16"/>
          <w:color w:val="auto"/>
        </w:rPr>
        <w:t xml:space="preserve"> (beyond the sums actually called up) as a payment in advance of calls, and such payment shall, to the extent of it, extinguish the liability on the shares in respect of which it is advanced. The Company may pay on all or any of the amount so advanced (until it would, but for such advance, become presently payable) interest on the amount so received, or so much of it as exceeds the sums called up on the shares in respect of which it has been received, at such rate (if any) as the member and the Board agree not exceeding </w:t>
      </w:r>
      <w:r>
        <w:rPr>
          <w:rFonts w:ascii="Arial" w:cs="Arial" w:eastAsia="Arial" w:hAnsi="Arial"/>
          <w:sz w:val="16"/>
          <w:szCs w:val="16"/>
          <w:color w:val="auto"/>
          <w:strike w:val="1"/>
        </w:rPr>
        <w:t>20</w:t>
      </w:r>
      <w:r>
        <w:rPr>
          <w:rFonts w:ascii="Arial" w:cs="Arial" w:eastAsia="Arial" w:hAnsi="Arial"/>
          <w:sz w:val="16"/>
          <w:szCs w:val="16"/>
          <w:u w:val="single" w:color="auto"/>
          <w:color w:val="auto"/>
        </w:rPr>
        <w:t>15</w:t>
      </w:r>
      <w:r>
        <w:rPr>
          <w:rFonts w:ascii="Arial" w:cs="Arial" w:eastAsia="Arial" w:hAnsi="Arial"/>
          <w:sz w:val="16"/>
          <w:szCs w:val="16"/>
          <w:color w:val="auto"/>
        </w:rPr>
        <w:t xml:space="preserve"> per cent. per annum or, if higher, the appropriate rate (as defined in the Companies Act).</w:t>
      </w:r>
    </w:p>
    <w:p>
      <w:pPr>
        <w:spacing w:after="0" w:line="53" w:lineRule="exact"/>
        <w:rPr>
          <w:sz w:val="20"/>
          <w:szCs w:val="20"/>
          <w:color w:val="auto"/>
        </w:rPr>
      </w:pPr>
    </w:p>
    <w:p>
      <w:pPr>
        <w:ind w:left="1200" w:hanging="436"/>
        <w:spacing w:after="0"/>
        <w:tabs>
          <w:tab w:leader="none" w:pos="1200" w:val="left"/>
        </w:tabs>
        <w:numPr>
          <w:ilvl w:val="0"/>
          <w:numId w:val="110"/>
        </w:numPr>
        <w:rPr>
          <w:rFonts w:ascii="Arial" w:cs="Arial" w:eastAsia="Arial" w:hAnsi="Arial"/>
          <w:sz w:val="16"/>
          <w:szCs w:val="16"/>
          <w:b w:val="1"/>
          <w:bCs w:val="1"/>
          <w:color w:val="auto"/>
        </w:rPr>
      </w:pPr>
      <w:r>
        <w:rPr>
          <w:rFonts w:ascii="Arial" w:cs="Arial" w:eastAsia="Arial" w:hAnsi="Arial"/>
          <w:sz w:val="16"/>
          <w:szCs w:val="16"/>
          <w:b w:val="1"/>
          <w:bCs w:val="1"/>
          <w:color w:val="auto"/>
        </w:rPr>
        <w:t>FORFEITURE AND SURRENDER</w:t>
      </w:r>
    </w:p>
    <w:p>
      <w:pPr>
        <w:spacing w:after="0" w:line="120" w:lineRule="exact"/>
        <w:rPr>
          <w:sz w:val="20"/>
          <w:szCs w:val="20"/>
          <w:color w:val="auto"/>
        </w:rPr>
      </w:pPr>
    </w:p>
    <w:p>
      <w:pPr>
        <w:ind w:left="1200" w:right="259" w:hanging="431"/>
        <w:spacing w:after="0" w:line="250" w:lineRule="auto"/>
        <w:rPr>
          <w:sz w:val="20"/>
          <w:szCs w:val="20"/>
          <w:color w:val="auto"/>
        </w:rPr>
      </w:pPr>
      <w:r>
        <w:rPr>
          <w:rFonts w:ascii="Arial" w:cs="Arial" w:eastAsia="Arial" w:hAnsi="Arial"/>
          <w:sz w:val="16"/>
          <w:szCs w:val="16"/>
          <w:color w:val="auto"/>
        </w:rPr>
        <w:t>10.1 If a call or an instalment of a call remains unpaid, in whole or in part, after it has become due and payable, the Board may give to the person from whom it is due not less than 14 clear days’ written notice requiring payment of the amount unpaid together with any interest which may have accrued and any costs, charges and expenses incurred by the Company by reason of such non-payment. The notice shall name the place where payment is to be made and shall state that if the notice is not complied with the shares in respect of which the call was made will be liable to be forfeited.</w:t>
      </w:r>
    </w:p>
    <w:p>
      <w:pPr>
        <w:spacing w:after="0" w:line="81" w:lineRule="exact"/>
        <w:rPr>
          <w:sz w:val="20"/>
          <w:szCs w:val="20"/>
          <w:color w:val="auto"/>
        </w:rPr>
      </w:pPr>
    </w:p>
    <w:p>
      <w:pPr>
        <w:jc w:val="center"/>
        <w:ind w:right="-500"/>
        <w:spacing w:after="0"/>
        <w:rPr>
          <w:sz w:val="20"/>
          <w:szCs w:val="20"/>
          <w:color w:val="auto"/>
        </w:rPr>
      </w:pPr>
      <w:r>
        <w:rPr>
          <w:rFonts w:ascii="Arial" w:cs="Arial" w:eastAsia="Arial" w:hAnsi="Arial"/>
          <w:sz w:val="15"/>
          <w:szCs w:val="15"/>
          <w:color w:val="auto"/>
        </w:rPr>
        <w:t>10.2  If the notice is not complied with, any share in respect of which it was given may, at any time before the payment required by</w:t>
      </w:r>
    </w:p>
    <w:p>
      <w:pPr>
        <w:spacing w:after="0" w:line="17" w:lineRule="exact"/>
        <w:rPr>
          <w:sz w:val="20"/>
          <w:szCs w:val="20"/>
          <w:color w:val="auto"/>
        </w:rPr>
      </w:pPr>
    </w:p>
    <w:p>
      <w:pPr>
        <w:ind w:left="1200" w:right="239"/>
        <w:spacing w:after="0" w:line="249" w:lineRule="auto"/>
        <w:rPr>
          <w:sz w:val="20"/>
          <w:szCs w:val="20"/>
          <w:color w:val="auto"/>
        </w:rPr>
      </w:pPr>
      <w:r>
        <w:rPr>
          <w:rFonts w:ascii="Arial" w:cs="Arial" w:eastAsia="Arial" w:hAnsi="Arial"/>
          <w:sz w:val="16"/>
          <w:szCs w:val="16"/>
          <w:color w:val="auto"/>
        </w:rPr>
        <w:t>the notice has been made, be forfeited by a resolution of the Board. The forfeiture shall include all dividends and other amounts payable in respect of the forfeited shares and which have not been paid before the forfeiture. When a share has been forfeited, notice of the forfeiture shall be sent to the person who was the holder of the share before the forfeiture. An entry shall be made promptly in the register opposite the entry of the share showing that notice has been sent, that the share has been forfeited and the date of forfeiture. No forfeiture shall be invalidated by the omission or neglect to send that notice or to make those entries.</w:t>
      </w:r>
    </w:p>
    <w:p>
      <w:pPr>
        <w:spacing w:after="0" w:line="70" w:lineRule="exact"/>
        <w:rPr>
          <w:sz w:val="20"/>
          <w:szCs w:val="20"/>
          <w:color w:val="auto"/>
        </w:rPr>
      </w:pPr>
    </w:p>
    <w:p>
      <w:pPr>
        <w:ind w:left="1200" w:right="239" w:hanging="431"/>
        <w:spacing w:after="0" w:line="248" w:lineRule="auto"/>
        <w:rPr>
          <w:sz w:val="20"/>
          <w:szCs w:val="20"/>
          <w:color w:val="auto"/>
        </w:rPr>
      </w:pPr>
      <w:r>
        <w:rPr>
          <w:rFonts w:ascii="Arial" w:cs="Arial" w:eastAsia="Arial" w:hAnsi="Arial"/>
          <w:sz w:val="16"/>
          <w:szCs w:val="16"/>
          <w:color w:val="auto"/>
        </w:rPr>
        <w:t>10.3 Subject to the provisions of the Companies Act, a forfeited share shall be deemed to belong to the Company and may be sold, re-allotted or otherwise disposed of on such terms and in such manner as the Board determines either to the person who was before the forfeiture the holder or to any other person. At any time before sale, re-allotment or other disposition, the forfeiture may be cancelled on such terms as the Board determines. Where for the purposes of its disposal a forfeited share is to be transferred to any person, the Board may, in the case of a share in certificated form, authorise someone to execute an instrument of transfer and, in the case of a share in uncertificated form, the Board may exercise any of the powers of the Company under Article 4.9. The Company may receive the consideration given for the share on its disposal and register the transferee as the holder of the share.</w:t>
      </w:r>
    </w:p>
    <w:p>
      <w:pPr>
        <w:spacing w:after="0" w:line="86" w:lineRule="exact"/>
        <w:rPr>
          <w:sz w:val="20"/>
          <w:szCs w:val="20"/>
          <w:color w:val="auto"/>
        </w:rPr>
      </w:pPr>
    </w:p>
    <w:p>
      <w:pPr>
        <w:ind w:left="1200" w:right="279" w:hanging="431"/>
        <w:spacing w:after="0" w:line="248" w:lineRule="auto"/>
        <w:rPr>
          <w:sz w:val="20"/>
          <w:szCs w:val="20"/>
          <w:color w:val="auto"/>
        </w:rPr>
      </w:pPr>
      <w:r>
        <w:rPr>
          <w:rFonts w:ascii="Arial" w:cs="Arial" w:eastAsia="Arial" w:hAnsi="Arial"/>
          <w:sz w:val="16"/>
          <w:szCs w:val="16"/>
          <w:color w:val="auto"/>
        </w:rPr>
        <w:t xml:space="preserve">10.4 A person shall cease to be a member in respect of any share which has been forfeited or surrendered and shall, if the share is held in certificated form, surrender to the Company for cancellation the certificate for the share forfeited but shall remain liable to the Company for all amounts which at the date of forfeiture were presently payable by </w:t>
      </w:r>
      <w:r>
        <w:rPr>
          <w:rFonts w:ascii="Arial" w:cs="Arial" w:eastAsia="Arial" w:hAnsi="Arial"/>
          <w:sz w:val="16"/>
          <w:szCs w:val="16"/>
          <w:color w:val="auto"/>
          <w:strike w:val="1"/>
        </w:rPr>
        <w:t>him</w:t>
      </w:r>
      <w:r>
        <w:rPr>
          <w:rFonts w:ascii="Arial" w:cs="Arial" w:eastAsia="Arial" w:hAnsi="Arial"/>
          <w:sz w:val="16"/>
          <w:szCs w:val="16"/>
          <w:u w:val="single" w:color="auto"/>
          <w:color w:val="auto"/>
        </w:rPr>
        <w:t>them</w:t>
      </w:r>
      <w:r>
        <w:rPr>
          <w:rFonts w:ascii="Arial" w:cs="Arial" w:eastAsia="Arial" w:hAnsi="Arial"/>
          <w:sz w:val="16"/>
          <w:szCs w:val="16"/>
          <w:color w:val="auto"/>
        </w:rPr>
        <w:t xml:space="preserve"> to the Company in respect of that share plus interest at the rate at which interest was payable on those amounts before the forfeiture or, if no interest was so payable, at the rate determined by the Board, not exceeding </w:t>
      </w:r>
      <w:r>
        <w:rPr>
          <w:rFonts w:ascii="Arial" w:cs="Arial" w:eastAsia="Arial" w:hAnsi="Arial"/>
          <w:sz w:val="16"/>
          <w:szCs w:val="16"/>
          <w:color w:val="auto"/>
          <w:strike w:val="1"/>
        </w:rPr>
        <w:t>20</w:t>
      </w:r>
      <w:r>
        <w:rPr>
          <w:rFonts w:ascii="Arial" w:cs="Arial" w:eastAsia="Arial" w:hAnsi="Arial"/>
          <w:sz w:val="16"/>
          <w:szCs w:val="16"/>
          <w:u w:val="single" w:color="auto"/>
          <w:color w:val="auto"/>
        </w:rPr>
        <w:t>15</w:t>
      </w:r>
      <w:r>
        <w:rPr>
          <w:rFonts w:ascii="Arial" w:cs="Arial" w:eastAsia="Arial" w:hAnsi="Arial"/>
          <w:sz w:val="16"/>
          <w:szCs w:val="16"/>
          <w:color w:val="auto"/>
        </w:rPr>
        <w:t xml:space="preserve"> per cent. per annum or, if higher, the appropriate rate (as defined in the Companies Act) from the date of forfeiture until payment. The Board may waive payment wholly or in part or enforce payment without any allowance for the value of the share at the time of forfeiture or for any consideration received on its disposal.</w:t>
      </w:r>
    </w:p>
    <w:p>
      <w:pPr>
        <w:spacing w:after="0" w:line="86" w:lineRule="exact"/>
        <w:rPr>
          <w:sz w:val="20"/>
          <w:szCs w:val="20"/>
          <w:color w:val="auto"/>
        </w:rPr>
      </w:pPr>
    </w:p>
    <w:p>
      <w:pPr>
        <w:ind w:left="1200" w:right="379" w:hanging="431"/>
        <w:spacing w:after="0" w:line="293" w:lineRule="auto"/>
        <w:rPr>
          <w:sz w:val="20"/>
          <w:szCs w:val="20"/>
          <w:color w:val="auto"/>
        </w:rPr>
      </w:pPr>
      <w:r>
        <w:rPr>
          <w:rFonts w:ascii="Arial" w:cs="Arial" w:eastAsia="Arial" w:hAnsi="Arial"/>
          <w:sz w:val="15"/>
          <w:szCs w:val="15"/>
          <w:color w:val="auto"/>
        </w:rPr>
        <w:t>10.5 The Board may accept the surrender of any share which it is in a position to forfeit upon such terms and conditions as may be agreed and, subject to any such terms and conditions, a surrendered share shall be treated as if it had been forfeited.</w:t>
      </w:r>
    </w:p>
    <w:p>
      <w:pPr>
        <w:spacing w:after="0" w:line="38" w:lineRule="exact"/>
        <w:rPr>
          <w:sz w:val="20"/>
          <w:szCs w:val="20"/>
          <w:color w:val="auto"/>
        </w:rPr>
      </w:pPr>
    </w:p>
    <w:p>
      <w:pPr>
        <w:ind w:left="1200" w:right="299" w:hanging="431"/>
        <w:spacing w:after="0" w:line="251" w:lineRule="auto"/>
        <w:rPr>
          <w:sz w:val="20"/>
          <w:szCs w:val="20"/>
          <w:color w:val="auto"/>
        </w:rPr>
      </w:pPr>
      <w:r>
        <w:rPr>
          <w:rFonts w:ascii="Arial" w:cs="Arial" w:eastAsia="Arial" w:hAnsi="Arial"/>
          <w:sz w:val="16"/>
          <w:szCs w:val="16"/>
          <w:color w:val="auto"/>
        </w:rPr>
        <w:t>10.6 The forfeiture of a share shall involve the extinction at the time of forfeiture of all interest in and all claims and demands against the Company in respect of the share and all other rights and liabilities incidental to the share as between the person whose share is forfeited and the Company, except only such of those rights and liabilities as are by these Articles expressly saved, or are by the Companies Act given or imposed in the case of past members.</w:t>
      </w:r>
    </w:p>
    <w:p>
      <w:pPr>
        <w:spacing w:after="0" w:line="81" w:lineRule="exact"/>
        <w:rPr>
          <w:sz w:val="20"/>
          <w:szCs w:val="20"/>
          <w:color w:val="auto"/>
        </w:rPr>
      </w:pPr>
    </w:p>
    <w:p>
      <w:pPr>
        <w:ind w:left="1200" w:right="359" w:hanging="431"/>
        <w:spacing w:after="0" w:line="249" w:lineRule="auto"/>
        <w:rPr>
          <w:sz w:val="20"/>
          <w:szCs w:val="20"/>
          <w:color w:val="auto"/>
        </w:rPr>
      </w:pPr>
      <w:r>
        <w:rPr>
          <w:rFonts w:ascii="Arial" w:cs="Arial" w:eastAsia="Arial" w:hAnsi="Arial"/>
          <w:sz w:val="16"/>
          <w:szCs w:val="16"/>
          <w:color w:val="auto"/>
        </w:rPr>
        <w:t xml:space="preserve">10.7 A statutory declaration by a Director or the secretary that a share has been duly forfeited on a specified date shall be conclusive evidence of the facts stated in it as against all persons claiming to be entitled to the share. The declaration shall (subject to the execution of an instrument of transfer if necessary, in the case of a share in certificated form) constitute a good title to the share. The person to whom the share is disposed of shall not be bound to see to the application of the consideration, if any, nor shall </w:t>
      </w:r>
      <w:r>
        <w:rPr>
          <w:rFonts w:ascii="Arial" w:cs="Arial" w:eastAsia="Arial" w:hAnsi="Arial"/>
          <w:sz w:val="16"/>
          <w:szCs w:val="16"/>
          <w:color w:val="auto"/>
          <w:strike w:val="1"/>
        </w:rPr>
        <w:t>his</w:t>
      </w:r>
      <w:r>
        <w:rPr>
          <w:rFonts w:ascii="Arial" w:cs="Arial" w:eastAsia="Arial" w:hAnsi="Arial"/>
          <w:sz w:val="16"/>
          <w:szCs w:val="16"/>
          <w:u w:val="single" w:color="auto"/>
          <w:color w:val="auto"/>
        </w:rPr>
        <w:t>their</w:t>
      </w:r>
      <w:r>
        <w:rPr>
          <w:rFonts w:ascii="Arial" w:cs="Arial" w:eastAsia="Arial" w:hAnsi="Arial"/>
          <w:sz w:val="16"/>
          <w:szCs w:val="16"/>
          <w:color w:val="auto"/>
        </w:rPr>
        <w:t xml:space="preserve"> title to the share be affected by any irregularity in or invalidity of the proceedings relating to the forfeiture or disposal of the share.</w:t>
      </w:r>
    </w:p>
    <w:p>
      <w:pPr>
        <w:spacing w:after="0" w:line="102" w:lineRule="exact"/>
        <w:rPr>
          <w:sz w:val="20"/>
          <w:szCs w:val="20"/>
          <w:color w:val="auto"/>
        </w:rPr>
      </w:pPr>
    </w:p>
    <w:p>
      <w:pPr>
        <w:ind w:left="480"/>
        <w:spacing w:after="0"/>
        <w:tabs>
          <w:tab w:leader="none" w:pos="4400" w:val="left"/>
          <w:tab w:leader="none" w:pos="8760" w:val="left"/>
        </w:tabs>
        <w:rPr>
          <w:sz w:val="20"/>
          <w:szCs w:val="20"/>
          <w:color w:val="auto"/>
        </w:rPr>
      </w:pPr>
      <w:r>
        <w:rPr>
          <w:rFonts w:ascii="Arial" w:cs="Arial" w:eastAsia="Arial" w:hAnsi="Arial"/>
          <w:sz w:val="28"/>
          <w:szCs w:val="28"/>
          <w:b w:val="1"/>
          <w:bCs w:val="1"/>
          <w:color w:val="000000"/>
          <w:vertAlign w:val="subscript"/>
        </w:rPr>
        <w:t>A-8</w:t>
      </w:r>
      <w:r>
        <w:rPr>
          <w:sz w:val="20"/>
          <w:szCs w:val="20"/>
          <w:color w:val="auto"/>
        </w:rPr>
        <w:tab/>
      </w:r>
      <w:r>
        <w:rPr>
          <w:rFonts w:ascii="Arial" w:cs="Arial" w:eastAsia="Arial" w:hAnsi="Arial"/>
          <w:sz w:val="13"/>
          <w:szCs w:val="13"/>
          <w:b w:val="1"/>
          <w:bCs w:val="1"/>
          <w:color w:val="4800E6"/>
        </w:rPr>
        <w:t xml:space="preserve">LIVANOVA </w:t>
      </w:r>
      <w:r>
        <w:rPr>
          <w:rFonts w:ascii="Arial" w:cs="Arial" w:eastAsia="Arial" w:hAnsi="Arial"/>
          <w:sz w:val="13"/>
          <w:szCs w:val="13"/>
          <w:color w:val="000000"/>
        </w:rPr>
        <w:t>|</w:t>
      </w:r>
      <w:r>
        <w:rPr>
          <w:rFonts w:ascii="Arial" w:cs="Arial" w:eastAsia="Arial" w:hAnsi="Arial"/>
          <w:sz w:val="13"/>
          <w:szCs w:val="13"/>
          <w:b w:val="1"/>
          <w:bCs w:val="1"/>
          <w:color w:val="4800E6"/>
        </w:rPr>
        <w:t xml:space="preserve"> </w:t>
      </w:r>
      <w:r>
        <w:rPr>
          <w:rFonts w:ascii="Arial" w:cs="Arial" w:eastAsia="Arial" w:hAnsi="Arial"/>
          <w:sz w:val="13"/>
          <w:szCs w:val="13"/>
          <w:color w:val="4800E6"/>
        </w:rPr>
        <w:t>2020</w:t>
      </w:r>
      <w:r>
        <w:rPr>
          <w:rFonts w:ascii="Arial" w:cs="Arial" w:eastAsia="Arial" w:hAnsi="Arial"/>
          <w:sz w:val="13"/>
          <w:szCs w:val="13"/>
          <w:b w:val="1"/>
          <w:bCs w:val="1"/>
          <w:color w:val="4800E6"/>
        </w:rPr>
        <w:t xml:space="preserve"> </w:t>
      </w:r>
      <w:r>
        <w:rPr>
          <w:rFonts w:ascii="Arial" w:cs="Arial" w:eastAsia="Arial" w:hAnsi="Arial"/>
          <w:sz w:val="13"/>
          <w:szCs w:val="13"/>
          <w:color w:val="000000"/>
        </w:rPr>
        <w:t>Proxy Statement</w:t>
      </w:r>
      <w:r>
        <w:rPr>
          <w:sz w:val="20"/>
          <w:szCs w:val="20"/>
          <w:color w:val="auto"/>
        </w:rPr>
        <w:tab/>
      </w:r>
      <w:r>
        <w:rPr>
          <w:rFonts w:ascii="Arial" w:cs="Arial" w:eastAsia="Arial" w:hAnsi="Arial"/>
          <w:sz w:val="12"/>
          <w:szCs w:val="12"/>
          <w:b w:val="1"/>
          <w:bCs w:val="1"/>
          <w:color w:val="4800E6"/>
        </w:rPr>
        <w:t>www.livanova.com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605155</wp:posOffset>
            </wp:positionH>
            <wp:positionV relativeFrom="paragraph">
              <wp:posOffset>-2540</wp:posOffset>
            </wp:positionV>
            <wp:extent cx="1954530" cy="8255"/>
            <wp:wrapNone/>
            <wp:docPr id="388" name="Picture 3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8"/>
                    <pic:cNvPicPr>
                      <a:picLocks noChangeAspect="1" noChangeArrowheads="1"/>
                    </pic:cNvPicPr>
                  </pic:nvPicPr>
                  <pic:blipFill>
                    <a:blip r:embed="rId395">
                      <a:extLst>
                        <a:ext uri="{28A0092B-C50C-407E-A947-70E740481C1C}"/>
                      </a:extLst>
                    </a:blip>
                    <a:srcRect/>
                    <a:stretch>
                      <a:fillRect/>
                    </a:stretch>
                  </pic:blipFill>
                  <pic:spPr bwMode="auto">
                    <a:xfrm>
                      <a:off x="0" y="0"/>
                      <a:ext cx="1954530" cy="8255"/>
                    </a:xfrm>
                    <a:prstGeom prst="rect">
                      <a:avLst/>
                    </a:prstGeom>
                    <a:noFill/>
                  </pic:spPr>
                </pic:pic>
              </a:graphicData>
            </a:graphic>
          </wp:anchor>
        </w:drawing>
        <w:drawing>
          <wp:anchor simplePos="0" relativeHeight="251657728" behindDoc="1" locked="0" layoutInCell="0" allowOverlap="1">
            <wp:simplePos x="0" y="0"/>
            <wp:positionH relativeFrom="column">
              <wp:posOffset>4316730</wp:posOffset>
            </wp:positionH>
            <wp:positionV relativeFrom="paragraph">
              <wp:posOffset>-2540</wp:posOffset>
            </wp:positionV>
            <wp:extent cx="1028700" cy="8255"/>
            <wp:wrapNone/>
            <wp:docPr id="389" name="Picture 3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9"/>
                    <pic:cNvPicPr>
                      <a:picLocks noChangeAspect="1" noChangeArrowheads="1"/>
                    </pic:cNvPicPr>
                  </pic:nvPicPr>
                  <pic:blipFill>
                    <a:blip r:embed="rId396">
                      <a:extLst>
                        <a:ext uri="{28A0092B-C50C-407E-A947-70E740481C1C}"/>
                      </a:extLst>
                    </a:blip>
                    <a:srcRect/>
                    <a:stretch>
                      <a:fillRect/>
                    </a:stretch>
                  </pic:blipFill>
                  <pic:spPr bwMode="auto">
                    <a:xfrm>
                      <a:off x="0" y="0"/>
                      <a:ext cx="102870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125095</wp:posOffset>
            </wp:positionV>
            <wp:extent cx="6806565" cy="17145"/>
            <wp:wrapNone/>
            <wp:docPr id="390" name="Picture 3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0"/>
                    <pic:cNvPicPr>
                      <a:picLocks noChangeAspect="1" noChangeArrowheads="1"/>
                    </pic:cNvPicPr>
                  </pic:nvPicPr>
                  <pic:blipFill>
                    <a:blip r:embed="rId397">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10139"/>
          </w:cols>
          <w:pgMar w:left="320" w:top="131" w:right="1440" w:bottom="1440" w:gutter="0" w:footer="0" w:header="0"/>
          <w:type w:val="continuous"/>
        </w:sectPr>
      </w:pPr>
    </w:p>
    <w:bookmarkStart w:id="87" w:name="page88"/>
    <w:bookmarkEnd w:id="87"/>
    <w:p>
      <w:pPr>
        <w:spacing w:after="0"/>
        <w:rPr>
          <w:rFonts w:ascii="Arial" w:cs="Arial" w:eastAsia="Arial" w:hAnsi="Arial"/>
          <w:sz w:val="14"/>
          <w:szCs w:val="14"/>
          <w:color w:val="003366"/>
        </w:rPr>
      </w:pPr>
      <w:hyperlink w:anchor="page77">
        <w:r>
          <w:rPr>
            <w:rFonts w:ascii="Arial" w:cs="Arial" w:eastAsia="Arial" w:hAnsi="Arial"/>
            <w:sz w:val="14"/>
            <w:szCs w:val="14"/>
            <w:color w:val="003366"/>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485140</wp:posOffset>
            </wp:positionH>
            <wp:positionV relativeFrom="paragraph">
              <wp:posOffset>357505</wp:posOffset>
            </wp:positionV>
            <wp:extent cx="5829300" cy="8890"/>
            <wp:wrapNone/>
            <wp:docPr id="391" name="Picture 3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1"/>
                    <pic:cNvPicPr>
                      <a:picLocks noChangeAspect="1" noChangeArrowheads="1"/>
                    </pic:cNvPicPr>
                  </pic:nvPicPr>
                  <pic:blipFill>
                    <a:blip r:embed="rId398">
                      <a:extLst>
                        <a:ext uri="{28A0092B-C50C-407E-A947-70E740481C1C}"/>
                      </a:extLst>
                    </a:blip>
                    <a:srcRect/>
                    <a:stretch>
                      <a:fillRect/>
                    </a:stretch>
                  </pic:blipFill>
                  <pic:spPr bwMode="auto">
                    <a:xfrm>
                      <a:off x="0" y="0"/>
                      <a:ext cx="582930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ind w:left="1200" w:hanging="436"/>
        <w:spacing w:after="0"/>
        <w:tabs>
          <w:tab w:leader="none" w:pos="1200" w:val="left"/>
        </w:tabs>
        <w:numPr>
          <w:ilvl w:val="0"/>
          <w:numId w:val="111"/>
        </w:numPr>
        <w:rPr>
          <w:rFonts w:ascii="Arial" w:cs="Arial" w:eastAsia="Arial" w:hAnsi="Arial"/>
          <w:sz w:val="16"/>
          <w:szCs w:val="16"/>
          <w:b w:val="1"/>
          <w:bCs w:val="1"/>
          <w:color w:val="auto"/>
        </w:rPr>
      </w:pPr>
      <w:r>
        <w:rPr>
          <w:rFonts w:ascii="Arial" w:cs="Arial" w:eastAsia="Arial" w:hAnsi="Arial"/>
          <w:sz w:val="16"/>
          <w:szCs w:val="16"/>
          <w:b w:val="1"/>
          <w:bCs w:val="1"/>
          <w:color w:val="auto"/>
        </w:rPr>
        <w:t>TRANSFER OF SHARES</w:t>
      </w:r>
    </w:p>
    <w:p>
      <w:pPr>
        <w:spacing w:after="0" w:line="120" w:lineRule="exact"/>
        <w:rPr>
          <w:sz w:val="20"/>
          <w:szCs w:val="20"/>
          <w:color w:val="auto"/>
        </w:rPr>
      </w:pPr>
    </w:p>
    <w:p>
      <w:pPr>
        <w:jc w:val="both"/>
        <w:ind w:left="1200" w:right="960" w:hanging="431"/>
        <w:spacing w:after="0" w:line="273" w:lineRule="auto"/>
        <w:rPr>
          <w:sz w:val="20"/>
          <w:szCs w:val="20"/>
          <w:color w:val="auto"/>
        </w:rPr>
      </w:pPr>
      <w:r>
        <w:rPr>
          <w:rFonts w:ascii="Arial" w:cs="Arial" w:eastAsia="Arial" w:hAnsi="Arial"/>
          <w:sz w:val="15"/>
          <w:szCs w:val="15"/>
          <w:color w:val="auto"/>
        </w:rPr>
        <w:t>11.1 Without prejudice to any power of the Company to register as member a person to whom the right to any share has been transmitted by operation of law, the instrument of transfer of a share in certificated form may be in any usual form or in any other form which the Board may approve. An instrument of transfer shall be executed by or on behalf of the transferor and, where the share is not fully paid, by or on behalf of the transferee. An instrument of transfer need not be under seal.</w:t>
      </w:r>
    </w:p>
    <w:p>
      <w:pPr>
        <w:spacing w:after="0" w:line="66" w:lineRule="exact"/>
        <w:rPr>
          <w:sz w:val="20"/>
          <w:szCs w:val="20"/>
          <w:color w:val="auto"/>
        </w:rPr>
      </w:pPr>
    </w:p>
    <w:p>
      <w:pPr>
        <w:ind w:left="1200" w:right="800" w:hanging="431"/>
        <w:spacing w:after="0" w:line="251" w:lineRule="auto"/>
        <w:rPr>
          <w:sz w:val="20"/>
          <w:szCs w:val="20"/>
          <w:color w:val="auto"/>
        </w:rPr>
      </w:pPr>
      <w:r>
        <w:rPr>
          <w:rFonts w:ascii="Arial" w:cs="Arial" w:eastAsia="Arial" w:hAnsi="Arial"/>
          <w:sz w:val="16"/>
          <w:szCs w:val="16"/>
          <w:color w:val="auto"/>
        </w:rPr>
        <w:t xml:space="preserve">11.2 Each member may transfer all or any of </w:t>
      </w:r>
      <w:r>
        <w:rPr>
          <w:rFonts w:ascii="Arial" w:cs="Arial" w:eastAsia="Arial" w:hAnsi="Arial"/>
          <w:sz w:val="16"/>
          <w:szCs w:val="16"/>
          <w:color w:val="auto"/>
          <w:strike w:val="1"/>
        </w:rPr>
        <w:t>his</w:t>
      </w:r>
      <w:r>
        <w:rPr>
          <w:rFonts w:ascii="Arial" w:cs="Arial" w:eastAsia="Arial" w:hAnsi="Arial"/>
          <w:sz w:val="16"/>
          <w:szCs w:val="16"/>
          <w:u w:val="single" w:color="auto"/>
          <w:color w:val="auto"/>
        </w:rPr>
        <w:t>their</w:t>
      </w:r>
      <w:r>
        <w:rPr>
          <w:rFonts w:ascii="Arial" w:cs="Arial" w:eastAsia="Arial" w:hAnsi="Arial"/>
          <w:sz w:val="16"/>
          <w:szCs w:val="16"/>
          <w:color w:val="auto"/>
        </w:rPr>
        <w:t xml:space="preserve"> shares which are in uncertificated form by means of a relevant system in such manner provided for, and subject as provided in, the Uncertificated Securities Rules. No provision of these Articles shall apply in respect of an uncertificated share to the extent it requires or contemplates the effecting of a transfer by an instrument in writing or the production of a certificate for the share to be transferred.</w:t>
      </w:r>
    </w:p>
    <w:p>
      <w:pPr>
        <w:spacing w:after="0" w:line="81" w:lineRule="exact"/>
        <w:rPr>
          <w:sz w:val="20"/>
          <w:szCs w:val="20"/>
          <w:color w:val="auto"/>
        </w:rPr>
      </w:pPr>
    </w:p>
    <w:p>
      <w:pPr>
        <w:jc w:val="both"/>
        <w:ind w:left="1200" w:right="1140" w:hanging="431"/>
        <w:spacing w:after="0" w:line="253" w:lineRule="auto"/>
        <w:rPr>
          <w:sz w:val="20"/>
          <w:szCs w:val="20"/>
          <w:color w:val="auto"/>
        </w:rPr>
      </w:pPr>
      <w:r>
        <w:rPr>
          <w:rFonts w:ascii="Arial" w:cs="Arial" w:eastAsia="Arial" w:hAnsi="Arial"/>
          <w:sz w:val="16"/>
          <w:szCs w:val="16"/>
          <w:color w:val="auto"/>
        </w:rPr>
        <w:t xml:space="preserve">11.3 The Board may, in its absolute discretion, refuse to register the transfer of a share in certificated form if it is not fully paid </w:t>
      </w:r>
      <w:r>
        <w:rPr>
          <w:rFonts w:ascii="Arial" w:cs="Arial" w:eastAsia="Arial" w:hAnsi="Arial"/>
          <w:sz w:val="16"/>
          <w:szCs w:val="16"/>
          <w:color w:val="auto"/>
          <w:strike w:val="1"/>
        </w:rPr>
        <w:t>provided that the refusal does not prevent dealings in shares in the Company from taking place on an open and proper basis.</w:t>
      </w:r>
      <w:r>
        <w:rPr>
          <w:rFonts w:ascii="Arial" w:cs="Arial" w:eastAsia="Arial" w:hAnsi="Arial"/>
          <w:sz w:val="16"/>
          <w:szCs w:val="16"/>
          <w:u w:val="single" w:color="auto"/>
          <w:color w:val="auto"/>
          <w:strike w:val="1"/>
        </w:rPr>
        <w:t>.</w:t>
      </w:r>
    </w:p>
    <w:p>
      <w:pPr>
        <w:spacing w:after="0" w:line="66" w:lineRule="exact"/>
        <w:rPr>
          <w:sz w:val="20"/>
          <w:szCs w:val="20"/>
          <w:color w:val="auto"/>
        </w:rPr>
      </w:pPr>
    </w:p>
    <w:p>
      <w:pPr>
        <w:ind w:left="760"/>
        <w:spacing w:after="0"/>
        <w:rPr>
          <w:sz w:val="20"/>
          <w:szCs w:val="20"/>
          <w:color w:val="auto"/>
        </w:rPr>
      </w:pPr>
      <w:r>
        <w:rPr>
          <w:rFonts w:ascii="Arial" w:cs="Arial" w:eastAsia="Arial" w:hAnsi="Arial"/>
          <w:sz w:val="16"/>
          <w:szCs w:val="16"/>
          <w:color w:val="auto"/>
        </w:rPr>
        <w:t>11.4  The Board may, in its absolute discretion, also refuse to register the transfer of a share in certificated form:</w:t>
      </w:r>
    </w:p>
    <w:p>
      <w:pPr>
        <w:spacing w:after="0" w:line="100" w:lineRule="exact"/>
        <w:rPr>
          <w:sz w:val="20"/>
          <w:szCs w:val="20"/>
          <w:color w:val="auto"/>
        </w:rPr>
      </w:pPr>
    </w:p>
    <w:p>
      <w:pPr>
        <w:ind w:left="1620" w:hanging="424"/>
        <w:spacing w:after="0"/>
        <w:tabs>
          <w:tab w:leader="none" w:pos="1620" w:val="left"/>
        </w:tabs>
        <w:numPr>
          <w:ilvl w:val="0"/>
          <w:numId w:val="112"/>
        </w:numPr>
        <w:rPr>
          <w:rFonts w:ascii="Arial" w:cs="Arial" w:eastAsia="Arial" w:hAnsi="Arial"/>
          <w:sz w:val="16"/>
          <w:szCs w:val="16"/>
          <w:color w:val="auto"/>
        </w:rPr>
      </w:pPr>
      <w:r>
        <w:rPr>
          <w:rFonts w:ascii="Arial" w:cs="Arial" w:eastAsia="Arial" w:hAnsi="Arial"/>
          <w:sz w:val="16"/>
          <w:szCs w:val="16"/>
          <w:color w:val="auto"/>
        </w:rPr>
        <w:t>unless the instrument of transfer:</w:t>
      </w:r>
    </w:p>
    <w:p>
      <w:pPr>
        <w:spacing w:after="0" w:line="99" w:lineRule="exact"/>
        <w:rPr>
          <w:rFonts w:ascii="Arial" w:cs="Arial" w:eastAsia="Arial" w:hAnsi="Arial"/>
          <w:sz w:val="16"/>
          <w:szCs w:val="16"/>
          <w:color w:val="auto"/>
        </w:rPr>
      </w:pPr>
    </w:p>
    <w:p>
      <w:pPr>
        <w:ind w:left="2060" w:right="820" w:hanging="432"/>
        <w:spacing w:after="0" w:line="251" w:lineRule="auto"/>
        <w:tabs>
          <w:tab w:leader="none" w:pos="2060" w:val="left"/>
        </w:tabs>
        <w:numPr>
          <w:ilvl w:val="1"/>
          <w:numId w:val="112"/>
        </w:numPr>
        <w:rPr>
          <w:rFonts w:ascii="Arial" w:cs="Arial" w:eastAsia="Arial" w:hAnsi="Arial"/>
          <w:sz w:val="16"/>
          <w:szCs w:val="16"/>
          <w:color w:val="auto"/>
        </w:rPr>
      </w:pPr>
      <w:r>
        <w:rPr>
          <w:rFonts w:ascii="Arial" w:cs="Arial" w:eastAsia="Arial" w:hAnsi="Arial"/>
          <w:sz w:val="16"/>
          <w:szCs w:val="16"/>
          <w:color w:val="auto"/>
        </w:rPr>
        <w:t xml:space="preserve">is lodged, duly stamped, at the Office or such other place as the Board has appointed, accompanied by the certificate for the share to which it relates, or such other evidence as the </w:t>
      </w:r>
      <w:r>
        <w:rPr>
          <w:rFonts w:ascii="Arial" w:cs="Arial" w:eastAsia="Arial" w:hAnsi="Arial"/>
          <w:sz w:val="16"/>
          <w:szCs w:val="16"/>
          <w:color w:val="auto"/>
          <w:strike w:val="1"/>
        </w:rPr>
        <w:t>Directors</w:t>
      </w:r>
      <w:r>
        <w:rPr>
          <w:rFonts w:ascii="Arial" w:cs="Arial" w:eastAsia="Arial" w:hAnsi="Arial"/>
          <w:sz w:val="16"/>
          <w:szCs w:val="16"/>
          <w:u w:val="single" w:color="auto"/>
          <w:color w:val="auto"/>
        </w:rPr>
        <w:t>Board</w:t>
      </w:r>
      <w:r>
        <w:rPr>
          <w:rFonts w:ascii="Arial" w:cs="Arial" w:eastAsia="Arial" w:hAnsi="Arial"/>
          <w:sz w:val="16"/>
          <w:szCs w:val="16"/>
          <w:color w:val="auto"/>
        </w:rPr>
        <w:t xml:space="preserve"> may reasonably require to show the transferor’s right to make the transfer, or evidence of the right of someone other than the transferor to make the transfer on the transferor’s behalf;</w:t>
      </w:r>
    </w:p>
    <w:p>
      <w:pPr>
        <w:spacing w:after="0" w:line="67" w:lineRule="exact"/>
        <w:rPr>
          <w:rFonts w:ascii="Arial" w:cs="Arial" w:eastAsia="Arial" w:hAnsi="Arial"/>
          <w:sz w:val="16"/>
          <w:szCs w:val="16"/>
          <w:color w:val="auto"/>
        </w:rPr>
      </w:pPr>
    </w:p>
    <w:p>
      <w:pPr>
        <w:ind w:left="2060" w:hanging="432"/>
        <w:spacing w:after="0"/>
        <w:tabs>
          <w:tab w:leader="none" w:pos="2060" w:val="left"/>
        </w:tabs>
        <w:numPr>
          <w:ilvl w:val="1"/>
          <w:numId w:val="112"/>
        </w:numPr>
        <w:rPr>
          <w:rFonts w:ascii="Arial" w:cs="Arial" w:eastAsia="Arial" w:hAnsi="Arial"/>
          <w:sz w:val="16"/>
          <w:szCs w:val="16"/>
          <w:color w:val="auto"/>
        </w:rPr>
      </w:pPr>
      <w:r>
        <w:rPr>
          <w:rFonts w:ascii="Arial" w:cs="Arial" w:eastAsia="Arial" w:hAnsi="Arial"/>
          <w:sz w:val="16"/>
          <w:szCs w:val="16"/>
          <w:color w:val="auto"/>
        </w:rPr>
        <w:t>is in respect of only one class of shares; and</w:t>
      </w:r>
    </w:p>
    <w:p>
      <w:pPr>
        <w:spacing w:after="0" w:line="99" w:lineRule="exact"/>
        <w:rPr>
          <w:rFonts w:ascii="Arial" w:cs="Arial" w:eastAsia="Arial" w:hAnsi="Arial"/>
          <w:sz w:val="16"/>
          <w:szCs w:val="16"/>
          <w:color w:val="auto"/>
        </w:rPr>
      </w:pPr>
    </w:p>
    <w:p>
      <w:pPr>
        <w:ind w:left="2060" w:hanging="432"/>
        <w:spacing w:after="0"/>
        <w:tabs>
          <w:tab w:leader="none" w:pos="2060" w:val="left"/>
        </w:tabs>
        <w:numPr>
          <w:ilvl w:val="1"/>
          <w:numId w:val="112"/>
        </w:numPr>
        <w:rPr>
          <w:rFonts w:ascii="Arial" w:cs="Arial" w:eastAsia="Arial" w:hAnsi="Arial"/>
          <w:sz w:val="16"/>
          <w:szCs w:val="16"/>
          <w:color w:val="auto"/>
        </w:rPr>
      </w:pPr>
      <w:r>
        <w:rPr>
          <w:rFonts w:ascii="Arial" w:cs="Arial" w:eastAsia="Arial" w:hAnsi="Arial"/>
          <w:sz w:val="16"/>
          <w:szCs w:val="16"/>
          <w:color w:val="auto"/>
        </w:rPr>
        <w:t>is in favour of not more than four transferees; or</w:t>
      </w:r>
    </w:p>
    <w:p>
      <w:pPr>
        <w:spacing w:after="0" w:line="99" w:lineRule="exact"/>
        <w:rPr>
          <w:rFonts w:ascii="Arial" w:cs="Arial" w:eastAsia="Arial" w:hAnsi="Arial"/>
          <w:sz w:val="16"/>
          <w:szCs w:val="16"/>
          <w:color w:val="auto"/>
        </w:rPr>
      </w:pPr>
    </w:p>
    <w:p>
      <w:pPr>
        <w:ind w:left="1620" w:right="1000" w:hanging="424"/>
        <w:spacing w:after="0" w:line="253" w:lineRule="auto"/>
        <w:tabs>
          <w:tab w:leader="none" w:pos="1620" w:val="left"/>
        </w:tabs>
        <w:numPr>
          <w:ilvl w:val="0"/>
          <w:numId w:val="112"/>
        </w:numPr>
        <w:rPr>
          <w:rFonts w:ascii="Arial" w:cs="Arial" w:eastAsia="Arial" w:hAnsi="Arial"/>
          <w:sz w:val="16"/>
          <w:szCs w:val="16"/>
          <w:color w:val="auto"/>
        </w:rPr>
      </w:pPr>
      <w:r>
        <w:rPr>
          <w:rFonts w:ascii="Arial" w:cs="Arial" w:eastAsia="Arial" w:hAnsi="Arial"/>
          <w:sz w:val="16"/>
          <w:szCs w:val="16"/>
          <w:color w:val="auto"/>
        </w:rPr>
        <w:t>with respect to a share on which the Company has a lien and a sum in respect of which the lien exists is presently payable and is not paid within 14 clear days after notice has been sent to the holder of the share in accordance with Article 8.2.</w:t>
      </w:r>
    </w:p>
    <w:p>
      <w:pPr>
        <w:spacing w:after="0" w:line="66" w:lineRule="exact"/>
        <w:rPr>
          <w:sz w:val="20"/>
          <w:szCs w:val="20"/>
          <w:color w:val="auto"/>
        </w:rPr>
      </w:pPr>
    </w:p>
    <w:p>
      <w:pPr>
        <w:ind w:left="1200" w:right="780" w:hanging="431"/>
        <w:spacing w:after="0" w:line="260" w:lineRule="auto"/>
        <w:rPr>
          <w:sz w:val="20"/>
          <w:szCs w:val="20"/>
          <w:color w:val="auto"/>
        </w:rPr>
      </w:pPr>
      <w:r>
        <w:rPr>
          <w:rFonts w:ascii="Arial" w:cs="Arial" w:eastAsia="Arial" w:hAnsi="Arial"/>
          <w:sz w:val="16"/>
          <w:szCs w:val="16"/>
          <w:color w:val="auto"/>
        </w:rPr>
        <w:t>11.5 The Board may also refuse to register a transfer of uncertificated shares in any circumstances that are allowed or required by the Uncertificated Securities Rules and the relevant system.</w:t>
      </w:r>
    </w:p>
    <w:p>
      <w:pPr>
        <w:spacing w:after="0" w:line="74" w:lineRule="exact"/>
        <w:rPr>
          <w:sz w:val="20"/>
          <w:szCs w:val="20"/>
          <w:color w:val="auto"/>
        </w:rPr>
      </w:pPr>
    </w:p>
    <w:p>
      <w:pPr>
        <w:ind w:left="1200" w:right="920" w:hanging="431"/>
        <w:spacing w:after="0" w:line="250" w:lineRule="auto"/>
        <w:rPr>
          <w:sz w:val="20"/>
          <w:szCs w:val="20"/>
          <w:color w:val="auto"/>
        </w:rPr>
      </w:pPr>
      <w:r>
        <w:rPr>
          <w:rFonts w:ascii="Arial" w:cs="Arial" w:eastAsia="Arial" w:hAnsi="Arial"/>
          <w:sz w:val="16"/>
          <w:szCs w:val="16"/>
          <w:color w:val="auto"/>
        </w:rPr>
        <w:t xml:space="preserve">11.6 If the Board refuses to register a transfer of a share, it shall notify the transferor of the refusal and the reasons for it as soon as practicable and in any event within two months after the date on which the instrument of transfer was lodged with the Company (in the case of a transfer of a share in certificated form) or the instructions to the relevant system </w:t>
      </w:r>
      <w:r>
        <w:rPr>
          <w:rFonts w:ascii="Arial" w:cs="Arial" w:eastAsia="Arial" w:hAnsi="Arial"/>
          <w:sz w:val="16"/>
          <w:szCs w:val="16"/>
          <w:u w:val="single" w:color="auto"/>
          <w:color w:val="auto"/>
        </w:rPr>
        <w:t>were</w:t>
      </w:r>
      <w:r>
        <w:rPr>
          <w:rFonts w:ascii="Arial" w:cs="Arial" w:eastAsia="Arial" w:hAnsi="Arial"/>
          <w:sz w:val="16"/>
          <w:szCs w:val="16"/>
          <w:color w:val="auto"/>
        </w:rPr>
        <w:t xml:space="preserve"> received. The Board shall send to the transferee such further information about the reasons for the refusal as the transferee may reasonably request.</w:t>
      </w:r>
    </w:p>
    <w:p>
      <w:pPr>
        <w:spacing w:after="0" w:line="81" w:lineRule="exact"/>
        <w:rPr>
          <w:sz w:val="20"/>
          <w:szCs w:val="20"/>
          <w:color w:val="auto"/>
        </w:rPr>
      </w:pPr>
    </w:p>
    <w:p>
      <w:pPr>
        <w:ind w:left="1200" w:right="1320" w:hanging="431"/>
        <w:spacing w:after="0" w:line="260" w:lineRule="auto"/>
        <w:rPr>
          <w:sz w:val="20"/>
          <w:szCs w:val="20"/>
          <w:color w:val="auto"/>
        </w:rPr>
      </w:pPr>
      <w:r>
        <w:rPr>
          <w:rFonts w:ascii="Arial" w:cs="Arial" w:eastAsia="Arial" w:hAnsi="Arial"/>
          <w:sz w:val="16"/>
          <w:szCs w:val="16"/>
          <w:color w:val="auto"/>
        </w:rPr>
        <w:t>11.7 No fee shall be charged for the registration of any instrument of transfer or other document or instruction relating to or affecting the title to any share.</w:t>
      </w:r>
    </w:p>
    <w:p>
      <w:pPr>
        <w:spacing w:after="0" w:line="60" w:lineRule="exact"/>
        <w:rPr>
          <w:sz w:val="20"/>
          <w:szCs w:val="20"/>
          <w:color w:val="auto"/>
        </w:rPr>
      </w:pPr>
    </w:p>
    <w:p>
      <w:pPr>
        <w:ind w:left="1200" w:right="800" w:hanging="431"/>
        <w:spacing w:after="0" w:line="253" w:lineRule="auto"/>
        <w:rPr>
          <w:sz w:val="20"/>
          <w:szCs w:val="20"/>
          <w:color w:val="auto"/>
        </w:rPr>
      </w:pPr>
      <w:r>
        <w:rPr>
          <w:rFonts w:ascii="Arial" w:cs="Arial" w:eastAsia="Arial" w:hAnsi="Arial"/>
          <w:sz w:val="16"/>
          <w:szCs w:val="16"/>
          <w:color w:val="auto"/>
        </w:rPr>
        <w:t>11.8 The Company shall be entitled to retain any instrument of transfer which is registered, but any instrument of transfer which the Board refuses to register shall (except in the case of fraud) be returned to the person lodging it when notice of the refusal is sent.</w:t>
      </w:r>
    </w:p>
    <w:p>
      <w:pPr>
        <w:spacing w:after="0" w:line="80" w:lineRule="exact"/>
        <w:rPr>
          <w:sz w:val="20"/>
          <w:szCs w:val="20"/>
          <w:color w:val="auto"/>
        </w:rPr>
      </w:pPr>
    </w:p>
    <w:p>
      <w:pPr>
        <w:ind w:left="1200" w:right="1300" w:hanging="431"/>
        <w:spacing w:after="0" w:line="260" w:lineRule="auto"/>
        <w:rPr>
          <w:sz w:val="20"/>
          <w:szCs w:val="20"/>
          <w:color w:val="auto"/>
        </w:rPr>
      </w:pPr>
      <w:r>
        <w:rPr>
          <w:rFonts w:ascii="Arial" w:cs="Arial" w:eastAsia="Arial" w:hAnsi="Arial"/>
          <w:sz w:val="16"/>
          <w:szCs w:val="16"/>
          <w:color w:val="auto"/>
        </w:rPr>
        <w:t>11.9 Nothing in these Articles shall preclude the Board from recognising a renunciation of the allotment of any share by the allottee in favour of some other person.</w:t>
      </w:r>
    </w:p>
    <w:p>
      <w:pPr>
        <w:spacing w:after="0" w:line="54" w:lineRule="exact"/>
        <w:rPr>
          <w:sz w:val="20"/>
          <w:szCs w:val="20"/>
          <w:color w:val="auto"/>
        </w:rPr>
      </w:pPr>
    </w:p>
    <w:p>
      <w:pPr>
        <w:ind w:left="1200" w:hanging="436"/>
        <w:spacing w:after="0"/>
        <w:tabs>
          <w:tab w:leader="none" w:pos="1200" w:val="left"/>
        </w:tabs>
        <w:numPr>
          <w:ilvl w:val="0"/>
          <w:numId w:val="113"/>
        </w:numPr>
        <w:rPr>
          <w:rFonts w:ascii="Arial" w:cs="Arial" w:eastAsia="Arial" w:hAnsi="Arial"/>
          <w:sz w:val="16"/>
          <w:szCs w:val="16"/>
          <w:b w:val="1"/>
          <w:bCs w:val="1"/>
          <w:color w:val="auto"/>
        </w:rPr>
      </w:pPr>
      <w:r>
        <w:rPr>
          <w:rFonts w:ascii="Arial" w:cs="Arial" w:eastAsia="Arial" w:hAnsi="Arial"/>
          <w:sz w:val="16"/>
          <w:szCs w:val="16"/>
          <w:b w:val="1"/>
          <w:bCs w:val="1"/>
          <w:color w:val="auto"/>
        </w:rPr>
        <w:t>TRANSMISSION OF SHARES</w:t>
      </w:r>
    </w:p>
    <w:p>
      <w:pPr>
        <w:spacing w:after="0" w:line="106" w:lineRule="exact"/>
        <w:rPr>
          <w:sz w:val="20"/>
          <w:szCs w:val="20"/>
          <w:color w:val="auto"/>
        </w:rPr>
      </w:pPr>
    </w:p>
    <w:p>
      <w:pPr>
        <w:ind w:left="1200" w:right="860" w:hanging="431"/>
        <w:spacing w:after="0" w:line="251" w:lineRule="auto"/>
        <w:rPr>
          <w:sz w:val="20"/>
          <w:szCs w:val="20"/>
          <w:color w:val="auto"/>
        </w:rPr>
      </w:pPr>
      <w:r>
        <w:rPr>
          <w:rFonts w:ascii="Arial" w:cs="Arial" w:eastAsia="Arial" w:hAnsi="Arial"/>
          <w:sz w:val="16"/>
          <w:szCs w:val="16"/>
          <w:color w:val="auto"/>
        </w:rPr>
        <w:t xml:space="preserve">12.1 If a member dies, the survivor or survivors where </w:t>
      </w:r>
      <w:r>
        <w:rPr>
          <w:rFonts w:ascii="Arial" w:cs="Arial" w:eastAsia="Arial" w:hAnsi="Arial"/>
          <w:sz w:val="16"/>
          <w:szCs w:val="16"/>
          <w:color w:val="auto"/>
          <w:strike w:val="1"/>
        </w:rPr>
        <w:t>he was</w:t>
      </w:r>
      <w:r>
        <w:rPr>
          <w:rFonts w:ascii="Arial" w:cs="Arial" w:eastAsia="Arial" w:hAnsi="Arial"/>
          <w:sz w:val="16"/>
          <w:szCs w:val="16"/>
          <w:u w:val="single" w:color="auto"/>
          <w:color w:val="auto"/>
        </w:rPr>
        <w:t>they were</w:t>
      </w:r>
      <w:r>
        <w:rPr>
          <w:rFonts w:ascii="Arial" w:cs="Arial" w:eastAsia="Arial" w:hAnsi="Arial"/>
          <w:sz w:val="16"/>
          <w:szCs w:val="16"/>
          <w:color w:val="auto"/>
        </w:rPr>
        <w:t xml:space="preserve"> a joint holder, or </w:t>
      </w:r>
      <w:r>
        <w:rPr>
          <w:rFonts w:ascii="Arial" w:cs="Arial" w:eastAsia="Arial" w:hAnsi="Arial"/>
          <w:sz w:val="16"/>
          <w:szCs w:val="16"/>
          <w:color w:val="auto"/>
          <w:strike w:val="1"/>
        </w:rPr>
        <w:t>his</w:t>
      </w:r>
      <w:r>
        <w:rPr>
          <w:rFonts w:ascii="Arial" w:cs="Arial" w:eastAsia="Arial" w:hAnsi="Arial"/>
          <w:sz w:val="16"/>
          <w:szCs w:val="16"/>
          <w:u w:val="single" w:color="auto"/>
          <w:color w:val="auto"/>
        </w:rPr>
        <w:t>their</w:t>
      </w:r>
      <w:r>
        <w:rPr>
          <w:rFonts w:ascii="Arial" w:cs="Arial" w:eastAsia="Arial" w:hAnsi="Arial"/>
          <w:sz w:val="16"/>
          <w:szCs w:val="16"/>
          <w:color w:val="auto"/>
        </w:rPr>
        <w:t xml:space="preserve"> personal representatives where </w:t>
      </w:r>
      <w:r>
        <w:rPr>
          <w:rFonts w:ascii="Arial" w:cs="Arial" w:eastAsia="Arial" w:hAnsi="Arial"/>
          <w:sz w:val="16"/>
          <w:szCs w:val="16"/>
          <w:color w:val="auto"/>
          <w:strike w:val="1"/>
        </w:rPr>
        <w:t>he was</w:t>
      </w:r>
      <w:r>
        <w:rPr>
          <w:rFonts w:ascii="Arial" w:cs="Arial" w:eastAsia="Arial" w:hAnsi="Arial"/>
          <w:sz w:val="16"/>
          <w:szCs w:val="16"/>
          <w:u w:val="single" w:color="auto"/>
          <w:color w:val="auto"/>
        </w:rPr>
        <w:t>they were</w:t>
      </w:r>
      <w:r>
        <w:rPr>
          <w:rFonts w:ascii="Arial" w:cs="Arial" w:eastAsia="Arial" w:hAnsi="Arial"/>
          <w:sz w:val="16"/>
          <w:szCs w:val="16"/>
          <w:color w:val="auto"/>
        </w:rPr>
        <w:t xml:space="preserve"> a sole holder or the only survivor of joint holders, shall be the only persons recognised by the Company as having any title to </w:t>
      </w:r>
      <w:r>
        <w:rPr>
          <w:rFonts w:ascii="Arial" w:cs="Arial" w:eastAsia="Arial" w:hAnsi="Arial"/>
          <w:sz w:val="16"/>
          <w:szCs w:val="16"/>
          <w:color w:val="auto"/>
          <w:strike w:val="1"/>
        </w:rPr>
        <w:t>his</w:t>
      </w:r>
      <w:r>
        <w:rPr>
          <w:rFonts w:ascii="Arial" w:cs="Arial" w:eastAsia="Arial" w:hAnsi="Arial"/>
          <w:sz w:val="16"/>
          <w:szCs w:val="16"/>
          <w:u w:val="single" w:color="auto"/>
          <w:color w:val="auto"/>
        </w:rPr>
        <w:t>their</w:t>
      </w:r>
      <w:r>
        <w:rPr>
          <w:rFonts w:ascii="Arial" w:cs="Arial" w:eastAsia="Arial" w:hAnsi="Arial"/>
          <w:sz w:val="16"/>
          <w:szCs w:val="16"/>
          <w:color w:val="auto"/>
        </w:rPr>
        <w:t xml:space="preserve"> interest, but nothing in this Article 12.1 shall release the estate of a deceased member from any liability in respect of any share which had been solely or jointly held by </w:t>
      </w:r>
      <w:r>
        <w:rPr>
          <w:rFonts w:ascii="Arial" w:cs="Arial" w:eastAsia="Arial" w:hAnsi="Arial"/>
          <w:sz w:val="16"/>
          <w:szCs w:val="16"/>
          <w:color w:val="auto"/>
          <w:strike w:val="1"/>
        </w:rPr>
        <w:t>him</w:t>
      </w:r>
      <w:r>
        <w:rPr>
          <w:rFonts w:ascii="Arial" w:cs="Arial" w:eastAsia="Arial" w:hAnsi="Arial"/>
          <w:sz w:val="16"/>
          <w:szCs w:val="16"/>
          <w:u w:val="single" w:color="auto"/>
          <w:color w:val="auto"/>
        </w:rPr>
        <w:t>them</w:t>
      </w:r>
      <w:r>
        <w:rPr>
          <w:rFonts w:ascii="Arial" w:cs="Arial" w:eastAsia="Arial" w:hAnsi="Arial"/>
          <w:sz w:val="16"/>
          <w:szCs w:val="16"/>
          <w:color w:val="auto"/>
        </w:rPr>
        <w:t>.</w:t>
      </w:r>
    </w:p>
    <w:p>
      <w:pPr>
        <w:spacing w:after="0" w:line="81" w:lineRule="exact"/>
        <w:rPr>
          <w:sz w:val="20"/>
          <w:szCs w:val="20"/>
          <w:color w:val="auto"/>
        </w:rPr>
      </w:pPr>
    </w:p>
    <w:p>
      <w:pPr>
        <w:ind w:left="1200" w:right="840" w:hanging="431"/>
        <w:spacing w:after="0" w:line="248" w:lineRule="auto"/>
        <w:rPr>
          <w:sz w:val="20"/>
          <w:szCs w:val="20"/>
          <w:color w:val="auto"/>
        </w:rPr>
      </w:pPr>
      <w:r>
        <w:rPr>
          <w:rFonts w:ascii="Arial" w:cs="Arial" w:eastAsia="Arial" w:hAnsi="Arial"/>
          <w:sz w:val="16"/>
          <w:szCs w:val="16"/>
          <w:color w:val="auto"/>
        </w:rPr>
        <w:t xml:space="preserve">12.2 A person becoming entitled to a share in consequence of the death or bankruptcy of a member or otherwise by operation of law may, upon such evidence being produced as the Board may properly require, elect either to become the holder of the share or to have some person nominated by </w:t>
      </w:r>
      <w:r>
        <w:rPr>
          <w:rFonts w:ascii="Arial" w:cs="Arial" w:eastAsia="Arial" w:hAnsi="Arial"/>
          <w:sz w:val="16"/>
          <w:szCs w:val="16"/>
          <w:color w:val="auto"/>
          <w:strike w:val="1"/>
        </w:rPr>
        <w:t>him</w:t>
      </w:r>
      <w:r>
        <w:rPr>
          <w:rFonts w:ascii="Arial" w:cs="Arial" w:eastAsia="Arial" w:hAnsi="Arial"/>
          <w:sz w:val="16"/>
          <w:szCs w:val="16"/>
          <w:u w:val="single" w:color="auto"/>
          <w:color w:val="auto"/>
        </w:rPr>
        <w:t>them</w:t>
      </w:r>
      <w:r>
        <w:rPr>
          <w:rFonts w:ascii="Arial" w:cs="Arial" w:eastAsia="Arial" w:hAnsi="Arial"/>
          <w:sz w:val="16"/>
          <w:szCs w:val="16"/>
          <w:color w:val="auto"/>
        </w:rPr>
        <w:t xml:space="preserve"> registered as the transferee. If </w:t>
      </w:r>
      <w:r>
        <w:rPr>
          <w:rFonts w:ascii="Arial" w:cs="Arial" w:eastAsia="Arial" w:hAnsi="Arial"/>
          <w:sz w:val="16"/>
          <w:szCs w:val="16"/>
          <w:color w:val="auto"/>
          <w:strike w:val="1"/>
        </w:rPr>
        <w:t>he elects</w:t>
      </w:r>
      <w:r>
        <w:rPr>
          <w:rFonts w:ascii="Arial" w:cs="Arial" w:eastAsia="Arial" w:hAnsi="Arial"/>
          <w:sz w:val="16"/>
          <w:szCs w:val="16"/>
          <w:u w:val="single" w:color="auto"/>
          <w:color w:val="auto"/>
        </w:rPr>
        <w:t>they elect</w:t>
      </w:r>
      <w:r>
        <w:rPr>
          <w:rFonts w:ascii="Arial" w:cs="Arial" w:eastAsia="Arial" w:hAnsi="Arial"/>
          <w:sz w:val="16"/>
          <w:szCs w:val="16"/>
          <w:color w:val="auto"/>
        </w:rPr>
        <w:t xml:space="preserve"> to become the holder </w:t>
      </w:r>
      <w:r>
        <w:rPr>
          <w:rFonts w:ascii="Arial" w:cs="Arial" w:eastAsia="Arial" w:hAnsi="Arial"/>
          <w:sz w:val="16"/>
          <w:szCs w:val="16"/>
          <w:color w:val="auto"/>
          <w:strike w:val="1"/>
        </w:rPr>
        <w:t>he</w:t>
      </w:r>
      <w:r>
        <w:rPr>
          <w:rFonts w:ascii="Arial" w:cs="Arial" w:eastAsia="Arial" w:hAnsi="Arial"/>
          <w:sz w:val="16"/>
          <w:szCs w:val="16"/>
          <w:u w:val="single" w:color="auto"/>
          <w:color w:val="auto"/>
        </w:rPr>
        <w:t>they</w:t>
      </w:r>
      <w:r>
        <w:rPr>
          <w:rFonts w:ascii="Arial" w:cs="Arial" w:eastAsia="Arial" w:hAnsi="Arial"/>
          <w:sz w:val="16"/>
          <w:szCs w:val="16"/>
          <w:color w:val="auto"/>
        </w:rPr>
        <w:t xml:space="preserve"> shall give notice to the Company to that effect. If </w:t>
      </w:r>
      <w:r>
        <w:rPr>
          <w:rFonts w:ascii="Arial" w:cs="Arial" w:eastAsia="Arial" w:hAnsi="Arial"/>
          <w:sz w:val="16"/>
          <w:szCs w:val="16"/>
          <w:color w:val="auto"/>
          <w:strike w:val="1"/>
        </w:rPr>
        <w:t>he elects</w:t>
      </w:r>
      <w:r>
        <w:rPr>
          <w:rFonts w:ascii="Arial" w:cs="Arial" w:eastAsia="Arial" w:hAnsi="Arial"/>
          <w:sz w:val="16"/>
          <w:szCs w:val="16"/>
          <w:u w:val="single" w:color="auto"/>
          <w:color w:val="auto"/>
        </w:rPr>
        <w:t>they elect</w:t>
      </w:r>
      <w:r>
        <w:rPr>
          <w:rFonts w:ascii="Arial" w:cs="Arial" w:eastAsia="Arial" w:hAnsi="Arial"/>
          <w:sz w:val="16"/>
          <w:szCs w:val="16"/>
          <w:color w:val="auto"/>
        </w:rPr>
        <w:t xml:space="preserve"> to have another person registered, and the share is a certificated share, </w:t>
      </w:r>
      <w:r>
        <w:rPr>
          <w:rFonts w:ascii="Arial" w:cs="Arial" w:eastAsia="Arial" w:hAnsi="Arial"/>
          <w:sz w:val="16"/>
          <w:szCs w:val="16"/>
          <w:color w:val="auto"/>
          <w:strike w:val="1"/>
        </w:rPr>
        <w:t>he</w:t>
      </w:r>
      <w:r>
        <w:rPr>
          <w:rFonts w:ascii="Arial" w:cs="Arial" w:eastAsia="Arial" w:hAnsi="Arial"/>
          <w:sz w:val="16"/>
          <w:szCs w:val="16"/>
          <w:u w:val="single" w:color="auto"/>
          <w:color w:val="auto"/>
        </w:rPr>
        <w:t>they</w:t>
      </w:r>
      <w:r>
        <w:rPr>
          <w:rFonts w:ascii="Arial" w:cs="Arial" w:eastAsia="Arial" w:hAnsi="Arial"/>
          <w:sz w:val="16"/>
          <w:szCs w:val="16"/>
          <w:color w:val="auto"/>
        </w:rPr>
        <w:t xml:space="preserve"> shall execute an instrument of transfer of the share to that person. If </w:t>
      </w:r>
      <w:r>
        <w:rPr>
          <w:rFonts w:ascii="Arial" w:cs="Arial" w:eastAsia="Arial" w:hAnsi="Arial"/>
          <w:sz w:val="16"/>
          <w:szCs w:val="16"/>
          <w:color w:val="auto"/>
          <w:strike w:val="1"/>
        </w:rPr>
        <w:t>he elects</w:t>
      </w:r>
      <w:r>
        <w:rPr>
          <w:rFonts w:ascii="Arial" w:cs="Arial" w:eastAsia="Arial" w:hAnsi="Arial"/>
          <w:sz w:val="16"/>
          <w:szCs w:val="16"/>
          <w:u w:val="single" w:color="auto"/>
          <w:color w:val="auto"/>
        </w:rPr>
        <w:t>they</w:t>
      </w:r>
      <w:r>
        <w:rPr>
          <w:rFonts w:ascii="Arial" w:cs="Arial" w:eastAsia="Arial" w:hAnsi="Arial"/>
          <w:sz w:val="16"/>
          <w:szCs w:val="16"/>
          <w:color w:val="auto"/>
        </w:rPr>
        <w:t xml:space="preserve"> </w:t>
      </w:r>
      <w:r>
        <w:rPr>
          <w:rFonts w:ascii="Arial" w:cs="Arial" w:eastAsia="Arial" w:hAnsi="Arial"/>
          <w:sz w:val="16"/>
          <w:szCs w:val="16"/>
          <w:u w:val="single" w:color="auto"/>
          <w:color w:val="auto"/>
        </w:rPr>
        <w:t>elect</w:t>
      </w:r>
      <w:r>
        <w:rPr>
          <w:rFonts w:ascii="Arial" w:cs="Arial" w:eastAsia="Arial" w:hAnsi="Arial"/>
          <w:sz w:val="16"/>
          <w:szCs w:val="16"/>
          <w:color w:val="auto"/>
        </w:rPr>
        <w:t xml:space="preserve"> to have </w:t>
      </w:r>
      <w:r>
        <w:rPr>
          <w:rFonts w:ascii="Arial" w:cs="Arial" w:eastAsia="Arial" w:hAnsi="Arial"/>
          <w:sz w:val="16"/>
          <w:szCs w:val="16"/>
          <w:color w:val="auto"/>
          <w:strike w:val="1"/>
        </w:rPr>
        <w:t>himself</w:t>
      </w:r>
      <w:r>
        <w:rPr>
          <w:rFonts w:ascii="Arial" w:cs="Arial" w:eastAsia="Arial" w:hAnsi="Arial"/>
          <w:sz w:val="16"/>
          <w:szCs w:val="16"/>
          <w:u w:val="single" w:color="auto"/>
          <w:color w:val="auto"/>
        </w:rPr>
        <w:t>themselves</w:t>
      </w:r>
      <w:r>
        <w:rPr>
          <w:rFonts w:ascii="Arial" w:cs="Arial" w:eastAsia="Arial" w:hAnsi="Arial"/>
          <w:sz w:val="16"/>
          <w:szCs w:val="16"/>
          <w:color w:val="auto"/>
        </w:rPr>
        <w:t xml:space="preserve"> or another person registered and the share is an uncertificated share, </w:t>
      </w:r>
      <w:r>
        <w:rPr>
          <w:rFonts w:ascii="Arial" w:cs="Arial" w:eastAsia="Arial" w:hAnsi="Arial"/>
          <w:sz w:val="16"/>
          <w:szCs w:val="16"/>
          <w:color w:val="auto"/>
          <w:strike w:val="1"/>
        </w:rPr>
        <w:t>he</w:t>
      </w:r>
      <w:r>
        <w:rPr>
          <w:rFonts w:ascii="Arial" w:cs="Arial" w:eastAsia="Arial" w:hAnsi="Arial"/>
          <w:sz w:val="16"/>
          <w:szCs w:val="16"/>
          <w:u w:val="single" w:color="auto"/>
          <w:color w:val="auto"/>
        </w:rPr>
        <w:t>they</w:t>
      </w:r>
      <w:r>
        <w:rPr>
          <w:rFonts w:ascii="Arial" w:cs="Arial" w:eastAsia="Arial" w:hAnsi="Arial"/>
          <w:sz w:val="16"/>
          <w:szCs w:val="16"/>
          <w:color w:val="auto"/>
        </w:rPr>
        <w:t xml:space="preserve"> shall take any action the Board may require (including without limitation the execution of any document) to enable </w:t>
      </w:r>
      <w:r>
        <w:rPr>
          <w:rFonts w:ascii="Arial" w:cs="Arial" w:eastAsia="Arial" w:hAnsi="Arial"/>
          <w:sz w:val="16"/>
          <w:szCs w:val="16"/>
          <w:color w:val="auto"/>
          <w:strike w:val="1"/>
        </w:rPr>
        <w:t>himself</w:t>
      </w:r>
      <w:r>
        <w:rPr>
          <w:rFonts w:ascii="Arial" w:cs="Arial" w:eastAsia="Arial" w:hAnsi="Arial"/>
          <w:sz w:val="16"/>
          <w:szCs w:val="16"/>
          <w:u w:val="single" w:color="auto"/>
          <w:color w:val="auto"/>
        </w:rPr>
        <w:t>themselves</w:t>
      </w:r>
      <w:r>
        <w:rPr>
          <w:rFonts w:ascii="Arial" w:cs="Arial" w:eastAsia="Arial" w:hAnsi="Arial"/>
          <w:sz w:val="16"/>
          <w:szCs w:val="16"/>
          <w:color w:val="auto"/>
        </w:rPr>
        <w:t xml:space="preserve"> or that person to be registered as the holder of the share. All the provisions of these Articles relating</w:t>
      </w:r>
    </w:p>
    <w:p>
      <w:pPr>
        <w:spacing w:after="0" w:line="291" w:lineRule="exact"/>
        <w:rPr>
          <w:sz w:val="20"/>
          <w:szCs w:val="20"/>
          <w:color w:val="auto"/>
        </w:rPr>
      </w:pPr>
    </w:p>
    <w:tbl>
      <w:tblPr>
        <w:tblLayout w:type="fixed"/>
        <w:tblInd w:w="0" w:type="dxa"/>
        <w:tblCellMar>
          <w:top w:w="0" w:type="dxa"/>
          <w:left w:w="0" w:type="dxa"/>
          <w:bottom w:w="0" w:type="dxa"/>
          <w:right w:w="0" w:type="dxa"/>
        </w:tblCellMar>
      </w:tblPr>
      <w:tr>
        <w:trPr>
          <w:trHeight w:val="130"/>
        </w:trPr>
        <w:tc>
          <w:tcPr>
            <w:tcW w:w="820" w:type="dxa"/>
            <w:vAlign w:val="bottom"/>
            <w:vMerge w:val="restart"/>
          </w:tcPr>
          <w:p>
            <w:pPr>
              <w:spacing w:after="0"/>
              <w:rPr>
                <w:sz w:val="11"/>
                <w:szCs w:val="11"/>
                <w:color w:val="auto"/>
              </w:rPr>
            </w:pPr>
          </w:p>
        </w:tc>
        <w:tc>
          <w:tcPr>
            <w:tcW w:w="3080" w:type="dxa"/>
            <w:vAlign w:val="bottom"/>
            <w:tcBorders>
              <w:bottom w:val="single" w:sz="8" w:color="auto"/>
            </w:tcBorders>
          </w:tcPr>
          <w:p>
            <w:pPr>
              <w:spacing w:after="0"/>
              <w:rPr>
                <w:sz w:val="11"/>
                <w:szCs w:val="11"/>
                <w:color w:val="auto"/>
              </w:rPr>
            </w:pPr>
          </w:p>
        </w:tc>
        <w:tc>
          <w:tcPr>
            <w:tcW w:w="2760" w:type="dxa"/>
            <w:vAlign w:val="bottom"/>
            <w:vMerge w:val="restart"/>
          </w:tcPr>
          <w:p>
            <w:pPr>
              <w:ind w:left="400"/>
              <w:spacing w:after="0"/>
              <w:rPr>
                <w:sz w:val="20"/>
                <w:szCs w:val="20"/>
                <w:color w:val="auto"/>
              </w:rPr>
            </w:pPr>
            <w:r>
              <w:rPr>
                <w:rFonts w:ascii="Arial" w:cs="Arial" w:eastAsia="Arial" w:hAnsi="Arial"/>
                <w:sz w:val="13"/>
                <w:szCs w:val="13"/>
                <w:b w:val="1"/>
                <w:bCs w:val="1"/>
                <w:color w:val="4800E6"/>
              </w:rPr>
              <w:t xml:space="preserve">LIVANOVA </w:t>
            </w:r>
            <w:r>
              <w:rPr>
                <w:rFonts w:ascii="Arial" w:cs="Arial" w:eastAsia="Arial" w:hAnsi="Arial"/>
                <w:sz w:val="13"/>
                <w:szCs w:val="13"/>
                <w:color w:val="000000"/>
              </w:rPr>
              <w:t>|</w:t>
            </w:r>
            <w:r>
              <w:rPr>
                <w:rFonts w:ascii="Arial" w:cs="Arial" w:eastAsia="Arial" w:hAnsi="Arial"/>
                <w:sz w:val="13"/>
                <w:szCs w:val="13"/>
                <w:b w:val="1"/>
                <w:bCs w:val="1"/>
                <w:color w:val="4800E6"/>
              </w:rPr>
              <w:t xml:space="preserve"> </w:t>
            </w:r>
            <w:r>
              <w:rPr>
                <w:rFonts w:ascii="Arial" w:cs="Arial" w:eastAsia="Arial" w:hAnsi="Arial"/>
                <w:sz w:val="13"/>
                <w:szCs w:val="13"/>
                <w:color w:val="4800E6"/>
              </w:rPr>
              <w:t>2020</w:t>
            </w:r>
            <w:r>
              <w:rPr>
                <w:rFonts w:ascii="Arial" w:cs="Arial" w:eastAsia="Arial" w:hAnsi="Arial"/>
                <w:sz w:val="13"/>
                <w:szCs w:val="13"/>
                <w:b w:val="1"/>
                <w:bCs w:val="1"/>
                <w:color w:val="4800E6"/>
              </w:rPr>
              <w:t xml:space="preserve"> </w:t>
            </w:r>
            <w:r>
              <w:rPr>
                <w:rFonts w:ascii="Arial" w:cs="Arial" w:eastAsia="Arial" w:hAnsi="Arial"/>
                <w:sz w:val="13"/>
                <w:szCs w:val="13"/>
                <w:color w:val="000000"/>
              </w:rPr>
              <w:t>Proxy Statement</w:t>
            </w:r>
          </w:p>
        </w:tc>
        <w:tc>
          <w:tcPr>
            <w:tcW w:w="3080" w:type="dxa"/>
            <w:vAlign w:val="bottom"/>
            <w:tcBorders>
              <w:bottom w:val="single" w:sz="8" w:color="auto"/>
            </w:tcBorders>
          </w:tcPr>
          <w:p>
            <w:pPr>
              <w:spacing w:after="0"/>
              <w:rPr>
                <w:sz w:val="11"/>
                <w:szCs w:val="11"/>
                <w:color w:val="auto"/>
              </w:rPr>
            </w:pPr>
          </w:p>
        </w:tc>
        <w:tc>
          <w:tcPr>
            <w:tcW w:w="980" w:type="dxa"/>
            <w:vAlign w:val="bottom"/>
            <w:vMerge w:val="restart"/>
          </w:tcPr>
          <w:p>
            <w:pPr>
              <w:ind w:left="220"/>
              <w:spacing w:after="0"/>
              <w:rPr>
                <w:sz w:val="20"/>
                <w:szCs w:val="20"/>
                <w:color w:val="auto"/>
              </w:rPr>
            </w:pPr>
            <w:r>
              <w:rPr>
                <w:rFonts w:ascii="Arial" w:cs="Arial" w:eastAsia="Arial" w:hAnsi="Arial"/>
                <w:sz w:val="14"/>
                <w:szCs w:val="14"/>
                <w:b w:val="1"/>
                <w:bCs w:val="1"/>
                <w:color w:val="auto"/>
              </w:rPr>
              <w:t>A-9</w:t>
            </w:r>
          </w:p>
        </w:tc>
        <w:tc>
          <w:tcPr>
            <w:tcW w:w="0" w:type="dxa"/>
            <w:vAlign w:val="bottom"/>
          </w:tcPr>
          <w:p>
            <w:pPr>
              <w:spacing w:after="0"/>
              <w:rPr>
                <w:sz w:val="1"/>
                <w:szCs w:val="1"/>
                <w:color w:val="auto"/>
              </w:rPr>
            </w:pPr>
          </w:p>
        </w:tc>
      </w:tr>
      <w:tr>
        <w:trPr>
          <w:trHeight w:val="49"/>
        </w:trPr>
        <w:tc>
          <w:tcPr>
            <w:tcW w:w="820" w:type="dxa"/>
            <w:vAlign w:val="bottom"/>
            <w:vMerge w:val="continue"/>
          </w:tcPr>
          <w:p>
            <w:pPr>
              <w:spacing w:after="0"/>
              <w:rPr>
                <w:sz w:val="4"/>
                <w:szCs w:val="4"/>
                <w:color w:val="auto"/>
              </w:rPr>
            </w:pPr>
          </w:p>
        </w:tc>
        <w:tc>
          <w:tcPr>
            <w:tcW w:w="3080" w:type="dxa"/>
            <w:vAlign w:val="bottom"/>
          </w:tcPr>
          <w:p>
            <w:pPr>
              <w:spacing w:after="0"/>
              <w:rPr>
                <w:sz w:val="4"/>
                <w:szCs w:val="4"/>
                <w:color w:val="auto"/>
              </w:rPr>
            </w:pPr>
          </w:p>
        </w:tc>
        <w:tc>
          <w:tcPr>
            <w:tcW w:w="2760" w:type="dxa"/>
            <w:vAlign w:val="bottom"/>
            <w:vMerge w:val="continue"/>
          </w:tcPr>
          <w:p>
            <w:pPr>
              <w:spacing w:after="0"/>
              <w:rPr>
                <w:sz w:val="4"/>
                <w:szCs w:val="4"/>
                <w:color w:val="auto"/>
              </w:rPr>
            </w:pPr>
          </w:p>
        </w:tc>
        <w:tc>
          <w:tcPr>
            <w:tcW w:w="3080" w:type="dxa"/>
            <w:vAlign w:val="bottom"/>
          </w:tcPr>
          <w:p>
            <w:pPr>
              <w:spacing w:after="0"/>
              <w:rPr>
                <w:sz w:val="4"/>
                <w:szCs w:val="4"/>
                <w:color w:val="auto"/>
              </w:rPr>
            </w:pPr>
          </w:p>
        </w:tc>
        <w:tc>
          <w:tcPr>
            <w:tcW w:w="98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40"/>
        </w:trPr>
        <w:tc>
          <w:tcPr>
            <w:tcW w:w="820" w:type="dxa"/>
            <w:vAlign w:val="bottom"/>
            <w:tcBorders>
              <w:bottom w:val="single" w:sz="8" w:color="9A9A9A"/>
            </w:tcBorders>
          </w:tcPr>
          <w:p>
            <w:pPr>
              <w:spacing w:after="0"/>
              <w:rPr>
                <w:sz w:val="12"/>
                <w:szCs w:val="12"/>
                <w:color w:val="auto"/>
              </w:rPr>
            </w:pPr>
          </w:p>
        </w:tc>
        <w:tc>
          <w:tcPr>
            <w:tcW w:w="3080" w:type="dxa"/>
            <w:vAlign w:val="bottom"/>
            <w:tcBorders>
              <w:bottom w:val="single" w:sz="8" w:color="9A9A9A"/>
            </w:tcBorders>
          </w:tcPr>
          <w:p>
            <w:pPr>
              <w:spacing w:after="0"/>
              <w:rPr>
                <w:sz w:val="12"/>
                <w:szCs w:val="12"/>
                <w:color w:val="auto"/>
              </w:rPr>
            </w:pPr>
          </w:p>
        </w:tc>
        <w:tc>
          <w:tcPr>
            <w:tcW w:w="2760" w:type="dxa"/>
            <w:vAlign w:val="bottom"/>
            <w:tcBorders>
              <w:bottom w:val="single" w:sz="8" w:color="9A9A9A"/>
            </w:tcBorders>
          </w:tcPr>
          <w:p>
            <w:pPr>
              <w:spacing w:after="0"/>
              <w:rPr>
                <w:sz w:val="12"/>
                <w:szCs w:val="12"/>
                <w:color w:val="auto"/>
              </w:rPr>
            </w:pPr>
          </w:p>
        </w:tc>
        <w:tc>
          <w:tcPr>
            <w:tcW w:w="3080" w:type="dxa"/>
            <w:vAlign w:val="bottom"/>
            <w:tcBorders>
              <w:bottom w:val="single" w:sz="8" w:color="9A9A9A"/>
            </w:tcBorders>
          </w:tcPr>
          <w:p>
            <w:pPr>
              <w:spacing w:after="0"/>
              <w:rPr>
                <w:sz w:val="12"/>
                <w:szCs w:val="12"/>
                <w:color w:val="auto"/>
              </w:rPr>
            </w:pPr>
          </w:p>
        </w:tc>
        <w:tc>
          <w:tcPr>
            <w:tcW w:w="980" w:type="dxa"/>
            <w:vAlign w:val="bottom"/>
            <w:tcBorders>
              <w:bottom w:val="single" w:sz="8" w:color="9A9A9A"/>
            </w:tcBorders>
          </w:tcPr>
          <w:p>
            <w:pPr>
              <w:spacing w:after="0"/>
              <w:rPr>
                <w:sz w:val="12"/>
                <w:szCs w:val="12"/>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6802755</wp:posOffset>
            </wp:positionH>
            <wp:positionV relativeFrom="paragraph">
              <wp:posOffset>-7620</wp:posOffset>
            </wp:positionV>
            <wp:extent cx="8255" cy="8255"/>
            <wp:wrapNone/>
            <wp:docPr id="392" name="Picture 3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2"/>
                    <pic:cNvPicPr>
                      <a:picLocks noChangeAspect="1" noChangeArrowheads="1"/>
                    </pic:cNvPicPr>
                  </pic:nvPicPr>
                  <pic:blipFill>
                    <a:blip r:embed="rId39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wp:posOffset>
            </wp:positionV>
            <wp:extent cx="8890" cy="17145"/>
            <wp:wrapNone/>
            <wp:docPr id="393" name="Picture 3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3"/>
                    <pic:cNvPicPr>
                      <a:picLocks noChangeAspect="1" noChangeArrowheads="1"/>
                    </pic:cNvPicPr>
                  </pic:nvPicPr>
                  <pic:blipFill>
                    <a:blip r:embed="rId400">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sectPr>
          <w:pgSz w:w="11900" w:h="16838" w:orient="portrait"/>
          <w:cols w:equalWidth="0" w:num="1">
            <w:col w:w="10720"/>
          </w:cols>
          <w:pgMar w:left="320" w:top="131" w:right="859" w:bottom="1440" w:gutter="0" w:footer="0" w:header="0"/>
        </w:sectPr>
      </w:pPr>
    </w:p>
    <w:bookmarkStart w:id="88" w:name="page89"/>
    <w:bookmarkEnd w:id="88"/>
    <w:p>
      <w:pPr>
        <w:spacing w:after="0"/>
        <w:rPr>
          <w:rFonts w:ascii="Arial" w:cs="Arial" w:eastAsia="Arial" w:hAnsi="Arial"/>
          <w:sz w:val="14"/>
          <w:szCs w:val="14"/>
          <w:color w:val="003366"/>
        </w:rPr>
      </w:pPr>
      <w:hyperlink w:anchor="page77">
        <w:r>
          <w:rPr>
            <w:rFonts w:ascii="Arial" w:cs="Arial" w:eastAsia="Arial" w:hAnsi="Arial"/>
            <w:sz w:val="14"/>
            <w:szCs w:val="14"/>
            <w:color w:val="003366"/>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485140</wp:posOffset>
            </wp:positionH>
            <wp:positionV relativeFrom="paragraph">
              <wp:posOffset>357505</wp:posOffset>
            </wp:positionV>
            <wp:extent cx="5829300" cy="8890"/>
            <wp:wrapNone/>
            <wp:docPr id="394" name="Picture 3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4"/>
                    <pic:cNvPicPr>
                      <a:picLocks noChangeAspect="1" noChangeArrowheads="1"/>
                    </pic:cNvPicPr>
                  </pic:nvPicPr>
                  <pic:blipFill>
                    <a:blip r:embed="rId401">
                      <a:extLst>
                        <a:ext uri="{28A0092B-C50C-407E-A947-70E740481C1C}"/>
                      </a:extLst>
                    </a:blip>
                    <a:srcRect/>
                    <a:stretch>
                      <a:fillRect/>
                    </a:stretch>
                  </pic:blipFill>
                  <pic:spPr bwMode="auto">
                    <a:xfrm>
                      <a:off x="0" y="0"/>
                      <a:ext cx="5829300" cy="8890"/>
                    </a:xfrm>
                    <a:prstGeom prst="rect">
                      <a:avLst/>
                    </a:prstGeom>
                    <a:noFill/>
                  </pic:spPr>
                </pic:pic>
              </a:graphicData>
            </a:graphic>
          </wp:anchor>
        </w:drawing>
      </w:r>
    </w:p>
    <w:p>
      <w:pPr>
        <w:sectPr>
          <w:pgSz w:w="11900" w:h="16838" w:orient="portrait"/>
          <w:cols w:equalWidth="0" w:num="1">
            <w:col w:w="10139"/>
          </w:cols>
          <w:pgMar w:left="320" w:top="131"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p>
      <w:pPr>
        <w:ind w:left="1200" w:right="259"/>
        <w:spacing w:after="0" w:line="260" w:lineRule="auto"/>
        <w:rPr>
          <w:sz w:val="20"/>
          <w:szCs w:val="20"/>
          <w:color w:val="auto"/>
        </w:rPr>
      </w:pPr>
      <w:r>
        <w:rPr>
          <w:rFonts w:ascii="Arial" w:cs="Arial" w:eastAsia="Arial" w:hAnsi="Arial"/>
          <w:sz w:val="16"/>
          <w:szCs w:val="16"/>
          <w:color w:val="auto"/>
        </w:rPr>
        <w:t>to the transfer of shares shall apply to the notice or instrument of transfer as if it were an instrument of transfer signed by the member and the death or bankruptcy of the member or other event giving rise to the transmission had not occurred.</w:t>
      </w:r>
    </w:p>
    <w:p>
      <w:pPr>
        <w:spacing w:after="0" w:line="74" w:lineRule="exact"/>
        <w:rPr>
          <w:sz w:val="20"/>
          <w:szCs w:val="20"/>
          <w:color w:val="auto"/>
        </w:rPr>
      </w:pPr>
    </w:p>
    <w:p>
      <w:pPr>
        <w:ind w:left="1200" w:right="519" w:hanging="431"/>
        <w:spacing w:after="0" w:line="260" w:lineRule="auto"/>
        <w:rPr>
          <w:sz w:val="20"/>
          <w:szCs w:val="20"/>
          <w:color w:val="auto"/>
        </w:rPr>
      </w:pPr>
      <w:r>
        <w:rPr>
          <w:rFonts w:ascii="Arial" w:cs="Arial" w:eastAsia="Arial" w:hAnsi="Arial"/>
          <w:sz w:val="16"/>
          <w:szCs w:val="16"/>
          <w:color w:val="auto"/>
        </w:rPr>
        <w:t>12.3 A person entitled by transmission to a share in uncertificated form who elects to have some other person registered shall either:</w:t>
      </w:r>
    </w:p>
    <w:p>
      <w:pPr>
        <w:spacing w:after="0" w:line="60" w:lineRule="exact"/>
        <w:rPr>
          <w:sz w:val="20"/>
          <w:szCs w:val="20"/>
          <w:color w:val="auto"/>
        </w:rPr>
      </w:pPr>
    </w:p>
    <w:p>
      <w:pPr>
        <w:ind w:left="1620" w:right="459" w:hanging="424"/>
        <w:spacing w:after="0" w:line="260" w:lineRule="auto"/>
        <w:tabs>
          <w:tab w:leader="none" w:pos="1620" w:val="left"/>
        </w:tabs>
        <w:numPr>
          <w:ilvl w:val="0"/>
          <w:numId w:val="114"/>
        </w:numPr>
        <w:rPr>
          <w:rFonts w:ascii="Arial" w:cs="Arial" w:eastAsia="Arial" w:hAnsi="Arial"/>
          <w:sz w:val="16"/>
          <w:szCs w:val="16"/>
          <w:color w:val="auto"/>
        </w:rPr>
      </w:pPr>
      <w:r>
        <w:rPr>
          <w:rFonts w:ascii="Arial" w:cs="Arial" w:eastAsia="Arial" w:hAnsi="Arial"/>
          <w:sz w:val="16"/>
          <w:szCs w:val="16"/>
          <w:color w:val="auto"/>
        </w:rPr>
        <w:t>procure that instructions are given by means of the relevant system to effect transfer of such uncertificated share to that person; or</w:t>
      </w:r>
    </w:p>
    <w:p>
      <w:pPr>
        <w:spacing w:after="0" w:line="60" w:lineRule="exact"/>
        <w:rPr>
          <w:rFonts w:ascii="Arial" w:cs="Arial" w:eastAsia="Arial" w:hAnsi="Arial"/>
          <w:sz w:val="16"/>
          <w:szCs w:val="16"/>
          <w:color w:val="auto"/>
        </w:rPr>
      </w:pPr>
    </w:p>
    <w:p>
      <w:pPr>
        <w:ind w:left="1620" w:hanging="424"/>
        <w:spacing w:after="0"/>
        <w:tabs>
          <w:tab w:leader="none" w:pos="1620" w:val="left"/>
        </w:tabs>
        <w:numPr>
          <w:ilvl w:val="0"/>
          <w:numId w:val="114"/>
        </w:numPr>
        <w:rPr>
          <w:rFonts w:ascii="Arial" w:cs="Arial" w:eastAsia="Arial" w:hAnsi="Arial"/>
          <w:sz w:val="16"/>
          <w:szCs w:val="16"/>
          <w:color w:val="auto"/>
        </w:rPr>
      </w:pPr>
      <w:r>
        <w:rPr>
          <w:rFonts w:ascii="Arial" w:cs="Arial" w:eastAsia="Arial" w:hAnsi="Arial"/>
          <w:sz w:val="16"/>
          <w:szCs w:val="16"/>
          <w:color w:val="auto"/>
        </w:rPr>
        <w:t xml:space="preserve">change the uncertificated share to </w:t>
      </w:r>
      <w:r>
        <w:rPr>
          <w:rFonts w:ascii="Arial" w:cs="Arial" w:eastAsia="Arial" w:hAnsi="Arial"/>
          <w:sz w:val="16"/>
          <w:szCs w:val="16"/>
          <w:color w:val="auto"/>
          <w:strike w:val="1"/>
        </w:rPr>
        <w:t>certified</w:t>
      </w:r>
      <w:r>
        <w:rPr>
          <w:rFonts w:ascii="Arial" w:cs="Arial" w:eastAsia="Arial" w:hAnsi="Arial"/>
          <w:sz w:val="16"/>
          <w:szCs w:val="16"/>
          <w:u w:val="single" w:color="auto"/>
          <w:color w:val="auto"/>
        </w:rPr>
        <w:t>certificated</w:t>
      </w:r>
      <w:r>
        <w:rPr>
          <w:rFonts w:ascii="Arial" w:cs="Arial" w:eastAsia="Arial" w:hAnsi="Arial"/>
          <w:sz w:val="16"/>
          <w:szCs w:val="16"/>
          <w:color w:val="auto"/>
        </w:rPr>
        <w:t xml:space="preserve"> form and execute an instrument of transfer to that person.</w:t>
      </w:r>
    </w:p>
    <w:p>
      <w:pPr>
        <w:spacing w:after="0" w:line="86" w:lineRule="exact"/>
        <w:rPr>
          <w:sz w:val="20"/>
          <w:szCs w:val="20"/>
          <w:color w:val="auto"/>
        </w:rPr>
      </w:pPr>
    </w:p>
    <w:p>
      <w:pPr>
        <w:ind w:left="1200" w:right="239" w:hanging="431"/>
        <w:spacing w:after="0" w:line="251" w:lineRule="auto"/>
        <w:rPr>
          <w:sz w:val="20"/>
          <w:szCs w:val="20"/>
          <w:color w:val="auto"/>
        </w:rPr>
      </w:pPr>
      <w:r>
        <w:rPr>
          <w:rFonts w:ascii="Arial" w:cs="Arial" w:eastAsia="Arial" w:hAnsi="Arial"/>
          <w:sz w:val="16"/>
          <w:szCs w:val="16"/>
          <w:color w:val="auto"/>
        </w:rPr>
        <w:t xml:space="preserve">12.4 The Board may at any time send a notice requiring any such person referred to in Article 12.2 to elect either to be registered </w:t>
      </w:r>
      <w:r>
        <w:rPr>
          <w:rFonts w:ascii="Arial" w:cs="Arial" w:eastAsia="Arial" w:hAnsi="Arial"/>
          <w:sz w:val="16"/>
          <w:szCs w:val="16"/>
          <w:color w:val="auto"/>
          <w:strike w:val="1"/>
        </w:rPr>
        <w:t>himself</w:t>
      </w:r>
      <w:r>
        <w:rPr>
          <w:rFonts w:ascii="Arial" w:cs="Arial" w:eastAsia="Arial" w:hAnsi="Arial"/>
          <w:sz w:val="16"/>
          <w:szCs w:val="16"/>
          <w:u w:val="single" w:color="auto"/>
          <w:color w:val="auto"/>
        </w:rPr>
        <w:t>themselves</w:t>
      </w:r>
      <w:r>
        <w:rPr>
          <w:rFonts w:ascii="Arial" w:cs="Arial" w:eastAsia="Arial" w:hAnsi="Arial"/>
          <w:sz w:val="16"/>
          <w:szCs w:val="16"/>
          <w:color w:val="auto"/>
        </w:rPr>
        <w:t xml:space="preserve"> or to transfer the share. If the notice is not complied with within 60 days, the Board may after the expiry of that period withhold payment of all dividends or other amounts payable in respect of the share until the requirements of the notice have been complied with.</w:t>
      </w:r>
    </w:p>
    <w:p>
      <w:pPr>
        <w:spacing w:after="0" w:line="81" w:lineRule="exact"/>
        <w:rPr>
          <w:sz w:val="20"/>
          <w:szCs w:val="20"/>
          <w:color w:val="auto"/>
        </w:rPr>
      </w:pPr>
    </w:p>
    <w:p>
      <w:pPr>
        <w:ind w:left="1200" w:right="199" w:hanging="431"/>
        <w:spacing w:after="0" w:line="248" w:lineRule="auto"/>
        <w:rPr>
          <w:sz w:val="20"/>
          <w:szCs w:val="20"/>
          <w:color w:val="auto"/>
        </w:rPr>
      </w:pPr>
      <w:r>
        <w:rPr>
          <w:rFonts w:ascii="Arial" w:cs="Arial" w:eastAsia="Arial" w:hAnsi="Arial"/>
          <w:sz w:val="16"/>
          <w:szCs w:val="16"/>
          <w:color w:val="auto"/>
        </w:rPr>
        <w:t xml:space="preserve">12.5 A person becoming entitled to a share by reason of the death or bankruptcy of a member or otherwise by operation of law shall, upon such evidence being produced as the Board may reasonably require as to </w:t>
      </w:r>
      <w:r>
        <w:rPr>
          <w:rFonts w:ascii="Arial" w:cs="Arial" w:eastAsia="Arial" w:hAnsi="Arial"/>
          <w:sz w:val="16"/>
          <w:szCs w:val="16"/>
          <w:color w:val="auto"/>
          <w:strike w:val="1"/>
        </w:rPr>
        <w:t>his</w:t>
      </w:r>
      <w:r>
        <w:rPr>
          <w:rFonts w:ascii="Arial" w:cs="Arial" w:eastAsia="Arial" w:hAnsi="Arial"/>
          <w:sz w:val="16"/>
          <w:szCs w:val="16"/>
          <w:u w:val="single" w:color="auto"/>
          <w:color w:val="auto"/>
        </w:rPr>
        <w:t>their</w:t>
      </w:r>
      <w:r>
        <w:rPr>
          <w:rFonts w:ascii="Arial" w:cs="Arial" w:eastAsia="Arial" w:hAnsi="Arial"/>
          <w:sz w:val="16"/>
          <w:szCs w:val="16"/>
          <w:color w:val="auto"/>
        </w:rPr>
        <w:t xml:space="preserve"> entitlement and subject otherwise to Article 12.2, have the same rights in relation to the share to which </w:t>
      </w:r>
      <w:r>
        <w:rPr>
          <w:rFonts w:ascii="Arial" w:cs="Arial" w:eastAsia="Arial" w:hAnsi="Arial"/>
          <w:sz w:val="16"/>
          <w:szCs w:val="16"/>
          <w:color w:val="auto"/>
          <w:strike w:val="1"/>
        </w:rPr>
        <w:t>he</w:t>
      </w:r>
      <w:r>
        <w:rPr>
          <w:rFonts w:ascii="Arial" w:cs="Arial" w:eastAsia="Arial" w:hAnsi="Arial"/>
          <w:sz w:val="16"/>
          <w:szCs w:val="16"/>
          <w:u w:val="single" w:color="auto"/>
          <w:color w:val="auto"/>
        </w:rPr>
        <w:t>they</w:t>
      </w:r>
      <w:r>
        <w:rPr>
          <w:rFonts w:ascii="Arial" w:cs="Arial" w:eastAsia="Arial" w:hAnsi="Arial"/>
          <w:sz w:val="16"/>
          <w:szCs w:val="16"/>
          <w:color w:val="auto"/>
        </w:rPr>
        <w:t xml:space="preserve"> would be entitled if </w:t>
      </w:r>
      <w:r>
        <w:rPr>
          <w:rFonts w:ascii="Arial" w:cs="Arial" w:eastAsia="Arial" w:hAnsi="Arial"/>
          <w:sz w:val="16"/>
          <w:szCs w:val="16"/>
          <w:color w:val="auto"/>
          <w:strike w:val="1"/>
        </w:rPr>
        <w:t>he</w:t>
      </w:r>
      <w:r>
        <w:rPr>
          <w:rFonts w:ascii="Arial" w:cs="Arial" w:eastAsia="Arial" w:hAnsi="Arial"/>
          <w:sz w:val="16"/>
          <w:szCs w:val="16"/>
          <w:u w:val="single" w:color="auto"/>
          <w:color w:val="auto"/>
        </w:rPr>
        <w:t>they</w:t>
      </w:r>
      <w:r>
        <w:rPr>
          <w:rFonts w:ascii="Arial" w:cs="Arial" w:eastAsia="Arial" w:hAnsi="Arial"/>
          <w:sz w:val="16"/>
          <w:szCs w:val="16"/>
          <w:color w:val="auto"/>
        </w:rPr>
        <w:t xml:space="preserve"> were the holder of the share, and may give a discharge for all dividends and other moneys payable in respect of the share, except that </w:t>
      </w:r>
      <w:r>
        <w:rPr>
          <w:rFonts w:ascii="Arial" w:cs="Arial" w:eastAsia="Arial" w:hAnsi="Arial"/>
          <w:sz w:val="16"/>
          <w:szCs w:val="16"/>
          <w:color w:val="auto"/>
          <w:strike w:val="1"/>
        </w:rPr>
        <w:t>he</w:t>
      </w:r>
      <w:r>
        <w:rPr>
          <w:rFonts w:ascii="Arial" w:cs="Arial" w:eastAsia="Arial" w:hAnsi="Arial"/>
          <w:sz w:val="16"/>
          <w:szCs w:val="16"/>
          <w:u w:val="single" w:color="auto"/>
          <w:color w:val="auto"/>
        </w:rPr>
        <w:t>they</w:t>
      </w:r>
      <w:r>
        <w:rPr>
          <w:rFonts w:ascii="Arial" w:cs="Arial" w:eastAsia="Arial" w:hAnsi="Arial"/>
          <w:sz w:val="16"/>
          <w:szCs w:val="16"/>
          <w:color w:val="auto"/>
        </w:rPr>
        <w:t xml:space="preserve"> shall not, before being registered as the holder of the share, be entitled in respect of it to receive notice of, or to attend or vote at, any general meeting or at any separate meeting of the holders of any class of shares in the capital of the Company.</w:t>
      </w:r>
    </w:p>
    <w:p>
      <w:pPr>
        <w:spacing w:after="0" w:line="53" w:lineRule="exact"/>
        <w:rPr>
          <w:sz w:val="20"/>
          <w:szCs w:val="20"/>
          <w:color w:val="auto"/>
        </w:rPr>
      </w:pPr>
    </w:p>
    <w:p>
      <w:pPr>
        <w:ind w:left="1200" w:hanging="436"/>
        <w:spacing w:after="0"/>
        <w:tabs>
          <w:tab w:leader="none" w:pos="1200" w:val="left"/>
        </w:tabs>
        <w:numPr>
          <w:ilvl w:val="0"/>
          <w:numId w:val="115"/>
        </w:numPr>
        <w:rPr>
          <w:rFonts w:ascii="Arial" w:cs="Arial" w:eastAsia="Arial" w:hAnsi="Arial"/>
          <w:sz w:val="16"/>
          <w:szCs w:val="16"/>
          <w:b w:val="1"/>
          <w:bCs w:val="1"/>
          <w:color w:val="auto"/>
        </w:rPr>
      </w:pPr>
      <w:r>
        <w:rPr>
          <w:rFonts w:ascii="Arial" w:cs="Arial" w:eastAsia="Arial" w:hAnsi="Arial"/>
          <w:sz w:val="16"/>
          <w:szCs w:val="16"/>
          <w:b w:val="1"/>
          <w:bCs w:val="1"/>
          <w:color w:val="auto"/>
        </w:rPr>
        <w:t>SHARE WARRANTS</w:t>
      </w:r>
    </w:p>
    <w:p>
      <w:pPr>
        <w:spacing w:after="0" w:line="119" w:lineRule="exact"/>
        <w:rPr>
          <w:rFonts w:ascii="Arial" w:cs="Arial" w:eastAsia="Arial" w:hAnsi="Arial"/>
          <w:sz w:val="16"/>
          <w:szCs w:val="16"/>
          <w:b w:val="1"/>
          <w:bCs w:val="1"/>
          <w:color w:val="auto"/>
        </w:rPr>
      </w:pPr>
    </w:p>
    <w:p>
      <w:pPr>
        <w:ind w:left="1200"/>
        <w:spacing w:after="0"/>
        <w:rPr>
          <w:rFonts w:ascii="Arial" w:cs="Arial" w:eastAsia="Arial" w:hAnsi="Arial"/>
          <w:sz w:val="16"/>
          <w:szCs w:val="16"/>
          <w:b w:val="1"/>
          <w:bCs w:val="1"/>
          <w:color w:val="auto"/>
        </w:rPr>
      </w:pPr>
      <w:r>
        <w:rPr>
          <w:rFonts w:ascii="Arial" w:cs="Arial" w:eastAsia="Arial" w:hAnsi="Arial"/>
          <w:sz w:val="16"/>
          <w:szCs w:val="16"/>
          <w:color w:val="auto"/>
        </w:rPr>
        <w:t xml:space="preserve">In accordance with </w:t>
      </w:r>
      <w:r>
        <w:rPr>
          <w:rFonts w:ascii="Arial" w:cs="Arial" w:eastAsia="Arial" w:hAnsi="Arial"/>
          <w:sz w:val="16"/>
          <w:szCs w:val="16"/>
          <w:color w:val="auto"/>
          <w:strike w:val="1"/>
        </w:rPr>
        <w:t>Law</w:t>
      </w:r>
      <w:r>
        <w:rPr>
          <w:rFonts w:ascii="Arial" w:cs="Arial" w:eastAsia="Arial" w:hAnsi="Arial"/>
          <w:sz w:val="16"/>
          <w:szCs w:val="16"/>
          <w:u w:val="single" w:color="auto"/>
          <w:color w:val="auto"/>
        </w:rPr>
        <w:t>applicable law</w:t>
      </w:r>
      <w:r>
        <w:rPr>
          <w:rFonts w:ascii="Arial" w:cs="Arial" w:eastAsia="Arial" w:hAnsi="Arial"/>
          <w:sz w:val="16"/>
          <w:szCs w:val="16"/>
          <w:color w:val="auto"/>
        </w:rPr>
        <w:t>, the Company shall not issue share warrants to bearer.</w:t>
      </w:r>
    </w:p>
    <w:p>
      <w:pPr>
        <w:spacing w:after="0" w:line="66" w:lineRule="exact"/>
        <w:rPr>
          <w:rFonts w:ascii="Arial" w:cs="Arial" w:eastAsia="Arial" w:hAnsi="Arial"/>
          <w:sz w:val="16"/>
          <w:szCs w:val="16"/>
          <w:b w:val="1"/>
          <w:bCs w:val="1"/>
          <w:color w:val="auto"/>
        </w:rPr>
      </w:pPr>
    </w:p>
    <w:p>
      <w:pPr>
        <w:ind w:left="1200" w:hanging="436"/>
        <w:spacing w:after="0"/>
        <w:tabs>
          <w:tab w:leader="none" w:pos="1200" w:val="left"/>
        </w:tabs>
        <w:numPr>
          <w:ilvl w:val="0"/>
          <w:numId w:val="115"/>
        </w:numPr>
        <w:rPr>
          <w:rFonts w:ascii="Arial" w:cs="Arial" w:eastAsia="Arial" w:hAnsi="Arial"/>
          <w:sz w:val="16"/>
          <w:szCs w:val="16"/>
          <w:b w:val="1"/>
          <w:bCs w:val="1"/>
          <w:color w:val="auto"/>
        </w:rPr>
      </w:pPr>
      <w:r>
        <w:rPr>
          <w:rFonts w:ascii="Arial" w:cs="Arial" w:eastAsia="Arial" w:hAnsi="Arial"/>
          <w:sz w:val="16"/>
          <w:szCs w:val="16"/>
          <w:b w:val="1"/>
          <w:bCs w:val="1"/>
          <w:color w:val="auto"/>
        </w:rPr>
        <w:t>UNTRACED MEMBERS</w:t>
      </w:r>
    </w:p>
    <w:p>
      <w:pPr>
        <w:spacing w:after="0" w:line="106" w:lineRule="exact"/>
        <w:rPr>
          <w:sz w:val="20"/>
          <w:szCs w:val="20"/>
          <w:color w:val="auto"/>
        </w:rPr>
      </w:pPr>
    </w:p>
    <w:p>
      <w:pPr>
        <w:ind w:left="1200" w:right="1119" w:hanging="431"/>
        <w:spacing w:after="0" w:line="260" w:lineRule="auto"/>
        <w:rPr>
          <w:sz w:val="20"/>
          <w:szCs w:val="20"/>
          <w:color w:val="auto"/>
        </w:rPr>
      </w:pPr>
      <w:r>
        <w:rPr>
          <w:rFonts w:ascii="Arial" w:cs="Arial" w:eastAsia="Arial" w:hAnsi="Arial"/>
          <w:sz w:val="16"/>
          <w:szCs w:val="16"/>
          <w:color w:val="auto"/>
        </w:rPr>
        <w:t>14.1 The Company shall be entitled to sell any share held by a member, or any share to which a person is entitled by transmission, if:</w:t>
      </w:r>
    </w:p>
    <w:p>
      <w:pPr>
        <w:spacing w:after="0" w:line="60" w:lineRule="exact"/>
        <w:rPr>
          <w:sz w:val="20"/>
          <w:szCs w:val="20"/>
          <w:color w:val="auto"/>
        </w:rPr>
      </w:pPr>
    </w:p>
    <w:p>
      <w:pPr>
        <w:ind w:left="1620" w:hanging="424"/>
        <w:spacing w:after="0"/>
        <w:tabs>
          <w:tab w:leader="none" w:pos="1620" w:val="left"/>
        </w:tabs>
        <w:numPr>
          <w:ilvl w:val="0"/>
          <w:numId w:val="116"/>
        </w:numPr>
        <w:rPr>
          <w:rFonts w:ascii="Arial" w:cs="Arial" w:eastAsia="Arial" w:hAnsi="Arial"/>
          <w:sz w:val="16"/>
          <w:szCs w:val="16"/>
          <w:color w:val="auto"/>
        </w:rPr>
      </w:pPr>
      <w:r>
        <w:rPr>
          <w:rFonts w:ascii="Arial" w:cs="Arial" w:eastAsia="Arial" w:hAnsi="Arial"/>
          <w:sz w:val="16"/>
          <w:szCs w:val="16"/>
          <w:color w:val="auto"/>
        </w:rPr>
        <w:t xml:space="preserve">during the period of 12 years before the date of the </w:t>
      </w:r>
      <w:r>
        <w:rPr>
          <w:rFonts w:ascii="Arial" w:cs="Arial" w:eastAsia="Arial" w:hAnsi="Arial"/>
          <w:sz w:val="16"/>
          <w:szCs w:val="16"/>
          <w:color w:val="auto"/>
          <w:strike w:val="1"/>
        </w:rPr>
        <w:t>publication of the advertisements</w:t>
      </w:r>
      <w:r>
        <w:rPr>
          <w:rFonts w:ascii="Arial" w:cs="Arial" w:eastAsia="Arial" w:hAnsi="Arial"/>
          <w:sz w:val="16"/>
          <w:szCs w:val="16"/>
          <w:u w:val="single" w:color="auto"/>
          <w:color w:val="auto"/>
        </w:rPr>
        <w:t>notice</w:t>
      </w:r>
      <w:r>
        <w:rPr>
          <w:rFonts w:ascii="Arial" w:cs="Arial" w:eastAsia="Arial" w:hAnsi="Arial"/>
          <w:sz w:val="16"/>
          <w:szCs w:val="16"/>
          <w:color w:val="auto"/>
        </w:rPr>
        <w:t xml:space="preserve"> referred to in paragraph</w:t>
      </w:r>
    </w:p>
    <w:p>
      <w:pPr>
        <w:spacing w:after="0" w:line="5" w:lineRule="exact"/>
        <w:rPr>
          <w:rFonts w:ascii="Arial" w:cs="Arial" w:eastAsia="Arial" w:hAnsi="Arial"/>
          <w:sz w:val="16"/>
          <w:szCs w:val="16"/>
          <w:color w:val="auto"/>
        </w:rPr>
      </w:pPr>
    </w:p>
    <w:p>
      <w:pPr>
        <w:ind w:left="1620" w:right="219"/>
        <w:spacing w:after="0" w:line="251" w:lineRule="auto"/>
        <w:rPr>
          <w:rFonts w:ascii="Arial" w:cs="Arial" w:eastAsia="Arial" w:hAnsi="Arial"/>
          <w:sz w:val="16"/>
          <w:szCs w:val="16"/>
          <w:color w:val="auto"/>
        </w:rPr>
      </w:pPr>
      <w:r>
        <w:rPr>
          <w:rFonts w:ascii="Arial" w:cs="Arial" w:eastAsia="Arial" w:hAnsi="Arial"/>
          <w:sz w:val="16"/>
          <w:szCs w:val="16"/>
          <w:u w:val="single" w:color="auto"/>
          <w:color w:val="auto"/>
        </w:rPr>
        <w:t>(</w:t>
      </w:r>
      <w:r>
        <w:rPr>
          <w:rFonts w:ascii="Arial" w:cs="Arial" w:eastAsia="Arial" w:hAnsi="Arial"/>
          <w:sz w:val="16"/>
          <w:szCs w:val="16"/>
          <w:color w:val="auto"/>
        </w:rPr>
        <w:t xml:space="preserve">(b) of this Article 14.1 </w:t>
      </w:r>
      <w:r>
        <w:rPr>
          <w:rFonts w:ascii="Arial" w:cs="Arial" w:eastAsia="Arial" w:hAnsi="Arial"/>
          <w:sz w:val="16"/>
          <w:szCs w:val="16"/>
          <w:color w:val="auto"/>
          <w:strike w:val="1"/>
        </w:rPr>
        <w:t>(or, if published on different dates, the first date)</w:t>
      </w:r>
      <w:r>
        <w:rPr>
          <w:rFonts w:ascii="Arial" w:cs="Arial" w:eastAsia="Arial" w:hAnsi="Arial"/>
          <w:sz w:val="16"/>
          <w:szCs w:val="16"/>
          <w:color w:val="auto"/>
        </w:rPr>
        <w:t xml:space="preserve"> (the “</w:t>
      </w:r>
      <w:r>
        <w:rPr>
          <w:rFonts w:ascii="Arial" w:cs="Arial" w:eastAsia="Arial" w:hAnsi="Arial"/>
          <w:sz w:val="16"/>
          <w:szCs w:val="16"/>
          <w:b w:val="1"/>
          <w:bCs w:val="1"/>
          <w:color w:val="auto"/>
        </w:rPr>
        <w:t>relevant period”</w:t>
      </w:r>
      <w:r>
        <w:rPr>
          <w:rFonts w:ascii="Arial" w:cs="Arial" w:eastAsia="Arial" w:hAnsi="Arial"/>
          <w:sz w:val="16"/>
          <w:szCs w:val="16"/>
          <w:color w:val="auto"/>
        </w:rPr>
        <w:t xml:space="preserve">) at least three dividends in respect of the share have been declared and all dividend warrants, cheques or other method of payment for amounts payable in respect of the share which have been sent and were payable in a manner authorised by these Articles have remained uncashed; </w:t>
      </w:r>
      <w:r>
        <w:rPr>
          <w:rFonts w:ascii="Arial" w:cs="Arial" w:eastAsia="Arial" w:hAnsi="Arial"/>
          <w:sz w:val="16"/>
          <w:szCs w:val="16"/>
          <w:u w:val="single" w:color="auto"/>
          <w:color w:val="auto"/>
        </w:rPr>
        <w:t>and</w:t>
      </w:r>
    </w:p>
    <w:p>
      <w:pPr>
        <w:spacing w:after="0" w:line="80" w:lineRule="exact"/>
        <w:rPr>
          <w:rFonts w:ascii="Arial" w:cs="Arial" w:eastAsia="Arial" w:hAnsi="Arial"/>
          <w:sz w:val="16"/>
          <w:szCs w:val="16"/>
          <w:color w:val="auto"/>
        </w:rPr>
      </w:pPr>
    </w:p>
    <w:p>
      <w:pPr>
        <w:ind w:left="1620" w:right="219" w:hanging="424"/>
        <w:spacing w:after="0" w:line="251" w:lineRule="auto"/>
        <w:tabs>
          <w:tab w:leader="none" w:pos="1620" w:val="left"/>
        </w:tabs>
        <w:numPr>
          <w:ilvl w:val="0"/>
          <w:numId w:val="116"/>
        </w:numPr>
        <w:rPr>
          <w:rFonts w:ascii="Arial" w:cs="Arial" w:eastAsia="Arial" w:hAnsi="Arial"/>
          <w:sz w:val="16"/>
          <w:szCs w:val="16"/>
          <w:u w:val="single" w:color="auto"/>
          <w:color w:val="auto"/>
        </w:rPr>
      </w:pPr>
      <w:r>
        <w:rPr>
          <w:rFonts w:ascii="Arial" w:cs="Arial" w:eastAsia="Arial" w:hAnsi="Arial"/>
          <w:sz w:val="16"/>
          <w:szCs w:val="16"/>
          <w:color w:val="auto"/>
        </w:rPr>
        <w:t xml:space="preserve">the Company has, </w:t>
      </w:r>
      <w:r>
        <w:rPr>
          <w:rFonts w:ascii="Arial" w:cs="Arial" w:eastAsia="Arial" w:hAnsi="Arial"/>
          <w:sz w:val="16"/>
          <w:szCs w:val="16"/>
          <w:color w:val="auto"/>
          <w:strike w:val="1"/>
        </w:rPr>
        <w:t>as soon as practicable</w:t>
      </w:r>
      <w:r>
        <w:rPr>
          <w:rFonts w:ascii="Arial" w:cs="Arial" w:eastAsia="Arial" w:hAnsi="Arial"/>
          <w:sz w:val="16"/>
          <w:szCs w:val="16"/>
          <w:color w:val="auto"/>
        </w:rPr>
        <w:t xml:space="preserve"> after the expiration of the relevant period, </w:t>
      </w:r>
      <w:r>
        <w:rPr>
          <w:rFonts w:ascii="Arial" w:cs="Arial" w:eastAsia="Arial" w:hAnsi="Arial"/>
          <w:sz w:val="16"/>
          <w:szCs w:val="16"/>
          <w:color w:val="auto"/>
          <w:strike w:val="1"/>
        </w:rPr>
        <w:t>inserted an advertisement in</w:t>
      </w:r>
      <w:r>
        <w:rPr>
          <w:rFonts w:ascii="Arial" w:cs="Arial" w:eastAsia="Arial" w:hAnsi="Arial"/>
          <w:sz w:val="16"/>
          <w:szCs w:val="16"/>
          <w:u w:val="single" w:color="auto"/>
          <w:color w:val="auto"/>
        </w:rPr>
        <w:t>sent</w:t>
      </w:r>
      <w:r>
        <w:rPr>
          <w:rFonts w:ascii="Arial" w:cs="Arial" w:eastAsia="Arial" w:hAnsi="Arial"/>
          <w:sz w:val="16"/>
          <w:szCs w:val="16"/>
          <w:color w:val="auto"/>
        </w:rPr>
        <w:t xml:space="preserve"> a </w:t>
      </w:r>
      <w:r>
        <w:rPr>
          <w:rFonts w:ascii="Arial" w:cs="Arial" w:eastAsia="Arial" w:hAnsi="Arial"/>
          <w:sz w:val="16"/>
          <w:szCs w:val="16"/>
          <w:color w:val="auto"/>
          <w:strike w:val="1"/>
        </w:rPr>
        <w:t xml:space="preserve">leading national daily newspaper published in the United Kingdom and in a newspaper circulating in the area of the registered address or </w:t>
      </w:r>
      <w:r>
        <w:rPr>
          <w:rFonts w:ascii="Arial" w:cs="Arial" w:eastAsia="Arial" w:hAnsi="Arial"/>
          <w:sz w:val="16"/>
          <w:szCs w:val="16"/>
          <w:u w:val="single" w:color="auto"/>
          <w:color w:val="auto"/>
          <w:strike w:val="1"/>
        </w:rPr>
        <w:t>notice to the</w:t>
      </w:r>
      <w:r>
        <w:rPr>
          <w:rFonts w:ascii="Arial" w:cs="Arial" w:eastAsia="Arial" w:hAnsi="Arial"/>
          <w:sz w:val="16"/>
          <w:szCs w:val="16"/>
          <w:color w:val="auto"/>
          <w:strike w:val="1"/>
        </w:rPr>
        <w:t xml:space="preserve"> last known address of</w:t>
      </w:r>
      <w:r>
        <w:rPr>
          <w:rFonts w:ascii="Arial" w:cs="Arial" w:eastAsia="Arial" w:hAnsi="Arial"/>
          <w:sz w:val="16"/>
          <w:szCs w:val="16"/>
          <w:u w:val="single" w:color="auto"/>
          <w:color w:val="auto"/>
          <w:strike w:val="1"/>
        </w:rPr>
        <w:t>that</w:t>
      </w:r>
      <w:r>
        <w:rPr>
          <w:rFonts w:ascii="Arial" w:cs="Arial" w:eastAsia="Arial" w:hAnsi="Arial"/>
          <w:sz w:val="16"/>
          <w:szCs w:val="16"/>
          <w:color w:val="auto"/>
          <w:strike w:val="1"/>
        </w:rPr>
        <w:t xml:space="preserve"> the </w:t>
      </w:r>
      <w:r>
        <w:rPr>
          <w:rFonts w:ascii="Arial" w:cs="Arial" w:eastAsia="Arial" w:hAnsi="Arial"/>
          <w:sz w:val="16"/>
          <w:szCs w:val="16"/>
          <w:u w:val="single" w:color="auto"/>
          <w:color w:val="auto"/>
          <w:strike w:val="1"/>
        </w:rPr>
        <w:t>Company has for the relevant</w:t>
      </w:r>
      <w:r>
        <w:rPr>
          <w:rFonts w:ascii="Arial" w:cs="Arial" w:eastAsia="Arial" w:hAnsi="Arial"/>
          <w:sz w:val="16"/>
          <w:szCs w:val="16"/>
          <w:color w:val="auto"/>
          <w:strike w:val="1"/>
        </w:rPr>
        <w:t xml:space="preserve"> member or person concerned, giving notice of its intention to sell such share (</w:t>
      </w:r>
      <w:r>
        <w:rPr>
          <w:rFonts w:ascii="Arial" w:cs="Arial" w:eastAsia="Arial" w:hAnsi="Arial"/>
          <w:sz w:val="16"/>
          <w:szCs w:val="16"/>
          <w:u w:val="single" w:color="auto"/>
          <w:color w:val="auto"/>
          <w:strike w:val="1"/>
        </w:rPr>
        <w:t>;</w:t>
      </w:r>
    </w:p>
    <w:p>
      <w:pPr>
        <w:spacing w:after="0" w:line="67" w:lineRule="exact"/>
        <w:rPr>
          <w:rFonts w:ascii="Arial" w:cs="Arial" w:eastAsia="Arial" w:hAnsi="Arial"/>
          <w:sz w:val="16"/>
          <w:szCs w:val="16"/>
          <w:u w:val="single" w:color="auto"/>
          <w:color w:val="auto"/>
        </w:rPr>
      </w:pPr>
    </w:p>
    <w:p>
      <w:pPr>
        <w:ind w:left="1620" w:right="219" w:hanging="424"/>
        <w:spacing w:after="0" w:line="251" w:lineRule="auto"/>
        <w:tabs>
          <w:tab w:leader="none" w:pos="1620" w:val="left"/>
        </w:tabs>
        <w:numPr>
          <w:ilvl w:val="0"/>
          <w:numId w:val="116"/>
        </w:numPr>
        <w:rPr>
          <w:rFonts w:ascii="Arial" w:cs="Arial" w:eastAsia="Arial" w:hAnsi="Arial"/>
          <w:sz w:val="16"/>
          <w:szCs w:val="16"/>
          <w:color w:val="auto"/>
        </w:rPr>
      </w:pPr>
      <w:r>
        <w:rPr>
          <w:rFonts w:ascii="Arial" w:cs="Arial" w:eastAsia="Arial" w:hAnsi="Arial"/>
          <w:sz w:val="16"/>
          <w:szCs w:val="16"/>
          <w:u w:val="single" w:color="auto"/>
          <w:color w:val="auto"/>
        </w:rPr>
        <w:t>before sending the notice referred to in paragraph (b) of this Article</w:t>
      </w:r>
      <w:r>
        <w:rPr>
          <w:rFonts w:ascii="Arial" w:cs="Arial" w:eastAsia="Arial" w:hAnsi="Arial"/>
          <w:sz w:val="16"/>
          <w:szCs w:val="16"/>
          <w:color w:val="auto"/>
        </w:rPr>
        <w:t xml:space="preserve"> 14.1</w:t>
      </w:r>
      <w:r>
        <w:rPr>
          <w:rFonts w:ascii="Arial" w:cs="Arial" w:eastAsia="Arial" w:hAnsi="Arial"/>
          <w:sz w:val="16"/>
          <w:szCs w:val="16"/>
          <w:u w:val="single" w:color="auto"/>
          <w:color w:val="auto"/>
        </w:rPr>
        <w:t>, the Company has made tracing enquiries for</w:t>
      </w:r>
      <w:r>
        <w:rPr>
          <w:rFonts w:ascii="Arial" w:cs="Arial" w:eastAsia="Arial" w:hAnsi="Arial"/>
          <w:sz w:val="16"/>
          <w:szCs w:val="16"/>
          <w:color w:val="auto"/>
        </w:rPr>
        <w:t xml:space="preserve"> </w:t>
      </w:r>
      <w:r>
        <w:rPr>
          <w:rFonts w:ascii="Arial" w:cs="Arial" w:eastAsia="Arial" w:hAnsi="Arial"/>
          <w:sz w:val="16"/>
          <w:szCs w:val="16"/>
          <w:u w:val="single" w:color="auto"/>
          <w:color w:val="auto"/>
        </w:rPr>
        <w:t>the purposes of contacting the member or person entitled by transmission which the Board considers to be reasonable and appropriate in the circumstances;</w:t>
      </w:r>
      <w:r>
        <w:rPr>
          <w:rFonts w:ascii="Arial" w:cs="Arial" w:eastAsia="Arial" w:hAnsi="Arial"/>
          <w:sz w:val="16"/>
          <w:szCs w:val="16"/>
          <w:color w:val="auto"/>
        </w:rPr>
        <w:t xml:space="preserve"> and </w:t>
      </w:r>
      <w:r>
        <w:rPr>
          <w:rFonts w:ascii="Arial" w:cs="Arial" w:eastAsia="Arial" w:hAnsi="Arial"/>
          <w:sz w:val="16"/>
          <w:szCs w:val="16"/>
          <w:color w:val="auto"/>
          <w:strike w:val="1"/>
        </w:rPr>
        <w:t>the said advertisements, if not published on the same day, shall have been</w:t>
      </w:r>
      <w:r>
        <w:rPr>
          <w:rFonts w:ascii="Arial" w:cs="Arial" w:eastAsia="Arial" w:hAnsi="Arial"/>
          <w:sz w:val="16"/>
          <w:szCs w:val="16"/>
          <w:color w:val="auto"/>
        </w:rPr>
        <w:t xml:space="preserve"> </w:t>
      </w:r>
      <w:r>
        <w:rPr>
          <w:rFonts w:ascii="Arial" w:cs="Arial" w:eastAsia="Arial" w:hAnsi="Arial"/>
          <w:sz w:val="16"/>
          <w:szCs w:val="16"/>
          <w:color w:val="auto"/>
          <w:strike w:val="1"/>
        </w:rPr>
        <w:t>published within 30 days of each other);</w:t>
      </w:r>
    </w:p>
    <w:p>
      <w:pPr>
        <w:spacing w:after="0" w:line="67" w:lineRule="exact"/>
        <w:rPr>
          <w:rFonts w:ascii="Arial" w:cs="Arial" w:eastAsia="Arial" w:hAnsi="Arial"/>
          <w:sz w:val="16"/>
          <w:szCs w:val="16"/>
          <w:color w:val="auto"/>
        </w:rPr>
      </w:pPr>
    </w:p>
    <w:p>
      <w:pPr>
        <w:ind w:left="1620" w:right="299" w:hanging="424"/>
        <w:spacing w:after="0" w:line="253" w:lineRule="auto"/>
        <w:tabs>
          <w:tab w:leader="none" w:pos="1620" w:val="left"/>
        </w:tabs>
        <w:numPr>
          <w:ilvl w:val="0"/>
          <w:numId w:val="116"/>
        </w:numPr>
        <w:rPr>
          <w:rFonts w:ascii="Arial" w:cs="Arial" w:eastAsia="Arial" w:hAnsi="Arial"/>
          <w:sz w:val="16"/>
          <w:szCs w:val="16"/>
          <w:color w:val="auto"/>
        </w:rPr>
      </w:pPr>
      <w:r>
        <w:rPr>
          <w:rFonts w:ascii="Arial" w:cs="Arial" w:eastAsia="Arial" w:hAnsi="Arial"/>
          <w:sz w:val="16"/>
          <w:szCs w:val="16"/>
          <w:color w:val="auto"/>
        </w:rPr>
        <w:t xml:space="preserve">during the relevant period and the further period of three months after the </w:t>
      </w:r>
      <w:r>
        <w:rPr>
          <w:rFonts w:ascii="Arial" w:cs="Arial" w:eastAsia="Arial" w:hAnsi="Arial"/>
          <w:sz w:val="16"/>
          <w:szCs w:val="16"/>
          <w:color w:val="auto"/>
          <w:strike w:val="1"/>
        </w:rPr>
        <w:t>publication</w:t>
      </w:r>
      <w:r>
        <w:rPr>
          <w:rFonts w:ascii="Arial" w:cs="Arial" w:eastAsia="Arial" w:hAnsi="Arial"/>
          <w:sz w:val="16"/>
          <w:szCs w:val="16"/>
          <w:u w:val="single" w:color="auto"/>
          <w:color w:val="auto"/>
        </w:rPr>
        <w:t>date</w:t>
      </w:r>
      <w:r>
        <w:rPr>
          <w:rFonts w:ascii="Arial" w:cs="Arial" w:eastAsia="Arial" w:hAnsi="Arial"/>
          <w:sz w:val="16"/>
          <w:szCs w:val="16"/>
          <w:color w:val="auto"/>
        </w:rPr>
        <w:t xml:space="preserve"> of the </w:t>
      </w:r>
      <w:r>
        <w:rPr>
          <w:rFonts w:ascii="Arial" w:cs="Arial" w:eastAsia="Arial" w:hAnsi="Arial"/>
          <w:sz w:val="16"/>
          <w:szCs w:val="16"/>
          <w:color w:val="auto"/>
          <w:strike w:val="1"/>
        </w:rPr>
        <w:t>advertisements</w:t>
      </w:r>
      <w:r>
        <w:rPr>
          <w:rFonts w:ascii="Arial" w:cs="Arial" w:eastAsia="Arial" w:hAnsi="Arial"/>
          <w:sz w:val="16"/>
          <w:szCs w:val="16"/>
          <w:u w:val="single" w:color="auto"/>
          <w:color w:val="auto"/>
        </w:rPr>
        <w:t>notice</w:t>
      </w:r>
      <w:r>
        <w:rPr>
          <w:rFonts w:ascii="Arial" w:cs="Arial" w:eastAsia="Arial" w:hAnsi="Arial"/>
          <w:sz w:val="16"/>
          <w:szCs w:val="16"/>
          <w:color w:val="auto"/>
        </w:rPr>
        <w:t xml:space="preserve"> referred to in paragraph </w:t>
      </w:r>
      <w:r>
        <w:rPr>
          <w:rFonts w:ascii="Arial" w:cs="Arial" w:eastAsia="Arial" w:hAnsi="Arial"/>
          <w:sz w:val="16"/>
          <w:szCs w:val="16"/>
          <w:u w:val="single" w:color="auto"/>
          <w:color w:val="auto"/>
        </w:rPr>
        <w:t>((</w:t>
      </w:r>
      <w:r>
        <w:rPr>
          <w:rFonts w:ascii="Arial" w:cs="Arial" w:eastAsia="Arial" w:hAnsi="Arial"/>
          <w:sz w:val="16"/>
          <w:szCs w:val="16"/>
          <w:color w:val="auto"/>
        </w:rPr>
        <w:t xml:space="preserve">b) of this Article 14.1 </w:t>
      </w:r>
      <w:r>
        <w:rPr>
          <w:rFonts w:ascii="Arial" w:cs="Arial" w:eastAsia="Arial" w:hAnsi="Arial"/>
          <w:sz w:val="16"/>
          <w:szCs w:val="16"/>
          <w:color w:val="auto"/>
          <w:strike w:val="1"/>
        </w:rPr>
        <w:t>(or, if published on different dates, the later date)</w:t>
      </w:r>
      <w:r>
        <w:rPr>
          <w:rFonts w:ascii="Arial" w:cs="Arial" w:eastAsia="Arial" w:hAnsi="Arial"/>
          <w:sz w:val="16"/>
          <w:szCs w:val="16"/>
          <w:u w:val="single" w:color="auto"/>
          <w:color w:val="auto"/>
        </w:rPr>
        <w:t>,</w:t>
      </w:r>
      <w:r>
        <w:rPr>
          <w:rFonts w:ascii="Arial" w:cs="Arial" w:eastAsia="Arial" w:hAnsi="Arial"/>
          <w:sz w:val="16"/>
          <w:szCs w:val="16"/>
          <w:color w:val="auto"/>
        </w:rPr>
        <w:t xml:space="preserve"> the Company has received no communication from, or on behalf of, such member or person concerned</w:t>
      </w:r>
      <w:r>
        <w:rPr>
          <w:rFonts w:ascii="Arial" w:cs="Arial" w:eastAsia="Arial" w:hAnsi="Arial"/>
          <w:sz w:val="16"/>
          <w:szCs w:val="16"/>
          <w:color w:val="auto"/>
          <w:strike w:val="1"/>
        </w:rPr>
        <w:t>; and</w:t>
      </w:r>
      <w:r>
        <w:rPr>
          <w:rFonts w:ascii="Arial" w:cs="Arial" w:eastAsia="Arial" w:hAnsi="Arial"/>
          <w:sz w:val="16"/>
          <w:szCs w:val="16"/>
          <w:u w:val="single" w:color="auto"/>
          <w:color w:val="auto"/>
        </w:rPr>
        <w:t>.</w:t>
      </w:r>
    </w:p>
    <w:p>
      <w:pPr>
        <w:spacing w:after="0" w:line="66" w:lineRule="exact"/>
        <w:rPr>
          <w:sz w:val="20"/>
          <w:szCs w:val="20"/>
          <w:color w:val="auto"/>
        </w:rPr>
      </w:pPr>
    </w:p>
    <w:p>
      <w:pPr>
        <w:ind w:left="1620" w:right="559" w:hanging="424"/>
        <w:spacing w:after="0" w:line="260" w:lineRule="auto"/>
        <w:tabs>
          <w:tab w:leader="none" w:pos="1620" w:val="left"/>
        </w:tabs>
        <w:numPr>
          <w:ilvl w:val="0"/>
          <w:numId w:val="117"/>
        </w:numPr>
        <w:rPr>
          <w:rFonts w:ascii="Arial" w:cs="Arial" w:eastAsia="Arial" w:hAnsi="Arial"/>
          <w:sz w:val="16"/>
          <w:szCs w:val="16"/>
          <w:color w:val="auto"/>
          <w:strike w:val="1"/>
        </w:rPr>
      </w:pPr>
      <w:r>
        <w:rPr>
          <w:rFonts w:ascii="Arial" w:cs="Arial" w:eastAsia="Arial" w:hAnsi="Arial"/>
          <w:sz w:val="16"/>
          <w:szCs w:val="16"/>
          <w:color w:val="auto"/>
          <w:strike w:val="1"/>
        </w:rPr>
        <w:t>the Company has given notice to the UKLA of its intention to make such sale, if shares of the class concerned are listed on the Official List or dealt on the London Stock Exchange.</w:t>
      </w:r>
    </w:p>
    <w:p>
      <w:pPr>
        <w:spacing w:after="0" w:line="74" w:lineRule="exact"/>
        <w:rPr>
          <w:sz w:val="20"/>
          <w:szCs w:val="20"/>
          <w:color w:val="auto"/>
        </w:rPr>
      </w:pPr>
    </w:p>
    <w:p>
      <w:pPr>
        <w:ind w:left="1200" w:right="359" w:hanging="431"/>
        <w:spacing w:after="0" w:line="251" w:lineRule="auto"/>
        <w:rPr>
          <w:sz w:val="20"/>
          <w:szCs w:val="20"/>
          <w:color w:val="auto"/>
        </w:rPr>
      </w:pPr>
      <w:r>
        <w:rPr>
          <w:rFonts w:ascii="Arial" w:cs="Arial" w:eastAsia="Arial" w:hAnsi="Arial"/>
          <w:sz w:val="16"/>
          <w:szCs w:val="16"/>
          <w:color w:val="auto"/>
        </w:rPr>
        <w:t xml:space="preserve">14.2 The Company shall also be entitled to sell any additional share issued during the relevant period </w:t>
      </w:r>
      <w:r>
        <w:rPr>
          <w:rFonts w:ascii="Arial" w:cs="Arial" w:eastAsia="Arial" w:hAnsi="Arial"/>
          <w:sz w:val="16"/>
          <w:szCs w:val="16"/>
          <w:color w:val="auto"/>
          <w:strike w:val="1"/>
        </w:rPr>
        <w:t>of 12 years</w:t>
      </w:r>
      <w:r>
        <w:rPr>
          <w:rFonts w:ascii="Arial" w:cs="Arial" w:eastAsia="Arial" w:hAnsi="Arial"/>
          <w:sz w:val="16"/>
          <w:szCs w:val="16"/>
          <w:color w:val="auto"/>
        </w:rPr>
        <w:t xml:space="preserve"> in right of any share to which Article 14.1 applies (or in right of any share so issued), if the criteria in Article 14.1 are satisfied in relation to the additional share (but as if the words “during the period of 12 years” were omitted from paragraph </w:t>
      </w:r>
      <w:r>
        <w:rPr>
          <w:rFonts w:ascii="Arial" w:cs="Arial" w:eastAsia="Arial" w:hAnsi="Arial"/>
          <w:sz w:val="16"/>
          <w:szCs w:val="16"/>
          <w:u w:val="single" w:color="auto"/>
          <w:color w:val="auto"/>
        </w:rPr>
        <w:t>((</w:t>
      </w:r>
      <w:r>
        <w:rPr>
          <w:rFonts w:ascii="Arial" w:cs="Arial" w:eastAsia="Arial" w:hAnsi="Arial"/>
          <w:sz w:val="16"/>
          <w:szCs w:val="16"/>
          <w:color w:val="auto"/>
        </w:rPr>
        <w:t xml:space="preserve">a) and the words “, after the expiration of the relevant period,” were omitted from paragraph </w:t>
      </w:r>
      <w:r>
        <w:rPr>
          <w:rFonts w:ascii="Arial" w:cs="Arial" w:eastAsia="Arial" w:hAnsi="Arial"/>
          <w:sz w:val="16"/>
          <w:szCs w:val="16"/>
          <w:u w:val="single" w:color="auto"/>
          <w:color w:val="auto"/>
        </w:rPr>
        <w:t>((</w:t>
      </w:r>
      <w:r>
        <w:rPr>
          <w:rFonts w:ascii="Arial" w:cs="Arial" w:eastAsia="Arial" w:hAnsi="Arial"/>
          <w:sz w:val="16"/>
          <w:szCs w:val="16"/>
          <w:color w:val="auto"/>
        </w:rPr>
        <w:t>b)).</w:t>
      </w:r>
    </w:p>
    <w:p>
      <w:pPr>
        <w:spacing w:after="0" w:line="67" w:lineRule="exact"/>
        <w:rPr>
          <w:sz w:val="20"/>
          <w:szCs w:val="20"/>
          <w:color w:val="auto"/>
        </w:rPr>
      </w:pPr>
    </w:p>
    <w:p>
      <w:pPr>
        <w:ind w:left="760"/>
        <w:spacing w:after="0"/>
        <w:rPr>
          <w:sz w:val="20"/>
          <w:szCs w:val="20"/>
          <w:color w:val="auto"/>
        </w:rPr>
      </w:pPr>
      <w:r>
        <w:rPr>
          <w:rFonts w:ascii="Arial" w:cs="Arial" w:eastAsia="Arial" w:hAnsi="Arial"/>
          <w:sz w:val="16"/>
          <w:szCs w:val="16"/>
          <w:color w:val="auto"/>
        </w:rPr>
        <w:t>14.3  To give effect to the sale of any share pursuant to this Article 14 the Company may:</w:t>
      </w:r>
    </w:p>
    <w:p>
      <w:pPr>
        <w:spacing w:after="0" w:line="86" w:lineRule="exact"/>
        <w:rPr>
          <w:sz w:val="20"/>
          <w:szCs w:val="20"/>
          <w:color w:val="auto"/>
        </w:rPr>
      </w:pPr>
    </w:p>
    <w:p>
      <w:pPr>
        <w:ind w:left="1620" w:right="199" w:hanging="424"/>
        <w:spacing w:after="0" w:line="253" w:lineRule="auto"/>
        <w:tabs>
          <w:tab w:leader="none" w:pos="1620" w:val="left"/>
        </w:tabs>
        <w:numPr>
          <w:ilvl w:val="0"/>
          <w:numId w:val="118"/>
        </w:numPr>
        <w:rPr>
          <w:rFonts w:ascii="Arial" w:cs="Arial" w:eastAsia="Arial" w:hAnsi="Arial"/>
          <w:sz w:val="16"/>
          <w:szCs w:val="16"/>
          <w:color w:val="auto"/>
        </w:rPr>
      </w:pPr>
      <w:r>
        <w:rPr>
          <w:rFonts w:ascii="Arial" w:cs="Arial" w:eastAsia="Arial" w:hAnsi="Arial"/>
          <w:sz w:val="16"/>
          <w:szCs w:val="16"/>
          <w:color w:val="auto"/>
        </w:rPr>
        <w:t xml:space="preserve">in the case of a share in certificated form, appoint any person to execute an instrument of transfer of the share, and the instrument shall be as effective as if it had been executed by the </w:t>
      </w:r>
      <w:r>
        <w:rPr>
          <w:rFonts w:ascii="Arial" w:cs="Arial" w:eastAsia="Arial" w:hAnsi="Arial"/>
          <w:sz w:val="16"/>
          <w:szCs w:val="16"/>
          <w:color w:val="auto"/>
          <w:strike w:val="1"/>
        </w:rPr>
        <w:t>registered</w:t>
      </w:r>
      <w:r>
        <w:rPr>
          <w:rFonts w:ascii="Arial" w:cs="Arial" w:eastAsia="Arial" w:hAnsi="Arial"/>
          <w:sz w:val="16"/>
          <w:szCs w:val="16"/>
          <w:color w:val="auto"/>
        </w:rPr>
        <w:t xml:space="preserve"> holder of, or person entitled by transmission to, the share; and</w:t>
      </w:r>
    </w:p>
    <w:p>
      <w:pPr>
        <w:spacing w:after="0" w:line="79" w:lineRule="exact"/>
        <w:rPr>
          <w:rFonts w:ascii="Arial" w:cs="Arial" w:eastAsia="Arial" w:hAnsi="Arial"/>
          <w:sz w:val="16"/>
          <w:szCs w:val="16"/>
          <w:color w:val="auto"/>
        </w:rPr>
      </w:pPr>
    </w:p>
    <w:p>
      <w:pPr>
        <w:ind w:left="1620" w:right="499" w:hanging="424"/>
        <w:spacing w:after="0" w:line="253" w:lineRule="auto"/>
        <w:tabs>
          <w:tab w:leader="none" w:pos="1620" w:val="left"/>
        </w:tabs>
        <w:numPr>
          <w:ilvl w:val="0"/>
          <w:numId w:val="118"/>
        </w:numPr>
        <w:rPr>
          <w:rFonts w:ascii="Arial" w:cs="Arial" w:eastAsia="Arial" w:hAnsi="Arial"/>
          <w:sz w:val="16"/>
          <w:szCs w:val="16"/>
          <w:color w:val="auto"/>
        </w:rPr>
      </w:pPr>
      <w:r>
        <w:rPr>
          <w:rFonts w:ascii="Arial" w:cs="Arial" w:eastAsia="Arial" w:hAnsi="Arial"/>
          <w:sz w:val="16"/>
          <w:szCs w:val="16"/>
          <w:color w:val="auto"/>
        </w:rPr>
        <w:t xml:space="preserve">in the case of a share in uncertificated form, in accordance with the Uncertificated Securities Rules, the Board may issue a written notification to the Operator </w:t>
      </w:r>
      <w:r>
        <w:rPr>
          <w:rFonts w:ascii="Arial" w:cs="Arial" w:eastAsia="Arial" w:hAnsi="Arial"/>
          <w:sz w:val="16"/>
          <w:szCs w:val="16"/>
          <w:u w:val="single" w:color="auto"/>
          <w:color w:val="auto"/>
        </w:rPr>
        <w:t>or any Depositary of such shares</w:t>
      </w:r>
      <w:r>
        <w:rPr>
          <w:rFonts w:ascii="Arial" w:cs="Arial" w:eastAsia="Arial" w:hAnsi="Arial"/>
          <w:sz w:val="16"/>
          <w:szCs w:val="16"/>
          <w:color w:val="auto"/>
        </w:rPr>
        <w:t xml:space="preserve"> requiring the conversion of the </w:t>
      </w:r>
      <w:r>
        <w:rPr>
          <w:rFonts w:ascii="Arial" w:cs="Arial" w:eastAsia="Arial" w:hAnsi="Arial"/>
          <w:sz w:val="16"/>
          <w:szCs w:val="16"/>
          <w:color w:val="auto"/>
          <w:strike w:val="1"/>
        </w:rPr>
        <w:t>shares</w:t>
      </w:r>
      <w:r>
        <w:rPr>
          <w:rFonts w:ascii="Arial" w:cs="Arial" w:eastAsia="Arial" w:hAnsi="Arial"/>
          <w:sz w:val="16"/>
          <w:szCs w:val="16"/>
          <w:u w:val="single" w:color="auto"/>
          <w:color w:val="auto"/>
        </w:rPr>
        <w:t>share</w:t>
      </w:r>
      <w:r>
        <w:rPr>
          <w:rFonts w:ascii="Arial" w:cs="Arial" w:eastAsia="Arial" w:hAnsi="Arial"/>
          <w:sz w:val="16"/>
          <w:szCs w:val="16"/>
          <w:color w:val="auto"/>
        </w:rPr>
        <w:t xml:space="preserve"> to certificated form.</w:t>
      </w:r>
    </w:p>
    <w:p>
      <w:pPr>
        <w:spacing w:after="0" w:line="99" w:lineRule="exact"/>
        <w:rPr>
          <w:sz w:val="20"/>
          <w:szCs w:val="20"/>
          <w:color w:val="auto"/>
        </w:rPr>
      </w:pPr>
    </w:p>
    <w:p>
      <w:pPr>
        <w:ind w:left="480"/>
        <w:spacing w:after="0"/>
        <w:tabs>
          <w:tab w:leader="none" w:pos="4420" w:val="left"/>
          <w:tab w:leader="none" w:pos="8760" w:val="left"/>
        </w:tabs>
        <w:rPr>
          <w:sz w:val="20"/>
          <w:szCs w:val="20"/>
          <w:color w:val="auto"/>
        </w:rPr>
      </w:pPr>
      <w:r>
        <w:rPr>
          <w:rFonts w:ascii="Arial" w:cs="Arial" w:eastAsia="Arial" w:hAnsi="Arial"/>
          <w:sz w:val="28"/>
          <w:szCs w:val="28"/>
          <w:b w:val="1"/>
          <w:bCs w:val="1"/>
          <w:color w:val="000000"/>
          <w:vertAlign w:val="subscript"/>
        </w:rPr>
        <w:t>A-10</w:t>
      </w:r>
      <w:r>
        <w:rPr>
          <w:sz w:val="20"/>
          <w:szCs w:val="20"/>
          <w:color w:val="auto"/>
        </w:rPr>
        <w:tab/>
      </w:r>
      <w:r>
        <w:rPr>
          <w:rFonts w:ascii="Arial" w:cs="Arial" w:eastAsia="Arial" w:hAnsi="Arial"/>
          <w:sz w:val="13"/>
          <w:szCs w:val="13"/>
          <w:b w:val="1"/>
          <w:bCs w:val="1"/>
          <w:color w:val="4800E6"/>
        </w:rPr>
        <w:t xml:space="preserve">LIVANOVA </w:t>
      </w:r>
      <w:r>
        <w:rPr>
          <w:rFonts w:ascii="Arial" w:cs="Arial" w:eastAsia="Arial" w:hAnsi="Arial"/>
          <w:sz w:val="13"/>
          <w:szCs w:val="13"/>
          <w:color w:val="000000"/>
        </w:rPr>
        <w:t>|</w:t>
      </w:r>
      <w:r>
        <w:rPr>
          <w:rFonts w:ascii="Arial" w:cs="Arial" w:eastAsia="Arial" w:hAnsi="Arial"/>
          <w:sz w:val="13"/>
          <w:szCs w:val="13"/>
          <w:b w:val="1"/>
          <w:bCs w:val="1"/>
          <w:color w:val="4800E6"/>
        </w:rPr>
        <w:t xml:space="preserve"> </w:t>
      </w:r>
      <w:r>
        <w:rPr>
          <w:rFonts w:ascii="Arial" w:cs="Arial" w:eastAsia="Arial" w:hAnsi="Arial"/>
          <w:sz w:val="13"/>
          <w:szCs w:val="13"/>
          <w:color w:val="4800E6"/>
        </w:rPr>
        <w:t>2020</w:t>
      </w:r>
      <w:r>
        <w:rPr>
          <w:rFonts w:ascii="Arial" w:cs="Arial" w:eastAsia="Arial" w:hAnsi="Arial"/>
          <w:sz w:val="13"/>
          <w:szCs w:val="13"/>
          <w:b w:val="1"/>
          <w:bCs w:val="1"/>
          <w:color w:val="4800E6"/>
        </w:rPr>
        <w:t xml:space="preserve"> </w:t>
      </w:r>
      <w:r>
        <w:rPr>
          <w:rFonts w:ascii="Arial" w:cs="Arial" w:eastAsia="Arial" w:hAnsi="Arial"/>
          <w:sz w:val="13"/>
          <w:szCs w:val="13"/>
          <w:color w:val="000000"/>
        </w:rPr>
        <w:t>Proxy Statement</w:t>
      </w:r>
      <w:r>
        <w:rPr>
          <w:sz w:val="20"/>
          <w:szCs w:val="20"/>
          <w:color w:val="auto"/>
        </w:rPr>
        <w:tab/>
      </w:r>
      <w:r>
        <w:rPr>
          <w:rFonts w:ascii="Arial" w:cs="Arial" w:eastAsia="Arial" w:hAnsi="Arial"/>
          <w:sz w:val="12"/>
          <w:szCs w:val="12"/>
          <w:b w:val="1"/>
          <w:bCs w:val="1"/>
          <w:color w:val="4800E6"/>
        </w:rPr>
        <w:t>www.livanova.com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639445</wp:posOffset>
            </wp:positionH>
            <wp:positionV relativeFrom="paragraph">
              <wp:posOffset>-11430</wp:posOffset>
            </wp:positionV>
            <wp:extent cx="1954530" cy="8255"/>
            <wp:wrapNone/>
            <wp:docPr id="395" name="Picture 3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5"/>
                    <pic:cNvPicPr>
                      <a:picLocks noChangeAspect="1" noChangeArrowheads="1"/>
                    </pic:cNvPicPr>
                  </pic:nvPicPr>
                  <pic:blipFill>
                    <a:blip r:embed="rId402">
                      <a:extLst>
                        <a:ext uri="{28A0092B-C50C-407E-A947-70E740481C1C}"/>
                      </a:extLst>
                    </a:blip>
                    <a:srcRect/>
                    <a:stretch>
                      <a:fillRect/>
                    </a:stretch>
                  </pic:blipFill>
                  <pic:spPr bwMode="auto">
                    <a:xfrm>
                      <a:off x="0" y="0"/>
                      <a:ext cx="1954530" cy="8255"/>
                    </a:xfrm>
                    <a:prstGeom prst="rect">
                      <a:avLst/>
                    </a:prstGeom>
                    <a:noFill/>
                  </pic:spPr>
                </pic:pic>
              </a:graphicData>
            </a:graphic>
          </wp:anchor>
        </w:drawing>
        <w:drawing>
          <wp:anchor simplePos="0" relativeHeight="251657728" behindDoc="1" locked="0" layoutInCell="0" allowOverlap="1">
            <wp:simplePos x="0" y="0"/>
            <wp:positionH relativeFrom="column">
              <wp:posOffset>4316730</wp:posOffset>
            </wp:positionH>
            <wp:positionV relativeFrom="paragraph">
              <wp:posOffset>-11430</wp:posOffset>
            </wp:positionV>
            <wp:extent cx="1028700" cy="8255"/>
            <wp:wrapNone/>
            <wp:docPr id="396" name="Picture 3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6"/>
                    <pic:cNvPicPr>
                      <a:picLocks noChangeAspect="1" noChangeArrowheads="1"/>
                    </pic:cNvPicPr>
                  </pic:nvPicPr>
                  <pic:blipFill>
                    <a:blip r:embed="rId403">
                      <a:extLst>
                        <a:ext uri="{28A0092B-C50C-407E-A947-70E740481C1C}"/>
                      </a:extLst>
                    </a:blip>
                    <a:srcRect/>
                    <a:stretch>
                      <a:fillRect/>
                    </a:stretch>
                  </pic:blipFill>
                  <pic:spPr bwMode="auto">
                    <a:xfrm>
                      <a:off x="0" y="0"/>
                      <a:ext cx="102870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125095</wp:posOffset>
            </wp:positionV>
            <wp:extent cx="6806565" cy="17145"/>
            <wp:wrapNone/>
            <wp:docPr id="397" name="Picture 3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7"/>
                    <pic:cNvPicPr>
                      <a:picLocks noChangeAspect="1" noChangeArrowheads="1"/>
                    </pic:cNvPicPr>
                  </pic:nvPicPr>
                  <pic:blipFill>
                    <a:blip r:embed="rId404">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10139"/>
          </w:cols>
          <w:pgMar w:left="320" w:top="131" w:right="1440" w:bottom="1440" w:gutter="0" w:footer="0" w:header="0"/>
          <w:type w:val="continuous"/>
        </w:sectPr>
      </w:pPr>
    </w:p>
    <w:bookmarkStart w:id="89" w:name="page90"/>
    <w:bookmarkEnd w:id="89"/>
    <w:p>
      <w:pPr>
        <w:spacing w:after="0"/>
        <w:rPr>
          <w:rFonts w:ascii="Arial" w:cs="Arial" w:eastAsia="Arial" w:hAnsi="Arial"/>
          <w:sz w:val="14"/>
          <w:szCs w:val="14"/>
          <w:color w:val="003366"/>
        </w:rPr>
      </w:pPr>
      <w:hyperlink w:anchor="page77">
        <w:r>
          <w:rPr>
            <w:rFonts w:ascii="Arial" w:cs="Arial" w:eastAsia="Arial" w:hAnsi="Arial"/>
            <w:sz w:val="14"/>
            <w:szCs w:val="14"/>
            <w:color w:val="003366"/>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485140</wp:posOffset>
            </wp:positionH>
            <wp:positionV relativeFrom="paragraph">
              <wp:posOffset>357505</wp:posOffset>
            </wp:positionV>
            <wp:extent cx="5829300" cy="8890"/>
            <wp:wrapNone/>
            <wp:docPr id="398" name="Picture 3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8"/>
                    <pic:cNvPicPr>
                      <a:picLocks noChangeAspect="1" noChangeArrowheads="1"/>
                    </pic:cNvPicPr>
                  </pic:nvPicPr>
                  <pic:blipFill>
                    <a:blip r:embed="rId405">
                      <a:extLst>
                        <a:ext uri="{28A0092B-C50C-407E-A947-70E740481C1C}"/>
                      </a:extLst>
                    </a:blip>
                    <a:srcRect/>
                    <a:stretch>
                      <a:fillRect/>
                    </a:stretch>
                  </pic:blipFill>
                  <pic:spPr bwMode="auto">
                    <a:xfrm>
                      <a:off x="0" y="0"/>
                      <a:ext cx="582930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ind w:left="1200" w:right="800" w:hanging="431"/>
        <w:spacing w:after="0" w:line="248" w:lineRule="auto"/>
        <w:rPr>
          <w:sz w:val="20"/>
          <w:szCs w:val="20"/>
          <w:color w:val="auto"/>
        </w:rPr>
      </w:pPr>
      <w:r>
        <w:rPr>
          <w:rFonts w:ascii="Arial" w:cs="Arial" w:eastAsia="Arial" w:hAnsi="Arial"/>
          <w:sz w:val="16"/>
          <w:szCs w:val="16"/>
          <w:color w:val="auto"/>
        </w:rPr>
        <w:t xml:space="preserve">14.4 An instrument of transfer executed by that person </w:t>
      </w:r>
      <w:r>
        <w:rPr>
          <w:rFonts w:ascii="Arial" w:cs="Arial" w:eastAsia="Arial" w:hAnsi="Arial"/>
          <w:sz w:val="16"/>
          <w:szCs w:val="16"/>
          <w:u w:val="single" w:color="auto"/>
          <w:color w:val="auto"/>
        </w:rPr>
        <w:t>appointed</w:t>
      </w:r>
      <w:r>
        <w:rPr>
          <w:rFonts w:ascii="Arial" w:cs="Arial" w:eastAsia="Arial" w:hAnsi="Arial"/>
          <w:sz w:val="16"/>
          <w:szCs w:val="16"/>
          <w:color w:val="auto"/>
        </w:rPr>
        <w:t xml:space="preserve"> in accordance with Article 14.3(a) shall be as effective as if it had been executed by the holder of, or person entitled by transmission to, the </w:t>
      </w:r>
      <w:r>
        <w:rPr>
          <w:rFonts w:ascii="Arial" w:cs="Arial" w:eastAsia="Arial" w:hAnsi="Arial"/>
          <w:sz w:val="16"/>
          <w:szCs w:val="16"/>
          <w:color w:val="auto"/>
          <w:strike w:val="1"/>
        </w:rPr>
        <w:t>shares</w:t>
      </w:r>
      <w:r>
        <w:rPr>
          <w:rFonts w:ascii="Arial" w:cs="Arial" w:eastAsia="Arial" w:hAnsi="Arial"/>
          <w:sz w:val="16"/>
          <w:szCs w:val="16"/>
          <w:u w:val="single" w:color="auto"/>
          <w:color w:val="auto"/>
        </w:rPr>
        <w:t>share</w:t>
      </w:r>
      <w:r>
        <w:rPr>
          <w:rFonts w:ascii="Arial" w:cs="Arial" w:eastAsia="Arial" w:hAnsi="Arial"/>
          <w:sz w:val="16"/>
          <w:szCs w:val="16"/>
          <w:color w:val="auto"/>
        </w:rPr>
        <w:t xml:space="preserve">. An exercise by the Company of its powers in accordance with Article 14.3(b) shall be as effective as if exercised by the </w:t>
      </w:r>
      <w:r>
        <w:rPr>
          <w:rFonts w:ascii="Arial" w:cs="Arial" w:eastAsia="Arial" w:hAnsi="Arial"/>
          <w:sz w:val="16"/>
          <w:szCs w:val="16"/>
          <w:color w:val="auto"/>
          <w:strike w:val="1"/>
        </w:rPr>
        <w:t>registered</w:t>
      </w:r>
      <w:r>
        <w:rPr>
          <w:rFonts w:ascii="Arial" w:cs="Arial" w:eastAsia="Arial" w:hAnsi="Arial"/>
          <w:sz w:val="16"/>
          <w:szCs w:val="16"/>
          <w:color w:val="auto"/>
        </w:rPr>
        <w:t xml:space="preserve"> holder of or person entitled by transmission to the </w:t>
      </w:r>
      <w:r>
        <w:rPr>
          <w:rFonts w:ascii="Arial" w:cs="Arial" w:eastAsia="Arial" w:hAnsi="Arial"/>
          <w:sz w:val="16"/>
          <w:szCs w:val="16"/>
          <w:color w:val="auto"/>
          <w:strike w:val="1"/>
        </w:rPr>
        <w:t>shares</w:t>
      </w:r>
      <w:r>
        <w:rPr>
          <w:rFonts w:ascii="Arial" w:cs="Arial" w:eastAsia="Arial" w:hAnsi="Arial"/>
          <w:sz w:val="16"/>
          <w:szCs w:val="16"/>
          <w:u w:val="single" w:color="auto"/>
          <w:color w:val="auto"/>
        </w:rPr>
        <w:t>share</w:t>
      </w:r>
      <w:r>
        <w:rPr>
          <w:rFonts w:ascii="Arial" w:cs="Arial" w:eastAsia="Arial" w:hAnsi="Arial"/>
          <w:sz w:val="16"/>
          <w:szCs w:val="16"/>
          <w:color w:val="auto"/>
        </w:rPr>
        <w:t xml:space="preserve">. The purchaser shall not be bound to see to the application of the proceeds of sale, nor shall </w:t>
      </w:r>
      <w:r>
        <w:rPr>
          <w:rFonts w:ascii="Arial" w:cs="Arial" w:eastAsia="Arial" w:hAnsi="Arial"/>
          <w:sz w:val="16"/>
          <w:szCs w:val="16"/>
          <w:color w:val="auto"/>
          <w:strike w:val="1"/>
        </w:rPr>
        <w:t>his</w:t>
      </w:r>
      <w:r>
        <w:rPr>
          <w:rFonts w:ascii="Arial" w:cs="Arial" w:eastAsia="Arial" w:hAnsi="Arial"/>
          <w:sz w:val="16"/>
          <w:szCs w:val="16"/>
          <w:u w:val="single" w:color="auto"/>
          <w:color w:val="auto"/>
        </w:rPr>
        <w:t>their</w:t>
      </w:r>
      <w:r>
        <w:rPr>
          <w:rFonts w:ascii="Arial" w:cs="Arial" w:eastAsia="Arial" w:hAnsi="Arial"/>
          <w:sz w:val="16"/>
          <w:szCs w:val="16"/>
          <w:color w:val="auto"/>
        </w:rPr>
        <w:t xml:space="preserve"> title to the share be affected by any irregularity in or invalidity of the proceedings relating to the sale. The net proceeds of sale shall belong to the Company which shall be indebted to the member or other person entitled to the share for an amount equal to the net proceeds of the sale and the Company shall enter the name of such former member or other person in the books of the Company as a creditor for that amount. No trust or duty to account shall arise in respect of the net proceeds and no interest shall be payable in respect of the proceeds of sale, which may be employed in the business of the Company or invested in such investments as the Board may think fit.</w:t>
      </w:r>
    </w:p>
    <w:p>
      <w:pPr>
        <w:spacing w:after="0" w:line="63" w:lineRule="exact"/>
        <w:rPr>
          <w:sz w:val="20"/>
          <w:szCs w:val="20"/>
          <w:color w:val="auto"/>
        </w:rPr>
      </w:pPr>
    </w:p>
    <w:p>
      <w:pPr>
        <w:ind w:left="1200" w:hanging="436"/>
        <w:spacing w:after="0"/>
        <w:tabs>
          <w:tab w:leader="none" w:pos="1200" w:val="left"/>
        </w:tabs>
        <w:numPr>
          <w:ilvl w:val="0"/>
          <w:numId w:val="119"/>
        </w:numPr>
        <w:rPr>
          <w:rFonts w:ascii="Arial" w:cs="Arial" w:eastAsia="Arial" w:hAnsi="Arial"/>
          <w:sz w:val="16"/>
          <w:szCs w:val="16"/>
          <w:b w:val="1"/>
          <w:bCs w:val="1"/>
          <w:color w:val="auto"/>
        </w:rPr>
      </w:pPr>
      <w:r>
        <w:rPr>
          <w:rFonts w:ascii="Arial" w:cs="Arial" w:eastAsia="Arial" w:hAnsi="Arial"/>
          <w:sz w:val="16"/>
          <w:szCs w:val="16"/>
          <w:b w:val="1"/>
          <w:bCs w:val="1"/>
          <w:color w:val="auto"/>
        </w:rPr>
        <w:t>ALTERATION OF CAPITAL</w:t>
      </w:r>
    </w:p>
    <w:p>
      <w:pPr>
        <w:spacing w:after="0" w:line="106" w:lineRule="exact"/>
        <w:rPr>
          <w:sz w:val="20"/>
          <w:szCs w:val="20"/>
          <w:color w:val="auto"/>
        </w:rPr>
      </w:pPr>
    </w:p>
    <w:p>
      <w:pPr>
        <w:ind w:left="1200" w:right="1300" w:hanging="431"/>
        <w:spacing w:after="0" w:line="260" w:lineRule="auto"/>
        <w:rPr>
          <w:sz w:val="20"/>
          <w:szCs w:val="20"/>
          <w:color w:val="auto"/>
        </w:rPr>
      </w:pPr>
      <w:r>
        <w:rPr>
          <w:rFonts w:ascii="Arial" w:cs="Arial" w:eastAsia="Arial" w:hAnsi="Arial"/>
          <w:sz w:val="16"/>
          <w:szCs w:val="16"/>
          <w:color w:val="auto"/>
        </w:rPr>
        <w:t>15.1 Subject to the Companies Act and the provisions of these Articles, and without prejudice to any relevant special rights attached to any class of shares, the Company may from time to time:</w:t>
      </w:r>
    </w:p>
    <w:p>
      <w:pPr>
        <w:spacing w:after="0" w:line="74" w:lineRule="exact"/>
        <w:rPr>
          <w:sz w:val="20"/>
          <w:szCs w:val="20"/>
          <w:color w:val="auto"/>
        </w:rPr>
      </w:pPr>
    </w:p>
    <w:p>
      <w:pPr>
        <w:ind w:left="1620" w:hanging="424"/>
        <w:spacing w:after="0"/>
        <w:tabs>
          <w:tab w:leader="none" w:pos="1620" w:val="left"/>
        </w:tabs>
        <w:numPr>
          <w:ilvl w:val="0"/>
          <w:numId w:val="120"/>
        </w:numPr>
        <w:rPr>
          <w:rFonts w:ascii="Arial" w:cs="Arial" w:eastAsia="Arial" w:hAnsi="Arial"/>
          <w:sz w:val="16"/>
          <w:szCs w:val="16"/>
          <w:color w:val="auto"/>
        </w:rPr>
      </w:pPr>
      <w:r>
        <w:rPr>
          <w:rFonts w:ascii="Arial" w:cs="Arial" w:eastAsia="Arial" w:hAnsi="Arial"/>
          <w:sz w:val="16"/>
          <w:szCs w:val="16"/>
          <w:color w:val="auto"/>
        </w:rPr>
        <w:t>increase its share capital by allotting new shares;</w:t>
      </w:r>
    </w:p>
    <w:p>
      <w:pPr>
        <w:spacing w:after="0" w:line="86" w:lineRule="exact"/>
        <w:rPr>
          <w:rFonts w:ascii="Arial" w:cs="Arial" w:eastAsia="Arial" w:hAnsi="Arial"/>
          <w:sz w:val="16"/>
          <w:szCs w:val="16"/>
          <w:color w:val="auto"/>
        </w:rPr>
      </w:pPr>
    </w:p>
    <w:p>
      <w:pPr>
        <w:ind w:left="1620" w:hanging="424"/>
        <w:spacing w:after="0"/>
        <w:tabs>
          <w:tab w:leader="none" w:pos="1620" w:val="left"/>
        </w:tabs>
        <w:numPr>
          <w:ilvl w:val="0"/>
          <w:numId w:val="120"/>
        </w:numPr>
        <w:rPr>
          <w:rFonts w:ascii="Arial" w:cs="Arial" w:eastAsia="Arial" w:hAnsi="Arial"/>
          <w:sz w:val="16"/>
          <w:szCs w:val="16"/>
          <w:color w:val="auto"/>
        </w:rPr>
      </w:pPr>
      <w:r>
        <w:rPr>
          <w:rFonts w:ascii="Arial" w:cs="Arial" w:eastAsia="Arial" w:hAnsi="Arial"/>
          <w:sz w:val="16"/>
          <w:szCs w:val="16"/>
          <w:color w:val="auto"/>
        </w:rPr>
        <w:t>consolidate and divide all or any of its share capital into shares of larger amount than its existing shares;</w:t>
      </w:r>
    </w:p>
    <w:p>
      <w:pPr>
        <w:spacing w:after="0" w:line="86" w:lineRule="exact"/>
        <w:rPr>
          <w:rFonts w:ascii="Arial" w:cs="Arial" w:eastAsia="Arial" w:hAnsi="Arial"/>
          <w:sz w:val="16"/>
          <w:szCs w:val="16"/>
          <w:color w:val="auto"/>
        </w:rPr>
      </w:pPr>
    </w:p>
    <w:p>
      <w:pPr>
        <w:ind w:left="1620" w:hanging="424"/>
        <w:spacing w:after="0"/>
        <w:tabs>
          <w:tab w:leader="none" w:pos="1620" w:val="left"/>
        </w:tabs>
        <w:numPr>
          <w:ilvl w:val="0"/>
          <w:numId w:val="120"/>
        </w:numPr>
        <w:rPr>
          <w:rFonts w:ascii="Arial" w:cs="Arial" w:eastAsia="Arial" w:hAnsi="Arial"/>
          <w:sz w:val="16"/>
          <w:szCs w:val="16"/>
          <w:color w:val="auto"/>
        </w:rPr>
      </w:pPr>
      <w:r>
        <w:rPr>
          <w:rFonts w:ascii="Arial" w:cs="Arial" w:eastAsia="Arial" w:hAnsi="Arial"/>
          <w:sz w:val="16"/>
          <w:szCs w:val="16"/>
          <w:color w:val="auto"/>
        </w:rPr>
        <w:t>sub-divide its shares, or any of them, into shares of smaller amount than its existing shares;</w:t>
      </w:r>
    </w:p>
    <w:p>
      <w:pPr>
        <w:spacing w:after="0" w:line="99" w:lineRule="exact"/>
        <w:rPr>
          <w:rFonts w:ascii="Arial" w:cs="Arial" w:eastAsia="Arial" w:hAnsi="Arial"/>
          <w:sz w:val="16"/>
          <w:szCs w:val="16"/>
          <w:color w:val="auto"/>
        </w:rPr>
      </w:pPr>
    </w:p>
    <w:p>
      <w:pPr>
        <w:ind w:left="1620" w:hanging="424"/>
        <w:spacing w:after="0"/>
        <w:tabs>
          <w:tab w:leader="none" w:pos="1620" w:val="left"/>
        </w:tabs>
        <w:numPr>
          <w:ilvl w:val="0"/>
          <w:numId w:val="120"/>
        </w:numPr>
        <w:rPr>
          <w:rFonts w:ascii="Arial" w:cs="Arial" w:eastAsia="Arial" w:hAnsi="Arial"/>
          <w:sz w:val="16"/>
          <w:szCs w:val="16"/>
          <w:color w:val="auto"/>
        </w:rPr>
      </w:pPr>
      <w:r>
        <w:rPr>
          <w:rFonts w:ascii="Arial" w:cs="Arial" w:eastAsia="Arial" w:hAnsi="Arial"/>
          <w:sz w:val="16"/>
          <w:szCs w:val="16"/>
          <w:color w:val="auto"/>
        </w:rPr>
        <w:t>redeem and/ or cancel any of its shares;</w:t>
      </w:r>
    </w:p>
    <w:p>
      <w:pPr>
        <w:spacing w:after="0" w:line="86" w:lineRule="exact"/>
        <w:rPr>
          <w:rFonts w:ascii="Arial" w:cs="Arial" w:eastAsia="Arial" w:hAnsi="Arial"/>
          <w:sz w:val="16"/>
          <w:szCs w:val="16"/>
          <w:color w:val="auto"/>
        </w:rPr>
      </w:pPr>
    </w:p>
    <w:p>
      <w:pPr>
        <w:ind w:left="1620" w:hanging="424"/>
        <w:spacing w:after="0"/>
        <w:tabs>
          <w:tab w:leader="none" w:pos="1620" w:val="left"/>
        </w:tabs>
        <w:numPr>
          <w:ilvl w:val="0"/>
          <w:numId w:val="120"/>
        </w:numPr>
        <w:rPr>
          <w:rFonts w:ascii="Arial" w:cs="Arial" w:eastAsia="Arial" w:hAnsi="Arial"/>
          <w:sz w:val="16"/>
          <w:szCs w:val="16"/>
          <w:color w:val="auto"/>
        </w:rPr>
      </w:pPr>
      <w:r>
        <w:rPr>
          <w:rFonts w:ascii="Arial" w:cs="Arial" w:eastAsia="Arial" w:hAnsi="Arial"/>
          <w:sz w:val="16"/>
          <w:szCs w:val="16"/>
          <w:color w:val="auto"/>
        </w:rPr>
        <w:t>redenominate its share capital or any class of share capital; and</w:t>
      </w:r>
    </w:p>
    <w:p>
      <w:pPr>
        <w:spacing w:after="0" w:line="86" w:lineRule="exact"/>
        <w:rPr>
          <w:rFonts w:ascii="Arial" w:cs="Arial" w:eastAsia="Arial" w:hAnsi="Arial"/>
          <w:sz w:val="16"/>
          <w:szCs w:val="16"/>
          <w:color w:val="auto"/>
        </w:rPr>
      </w:pPr>
    </w:p>
    <w:p>
      <w:pPr>
        <w:ind w:left="1620" w:right="1060" w:hanging="424"/>
        <w:spacing w:after="0" w:line="260" w:lineRule="auto"/>
        <w:tabs>
          <w:tab w:leader="none" w:pos="1620" w:val="left"/>
        </w:tabs>
        <w:numPr>
          <w:ilvl w:val="0"/>
          <w:numId w:val="120"/>
        </w:numPr>
        <w:rPr>
          <w:rFonts w:ascii="Arial" w:cs="Arial" w:eastAsia="Arial" w:hAnsi="Arial"/>
          <w:sz w:val="16"/>
          <w:szCs w:val="16"/>
          <w:color w:val="auto"/>
        </w:rPr>
      </w:pPr>
      <w:r>
        <w:rPr>
          <w:rFonts w:ascii="Arial" w:cs="Arial" w:eastAsia="Arial" w:hAnsi="Arial"/>
          <w:sz w:val="16"/>
          <w:szCs w:val="16"/>
          <w:color w:val="auto"/>
        </w:rPr>
        <w:t>determine that, as between the shares resulting from such a sub-division, any of them may have any preference or advantage as compared with the others,</w:t>
      </w:r>
    </w:p>
    <w:p>
      <w:pPr>
        <w:spacing w:after="0" w:line="74" w:lineRule="exact"/>
        <w:rPr>
          <w:sz w:val="20"/>
          <w:szCs w:val="20"/>
          <w:color w:val="auto"/>
        </w:rPr>
      </w:pPr>
    </w:p>
    <w:p>
      <w:pPr>
        <w:ind w:left="1420" w:right="960"/>
        <w:spacing w:after="0" w:line="260" w:lineRule="auto"/>
        <w:rPr>
          <w:sz w:val="20"/>
          <w:szCs w:val="20"/>
          <w:color w:val="auto"/>
        </w:rPr>
      </w:pPr>
      <w:r>
        <w:rPr>
          <w:rFonts w:ascii="Arial" w:cs="Arial" w:eastAsia="Arial" w:hAnsi="Arial"/>
          <w:sz w:val="16"/>
          <w:szCs w:val="16"/>
          <w:color w:val="auto"/>
        </w:rPr>
        <w:t xml:space="preserve">and where any difficulty arises in regard to any consolidation or division, the </w:t>
      </w:r>
      <w:r>
        <w:rPr>
          <w:rFonts w:ascii="Arial" w:cs="Arial" w:eastAsia="Arial" w:hAnsi="Arial"/>
          <w:sz w:val="16"/>
          <w:szCs w:val="16"/>
          <w:color w:val="auto"/>
          <w:strike w:val="1"/>
        </w:rPr>
        <w:t>Directors</w:t>
      </w:r>
      <w:r>
        <w:rPr>
          <w:rFonts w:ascii="Arial" w:cs="Arial" w:eastAsia="Arial" w:hAnsi="Arial"/>
          <w:sz w:val="16"/>
          <w:szCs w:val="16"/>
          <w:u w:val="single" w:color="auto"/>
          <w:color w:val="auto"/>
        </w:rPr>
        <w:t>Board</w:t>
      </w:r>
      <w:r>
        <w:rPr>
          <w:rFonts w:ascii="Arial" w:cs="Arial" w:eastAsia="Arial" w:hAnsi="Arial"/>
          <w:sz w:val="16"/>
          <w:szCs w:val="16"/>
          <w:color w:val="auto"/>
        </w:rPr>
        <w:t xml:space="preserve"> may settle such difficulty as they see fit.</w:t>
      </w:r>
    </w:p>
    <w:p>
      <w:pPr>
        <w:spacing w:after="0" w:line="74" w:lineRule="exact"/>
        <w:rPr>
          <w:sz w:val="20"/>
          <w:szCs w:val="20"/>
          <w:color w:val="auto"/>
        </w:rPr>
      </w:pPr>
    </w:p>
    <w:p>
      <w:pPr>
        <w:ind w:left="1200" w:right="800" w:hanging="431"/>
        <w:spacing w:after="0" w:line="247" w:lineRule="auto"/>
        <w:rPr>
          <w:sz w:val="20"/>
          <w:szCs w:val="20"/>
          <w:color w:val="auto"/>
        </w:rPr>
      </w:pPr>
      <w:r>
        <w:rPr>
          <w:rFonts w:ascii="Arial" w:cs="Arial" w:eastAsia="Arial" w:hAnsi="Arial"/>
          <w:sz w:val="16"/>
          <w:szCs w:val="16"/>
          <w:color w:val="auto"/>
        </w:rPr>
        <w:t xml:space="preserve">15.2 Whenever any fractions arise as a result of a consolidation or sub-division of shares, the Board may on behalf of the members deal with the fractions as it thinks fit. In particular, without limitation, the Board may sell shares, representing fractions to which any members would otherwise become entitled, to any person (including, subject to the provisions of the Companies Act, the Company) and distribute the net proceeds of sale in due proportion among those members or retain such net proceeds for the benefit of the Company. In the case of shares to be sold being held in certificated form, the Board may authorise some person to execute an instrument of transfer of the shares to, or in accordance with the directions of, the purchaser. In the case of shares to be sold in uncertificated form, the Board may, to enable the Company to deal with the </w:t>
      </w:r>
      <w:r>
        <w:rPr>
          <w:rFonts w:ascii="Arial" w:cs="Arial" w:eastAsia="Arial" w:hAnsi="Arial"/>
          <w:sz w:val="16"/>
          <w:szCs w:val="16"/>
          <w:color w:val="auto"/>
          <w:strike w:val="1"/>
        </w:rPr>
        <w:t>share</w:t>
      </w:r>
      <w:r>
        <w:rPr>
          <w:rFonts w:ascii="Arial" w:cs="Arial" w:eastAsia="Arial" w:hAnsi="Arial"/>
          <w:sz w:val="16"/>
          <w:szCs w:val="16"/>
          <w:u w:val="single" w:color="auto"/>
          <w:color w:val="auto"/>
        </w:rPr>
        <w:t>shares</w:t>
      </w:r>
      <w:r>
        <w:rPr>
          <w:rFonts w:ascii="Arial" w:cs="Arial" w:eastAsia="Arial" w:hAnsi="Arial"/>
          <w:sz w:val="16"/>
          <w:szCs w:val="16"/>
          <w:color w:val="auto"/>
        </w:rPr>
        <w:t xml:space="preserve"> in accordance with the provisions of this Article 15.2, do all acts and things it considers necessary or expedient to effect the transfer of the shares to, or in accordance with the directions of, the purchaser, including arranging for any such shares to be entered in the register as shares in certificated form where this makes it easier to sell them. The transferee shall not be bound to see to the application of the purchase money nor shall </w:t>
      </w:r>
      <w:r>
        <w:rPr>
          <w:rFonts w:ascii="Arial" w:cs="Arial" w:eastAsia="Arial" w:hAnsi="Arial"/>
          <w:sz w:val="16"/>
          <w:szCs w:val="16"/>
          <w:color w:val="auto"/>
          <w:strike w:val="1"/>
        </w:rPr>
        <w:t>his</w:t>
      </w:r>
      <w:r>
        <w:rPr>
          <w:rFonts w:ascii="Arial" w:cs="Arial" w:eastAsia="Arial" w:hAnsi="Arial"/>
          <w:sz w:val="16"/>
          <w:szCs w:val="16"/>
          <w:u w:val="single" w:color="auto"/>
          <w:color w:val="auto"/>
        </w:rPr>
        <w:t>their</w:t>
      </w:r>
      <w:r>
        <w:rPr>
          <w:rFonts w:ascii="Arial" w:cs="Arial" w:eastAsia="Arial" w:hAnsi="Arial"/>
          <w:sz w:val="16"/>
          <w:szCs w:val="16"/>
          <w:color w:val="auto"/>
        </w:rPr>
        <w:t xml:space="preserve"> title to the shares be affected by any irregularity in or invalidity of the proceedings in reference to the sale.</w:t>
      </w:r>
    </w:p>
    <w:p>
      <w:pPr>
        <w:spacing w:after="0" w:line="77" w:lineRule="exact"/>
        <w:rPr>
          <w:sz w:val="20"/>
          <w:szCs w:val="20"/>
          <w:color w:val="auto"/>
        </w:rPr>
      </w:pPr>
    </w:p>
    <w:p>
      <w:pPr>
        <w:ind w:left="1200" w:right="820" w:hanging="431"/>
        <w:spacing w:after="0" w:line="251" w:lineRule="auto"/>
        <w:rPr>
          <w:sz w:val="20"/>
          <w:szCs w:val="20"/>
          <w:color w:val="auto"/>
        </w:rPr>
      </w:pPr>
      <w:r>
        <w:rPr>
          <w:rFonts w:ascii="Arial" w:cs="Arial" w:eastAsia="Arial" w:hAnsi="Arial"/>
          <w:sz w:val="16"/>
          <w:szCs w:val="16"/>
          <w:color w:val="auto"/>
        </w:rPr>
        <w:t xml:space="preserve">15.3 All shares created by an increase of the Company’s share capital (unless otherwise provided by the terms of allotment of the shares of that class), by consolidation, division or sub-division of its share capital </w:t>
      </w:r>
      <w:r>
        <w:rPr>
          <w:rFonts w:ascii="Arial" w:cs="Arial" w:eastAsia="Arial" w:hAnsi="Arial"/>
          <w:sz w:val="16"/>
          <w:szCs w:val="16"/>
          <w:color w:val="auto"/>
          <w:strike w:val="1"/>
        </w:rPr>
        <w:t>or the conversion of stock into paid-up</w:t>
      </w:r>
      <w:r>
        <w:rPr>
          <w:rFonts w:ascii="Arial" w:cs="Arial" w:eastAsia="Arial" w:hAnsi="Arial"/>
          <w:sz w:val="16"/>
          <w:szCs w:val="16"/>
          <w:color w:val="auto"/>
        </w:rPr>
        <w:t xml:space="preserve"> </w:t>
      </w:r>
      <w:r>
        <w:rPr>
          <w:rFonts w:ascii="Arial" w:cs="Arial" w:eastAsia="Arial" w:hAnsi="Arial"/>
          <w:sz w:val="16"/>
          <w:szCs w:val="16"/>
          <w:color w:val="auto"/>
          <w:strike w:val="1"/>
        </w:rPr>
        <w:t>shares</w:t>
      </w:r>
      <w:r>
        <w:rPr>
          <w:rFonts w:ascii="Arial" w:cs="Arial" w:eastAsia="Arial" w:hAnsi="Arial"/>
          <w:sz w:val="16"/>
          <w:szCs w:val="16"/>
          <w:color w:val="auto"/>
        </w:rPr>
        <w:t xml:space="preserve"> shall be subject to all the provisions of these Articles, including without limitation provisions relating to the payment of calls, lien, forfeiture, transfer and transmission.</w:t>
      </w:r>
    </w:p>
    <w:p>
      <w:pPr>
        <w:spacing w:after="0" w:line="67" w:lineRule="exact"/>
        <w:rPr>
          <w:sz w:val="20"/>
          <w:szCs w:val="20"/>
          <w:color w:val="auto"/>
        </w:rPr>
      </w:pPr>
    </w:p>
    <w:p>
      <w:pPr>
        <w:ind w:left="1200" w:right="1180" w:hanging="431"/>
        <w:spacing w:after="0" w:line="253" w:lineRule="auto"/>
        <w:rPr>
          <w:sz w:val="20"/>
          <w:szCs w:val="20"/>
          <w:color w:val="auto"/>
        </w:rPr>
      </w:pPr>
      <w:r>
        <w:rPr>
          <w:rFonts w:ascii="Arial" w:cs="Arial" w:eastAsia="Arial" w:hAnsi="Arial"/>
          <w:sz w:val="16"/>
          <w:szCs w:val="16"/>
          <w:color w:val="auto"/>
          <w:strike w:val="1"/>
        </w:rPr>
        <w:t>15.4 The Company shall not consolidate, divide, sub-divide or redenominate any one or more Ordinary Shares without consolidating, dividing, sub-dividing or redenominating (as the case may be) all of the Ordinary Shares, on an equal per share basis.</w:t>
      </w:r>
    </w:p>
    <w:p>
      <w:pPr>
        <w:spacing w:after="0" w:line="60" w:lineRule="exact"/>
        <w:rPr>
          <w:sz w:val="20"/>
          <w:szCs w:val="20"/>
          <w:color w:val="auto"/>
        </w:rPr>
      </w:pPr>
    </w:p>
    <w:p>
      <w:pPr>
        <w:ind w:left="1200" w:hanging="436"/>
        <w:spacing w:after="0"/>
        <w:tabs>
          <w:tab w:leader="none" w:pos="1200" w:val="left"/>
        </w:tabs>
        <w:numPr>
          <w:ilvl w:val="0"/>
          <w:numId w:val="121"/>
        </w:numPr>
        <w:rPr>
          <w:rFonts w:ascii="Arial" w:cs="Arial" w:eastAsia="Arial" w:hAnsi="Arial"/>
          <w:sz w:val="16"/>
          <w:szCs w:val="16"/>
          <w:b w:val="1"/>
          <w:bCs w:val="1"/>
          <w:color w:val="auto"/>
        </w:rPr>
      </w:pPr>
      <w:r>
        <w:rPr>
          <w:rFonts w:ascii="Arial" w:cs="Arial" w:eastAsia="Arial" w:hAnsi="Arial"/>
          <w:sz w:val="16"/>
          <w:szCs w:val="16"/>
          <w:b w:val="1"/>
          <w:bCs w:val="1"/>
          <w:color w:val="auto"/>
        </w:rPr>
        <w:t>GENERAL MEETINGS</w:t>
      </w:r>
    </w:p>
    <w:p>
      <w:pPr>
        <w:spacing w:after="0" w:line="106" w:lineRule="exact"/>
        <w:rPr>
          <w:sz w:val="20"/>
          <w:szCs w:val="20"/>
          <w:color w:val="auto"/>
        </w:rPr>
      </w:pPr>
    </w:p>
    <w:p>
      <w:pPr>
        <w:ind w:left="1200" w:right="880" w:hanging="431"/>
        <w:spacing w:after="0" w:line="260" w:lineRule="auto"/>
        <w:rPr>
          <w:sz w:val="20"/>
          <w:szCs w:val="20"/>
          <w:color w:val="auto"/>
        </w:rPr>
      </w:pPr>
      <w:r>
        <w:rPr>
          <w:rFonts w:ascii="Arial" w:cs="Arial" w:eastAsia="Arial" w:hAnsi="Arial"/>
          <w:sz w:val="16"/>
          <w:szCs w:val="16"/>
          <w:color w:val="auto"/>
        </w:rPr>
        <w:t>16.1 The Board shall convene and the Company shall hold general meetings as annual general meetings in accordance with the Companies Act.</w:t>
      </w:r>
    </w:p>
    <w:p>
      <w:pPr>
        <w:spacing w:after="0" w:line="44" w:lineRule="exact"/>
        <w:rPr>
          <w:sz w:val="20"/>
          <w:szCs w:val="20"/>
          <w:color w:val="auto"/>
        </w:rPr>
      </w:pPr>
    </w:p>
    <w:p>
      <w:pPr>
        <w:ind w:left="1200" w:right="880" w:hanging="431"/>
        <w:spacing w:after="0" w:line="281" w:lineRule="auto"/>
        <w:rPr>
          <w:sz w:val="20"/>
          <w:szCs w:val="20"/>
          <w:color w:val="auto"/>
        </w:rPr>
      </w:pPr>
      <w:r>
        <w:rPr>
          <w:rFonts w:ascii="Arial" w:cs="Arial" w:eastAsia="Arial" w:hAnsi="Arial"/>
          <w:sz w:val="16"/>
          <w:szCs w:val="16"/>
          <w:color w:val="auto"/>
        </w:rPr>
        <w:t xml:space="preserve">16.2 All provisions of these Articles relating to general meetings of the Company shall, </w:t>
      </w:r>
      <w:r>
        <w:rPr>
          <w:rFonts w:ascii="Arial" w:cs="Arial" w:eastAsia="Arial" w:hAnsi="Arial"/>
          <w:sz w:val="16"/>
          <w:szCs w:val="16"/>
          <w:i w:val="1"/>
          <w:iCs w:val="1"/>
          <w:color w:val="auto"/>
        </w:rPr>
        <w:t>mutatis mutandis</w:t>
      </w:r>
      <w:r>
        <w:rPr>
          <w:rFonts w:ascii="Arial" w:cs="Arial" w:eastAsia="Arial" w:hAnsi="Arial"/>
          <w:sz w:val="16"/>
          <w:szCs w:val="16"/>
          <w:color w:val="auto"/>
        </w:rPr>
        <w:t>, apply to every separate general meeting of the holders of any class of shares in the capital of the Company, except that:</w:t>
      </w:r>
    </w:p>
    <w:p>
      <w:pPr>
        <w:spacing w:after="0" w:line="58" w:lineRule="exact"/>
        <w:rPr>
          <w:sz w:val="20"/>
          <w:szCs w:val="20"/>
          <w:color w:val="auto"/>
        </w:rPr>
      </w:pPr>
    </w:p>
    <w:p>
      <w:pPr>
        <w:ind w:left="1620" w:right="1020" w:hanging="424"/>
        <w:spacing w:after="0" w:line="251" w:lineRule="auto"/>
        <w:tabs>
          <w:tab w:leader="none" w:pos="1620" w:val="left"/>
        </w:tabs>
        <w:numPr>
          <w:ilvl w:val="0"/>
          <w:numId w:val="122"/>
        </w:numPr>
        <w:rPr>
          <w:rFonts w:ascii="Arial" w:cs="Arial" w:eastAsia="Arial" w:hAnsi="Arial"/>
          <w:sz w:val="16"/>
          <w:szCs w:val="16"/>
          <w:color w:val="auto"/>
        </w:rPr>
      </w:pPr>
      <w:r>
        <w:rPr>
          <w:rFonts w:ascii="Arial" w:cs="Arial" w:eastAsia="Arial" w:hAnsi="Arial"/>
          <w:sz w:val="16"/>
          <w:szCs w:val="16"/>
          <w:color w:val="auto"/>
        </w:rPr>
        <w:t xml:space="preserve">the necessary quorum at any such meeting (or adjournment thereof) shall be members of that class </w:t>
      </w:r>
      <w:r>
        <w:rPr>
          <w:rFonts w:ascii="Arial" w:cs="Arial" w:eastAsia="Arial" w:hAnsi="Arial"/>
          <w:sz w:val="16"/>
          <w:szCs w:val="16"/>
          <w:u w:val="single" w:color="auto"/>
          <w:color w:val="auto"/>
        </w:rPr>
        <w:t>, present in</w:t>
      </w:r>
      <w:r>
        <w:rPr>
          <w:rFonts w:ascii="Arial" w:cs="Arial" w:eastAsia="Arial" w:hAnsi="Arial"/>
          <w:sz w:val="16"/>
          <w:szCs w:val="16"/>
          <w:color w:val="auto"/>
        </w:rPr>
        <w:t xml:space="preserve"> </w:t>
      </w:r>
      <w:r>
        <w:rPr>
          <w:rFonts w:ascii="Arial" w:cs="Arial" w:eastAsia="Arial" w:hAnsi="Arial"/>
          <w:sz w:val="16"/>
          <w:szCs w:val="16"/>
          <w:u w:val="single" w:color="auto"/>
          <w:color w:val="auto"/>
        </w:rPr>
        <w:t>person or by proxy,</w:t>
      </w:r>
      <w:r>
        <w:rPr>
          <w:rFonts w:ascii="Arial" w:cs="Arial" w:eastAsia="Arial" w:hAnsi="Arial"/>
          <w:sz w:val="16"/>
          <w:szCs w:val="16"/>
          <w:color w:val="auto"/>
        </w:rPr>
        <w:t xml:space="preserve"> who together represent at least </w:t>
      </w:r>
      <w:r>
        <w:rPr>
          <w:rFonts w:ascii="Arial" w:cs="Arial" w:eastAsia="Arial" w:hAnsi="Arial"/>
          <w:sz w:val="16"/>
          <w:szCs w:val="16"/>
          <w:color w:val="auto"/>
          <w:strike w:val="1"/>
        </w:rPr>
        <w:t>the</w:t>
      </w:r>
      <w:r>
        <w:rPr>
          <w:rFonts w:ascii="Arial" w:cs="Arial" w:eastAsia="Arial" w:hAnsi="Arial"/>
          <w:sz w:val="16"/>
          <w:szCs w:val="16"/>
          <w:u w:val="single" w:color="auto"/>
          <w:color w:val="auto"/>
        </w:rPr>
        <w:t>a</w:t>
      </w:r>
      <w:r>
        <w:rPr>
          <w:rFonts w:ascii="Arial" w:cs="Arial" w:eastAsia="Arial" w:hAnsi="Arial"/>
          <w:sz w:val="16"/>
          <w:szCs w:val="16"/>
          <w:color w:val="auto"/>
        </w:rPr>
        <w:t xml:space="preserve"> majority of the voting rights </w:t>
      </w:r>
      <w:r>
        <w:rPr>
          <w:rFonts w:ascii="Arial" w:cs="Arial" w:eastAsia="Arial" w:hAnsi="Arial"/>
          <w:sz w:val="16"/>
          <w:szCs w:val="16"/>
          <w:color w:val="auto"/>
          <w:strike w:val="1"/>
        </w:rPr>
        <w:t>of all members of that</w:t>
      </w:r>
      <w:r>
        <w:rPr>
          <w:rFonts w:ascii="Arial" w:cs="Arial" w:eastAsia="Arial" w:hAnsi="Arial"/>
          <w:sz w:val="16"/>
          <w:szCs w:val="16"/>
          <w:color w:val="auto"/>
        </w:rPr>
        <w:t xml:space="preserve"> </w:t>
      </w:r>
      <w:r>
        <w:rPr>
          <w:rFonts w:ascii="Arial" w:cs="Arial" w:eastAsia="Arial" w:hAnsi="Arial"/>
          <w:sz w:val="16"/>
          <w:szCs w:val="16"/>
          <w:color w:val="auto"/>
          <w:strike w:val="1"/>
        </w:rPr>
        <w:t>class</w:t>
      </w:r>
      <w:r>
        <w:rPr>
          <w:rFonts w:ascii="Arial" w:cs="Arial" w:eastAsia="Arial" w:hAnsi="Arial"/>
          <w:sz w:val="16"/>
          <w:szCs w:val="16"/>
          <w:u w:val="single" w:color="auto"/>
          <w:color w:val="auto"/>
        </w:rPr>
        <w:t>attaching to the shares (excluding any shares held as treasury shares)</w:t>
      </w:r>
      <w:r>
        <w:rPr>
          <w:rFonts w:ascii="Arial" w:cs="Arial" w:eastAsia="Arial" w:hAnsi="Arial"/>
          <w:sz w:val="16"/>
          <w:szCs w:val="16"/>
          <w:color w:val="auto"/>
        </w:rPr>
        <w:t xml:space="preserve"> entitled to vote</w:t>
      </w:r>
      <w:r>
        <w:rPr>
          <w:rFonts w:ascii="Arial" w:cs="Arial" w:eastAsia="Arial" w:hAnsi="Arial"/>
          <w:sz w:val="16"/>
          <w:szCs w:val="16"/>
          <w:color w:val="auto"/>
          <w:strike w:val="1"/>
        </w:rPr>
        <w:t>, present in person or by</w:t>
      </w:r>
      <w:r>
        <w:rPr>
          <w:rFonts w:ascii="Arial" w:cs="Arial" w:eastAsia="Arial" w:hAnsi="Arial"/>
          <w:sz w:val="16"/>
          <w:szCs w:val="16"/>
          <w:color w:val="auto"/>
        </w:rPr>
        <w:t xml:space="preserve"> </w:t>
      </w:r>
      <w:r>
        <w:rPr>
          <w:rFonts w:ascii="Arial" w:cs="Arial" w:eastAsia="Arial" w:hAnsi="Arial"/>
          <w:sz w:val="16"/>
          <w:szCs w:val="16"/>
          <w:color w:val="auto"/>
          <w:strike w:val="1"/>
        </w:rPr>
        <w:t>proxy, at</w:t>
      </w:r>
      <w:r>
        <w:rPr>
          <w:rFonts w:ascii="Arial" w:cs="Arial" w:eastAsia="Arial" w:hAnsi="Arial"/>
          <w:sz w:val="16"/>
          <w:szCs w:val="16"/>
          <w:color w:val="auto"/>
        </w:rPr>
        <w:t xml:space="preserve"> </w:t>
      </w:r>
      <w:r>
        <w:rPr>
          <w:rFonts w:ascii="Arial" w:cs="Arial" w:eastAsia="Arial" w:hAnsi="Arial"/>
          <w:sz w:val="16"/>
          <w:szCs w:val="16"/>
          <w:u w:val="single" w:color="auto"/>
          <w:color w:val="auto"/>
        </w:rPr>
        <w:t>on</w:t>
      </w:r>
      <w:r>
        <w:rPr>
          <w:rFonts w:ascii="Arial" w:cs="Arial" w:eastAsia="Arial" w:hAnsi="Arial"/>
          <w:sz w:val="16"/>
          <w:szCs w:val="16"/>
          <w:color w:val="auto"/>
        </w:rPr>
        <w:t xml:space="preserve"> the </w:t>
      </w:r>
      <w:r>
        <w:rPr>
          <w:rFonts w:ascii="Arial" w:cs="Arial" w:eastAsia="Arial" w:hAnsi="Arial"/>
          <w:sz w:val="16"/>
          <w:szCs w:val="16"/>
          <w:color w:val="auto"/>
          <w:strike w:val="1"/>
        </w:rPr>
        <w:t>relevant meeting; and</w:t>
      </w:r>
      <w:r>
        <w:rPr>
          <w:rFonts w:ascii="Arial" w:cs="Arial" w:eastAsia="Arial" w:hAnsi="Arial"/>
          <w:sz w:val="16"/>
          <w:szCs w:val="16"/>
          <w:u w:val="single" w:color="auto"/>
          <w:color w:val="auto"/>
        </w:rPr>
        <w:t>business to be transacted.</w:t>
      </w:r>
    </w:p>
    <w:p>
      <w:pPr>
        <w:spacing w:after="0" w:line="67" w:lineRule="exact"/>
        <w:rPr>
          <w:rFonts w:ascii="Arial" w:cs="Arial" w:eastAsia="Arial" w:hAnsi="Arial"/>
          <w:sz w:val="16"/>
          <w:szCs w:val="16"/>
          <w:color w:val="auto"/>
        </w:rPr>
      </w:pPr>
    </w:p>
    <w:p>
      <w:pPr>
        <w:ind w:left="1620" w:right="1420" w:hanging="424"/>
        <w:spacing w:after="0" w:line="260" w:lineRule="auto"/>
        <w:tabs>
          <w:tab w:leader="none" w:pos="1620" w:val="left"/>
        </w:tabs>
        <w:numPr>
          <w:ilvl w:val="0"/>
          <w:numId w:val="122"/>
        </w:numPr>
        <w:rPr>
          <w:rFonts w:ascii="Arial" w:cs="Arial" w:eastAsia="Arial" w:hAnsi="Arial"/>
          <w:sz w:val="16"/>
          <w:szCs w:val="16"/>
          <w:color w:val="auto"/>
        </w:rPr>
      </w:pPr>
      <w:r>
        <w:rPr>
          <w:rFonts w:ascii="Arial" w:cs="Arial" w:eastAsia="Arial" w:hAnsi="Arial"/>
          <w:sz w:val="16"/>
          <w:szCs w:val="16"/>
          <w:color w:val="auto"/>
        </w:rPr>
        <w:t xml:space="preserve">each holder of shares of the class shall, on a poll, have one vote in respect of every share of the class held by </w:t>
      </w:r>
      <w:r>
        <w:rPr>
          <w:rFonts w:ascii="Arial" w:cs="Arial" w:eastAsia="Arial" w:hAnsi="Arial"/>
          <w:sz w:val="16"/>
          <w:szCs w:val="16"/>
          <w:color w:val="auto"/>
          <w:strike w:val="1"/>
        </w:rPr>
        <w:t>him</w:t>
      </w:r>
      <w:r>
        <w:rPr>
          <w:rFonts w:ascii="Arial" w:cs="Arial" w:eastAsia="Arial" w:hAnsi="Arial"/>
          <w:sz w:val="16"/>
          <w:szCs w:val="16"/>
          <w:u w:val="single" w:color="auto"/>
          <w:color w:val="auto"/>
        </w:rPr>
        <w:t>them</w:t>
      </w:r>
      <w:r>
        <w:rPr>
          <w:rFonts w:ascii="Arial" w:cs="Arial" w:eastAsia="Arial" w:hAnsi="Arial"/>
          <w:sz w:val="16"/>
          <w:szCs w:val="16"/>
          <w:color w:val="auto"/>
        </w:rPr>
        <w:t>.</w:t>
      </w:r>
    </w:p>
    <w:p>
      <w:pPr>
        <w:spacing w:after="0" w:line="279" w:lineRule="exact"/>
        <w:rPr>
          <w:sz w:val="20"/>
          <w:szCs w:val="20"/>
          <w:color w:val="auto"/>
        </w:rPr>
      </w:pPr>
    </w:p>
    <w:tbl>
      <w:tblPr>
        <w:tblLayout w:type="fixed"/>
        <w:tblInd w:w="0" w:type="dxa"/>
        <w:tblCellMar>
          <w:top w:w="0" w:type="dxa"/>
          <w:left w:w="0" w:type="dxa"/>
          <w:bottom w:w="0" w:type="dxa"/>
          <w:right w:w="0" w:type="dxa"/>
        </w:tblCellMar>
      </w:tblPr>
      <w:tr>
        <w:trPr>
          <w:trHeight w:val="130"/>
        </w:trPr>
        <w:tc>
          <w:tcPr>
            <w:tcW w:w="800" w:type="dxa"/>
            <w:vAlign w:val="bottom"/>
            <w:vMerge w:val="restart"/>
          </w:tcPr>
          <w:p>
            <w:pPr>
              <w:spacing w:after="0"/>
              <w:rPr>
                <w:sz w:val="11"/>
                <w:szCs w:val="11"/>
                <w:color w:val="auto"/>
              </w:rPr>
            </w:pPr>
          </w:p>
        </w:tc>
        <w:tc>
          <w:tcPr>
            <w:tcW w:w="3060" w:type="dxa"/>
            <w:vAlign w:val="bottom"/>
            <w:tcBorders>
              <w:bottom w:val="single" w:sz="8" w:color="auto"/>
            </w:tcBorders>
          </w:tcPr>
          <w:p>
            <w:pPr>
              <w:spacing w:after="0"/>
              <w:rPr>
                <w:sz w:val="11"/>
                <w:szCs w:val="11"/>
                <w:color w:val="auto"/>
              </w:rPr>
            </w:pPr>
          </w:p>
        </w:tc>
        <w:tc>
          <w:tcPr>
            <w:tcW w:w="2740" w:type="dxa"/>
            <w:vAlign w:val="bottom"/>
            <w:vMerge w:val="restart"/>
          </w:tcPr>
          <w:p>
            <w:pPr>
              <w:ind w:left="380"/>
              <w:spacing w:after="0"/>
              <w:rPr>
                <w:sz w:val="20"/>
                <w:szCs w:val="20"/>
                <w:color w:val="auto"/>
              </w:rPr>
            </w:pPr>
            <w:r>
              <w:rPr>
                <w:rFonts w:ascii="Arial" w:cs="Arial" w:eastAsia="Arial" w:hAnsi="Arial"/>
                <w:sz w:val="13"/>
                <w:szCs w:val="13"/>
                <w:b w:val="1"/>
                <w:bCs w:val="1"/>
                <w:color w:val="4800E6"/>
              </w:rPr>
              <w:t xml:space="preserve">LIVANOVA </w:t>
            </w:r>
            <w:r>
              <w:rPr>
                <w:rFonts w:ascii="Arial" w:cs="Arial" w:eastAsia="Arial" w:hAnsi="Arial"/>
                <w:sz w:val="13"/>
                <w:szCs w:val="13"/>
                <w:color w:val="000000"/>
              </w:rPr>
              <w:t>|</w:t>
            </w:r>
            <w:r>
              <w:rPr>
                <w:rFonts w:ascii="Arial" w:cs="Arial" w:eastAsia="Arial" w:hAnsi="Arial"/>
                <w:sz w:val="13"/>
                <w:szCs w:val="13"/>
                <w:b w:val="1"/>
                <w:bCs w:val="1"/>
                <w:color w:val="4800E6"/>
              </w:rPr>
              <w:t xml:space="preserve"> </w:t>
            </w:r>
            <w:r>
              <w:rPr>
                <w:rFonts w:ascii="Arial" w:cs="Arial" w:eastAsia="Arial" w:hAnsi="Arial"/>
                <w:sz w:val="13"/>
                <w:szCs w:val="13"/>
                <w:color w:val="4800E6"/>
              </w:rPr>
              <w:t>2020</w:t>
            </w:r>
            <w:r>
              <w:rPr>
                <w:rFonts w:ascii="Arial" w:cs="Arial" w:eastAsia="Arial" w:hAnsi="Arial"/>
                <w:sz w:val="13"/>
                <w:szCs w:val="13"/>
                <w:b w:val="1"/>
                <w:bCs w:val="1"/>
                <w:color w:val="4800E6"/>
              </w:rPr>
              <w:t xml:space="preserve"> </w:t>
            </w:r>
            <w:r>
              <w:rPr>
                <w:rFonts w:ascii="Arial" w:cs="Arial" w:eastAsia="Arial" w:hAnsi="Arial"/>
                <w:sz w:val="13"/>
                <w:szCs w:val="13"/>
                <w:color w:val="000000"/>
              </w:rPr>
              <w:t>Proxy Statement</w:t>
            </w:r>
          </w:p>
        </w:tc>
        <w:tc>
          <w:tcPr>
            <w:tcW w:w="3080" w:type="dxa"/>
            <w:vAlign w:val="bottom"/>
            <w:tcBorders>
              <w:bottom w:val="single" w:sz="8" w:color="auto"/>
            </w:tcBorders>
          </w:tcPr>
          <w:p>
            <w:pPr>
              <w:spacing w:after="0"/>
              <w:rPr>
                <w:sz w:val="11"/>
                <w:szCs w:val="11"/>
                <w:color w:val="auto"/>
              </w:rPr>
            </w:pPr>
          </w:p>
        </w:tc>
        <w:tc>
          <w:tcPr>
            <w:tcW w:w="1040" w:type="dxa"/>
            <w:vAlign w:val="bottom"/>
            <w:vMerge w:val="restart"/>
          </w:tcPr>
          <w:p>
            <w:pPr>
              <w:ind w:left="200"/>
              <w:spacing w:after="0"/>
              <w:rPr>
                <w:sz w:val="20"/>
                <w:szCs w:val="20"/>
                <w:color w:val="auto"/>
              </w:rPr>
            </w:pPr>
            <w:r>
              <w:rPr>
                <w:rFonts w:ascii="Arial" w:cs="Arial" w:eastAsia="Arial" w:hAnsi="Arial"/>
                <w:sz w:val="14"/>
                <w:szCs w:val="14"/>
                <w:b w:val="1"/>
                <w:bCs w:val="1"/>
                <w:color w:val="auto"/>
              </w:rPr>
              <w:t>A-11</w:t>
            </w:r>
          </w:p>
        </w:tc>
        <w:tc>
          <w:tcPr>
            <w:tcW w:w="0" w:type="dxa"/>
            <w:vAlign w:val="bottom"/>
          </w:tcPr>
          <w:p>
            <w:pPr>
              <w:spacing w:after="0"/>
              <w:rPr>
                <w:sz w:val="1"/>
                <w:szCs w:val="1"/>
                <w:color w:val="auto"/>
              </w:rPr>
            </w:pPr>
          </w:p>
        </w:tc>
      </w:tr>
      <w:tr>
        <w:trPr>
          <w:trHeight w:val="49"/>
        </w:trPr>
        <w:tc>
          <w:tcPr>
            <w:tcW w:w="800" w:type="dxa"/>
            <w:vAlign w:val="bottom"/>
            <w:vMerge w:val="continue"/>
          </w:tcPr>
          <w:p>
            <w:pPr>
              <w:spacing w:after="0"/>
              <w:rPr>
                <w:sz w:val="4"/>
                <w:szCs w:val="4"/>
                <w:color w:val="auto"/>
              </w:rPr>
            </w:pPr>
          </w:p>
        </w:tc>
        <w:tc>
          <w:tcPr>
            <w:tcW w:w="3060" w:type="dxa"/>
            <w:vAlign w:val="bottom"/>
          </w:tcPr>
          <w:p>
            <w:pPr>
              <w:spacing w:after="0"/>
              <w:rPr>
                <w:sz w:val="4"/>
                <w:szCs w:val="4"/>
                <w:color w:val="auto"/>
              </w:rPr>
            </w:pPr>
          </w:p>
        </w:tc>
        <w:tc>
          <w:tcPr>
            <w:tcW w:w="2740" w:type="dxa"/>
            <w:vAlign w:val="bottom"/>
            <w:vMerge w:val="continue"/>
          </w:tcPr>
          <w:p>
            <w:pPr>
              <w:spacing w:after="0"/>
              <w:rPr>
                <w:sz w:val="4"/>
                <w:szCs w:val="4"/>
                <w:color w:val="auto"/>
              </w:rPr>
            </w:pPr>
          </w:p>
        </w:tc>
        <w:tc>
          <w:tcPr>
            <w:tcW w:w="3080" w:type="dxa"/>
            <w:vAlign w:val="bottom"/>
          </w:tcPr>
          <w:p>
            <w:pPr>
              <w:spacing w:after="0"/>
              <w:rPr>
                <w:sz w:val="4"/>
                <w:szCs w:val="4"/>
                <w:color w:val="auto"/>
              </w:rPr>
            </w:pPr>
          </w:p>
        </w:tc>
        <w:tc>
          <w:tcPr>
            <w:tcW w:w="104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54"/>
        </w:trPr>
        <w:tc>
          <w:tcPr>
            <w:tcW w:w="800" w:type="dxa"/>
            <w:vAlign w:val="bottom"/>
            <w:tcBorders>
              <w:bottom w:val="single" w:sz="8" w:color="9A9A9A"/>
            </w:tcBorders>
          </w:tcPr>
          <w:p>
            <w:pPr>
              <w:spacing w:after="0"/>
              <w:rPr>
                <w:sz w:val="13"/>
                <w:szCs w:val="13"/>
                <w:color w:val="auto"/>
              </w:rPr>
            </w:pPr>
          </w:p>
        </w:tc>
        <w:tc>
          <w:tcPr>
            <w:tcW w:w="3060" w:type="dxa"/>
            <w:vAlign w:val="bottom"/>
            <w:tcBorders>
              <w:bottom w:val="single" w:sz="8" w:color="9A9A9A"/>
            </w:tcBorders>
          </w:tcPr>
          <w:p>
            <w:pPr>
              <w:spacing w:after="0"/>
              <w:rPr>
                <w:sz w:val="13"/>
                <w:szCs w:val="13"/>
                <w:color w:val="auto"/>
              </w:rPr>
            </w:pPr>
          </w:p>
        </w:tc>
        <w:tc>
          <w:tcPr>
            <w:tcW w:w="2740" w:type="dxa"/>
            <w:vAlign w:val="bottom"/>
            <w:tcBorders>
              <w:bottom w:val="single" w:sz="8" w:color="9A9A9A"/>
            </w:tcBorders>
          </w:tcPr>
          <w:p>
            <w:pPr>
              <w:spacing w:after="0"/>
              <w:rPr>
                <w:sz w:val="13"/>
                <w:szCs w:val="13"/>
                <w:color w:val="auto"/>
              </w:rPr>
            </w:pPr>
          </w:p>
        </w:tc>
        <w:tc>
          <w:tcPr>
            <w:tcW w:w="3080" w:type="dxa"/>
            <w:vAlign w:val="bottom"/>
            <w:tcBorders>
              <w:bottom w:val="single" w:sz="8" w:color="9A9A9A"/>
            </w:tcBorders>
          </w:tcPr>
          <w:p>
            <w:pPr>
              <w:spacing w:after="0"/>
              <w:rPr>
                <w:sz w:val="13"/>
                <w:szCs w:val="13"/>
                <w:color w:val="auto"/>
              </w:rPr>
            </w:pPr>
          </w:p>
        </w:tc>
        <w:tc>
          <w:tcPr>
            <w:tcW w:w="1040" w:type="dxa"/>
            <w:vAlign w:val="bottom"/>
            <w:tcBorders>
              <w:bottom w:val="single" w:sz="8" w:color="9A9A9A"/>
            </w:tcBorders>
          </w:tcPr>
          <w:p>
            <w:pPr>
              <w:spacing w:after="0"/>
              <w:rPr>
                <w:sz w:val="13"/>
                <w:szCs w:val="1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6802755</wp:posOffset>
            </wp:positionH>
            <wp:positionV relativeFrom="paragraph">
              <wp:posOffset>-8255</wp:posOffset>
            </wp:positionV>
            <wp:extent cx="8255" cy="8890"/>
            <wp:wrapNone/>
            <wp:docPr id="399" name="Picture 3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9"/>
                    <pic:cNvPicPr>
                      <a:picLocks noChangeAspect="1" noChangeArrowheads="1"/>
                    </pic:cNvPicPr>
                  </pic:nvPicPr>
                  <pic:blipFill>
                    <a:blip r:embed="rId406">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wp:posOffset>
            </wp:positionV>
            <wp:extent cx="8890" cy="17145"/>
            <wp:wrapNone/>
            <wp:docPr id="400" name="Picture 4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0"/>
                    <pic:cNvPicPr>
                      <a:picLocks noChangeAspect="1" noChangeArrowheads="1"/>
                    </pic:cNvPicPr>
                  </pic:nvPicPr>
                  <pic:blipFill>
                    <a:blip r:embed="rId407">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sectPr>
          <w:pgSz w:w="11900" w:h="16838" w:orient="portrait"/>
          <w:cols w:equalWidth="0" w:num="1">
            <w:col w:w="10720"/>
          </w:cols>
          <w:pgMar w:left="320" w:top="131" w:right="859" w:bottom="1440" w:gutter="0" w:footer="0" w:header="0"/>
        </w:sectPr>
      </w:pPr>
    </w:p>
    <w:bookmarkStart w:id="90" w:name="page91"/>
    <w:bookmarkEnd w:id="90"/>
    <w:p>
      <w:pPr>
        <w:spacing w:after="0"/>
        <w:rPr>
          <w:rFonts w:ascii="Arial" w:cs="Arial" w:eastAsia="Arial" w:hAnsi="Arial"/>
          <w:sz w:val="14"/>
          <w:szCs w:val="14"/>
          <w:color w:val="003366"/>
        </w:rPr>
      </w:pPr>
      <w:hyperlink w:anchor="page77">
        <w:r>
          <w:rPr>
            <w:rFonts w:ascii="Arial" w:cs="Arial" w:eastAsia="Arial" w:hAnsi="Arial"/>
            <w:sz w:val="14"/>
            <w:szCs w:val="14"/>
            <w:color w:val="003366"/>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485140</wp:posOffset>
            </wp:positionH>
            <wp:positionV relativeFrom="paragraph">
              <wp:posOffset>357505</wp:posOffset>
            </wp:positionV>
            <wp:extent cx="5829300" cy="8890"/>
            <wp:wrapNone/>
            <wp:docPr id="401" name="Picture 4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1"/>
                    <pic:cNvPicPr>
                      <a:picLocks noChangeAspect="1" noChangeArrowheads="1"/>
                    </pic:cNvPicPr>
                  </pic:nvPicPr>
                  <pic:blipFill>
                    <a:blip r:embed="rId408">
                      <a:extLst>
                        <a:ext uri="{28A0092B-C50C-407E-A947-70E740481C1C}"/>
                      </a:extLst>
                    </a:blip>
                    <a:srcRect/>
                    <a:stretch>
                      <a:fillRect/>
                    </a:stretch>
                  </pic:blipFill>
                  <pic:spPr bwMode="auto">
                    <a:xfrm>
                      <a:off x="0" y="0"/>
                      <a:ext cx="5829300" cy="8890"/>
                    </a:xfrm>
                    <a:prstGeom prst="rect">
                      <a:avLst/>
                    </a:prstGeom>
                    <a:noFill/>
                  </pic:spPr>
                </pic:pic>
              </a:graphicData>
            </a:graphic>
          </wp:anchor>
        </w:drawing>
      </w:r>
    </w:p>
    <w:p>
      <w:pPr>
        <w:sectPr>
          <w:pgSz w:w="11900" w:h="16838" w:orient="portrait"/>
          <w:cols w:equalWidth="0" w:num="1">
            <w:col w:w="10139"/>
          </w:cols>
          <w:pgMar w:left="320" w:top="131"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p>
      <w:pPr>
        <w:jc w:val="both"/>
        <w:ind w:left="1420" w:right="299"/>
        <w:spacing w:after="0" w:line="253" w:lineRule="auto"/>
        <w:rPr>
          <w:sz w:val="20"/>
          <w:szCs w:val="20"/>
          <w:color w:val="auto"/>
        </w:rPr>
      </w:pPr>
      <w:r>
        <w:rPr>
          <w:rFonts w:ascii="Arial" w:cs="Arial" w:eastAsia="Arial" w:hAnsi="Arial"/>
          <w:sz w:val="16"/>
          <w:szCs w:val="16"/>
          <w:color w:val="auto"/>
        </w:rPr>
        <w:t xml:space="preserve">For the purposes of this Article 16.2, where a person is present by proxy or proxies, </w:t>
      </w:r>
      <w:r>
        <w:rPr>
          <w:rFonts w:ascii="Arial" w:cs="Arial" w:eastAsia="Arial" w:hAnsi="Arial"/>
          <w:sz w:val="16"/>
          <w:szCs w:val="16"/>
          <w:color w:val="auto"/>
          <w:strike w:val="1"/>
        </w:rPr>
        <w:t>he is</w:t>
      </w:r>
      <w:r>
        <w:rPr>
          <w:rFonts w:ascii="Arial" w:cs="Arial" w:eastAsia="Arial" w:hAnsi="Arial"/>
          <w:sz w:val="16"/>
          <w:szCs w:val="16"/>
          <w:u w:val="single" w:color="auto"/>
          <w:color w:val="auto"/>
        </w:rPr>
        <w:t>they are</w:t>
      </w:r>
      <w:r>
        <w:rPr>
          <w:rFonts w:ascii="Arial" w:cs="Arial" w:eastAsia="Arial" w:hAnsi="Arial"/>
          <w:sz w:val="16"/>
          <w:szCs w:val="16"/>
          <w:color w:val="auto"/>
        </w:rPr>
        <w:t xml:space="preserve"> treated only as holding the shares in respect of which those proxies are authorised to exercise voting rights with respect to any matter proposed at the meeting.</w:t>
      </w:r>
    </w:p>
    <w:p>
      <w:pPr>
        <w:spacing w:after="0" w:line="80" w:lineRule="exact"/>
        <w:rPr>
          <w:sz w:val="20"/>
          <w:szCs w:val="20"/>
          <w:color w:val="auto"/>
        </w:rPr>
      </w:pPr>
    </w:p>
    <w:p>
      <w:pPr>
        <w:ind w:left="1200" w:right="319" w:hanging="431"/>
        <w:spacing w:after="0" w:line="249" w:lineRule="auto"/>
        <w:rPr>
          <w:sz w:val="20"/>
          <w:szCs w:val="20"/>
          <w:color w:val="auto"/>
        </w:rPr>
      </w:pPr>
      <w:r>
        <w:rPr>
          <w:rFonts w:ascii="Arial" w:cs="Arial" w:eastAsia="Arial" w:hAnsi="Arial"/>
          <w:sz w:val="16"/>
          <w:szCs w:val="16"/>
          <w:color w:val="auto"/>
        </w:rPr>
        <w:t>16.3 The Board shall determine whether a general meeting is to be held as a physical general meeting or an electronic general meeting. The Board may call general meetings whenever and at such times and places (including electronic platforms) as it shall determine. On requisition of members pursuant to the provisions of the Companies Act, the Board shall promptly convene a general meeting in accordance with the requirements of the Companies Act. At a general meeting called by a requisition (or by requisitionists), no business may be transacted except that stated by the requisition or proposed by the Board.</w:t>
      </w:r>
    </w:p>
    <w:p>
      <w:pPr>
        <w:spacing w:after="0" w:line="70" w:lineRule="exact"/>
        <w:rPr>
          <w:sz w:val="20"/>
          <w:szCs w:val="20"/>
          <w:color w:val="auto"/>
        </w:rPr>
      </w:pPr>
    </w:p>
    <w:p>
      <w:pPr>
        <w:ind w:left="1200" w:right="259" w:hanging="431"/>
        <w:spacing w:after="0" w:line="251" w:lineRule="auto"/>
        <w:rPr>
          <w:sz w:val="20"/>
          <w:szCs w:val="20"/>
          <w:color w:val="auto"/>
        </w:rPr>
      </w:pPr>
      <w:r>
        <w:rPr>
          <w:rFonts w:ascii="Arial" w:cs="Arial" w:eastAsia="Arial" w:hAnsi="Arial"/>
          <w:sz w:val="16"/>
          <w:szCs w:val="16"/>
          <w:color w:val="auto"/>
        </w:rPr>
        <w:t xml:space="preserve">16.4 A general meeting may also be called under this Article 16 if the Company has fewer than two </w:t>
      </w:r>
      <w:r>
        <w:rPr>
          <w:rFonts w:ascii="Arial" w:cs="Arial" w:eastAsia="Arial" w:hAnsi="Arial"/>
          <w:sz w:val="16"/>
          <w:szCs w:val="16"/>
          <w:color w:val="auto"/>
          <w:strike w:val="1"/>
        </w:rPr>
        <w:t>directors</w:t>
      </w:r>
      <w:r>
        <w:rPr>
          <w:rFonts w:ascii="Arial" w:cs="Arial" w:eastAsia="Arial" w:hAnsi="Arial"/>
          <w:sz w:val="16"/>
          <w:szCs w:val="16"/>
          <w:u w:val="single" w:color="auto"/>
          <w:color w:val="auto"/>
        </w:rPr>
        <w:t>Directors</w:t>
      </w:r>
      <w:r>
        <w:rPr>
          <w:rFonts w:ascii="Arial" w:cs="Arial" w:eastAsia="Arial" w:hAnsi="Arial"/>
          <w:sz w:val="16"/>
          <w:szCs w:val="16"/>
          <w:color w:val="auto"/>
        </w:rPr>
        <w:t xml:space="preserve"> and the </w:t>
      </w:r>
      <w:r>
        <w:rPr>
          <w:rFonts w:ascii="Arial" w:cs="Arial" w:eastAsia="Arial" w:hAnsi="Arial"/>
          <w:sz w:val="16"/>
          <w:szCs w:val="16"/>
          <w:color w:val="auto"/>
          <w:strike w:val="1"/>
        </w:rPr>
        <w:t>director</w:t>
      </w:r>
      <w:r>
        <w:rPr>
          <w:rFonts w:ascii="Arial" w:cs="Arial" w:eastAsia="Arial" w:hAnsi="Arial"/>
          <w:sz w:val="16"/>
          <w:szCs w:val="16"/>
          <w:u w:val="single" w:color="auto"/>
          <w:color w:val="auto"/>
        </w:rPr>
        <w:t>Director</w:t>
      </w:r>
      <w:r>
        <w:rPr>
          <w:rFonts w:ascii="Arial" w:cs="Arial" w:eastAsia="Arial" w:hAnsi="Arial"/>
          <w:sz w:val="16"/>
          <w:szCs w:val="16"/>
          <w:color w:val="auto"/>
        </w:rPr>
        <w:t xml:space="preserve"> (if any) is unable or unwilling to appoint sufficient </w:t>
      </w:r>
      <w:r>
        <w:rPr>
          <w:rFonts w:ascii="Arial" w:cs="Arial" w:eastAsia="Arial" w:hAnsi="Arial"/>
          <w:sz w:val="16"/>
          <w:szCs w:val="16"/>
          <w:color w:val="auto"/>
          <w:strike w:val="1"/>
        </w:rPr>
        <w:t>directors</w:t>
      </w:r>
      <w:r>
        <w:rPr>
          <w:rFonts w:ascii="Arial" w:cs="Arial" w:eastAsia="Arial" w:hAnsi="Arial"/>
          <w:sz w:val="16"/>
          <w:szCs w:val="16"/>
          <w:u w:val="single" w:color="auto"/>
          <w:color w:val="auto"/>
        </w:rPr>
        <w:t>Directors</w:t>
      </w:r>
      <w:r>
        <w:rPr>
          <w:rFonts w:ascii="Arial" w:cs="Arial" w:eastAsia="Arial" w:hAnsi="Arial"/>
          <w:sz w:val="16"/>
          <w:szCs w:val="16"/>
          <w:color w:val="auto"/>
        </w:rPr>
        <w:t xml:space="preserve"> to make up a quorum or to call a general meeting to do so. In such case, two or more members may call a general meeting (or instruct the secretary to do so) for the purpose of appointing one or more </w:t>
      </w:r>
      <w:r>
        <w:rPr>
          <w:rFonts w:ascii="Arial" w:cs="Arial" w:eastAsia="Arial" w:hAnsi="Arial"/>
          <w:sz w:val="16"/>
          <w:szCs w:val="16"/>
          <w:color w:val="auto"/>
          <w:strike w:val="1"/>
        </w:rPr>
        <w:t>directors</w:t>
      </w:r>
      <w:r>
        <w:rPr>
          <w:rFonts w:ascii="Arial" w:cs="Arial" w:eastAsia="Arial" w:hAnsi="Arial"/>
          <w:sz w:val="16"/>
          <w:szCs w:val="16"/>
          <w:u w:val="single" w:color="auto"/>
          <w:color w:val="auto"/>
        </w:rPr>
        <w:t>Directors</w:t>
      </w:r>
      <w:r>
        <w:rPr>
          <w:rFonts w:ascii="Arial" w:cs="Arial" w:eastAsia="Arial" w:hAnsi="Arial"/>
          <w:sz w:val="16"/>
          <w:szCs w:val="16"/>
          <w:color w:val="auto"/>
        </w:rPr>
        <w:t>.</w:t>
      </w:r>
    </w:p>
    <w:p>
      <w:pPr>
        <w:spacing w:after="0" w:line="61" w:lineRule="exact"/>
        <w:rPr>
          <w:sz w:val="20"/>
          <w:szCs w:val="20"/>
          <w:color w:val="auto"/>
        </w:rPr>
      </w:pPr>
    </w:p>
    <w:p>
      <w:pPr>
        <w:ind w:left="1200" w:hanging="436"/>
        <w:spacing w:after="0"/>
        <w:tabs>
          <w:tab w:leader="none" w:pos="1200" w:val="left"/>
        </w:tabs>
        <w:numPr>
          <w:ilvl w:val="0"/>
          <w:numId w:val="123"/>
        </w:numPr>
        <w:rPr>
          <w:rFonts w:ascii="Arial" w:cs="Arial" w:eastAsia="Arial" w:hAnsi="Arial"/>
          <w:sz w:val="16"/>
          <w:szCs w:val="16"/>
          <w:b w:val="1"/>
          <w:bCs w:val="1"/>
          <w:color w:val="auto"/>
        </w:rPr>
      </w:pPr>
      <w:r>
        <w:rPr>
          <w:rFonts w:ascii="Arial" w:cs="Arial" w:eastAsia="Arial" w:hAnsi="Arial"/>
          <w:sz w:val="16"/>
          <w:szCs w:val="16"/>
          <w:b w:val="1"/>
          <w:bCs w:val="1"/>
          <w:color w:val="auto"/>
        </w:rPr>
        <w:t>NOTICE OF GENERAL MEETINGS</w:t>
      </w:r>
    </w:p>
    <w:p>
      <w:pPr>
        <w:spacing w:after="0" w:line="106" w:lineRule="exact"/>
        <w:rPr>
          <w:sz w:val="20"/>
          <w:szCs w:val="20"/>
          <w:color w:val="auto"/>
        </w:rPr>
      </w:pPr>
    </w:p>
    <w:p>
      <w:pPr>
        <w:jc w:val="both"/>
        <w:ind w:left="1200" w:right="319" w:hanging="431"/>
        <w:spacing w:after="0" w:line="250" w:lineRule="auto"/>
        <w:rPr>
          <w:sz w:val="20"/>
          <w:szCs w:val="20"/>
          <w:color w:val="auto"/>
        </w:rPr>
      </w:pPr>
      <w:r>
        <w:rPr>
          <w:rFonts w:ascii="Arial" w:cs="Arial" w:eastAsia="Arial" w:hAnsi="Arial"/>
          <w:sz w:val="16"/>
          <w:szCs w:val="16"/>
          <w:color w:val="auto"/>
        </w:rPr>
        <w:t xml:space="preserve">17.1 At least 21 clear days’ notice must be given to call an annual general meeting. Subject to the provisions of the Companies Act, at least 14 clear days’ notice must be given to call all other general meetings. A general meeting </w:t>
      </w:r>
      <w:r>
        <w:rPr>
          <w:rFonts w:ascii="Arial" w:cs="Arial" w:eastAsia="Arial" w:hAnsi="Arial"/>
          <w:sz w:val="16"/>
          <w:szCs w:val="16"/>
          <w:u w:val="single" w:color="auto"/>
          <w:color w:val="auto"/>
        </w:rPr>
        <w:t>(other than an annual</w:t>
      </w:r>
      <w:r>
        <w:rPr>
          <w:rFonts w:ascii="Arial" w:cs="Arial" w:eastAsia="Arial" w:hAnsi="Arial"/>
          <w:sz w:val="16"/>
          <w:szCs w:val="16"/>
          <w:color w:val="auto"/>
        </w:rPr>
        <w:t xml:space="preserve"> </w:t>
      </w:r>
      <w:r>
        <w:rPr>
          <w:rFonts w:ascii="Arial" w:cs="Arial" w:eastAsia="Arial" w:hAnsi="Arial"/>
          <w:sz w:val="16"/>
          <w:szCs w:val="16"/>
          <w:u w:val="single" w:color="auto"/>
          <w:color w:val="auto"/>
        </w:rPr>
        <w:t>general meeting)</w:t>
      </w:r>
      <w:r>
        <w:rPr>
          <w:rFonts w:ascii="Arial" w:cs="Arial" w:eastAsia="Arial" w:hAnsi="Arial"/>
          <w:sz w:val="16"/>
          <w:szCs w:val="16"/>
          <w:color w:val="auto"/>
        </w:rPr>
        <w:t xml:space="preserve"> may be called by shorter notice if it is so agreed by a majority in number of the members having a right to attend and vote at the meeting, being a majority who together hold not less than 95 per cent. in nominal value of the shares giving that right.</w:t>
      </w:r>
    </w:p>
    <w:p>
      <w:pPr>
        <w:spacing w:after="0" w:line="81" w:lineRule="exact"/>
        <w:rPr>
          <w:sz w:val="20"/>
          <w:szCs w:val="20"/>
          <w:color w:val="auto"/>
        </w:rPr>
      </w:pPr>
    </w:p>
    <w:p>
      <w:pPr>
        <w:ind w:left="1200" w:right="239" w:hanging="431"/>
        <w:spacing w:after="0" w:line="251" w:lineRule="auto"/>
        <w:rPr>
          <w:sz w:val="20"/>
          <w:szCs w:val="20"/>
          <w:color w:val="auto"/>
        </w:rPr>
      </w:pPr>
      <w:r>
        <w:rPr>
          <w:rFonts w:ascii="Arial" w:cs="Arial" w:eastAsia="Arial" w:hAnsi="Arial"/>
          <w:sz w:val="16"/>
          <w:szCs w:val="16"/>
          <w:color w:val="auto"/>
        </w:rPr>
        <w:t xml:space="preserve">17.2 Subject to the provisions of the Companies Act and any relevant special rights or restrictions attached to any shares, notices shall be given to every member as of the record date for such meeting and to the </w:t>
      </w:r>
      <w:r>
        <w:rPr>
          <w:rFonts w:ascii="Arial" w:cs="Arial" w:eastAsia="Arial" w:hAnsi="Arial"/>
          <w:sz w:val="16"/>
          <w:szCs w:val="16"/>
          <w:color w:val="auto"/>
          <w:strike w:val="1"/>
        </w:rPr>
        <w:t>Directors</w:t>
      </w:r>
      <w:r>
        <w:rPr>
          <w:rFonts w:ascii="Arial" w:cs="Arial" w:eastAsia="Arial" w:hAnsi="Arial"/>
          <w:sz w:val="16"/>
          <w:szCs w:val="16"/>
          <w:u w:val="single" w:color="auto"/>
          <w:color w:val="auto"/>
        </w:rPr>
        <w:t>Board</w:t>
      </w:r>
      <w:r>
        <w:rPr>
          <w:rFonts w:ascii="Arial" w:cs="Arial" w:eastAsia="Arial" w:hAnsi="Arial"/>
          <w:sz w:val="16"/>
          <w:szCs w:val="16"/>
          <w:color w:val="auto"/>
        </w:rPr>
        <w:t>. The beneficial owners nominated to enjoy information rights under the Companies Act and the auditors of the Company are entitled to receive all notices of, and other communications relating to, any general meeting which any member is entitled to receive.</w:t>
      </w:r>
    </w:p>
    <w:p>
      <w:pPr>
        <w:spacing w:after="0" w:line="81" w:lineRule="exact"/>
        <w:rPr>
          <w:sz w:val="20"/>
          <w:szCs w:val="20"/>
          <w:color w:val="auto"/>
        </w:rPr>
      </w:pPr>
    </w:p>
    <w:p>
      <w:pPr>
        <w:ind w:left="760"/>
        <w:spacing w:after="0"/>
        <w:rPr>
          <w:sz w:val="20"/>
          <w:szCs w:val="20"/>
          <w:color w:val="auto"/>
        </w:rPr>
      </w:pPr>
      <w:r>
        <w:rPr>
          <w:rFonts w:ascii="Arial" w:cs="Arial" w:eastAsia="Arial" w:hAnsi="Arial"/>
          <w:sz w:val="16"/>
          <w:szCs w:val="16"/>
          <w:color w:val="auto"/>
        </w:rPr>
        <w:t>17.3  Subject to the provisions of the Companies Act, the notice shall specify:</w:t>
      </w:r>
    </w:p>
    <w:p>
      <w:pPr>
        <w:spacing w:after="0" w:line="86" w:lineRule="exact"/>
        <w:rPr>
          <w:sz w:val="20"/>
          <w:szCs w:val="20"/>
          <w:color w:val="auto"/>
        </w:rPr>
      </w:pPr>
    </w:p>
    <w:p>
      <w:pPr>
        <w:ind w:left="1620" w:right="799" w:hanging="424"/>
        <w:spacing w:after="0" w:line="260" w:lineRule="auto"/>
        <w:tabs>
          <w:tab w:leader="none" w:pos="1620" w:val="left"/>
        </w:tabs>
        <w:numPr>
          <w:ilvl w:val="0"/>
          <w:numId w:val="124"/>
        </w:numPr>
        <w:rPr>
          <w:rFonts w:ascii="Arial" w:cs="Arial" w:eastAsia="Arial" w:hAnsi="Arial"/>
          <w:sz w:val="16"/>
          <w:szCs w:val="16"/>
          <w:color w:val="auto"/>
        </w:rPr>
      </w:pPr>
      <w:r>
        <w:rPr>
          <w:rFonts w:ascii="Arial" w:cs="Arial" w:eastAsia="Arial" w:hAnsi="Arial"/>
          <w:sz w:val="16"/>
          <w:szCs w:val="16"/>
          <w:color w:val="auto"/>
        </w:rPr>
        <w:t>whether the meeting shall be a physical or electronic general meeting</w:t>
      </w:r>
      <w:r>
        <w:rPr>
          <w:rFonts w:ascii="Arial" w:cs="Arial" w:eastAsia="Arial" w:hAnsi="Arial"/>
          <w:sz w:val="16"/>
          <w:szCs w:val="16"/>
          <w:u w:val="single" w:color="auto"/>
          <w:color w:val="auto"/>
        </w:rPr>
        <w:t>, or a meeting which is both physical and</w:t>
      </w:r>
      <w:r>
        <w:rPr>
          <w:rFonts w:ascii="Arial" w:cs="Arial" w:eastAsia="Arial" w:hAnsi="Arial"/>
          <w:sz w:val="16"/>
          <w:szCs w:val="16"/>
          <w:color w:val="auto"/>
        </w:rPr>
        <w:t xml:space="preserve"> </w:t>
      </w:r>
      <w:r>
        <w:rPr>
          <w:rFonts w:ascii="Arial" w:cs="Arial" w:eastAsia="Arial" w:hAnsi="Arial"/>
          <w:sz w:val="16"/>
          <w:szCs w:val="16"/>
          <w:u w:val="single" w:color="auto"/>
          <w:color w:val="auto"/>
        </w:rPr>
        <w:t>electronic</w:t>
      </w:r>
      <w:r>
        <w:rPr>
          <w:rFonts w:ascii="Arial" w:cs="Arial" w:eastAsia="Arial" w:hAnsi="Arial"/>
          <w:sz w:val="16"/>
          <w:szCs w:val="16"/>
          <w:color w:val="auto"/>
        </w:rPr>
        <w:t>;</w:t>
      </w:r>
    </w:p>
    <w:p>
      <w:pPr>
        <w:spacing w:after="0" w:line="73" w:lineRule="exact"/>
        <w:rPr>
          <w:rFonts w:ascii="Arial" w:cs="Arial" w:eastAsia="Arial" w:hAnsi="Arial"/>
          <w:sz w:val="16"/>
          <w:szCs w:val="16"/>
          <w:color w:val="auto"/>
        </w:rPr>
      </w:pPr>
    </w:p>
    <w:p>
      <w:pPr>
        <w:ind w:left="1620" w:right="319" w:hanging="424"/>
        <w:spacing w:after="0" w:line="253" w:lineRule="auto"/>
        <w:tabs>
          <w:tab w:leader="none" w:pos="1620" w:val="left"/>
        </w:tabs>
        <w:numPr>
          <w:ilvl w:val="0"/>
          <w:numId w:val="124"/>
        </w:numPr>
        <w:rPr>
          <w:rFonts w:ascii="Arial" w:cs="Arial" w:eastAsia="Arial" w:hAnsi="Arial"/>
          <w:sz w:val="16"/>
          <w:szCs w:val="16"/>
          <w:color w:val="auto"/>
        </w:rPr>
      </w:pPr>
      <w:r>
        <w:rPr>
          <w:rFonts w:ascii="Arial" w:cs="Arial" w:eastAsia="Arial" w:hAnsi="Arial"/>
          <w:sz w:val="16"/>
          <w:szCs w:val="16"/>
          <w:color w:val="auto"/>
        </w:rPr>
        <w:t>for physical general meetings</w:t>
      </w:r>
      <w:r>
        <w:rPr>
          <w:rFonts w:ascii="Arial" w:cs="Arial" w:eastAsia="Arial" w:hAnsi="Arial"/>
          <w:sz w:val="16"/>
          <w:szCs w:val="16"/>
          <w:u w:val="single" w:color="auto"/>
          <w:color w:val="auto"/>
        </w:rPr>
        <w:t>, or meetings which are both physical and electronic</w:t>
      </w:r>
      <w:r>
        <w:rPr>
          <w:rFonts w:ascii="Arial" w:cs="Arial" w:eastAsia="Arial" w:hAnsi="Arial"/>
          <w:sz w:val="16"/>
          <w:szCs w:val="16"/>
          <w:color w:val="auto"/>
        </w:rPr>
        <w:t>, the place (including without limitation any satellite meeting place arranged for the purposes of Article 18.9, which shall be identified as such in the notice), the date and the time of meeting;</w:t>
      </w:r>
    </w:p>
    <w:p>
      <w:pPr>
        <w:spacing w:after="0" w:line="66" w:lineRule="exact"/>
        <w:rPr>
          <w:rFonts w:ascii="Arial" w:cs="Arial" w:eastAsia="Arial" w:hAnsi="Arial"/>
          <w:sz w:val="16"/>
          <w:szCs w:val="16"/>
          <w:color w:val="auto"/>
        </w:rPr>
      </w:pPr>
    </w:p>
    <w:p>
      <w:pPr>
        <w:ind w:left="1620" w:right="559" w:hanging="424"/>
        <w:spacing w:after="0" w:line="253" w:lineRule="auto"/>
        <w:tabs>
          <w:tab w:leader="none" w:pos="1620" w:val="left"/>
        </w:tabs>
        <w:numPr>
          <w:ilvl w:val="0"/>
          <w:numId w:val="124"/>
        </w:numPr>
        <w:rPr>
          <w:rFonts w:ascii="Arial" w:cs="Arial" w:eastAsia="Arial" w:hAnsi="Arial"/>
          <w:sz w:val="16"/>
          <w:szCs w:val="16"/>
          <w:color w:val="auto"/>
        </w:rPr>
      </w:pPr>
      <w:r>
        <w:rPr>
          <w:rFonts w:ascii="Arial" w:cs="Arial" w:eastAsia="Arial" w:hAnsi="Arial"/>
          <w:sz w:val="16"/>
          <w:szCs w:val="16"/>
          <w:color w:val="auto"/>
        </w:rPr>
        <w:t>for electronic general meetings</w:t>
      </w:r>
      <w:r>
        <w:rPr>
          <w:rFonts w:ascii="Arial" w:cs="Arial" w:eastAsia="Arial" w:hAnsi="Arial"/>
          <w:sz w:val="16"/>
          <w:szCs w:val="16"/>
          <w:u w:val="single" w:color="auto"/>
          <w:color w:val="auto"/>
        </w:rPr>
        <w:t>, or meetings which are both physical and electronic</w:t>
      </w:r>
      <w:r>
        <w:rPr>
          <w:rFonts w:ascii="Arial" w:cs="Arial" w:eastAsia="Arial" w:hAnsi="Arial"/>
          <w:sz w:val="16"/>
          <w:szCs w:val="16"/>
          <w:color w:val="auto"/>
        </w:rPr>
        <w:t>, the time, date and electronic platform for the meeting, which electronic platform may vary from time to time and from meeting to meeting as the Board, in its sole discretion, sees fit;</w:t>
      </w:r>
    </w:p>
    <w:p>
      <w:pPr>
        <w:spacing w:after="0" w:line="79" w:lineRule="exact"/>
        <w:rPr>
          <w:rFonts w:ascii="Arial" w:cs="Arial" w:eastAsia="Arial" w:hAnsi="Arial"/>
          <w:sz w:val="16"/>
          <w:szCs w:val="16"/>
          <w:color w:val="auto"/>
        </w:rPr>
      </w:pPr>
    </w:p>
    <w:p>
      <w:pPr>
        <w:ind w:left="1620" w:hanging="424"/>
        <w:spacing w:after="0"/>
        <w:tabs>
          <w:tab w:leader="none" w:pos="1620" w:val="left"/>
        </w:tabs>
        <w:numPr>
          <w:ilvl w:val="0"/>
          <w:numId w:val="124"/>
        </w:numPr>
        <w:rPr>
          <w:rFonts w:ascii="Arial" w:cs="Arial" w:eastAsia="Arial" w:hAnsi="Arial"/>
          <w:sz w:val="16"/>
          <w:szCs w:val="16"/>
          <w:color w:val="auto"/>
        </w:rPr>
      </w:pPr>
      <w:r>
        <w:rPr>
          <w:rFonts w:ascii="Arial" w:cs="Arial" w:eastAsia="Arial" w:hAnsi="Arial"/>
          <w:sz w:val="16"/>
          <w:szCs w:val="16"/>
          <w:color w:val="auto"/>
        </w:rPr>
        <w:t>the general nature of the business to be transacted; and</w:t>
      </w:r>
    </w:p>
    <w:p>
      <w:pPr>
        <w:spacing w:after="0" w:line="86" w:lineRule="exact"/>
        <w:rPr>
          <w:rFonts w:ascii="Arial" w:cs="Arial" w:eastAsia="Arial" w:hAnsi="Arial"/>
          <w:sz w:val="16"/>
          <w:szCs w:val="16"/>
          <w:color w:val="auto"/>
        </w:rPr>
      </w:pPr>
    </w:p>
    <w:p>
      <w:pPr>
        <w:ind w:left="1620" w:hanging="424"/>
        <w:spacing w:after="0"/>
        <w:tabs>
          <w:tab w:leader="none" w:pos="1620" w:val="left"/>
        </w:tabs>
        <w:numPr>
          <w:ilvl w:val="0"/>
          <w:numId w:val="124"/>
        </w:numPr>
        <w:rPr>
          <w:rFonts w:ascii="Arial" w:cs="Arial" w:eastAsia="Arial" w:hAnsi="Arial"/>
          <w:sz w:val="16"/>
          <w:szCs w:val="16"/>
          <w:color w:val="auto"/>
        </w:rPr>
      </w:pPr>
      <w:r>
        <w:rPr>
          <w:rFonts w:ascii="Arial" w:cs="Arial" w:eastAsia="Arial" w:hAnsi="Arial"/>
          <w:sz w:val="16"/>
          <w:szCs w:val="16"/>
          <w:color w:val="auto"/>
        </w:rPr>
        <w:t>in the case of an annual general meeting, shall specify the meeting as such.</w:t>
      </w:r>
    </w:p>
    <w:p>
      <w:pPr>
        <w:spacing w:after="0" w:line="100" w:lineRule="exact"/>
        <w:rPr>
          <w:sz w:val="20"/>
          <w:szCs w:val="20"/>
          <w:color w:val="auto"/>
        </w:rPr>
      </w:pPr>
    </w:p>
    <w:p>
      <w:pPr>
        <w:ind w:left="1200" w:right="579"/>
        <w:spacing w:after="0" w:line="260" w:lineRule="auto"/>
        <w:rPr>
          <w:sz w:val="20"/>
          <w:szCs w:val="20"/>
          <w:color w:val="auto"/>
        </w:rPr>
      </w:pPr>
      <w:r>
        <w:rPr>
          <w:rFonts w:ascii="Arial" w:cs="Arial" w:eastAsia="Arial" w:hAnsi="Arial"/>
          <w:sz w:val="16"/>
          <w:szCs w:val="16"/>
          <w:color w:val="auto"/>
        </w:rPr>
        <w:t>In the case of a meeting to pass a special resolution, the notice shall specify the intention to propose the resolution as a special resolution.</w:t>
      </w:r>
    </w:p>
    <w:p>
      <w:pPr>
        <w:spacing w:after="0" w:line="60" w:lineRule="exact"/>
        <w:rPr>
          <w:sz w:val="20"/>
          <w:szCs w:val="20"/>
          <w:color w:val="auto"/>
        </w:rPr>
      </w:pPr>
    </w:p>
    <w:p>
      <w:pPr>
        <w:ind w:left="1200" w:right="659" w:hanging="431"/>
        <w:spacing w:after="0" w:line="253" w:lineRule="auto"/>
        <w:rPr>
          <w:sz w:val="20"/>
          <w:szCs w:val="20"/>
          <w:color w:val="auto"/>
        </w:rPr>
      </w:pPr>
      <w:r>
        <w:rPr>
          <w:rFonts w:ascii="Arial" w:cs="Arial" w:eastAsia="Arial" w:hAnsi="Arial"/>
          <w:sz w:val="16"/>
          <w:szCs w:val="16"/>
          <w:color w:val="auto"/>
        </w:rPr>
        <w:t>17.4 Where the Company has given an electronic address in any notice of meeting, any document or information relating to proceedings at the meeting may be sent by electronic means to that address, subject to any conditions or limitations specified in the relevant notice of meeting.</w:t>
      </w:r>
    </w:p>
    <w:p>
      <w:pPr>
        <w:spacing w:after="0" w:line="80" w:lineRule="exact"/>
        <w:rPr>
          <w:sz w:val="20"/>
          <w:szCs w:val="20"/>
          <w:color w:val="auto"/>
        </w:rPr>
      </w:pPr>
    </w:p>
    <w:p>
      <w:pPr>
        <w:ind w:left="1200" w:right="279" w:hanging="431"/>
        <w:spacing w:after="0" w:line="250" w:lineRule="auto"/>
        <w:rPr>
          <w:sz w:val="20"/>
          <w:szCs w:val="20"/>
          <w:color w:val="auto"/>
        </w:rPr>
      </w:pPr>
      <w:r>
        <w:rPr>
          <w:rFonts w:ascii="Arial" w:cs="Arial" w:eastAsia="Arial" w:hAnsi="Arial"/>
          <w:sz w:val="16"/>
          <w:szCs w:val="16"/>
          <w:color w:val="auto"/>
        </w:rPr>
        <w:t>17.5 The accidental omission to send notice of a meeting or resolution, or to send any notification where required by the Companies Act or these Articles in relation to the publication of a notice of meeting on a website, or to send a form of proxy where required by the Companies Act or these Articles, to any person entitled to receive it, or the non-receipt for any reason of any such notice, resolution or notification or form of proxy by that person, whether or not the Company is aware of such omission or non-receipt, shall not invalidate the proceedings at that meeting.</w:t>
      </w:r>
    </w:p>
    <w:p>
      <w:pPr>
        <w:spacing w:after="0" w:line="48" w:lineRule="exact"/>
        <w:rPr>
          <w:sz w:val="20"/>
          <w:szCs w:val="20"/>
          <w:color w:val="auto"/>
        </w:rPr>
      </w:pPr>
    </w:p>
    <w:p>
      <w:pPr>
        <w:ind w:left="1200" w:hanging="436"/>
        <w:spacing w:after="0"/>
        <w:tabs>
          <w:tab w:leader="none" w:pos="1200" w:val="left"/>
        </w:tabs>
        <w:numPr>
          <w:ilvl w:val="0"/>
          <w:numId w:val="125"/>
        </w:numPr>
        <w:rPr>
          <w:rFonts w:ascii="Arial" w:cs="Arial" w:eastAsia="Arial" w:hAnsi="Arial"/>
          <w:sz w:val="16"/>
          <w:szCs w:val="16"/>
          <w:b w:val="1"/>
          <w:bCs w:val="1"/>
          <w:color w:val="auto"/>
        </w:rPr>
      </w:pPr>
      <w:r>
        <w:rPr>
          <w:rFonts w:ascii="Arial" w:cs="Arial" w:eastAsia="Arial" w:hAnsi="Arial"/>
          <w:sz w:val="16"/>
          <w:szCs w:val="16"/>
          <w:b w:val="1"/>
          <w:bCs w:val="1"/>
          <w:color w:val="auto"/>
        </w:rPr>
        <w:t>PROCEEDINGS AT GENERAL MEETINGS</w:t>
      </w:r>
    </w:p>
    <w:p>
      <w:pPr>
        <w:spacing w:after="0" w:line="120" w:lineRule="exact"/>
        <w:rPr>
          <w:sz w:val="20"/>
          <w:szCs w:val="20"/>
          <w:color w:val="auto"/>
        </w:rPr>
      </w:pPr>
    </w:p>
    <w:p>
      <w:pPr>
        <w:ind w:left="1200" w:right="199" w:hanging="431"/>
        <w:spacing w:after="0" w:line="248" w:lineRule="auto"/>
        <w:rPr>
          <w:sz w:val="20"/>
          <w:szCs w:val="20"/>
          <w:color w:val="auto"/>
        </w:rPr>
      </w:pPr>
      <w:r>
        <w:rPr>
          <w:rFonts w:ascii="Arial" w:cs="Arial" w:eastAsia="Arial" w:hAnsi="Arial"/>
          <w:sz w:val="16"/>
          <w:szCs w:val="16"/>
          <w:color w:val="auto"/>
        </w:rPr>
        <w:t xml:space="preserve">18.1 No business shall be transacted at a meeting unless a quorum is present but the absence of a quorum shall not preclude the choice or appointment of a </w:t>
      </w:r>
      <w:r>
        <w:rPr>
          <w:rFonts w:ascii="Arial" w:cs="Arial" w:eastAsia="Arial" w:hAnsi="Arial"/>
          <w:sz w:val="16"/>
          <w:szCs w:val="16"/>
          <w:color w:val="auto"/>
          <w:strike w:val="1"/>
        </w:rPr>
        <w:t>chairman</w:t>
      </w:r>
      <w:r>
        <w:rPr>
          <w:rFonts w:ascii="Arial" w:cs="Arial" w:eastAsia="Arial" w:hAnsi="Arial"/>
          <w:sz w:val="16"/>
          <w:szCs w:val="16"/>
          <w:u w:val="single" w:color="auto"/>
          <w:color w:val="auto"/>
        </w:rPr>
        <w:t>chairperson</w:t>
      </w:r>
      <w:r>
        <w:rPr>
          <w:rFonts w:ascii="Arial" w:cs="Arial" w:eastAsia="Arial" w:hAnsi="Arial"/>
          <w:sz w:val="16"/>
          <w:szCs w:val="16"/>
          <w:color w:val="auto"/>
        </w:rPr>
        <w:t xml:space="preserve">, which shall not be treated as part of the business of the meeting. If the Company has only one member entitled to attend and vote at the general meeting, one qualifying person present at the meeting and entitled to vote is a quorum. Except as otherwise provided by these Articles, a quorum is the members </w:t>
      </w:r>
      <w:r>
        <w:rPr>
          <w:rFonts w:ascii="Arial" w:cs="Arial" w:eastAsia="Arial" w:hAnsi="Arial"/>
          <w:sz w:val="16"/>
          <w:szCs w:val="16"/>
          <w:u w:val="single" w:color="auto"/>
          <w:color w:val="auto"/>
        </w:rPr>
        <w:t>present</w:t>
      </w:r>
      <w:r>
        <w:rPr>
          <w:rFonts w:ascii="Arial" w:cs="Arial" w:eastAsia="Arial" w:hAnsi="Arial"/>
          <w:sz w:val="16"/>
          <w:szCs w:val="16"/>
          <w:color w:val="auto"/>
        </w:rPr>
        <w:t xml:space="preserve"> </w:t>
      </w:r>
      <w:r>
        <w:rPr>
          <w:rFonts w:ascii="Arial" w:cs="Arial" w:eastAsia="Arial" w:hAnsi="Arial"/>
          <w:sz w:val="16"/>
          <w:szCs w:val="16"/>
          <w:u w:val="single" w:color="auto"/>
          <w:color w:val="auto"/>
        </w:rPr>
        <w:t>in person or by proxy</w:t>
      </w:r>
      <w:r>
        <w:rPr>
          <w:rFonts w:ascii="Arial" w:cs="Arial" w:eastAsia="Arial" w:hAnsi="Arial"/>
          <w:sz w:val="16"/>
          <w:szCs w:val="16"/>
          <w:color w:val="auto"/>
        </w:rPr>
        <w:t xml:space="preserve"> who together represent at least </w:t>
      </w:r>
      <w:r>
        <w:rPr>
          <w:rFonts w:ascii="Arial" w:cs="Arial" w:eastAsia="Arial" w:hAnsi="Arial"/>
          <w:sz w:val="16"/>
          <w:szCs w:val="16"/>
          <w:color w:val="auto"/>
          <w:strike w:val="1"/>
        </w:rPr>
        <w:t>the</w:t>
      </w:r>
      <w:r>
        <w:rPr>
          <w:rFonts w:ascii="Arial" w:cs="Arial" w:eastAsia="Arial" w:hAnsi="Arial"/>
          <w:sz w:val="16"/>
          <w:szCs w:val="16"/>
          <w:u w:val="single" w:color="auto"/>
          <w:color w:val="auto"/>
        </w:rPr>
        <w:t>a</w:t>
      </w:r>
      <w:r>
        <w:rPr>
          <w:rFonts w:ascii="Arial" w:cs="Arial" w:eastAsia="Arial" w:hAnsi="Arial"/>
          <w:sz w:val="16"/>
          <w:szCs w:val="16"/>
          <w:color w:val="auto"/>
        </w:rPr>
        <w:t xml:space="preserve"> majority of the voting rights </w:t>
      </w:r>
      <w:r>
        <w:rPr>
          <w:rFonts w:ascii="Arial" w:cs="Arial" w:eastAsia="Arial" w:hAnsi="Arial"/>
          <w:sz w:val="16"/>
          <w:szCs w:val="16"/>
          <w:color w:val="auto"/>
          <w:strike w:val="1"/>
        </w:rPr>
        <w:t>of all the members</w:t>
      </w:r>
      <w:r>
        <w:rPr>
          <w:rFonts w:ascii="Arial" w:cs="Arial" w:eastAsia="Arial" w:hAnsi="Arial"/>
          <w:sz w:val="16"/>
          <w:szCs w:val="16"/>
          <w:u w:val="single" w:color="auto"/>
          <w:color w:val="auto"/>
        </w:rPr>
        <w:t>attaching to the</w:t>
      </w:r>
      <w:r>
        <w:rPr>
          <w:rFonts w:ascii="Arial" w:cs="Arial" w:eastAsia="Arial" w:hAnsi="Arial"/>
          <w:sz w:val="16"/>
          <w:szCs w:val="16"/>
          <w:color w:val="auto"/>
        </w:rPr>
        <w:t xml:space="preserve"> </w:t>
      </w:r>
      <w:r>
        <w:rPr>
          <w:rFonts w:ascii="Arial" w:cs="Arial" w:eastAsia="Arial" w:hAnsi="Arial"/>
          <w:sz w:val="16"/>
          <w:szCs w:val="16"/>
          <w:u w:val="single" w:color="auto"/>
          <w:color w:val="auto"/>
        </w:rPr>
        <w:t>shares (excluding any shares held as treasury shares)</w:t>
      </w:r>
      <w:r>
        <w:rPr>
          <w:rFonts w:ascii="Arial" w:cs="Arial" w:eastAsia="Arial" w:hAnsi="Arial"/>
          <w:sz w:val="16"/>
          <w:szCs w:val="16"/>
          <w:color w:val="auto"/>
        </w:rPr>
        <w:t xml:space="preserve"> entitled to vote</w:t>
      </w:r>
      <w:r>
        <w:rPr>
          <w:rFonts w:ascii="Arial" w:cs="Arial" w:eastAsia="Arial" w:hAnsi="Arial"/>
          <w:sz w:val="16"/>
          <w:szCs w:val="16"/>
          <w:color w:val="auto"/>
          <w:strike w:val="1"/>
        </w:rPr>
        <w:t>, present in person or by proxy, at the relevant meeting.</w:t>
      </w:r>
      <w:r>
        <w:rPr>
          <w:rFonts w:ascii="Arial" w:cs="Arial" w:eastAsia="Arial" w:hAnsi="Arial"/>
          <w:sz w:val="16"/>
          <w:szCs w:val="16"/>
          <w:color w:val="auto"/>
        </w:rPr>
        <w:t xml:space="preserve"> </w:t>
      </w:r>
      <w:r>
        <w:rPr>
          <w:rFonts w:ascii="Arial" w:cs="Arial" w:eastAsia="Arial" w:hAnsi="Arial"/>
          <w:sz w:val="16"/>
          <w:szCs w:val="16"/>
          <w:u w:val="single" w:color="auto"/>
          <w:color w:val="auto"/>
        </w:rPr>
        <w:t>on the business to be transacted.</w:t>
      </w:r>
    </w:p>
    <w:p>
      <w:pPr>
        <w:spacing w:after="0" w:line="106" w:lineRule="exact"/>
        <w:rPr>
          <w:sz w:val="20"/>
          <w:szCs w:val="20"/>
          <w:color w:val="auto"/>
        </w:rPr>
      </w:pPr>
    </w:p>
    <w:p>
      <w:pPr>
        <w:ind w:left="480"/>
        <w:spacing w:after="0"/>
        <w:tabs>
          <w:tab w:leader="none" w:pos="4420" w:val="left"/>
          <w:tab w:leader="none" w:pos="8760" w:val="left"/>
        </w:tabs>
        <w:rPr>
          <w:sz w:val="20"/>
          <w:szCs w:val="20"/>
          <w:color w:val="auto"/>
        </w:rPr>
      </w:pPr>
      <w:r>
        <w:rPr>
          <w:rFonts w:ascii="Arial" w:cs="Arial" w:eastAsia="Arial" w:hAnsi="Arial"/>
          <w:sz w:val="28"/>
          <w:szCs w:val="28"/>
          <w:b w:val="1"/>
          <w:bCs w:val="1"/>
          <w:color w:val="000000"/>
          <w:vertAlign w:val="subscript"/>
        </w:rPr>
        <w:t>A-12</w:t>
      </w:r>
      <w:r>
        <w:rPr>
          <w:sz w:val="20"/>
          <w:szCs w:val="20"/>
          <w:color w:val="auto"/>
        </w:rPr>
        <w:tab/>
      </w:r>
      <w:r>
        <w:rPr>
          <w:rFonts w:ascii="Arial" w:cs="Arial" w:eastAsia="Arial" w:hAnsi="Arial"/>
          <w:sz w:val="13"/>
          <w:szCs w:val="13"/>
          <w:b w:val="1"/>
          <w:bCs w:val="1"/>
          <w:color w:val="4800E6"/>
        </w:rPr>
        <w:t xml:space="preserve">LIVANOVA </w:t>
      </w:r>
      <w:r>
        <w:rPr>
          <w:rFonts w:ascii="Arial" w:cs="Arial" w:eastAsia="Arial" w:hAnsi="Arial"/>
          <w:sz w:val="13"/>
          <w:szCs w:val="13"/>
          <w:color w:val="000000"/>
        </w:rPr>
        <w:t>|</w:t>
      </w:r>
      <w:r>
        <w:rPr>
          <w:rFonts w:ascii="Arial" w:cs="Arial" w:eastAsia="Arial" w:hAnsi="Arial"/>
          <w:sz w:val="13"/>
          <w:szCs w:val="13"/>
          <w:b w:val="1"/>
          <w:bCs w:val="1"/>
          <w:color w:val="4800E6"/>
        </w:rPr>
        <w:t xml:space="preserve"> </w:t>
      </w:r>
      <w:r>
        <w:rPr>
          <w:rFonts w:ascii="Arial" w:cs="Arial" w:eastAsia="Arial" w:hAnsi="Arial"/>
          <w:sz w:val="13"/>
          <w:szCs w:val="13"/>
          <w:color w:val="4800E6"/>
        </w:rPr>
        <w:t>2020</w:t>
      </w:r>
      <w:r>
        <w:rPr>
          <w:rFonts w:ascii="Arial" w:cs="Arial" w:eastAsia="Arial" w:hAnsi="Arial"/>
          <w:sz w:val="13"/>
          <w:szCs w:val="13"/>
          <w:b w:val="1"/>
          <w:bCs w:val="1"/>
          <w:color w:val="4800E6"/>
        </w:rPr>
        <w:t xml:space="preserve"> </w:t>
      </w:r>
      <w:r>
        <w:rPr>
          <w:rFonts w:ascii="Arial" w:cs="Arial" w:eastAsia="Arial" w:hAnsi="Arial"/>
          <w:sz w:val="13"/>
          <w:szCs w:val="13"/>
          <w:color w:val="000000"/>
        </w:rPr>
        <w:t>Proxy Statement</w:t>
      </w:r>
      <w:r>
        <w:rPr>
          <w:sz w:val="20"/>
          <w:szCs w:val="20"/>
          <w:color w:val="auto"/>
        </w:rPr>
        <w:tab/>
      </w:r>
      <w:r>
        <w:rPr>
          <w:rFonts w:ascii="Arial" w:cs="Arial" w:eastAsia="Arial" w:hAnsi="Arial"/>
          <w:sz w:val="12"/>
          <w:szCs w:val="12"/>
          <w:b w:val="1"/>
          <w:bCs w:val="1"/>
          <w:color w:val="4800E6"/>
        </w:rPr>
        <w:t>www.livanova.com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639445</wp:posOffset>
            </wp:positionH>
            <wp:positionV relativeFrom="paragraph">
              <wp:posOffset>-2540</wp:posOffset>
            </wp:positionV>
            <wp:extent cx="1954530" cy="8890"/>
            <wp:wrapNone/>
            <wp:docPr id="402" name="Picture 4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2"/>
                    <pic:cNvPicPr>
                      <a:picLocks noChangeAspect="1" noChangeArrowheads="1"/>
                    </pic:cNvPicPr>
                  </pic:nvPicPr>
                  <pic:blipFill>
                    <a:blip r:embed="rId409">
                      <a:extLst>
                        <a:ext uri="{28A0092B-C50C-407E-A947-70E740481C1C}"/>
                      </a:extLst>
                    </a:blip>
                    <a:srcRect/>
                    <a:stretch>
                      <a:fillRect/>
                    </a:stretch>
                  </pic:blipFill>
                  <pic:spPr bwMode="auto">
                    <a:xfrm>
                      <a:off x="0" y="0"/>
                      <a:ext cx="1954530" cy="8890"/>
                    </a:xfrm>
                    <a:prstGeom prst="rect">
                      <a:avLst/>
                    </a:prstGeom>
                    <a:noFill/>
                  </pic:spPr>
                </pic:pic>
              </a:graphicData>
            </a:graphic>
          </wp:anchor>
        </w:drawing>
        <w:drawing>
          <wp:anchor simplePos="0" relativeHeight="251657728" behindDoc="1" locked="0" layoutInCell="0" allowOverlap="1">
            <wp:simplePos x="0" y="0"/>
            <wp:positionH relativeFrom="column">
              <wp:posOffset>4316730</wp:posOffset>
            </wp:positionH>
            <wp:positionV relativeFrom="paragraph">
              <wp:posOffset>-2540</wp:posOffset>
            </wp:positionV>
            <wp:extent cx="1028700" cy="8890"/>
            <wp:wrapNone/>
            <wp:docPr id="403" name="Picture 4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3"/>
                    <pic:cNvPicPr>
                      <a:picLocks noChangeAspect="1" noChangeArrowheads="1"/>
                    </pic:cNvPicPr>
                  </pic:nvPicPr>
                  <pic:blipFill>
                    <a:blip r:embed="rId410">
                      <a:extLst>
                        <a:ext uri="{28A0092B-C50C-407E-A947-70E740481C1C}"/>
                      </a:extLst>
                    </a:blip>
                    <a:srcRect/>
                    <a:stretch>
                      <a:fillRect/>
                    </a:stretch>
                  </pic:blipFill>
                  <pic:spPr bwMode="auto">
                    <a:xfrm>
                      <a:off x="0" y="0"/>
                      <a:ext cx="102870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125095</wp:posOffset>
            </wp:positionV>
            <wp:extent cx="6806565" cy="17145"/>
            <wp:wrapNone/>
            <wp:docPr id="404" name="Picture 4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4"/>
                    <pic:cNvPicPr>
                      <a:picLocks noChangeAspect="1" noChangeArrowheads="1"/>
                    </pic:cNvPicPr>
                  </pic:nvPicPr>
                  <pic:blipFill>
                    <a:blip r:embed="rId411">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10139"/>
          </w:cols>
          <w:pgMar w:left="320" w:top="131" w:right="1440" w:bottom="1440" w:gutter="0" w:footer="0" w:header="0"/>
          <w:type w:val="continuous"/>
        </w:sectPr>
      </w:pPr>
    </w:p>
    <w:bookmarkStart w:id="91" w:name="page92"/>
    <w:bookmarkEnd w:id="91"/>
    <w:p>
      <w:pPr>
        <w:spacing w:after="0"/>
        <w:rPr>
          <w:rFonts w:ascii="Arial" w:cs="Arial" w:eastAsia="Arial" w:hAnsi="Arial"/>
          <w:sz w:val="14"/>
          <w:szCs w:val="14"/>
          <w:color w:val="003366"/>
        </w:rPr>
      </w:pPr>
      <w:hyperlink w:anchor="page77">
        <w:r>
          <w:rPr>
            <w:rFonts w:ascii="Arial" w:cs="Arial" w:eastAsia="Arial" w:hAnsi="Arial"/>
            <w:sz w:val="14"/>
            <w:szCs w:val="14"/>
            <w:color w:val="003366"/>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485140</wp:posOffset>
            </wp:positionH>
            <wp:positionV relativeFrom="paragraph">
              <wp:posOffset>357505</wp:posOffset>
            </wp:positionV>
            <wp:extent cx="5829300" cy="8890"/>
            <wp:wrapNone/>
            <wp:docPr id="405" name="Picture 4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5"/>
                    <pic:cNvPicPr>
                      <a:picLocks noChangeAspect="1" noChangeArrowheads="1"/>
                    </pic:cNvPicPr>
                  </pic:nvPicPr>
                  <pic:blipFill>
                    <a:blip r:embed="rId412">
                      <a:extLst>
                        <a:ext uri="{28A0092B-C50C-407E-A947-70E740481C1C}"/>
                      </a:extLst>
                    </a:blip>
                    <a:srcRect/>
                    <a:stretch>
                      <a:fillRect/>
                    </a:stretch>
                  </pic:blipFill>
                  <pic:spPr bwMode="auto">
                    <a:xfrm>
                      <a:off x="0" y="0"/>
                      <a:ext cx="582930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ind w:left="1200" w:right="780" w:hanging="431"/>
        <w:spacing w:after="0" w:line="251" w:lineRule="auto"/>
        <w:rPr>
          <w:sz w:val="20"/>
          <w:szCs w:val="20"/>
          <w:color w:val="auto"/>
        </w:rPr>
      </w:pPr>
      <w:r>
        <w:rPr>
          <w:rFonts w:ascii="Arial" w:cs="Arial" w:eastAsia="Arial" w:hAnsi="Arial"/>
          <w:sz w:val="16"/>
          <w:szCs w:val="16"/>
          <w:color w:val="auto"/>
        </w:rPr>
        <w:t xml:space="preserve">18.2 If a quorum is not present within half an hour after the time appointed for holding the meeting (or such additional time as the </w:t>
      </w:r>
      <w:r>
        <w:rPr>
          <w:rFonts w:ascii="Arial" w:cs="Arial" w:eastAsia="Arial" w:hAnsi="Arial"/>
          <w:sz w:val="16"/>
          <w:szCs w:val="16"/>
          <w:color w:val="auto"/>
          <w:strike w:val="1"/>
        </w:rPr>
        <w:t>chairman</w:t>
      </w:r>
      <w:r>
        <w:rPr>
          <w:rFonts w:ascii="Arial" w:cs="Arial" w:eastAsia="Arial" w:hAnsi="Arial"/>
          <w:sz w:val="16"/>
          <w:szCs w:val="16"/>
          <w:u w:val="single" w:color="auto"/>
          <w:color w:val="auto"/>
        </w:rPr>
        <w:t>chairperson</w:t>
      </w:r>
      <w:r>
        <w:rPr>
          <w:rFonts w:ascii="Arial" w:cs="Arial" w:eastAsia="Arial" w:hAnsi="Arial"/>
          <w:sz w:val="16"/>
          <w:szCs w:val="16"/>
          <w:color w:val="auto"/>
        </w:rPr>
        <w:t xml:space="preserve"> of the meeting decides to wait), or if during a meeting a quorum ceases to be present, the meeting, if convened on the requisition of members, shall be dissolved, and in any other case shall stand adjourned. The continuation of a general meeting adjourned under this Article 18.2 for lack of quorum shall take place </w:t>
      </w:r>
      <w:r>
        <w:rPr>
          <w:rFonts w:ascii="Arial" w:cs="Arial" w:eastAsia="Arial" w:hAnsi="Arial"/>
          <w:sz w:val="16"/>
          <w:szCs w:val="16"/>
          <w:color w:val="auto"/>
          <w:strike w:val="1"/>
        </w:rPr>
        <w:t>either:</w:t>
      </w:r>
    </w:p>
    <w:p>
      <w:pPr>
        <w:spacing w:after="0" w:line="81" w:lineRule="exact"/>
        <w:rPr>
          <w:sz w:val="20"/>
          <w:szCs w:val="20"/>
          <w:color w:val="auto"/>
        </w:rPr>
      </w:pPr>
    </w:p>
    <w:p>
      <w:pPr>
        <w:ind w:left="1620" w:right="1160" w:hanging="424"/>
        <w:spacing w:after="0" w:line="260" w:lineRule="auto"/>
        <w:tabs>
          <w:tab w:leader="none" w:pos="1620" w:val="left"/>
        </w:tabs>
        <w:numPr>
          <w:ilvl w:val="0"/>
          <w:numId w:val="126"/>
        </w:numPr>
        <w:rPr>
          <w:rFonts w:ascii="Arial" w:cs="Arial" w:eastAsia="Arial" w:hAnsi="Arial"/>
          <w:sz w:val="16"/>
          <w:szCs w:val="16"/>
          <w:color w:val="auto"/>
          <w:strike w:val="1"/>
        </w:rPr>
      </w:pPr>
      <w:r>
        <w:rPr>
          <w:rFonts w:ascii="Arial" w:cs="Arial" w:eastAsia="Arial" w:hAnsi="Arial"/>
          <w:sz w:val="16"/>
          <w:szCs w:val="16"/>
          <w:color w:val="auto"/>
          <w:strike w:val="1"/>
        </w:rPr>
        <w:t>on a day that is not less than 14 days but not more than 28 days after it was adjourned and at a time and/or place specified for the purpose in the notice calling the meeting; or</w:t>
      </w:r>
    </w:p>
    <w:p>
      <w:pPr>
        <w:spacing w:after="0" w:line="60" w:lineRule="exact"/>
        <w:rPr>
          <w:rFonts w:ascii="Arial" w:cs="Arial" w:eastAsia="Arial" w:hAnsi="Arial"/>
          <w:sz w:val="16"/>
          <w:szCs w:val="16"/>
          <w:color w:val="auto"/>
          <w:strike w:val="1"/>
        </w:rPr>
      </w:pPr>
    </w:p>
    <w:p>
      <w:pPr>
        <w:ind w:left="1200" w:right="840" w:hanging="4"/>
        <w:spacing w:after="0" w:line="251" w:lineRule="auto"/>
        <w:tabs>
          <w:tab w:leader="none" w:pos="1437" w:val="left"/>
        </w:tabs>
        <w:numPr>
          <w:ilvl w:val="0"/>
          <w:numId w:val="126"/>
        </w:numPr>
        <w:rPr>
          <w:rFonts w:ascii="Arial" w:cs="Arial" w:eastAsia="Arial" w:hAnsi="Arial"/>
          <w:sz w:val="16"/>
          <w:szCs w:val="16"/>
          <w:color w:val="auto"/>
          <w:strike w:val="1"/>
        </w:rPr>
      </w:pPr>
      <w:r>
        <w:rPr>
          <w:rFonts w:ascii="Arial" w:cs="Arial" w:eastAsia="Arial" w:hAnsi="Arial"/>
          <w:sz w:val="16"/>
          <w:szCs w:val="16"/>
          <w:color w:val="auto"/>
          <w:strike w:val="1"/>
        </w:rPr>
        <w:t>where no such arrangements have been specified,</w:t>
      </w:r>
      <w:r>
        <w:rPr>
          <w:rFonts w:ascii="Arial" w:cs="Arial" w:eastAsia="Arial" w:hAnsi="Arial"/>
          <w:sz w:val="16"/>
          <w:szCs w:val="16"/>
          <w:color w:val="auto"/>
        </w:rPr>
        <w:t xml:space="preserve"> on a day that is not less than 14 days but not more than 28 days after it was adjourned and at such time and/or place as the </w:t>
      </w:r>
      <w:r>
        <w:rPr>
          <w:rFonts w:ascii="Arial" w:cs="Arial" w:eastAsia="Arial" w:hAnsi="Arial"/>
          <w:sz w:val="16"/>
          <w:szCs w:val="16"/>
          <w:color w:val="auto"/>
          <w:strike w:val="1"/>
        </w:rPr>
        <w:t>chairman</w:t>
      </w:r>
      <w:r>
        <w:rPr>
          <w:rFonts w:ascii="Arial" w:cs="Arial" w:eastAsia="Arial" w:hAnsi="Arial"/>
          <w:sz w:val="16"/>
          <w:szCs w:val="16"/>
          <w:u w:val="single" w:color="auto"/>
          <w:color w:val="auto"/>
        </w:rPr>
        <w:t>chairperson</w:t>
      </w:r>
      <w:r>
        <w:rPr>
          <w:rFonts w:ascii="Arial" w:cs="Arial" w:eastAsia="Arial" w:hAnsi="Arial"/>
          <w:sz w:val="16"/>
          <w:szCs w:val="16"/>
          <w:color w:val="auto"/>
        </w:rPr>
        <w:t xml:space="preserve"> of the meeting decides (or, in default, the </w:t>
      </w:r>
      <w:r>
        <w:rPr>
          <w:rFonts w:ascii="Arial" w:cs="Arial" w:eastAsia="Arial" w:hAnsi="Arial"/>
          <w:sz w:val="16"/>
          <w:szCs w:val="16"/>
          <w:color w:val="auto"/>
          <w:strike w:val="1"/>
        </w:rPr>
        <w:t xml:space="preserve">directors decide). </w:t>
      </w:r>
      <w:r>
        <w:rPr>
          <w:rFonts w:ascii="Arial" w:cs="Arial" w:eastAsia="Arial" w:hAnsi="Arial"/>
          <w:sz w:val="16"/>
          <w:szCs w:val="16"/>
          <w:u w:val="single" w:color="auto"/>
          <w:color w:val="auto"/>
          <w:strike w:val="1"/>
        </w:rPr>
        <w:t>Board decides). In the case of a general meeting to take place in accordance with this Article 18.2, the</w:t>
      </w:r>
      <w:r>
        <w:rPr>
          <w:rFonts w:ascii="Arial" w:cs="Arial" w:eastAsia="Arial" w:hAnsi="Arial"/>
          <w:sz w:val="16"/>
          <w:szCs w:val="16"/>
          <w:color w:val="auto"/>
          <w:strike w:val="1"/>
        </w:rPr>
        <w:t xml:space="preserve"> </w:t>
      </w:r>
      <w:r>
        <w:rPr>
          <w:rFonts w:ascii="Arial" w:cs="Arial" w:eastAsia="Arial" w:hAnsi="Arial"/>
          <w:sz w:val="16"/>
          <w:szCs w:val="16"/>
          <w:u w:val="single" w:color="auto"/>
          <w:color w:val="auto"/>
          <w:strike w:val="1"/>
        </w:rPr>
        <w:t>Company must give not less than seven clear days</w:t>
      </w:r>
      <w:r>
        <w:rPr>
          <w:rFonts w:ascii="Arial" w:cs="Arial" w:eastAsia="Arial" w:hAnsi="Arial"/>
          <w:sz w:val="16"/>
          <w:szCs w:val="16"/>
          <w:color w:val="auto"/>
          <w:strike w:val="1"/>
        </w:rPr>
        <w:t xml:space="preserve">’ </w:t>
      </w:r>
      <w:r>
        <w:rPr>
          <w:rFonts w:ascii="Arial" w:cs="Arial" w:eastAsia="Arial" w:hAnsi="Arial"/>
          <w:sz w:val="16"/>
          <w:szCs w:val="16"/>
          <w:u w:val="single" w:color="auto"/>
          <w:color w:val="auto"/>
          <w:strike w:val="1"/>
        </w:rPr>
        <w:t>notice of any adjourned meeting.</w:t>
      </w:r>
    </w:p>
    <w:p>
      <w:pPr>
        <w:spacing w:after="0" w:line="81" w:lineRule="exact"/>
        <w:rPr>
          <w:sz w:val="20"/>
          <w:szCs w:val="20"/>
          <w:color w:val="auto"/>
        </w:rPr>
      </w:pPr>
    </w:p>
    <w:p>
      <w:pPr>
        <w:ind w:left="1200" w:right="1240"/>
        <w:spacing w:after="0" w:line="260" w:lineRule="auto"/>
        <w:rPr>
          <w:sz w:val="20"/>
          <w:szCs w:val="20"/>
          <w:color w:val="auto"/>
        </w:rPr>
      </w:pPr>
      <w:r>
        <w:rPr>
          <w:rFonts w:ascii="Arial" w:cs="Arial" w:eastAsia="Arial" w:hAnsi="Arial"/>
          <w:sz w:val="16"/>
          <w:szCs w:val="16"/>
          <w:color w:val="auto"/>
          <w:strike w:val="1"/>
        </w:rPr>
        <w:t>In the case of a general meeting to take place in accordance with Article 18.2(b), the Company must give not less than seven clear days’ notice of any adjourned meeting and the notice must state the quorum requirement.</w:t>
      </w:r>
    </w:p>
    <w:p>
      <w:pPr>
        <w:spacing w:after="0" w:line="74" w:lineRule="exact"/>
        <w:rPr>
          <w:sz w:val="20"/>
          <w:szCs w:val="20"/>
          <w:color w:val="auto"/>
        </w:rPr>
      </w:pPr>
    </w:p>
    <w:p>
      <w:pPr>
        <w:ind w:left="1200" w:right="820" w:hanging="431"/>
        <w:spacing w:after="0" w:line="251" w:lineRule="auto"/>
        <w:rPr>
          <w:sz w:val="20"/>
          <w:szCs w:val="20"/>
          <w:color w:val="auto"/>
        </w:rPr>
      </w:pPr>
      <w:r>
        <w:rPr>
          <w:rFonts w:ascii="Arial" w:cs="Arial" w:eastAsia="Arial" w:hAnsi="Arial"/>
          <w:sz w:val="16"/>
          <w:szCs w:val="16"/>
          <w:color w:val="auto"/>
        </w:rPr>
        <w:t xml:space="preserve">18.3 At an adjourned meeting the quorum is </w:t>
      </w:r>
      <w:r>
        <w:rPr>
          <w:rFonts w:ascii="Arial" w:cs="Arial" w:eastAsia="Arial" w:hAnsi="Arial"/>
          <w:sz w:val="16"/>
          <w:szCs w:val="16"/>
          <w:color w:val="auto"/>
          <w:strike w:val="1"/>
        </w:rPr>
        <w:t>one qualifying person</w:t>
      </w:r>
      <w:r>
        <w:rPr>
          <w:rFonts w:ascii="Arial" w:cs="Arial" w:eastAsia="Arial" w:hAnsi="Arial"/>
          <w:sz w:val="16"/>
          <w:szCs w:val="16"/>
          <w:color w:val="auto"/>
        </w:rPr>
        <w:t xml:space="preserve"> </w:t>
      </w:r>
      <w:r>
        <w:rPr>
          <w:rFonts w:ascii="Arial" w:cs="Arial" w:eastAsia="Arial" w:hAnsi="Arial"/>
          <w:sz w:val="16"/>
          <w:szCs w:val="16"/>
          <w:u w:val="single" w:color="auto"/>
          <w:color w:val="auto"/>
        </w:rPr>
        <w:t>members</w:t>
      </w:r>
      <w:r>
        <w:rPr>
          <w:rFonts w:ascii="Arial" w:cs="Arial" w:eastAsia="Arial" w:hAnsi="Arial"/>
          <w:sz w:val="16"/>
          <w:szCs w:val="16"/>
          <w:color w:val="auto"/>
        </w:rPr>
        <w:t xml:space="preserve"> present </w:t>
      </w:r>
      <w:r>
        <w:rPr>
          <w:rFonts w:ascii="Arial" w:cs="Arial" w:eastAsia="Arial" w:hAnsi="Arial"/>
          <w:sz w:val="16"/>
          <w:szCs w:val="16"/>
          <w:color w:val="auto"/>
          <w:strike w:val="1"/>
        </w:rPr>
        <w:t>and</w:t>
      </w:r>
      <w:r>
        <w:rPr>
          <w:rFonts w:ascii="Arial" w:cs="Arial" w:eastAsia="Arial" w:hAnsi="Arial"/>
          <w:sz w:val="16"/>
          <w:szCs w:val="16"/>
          <w:u w:val="single" w:color="auto"/>
          <w:color w:val="auto"/>
        </w:rPr>
        <w:t>in person or by proxy who together</w:t>
      </w:r>
      <w:r>
        <w:rPr>
          <w:rFonts w:ascii="Arial" w:cs="Arial" w:eastAsia="Arial" w:hAnsi="Arial"/>
          <w:sz w:val="16"/>
          <w:szCs w:val="16"/>
          <w:color w:val="auto"/>
        </w:rPr>
        <w:t xml:space="preserve"> </w:t>
      </w:r>
      <w:r>
        <w:rPr>
          <w:rFonts w:ascii="Arial" w:cs="Arial" w:eastAsia="Arial" w:hAnsi="Arial"/>
          <w:sz w:val="16"/>
          <w:szCs w:val="16"/>
          <w:u w:val="single" w:color="auto"/>
          <w:color w:val="auto"/>
        </w:rPr>
        <w:t xml:space="preserve">represent at least a majority of the voting rights attaching to the shares (excluding any shares held as treasury shares) </w:t>
      </w:r>
      <w:r>
        <w:rPr>
          <w:rFonts w:ascii="Arial" w:cs="Arial" w:eastAsia="Arial" w:hAnsi="Arial"/>
          <w:sz w:val="16"/>
          <w:szCs w:val="16"/>
          <w:color w:val="auto"/>
        </w:rPr>
        <w:t>entitled to vote</w:t>
      </w:r>
      <w:r>
        <w:rPr>
          <w:rFonts w:ascii="Arial" w:cs="Arial" w:eastAsia="Arial" w:hAnsi="Arial"/>
          <w:sz w:val="16"/>
          <w:szCs w:val="16"/>
          <w:color w:val="auto"/>
          <w:strike w:val="1"/>
        </w:rPr>
        <w:t>.</w:t>
      </w:r>
      <w:r>
        <w:rPr>
          <w:rFonts w:ascii="Arial" w:cs="Arial" w:eastAsia="Arial" w:hAnsi="Arial"/>
          <w:sz w:val="16"/>
          <w:szCs w:val="16"/>
          <w:color w:val="auto"/>
        </w:rPr>
        <w:t xml:space="preserve"> </w:t>
      </w:r>
      <w:r>
        <w:rPr>
          <w:rFonts w:ascii="Arial" w:cs="Arial" w:eastAsia="Arial" w:hAnsi="Arial"/>
          <w:sz w:val="16"/>
          <w:szCs w:val="16"/>
          <w:u w:val="single" w:color="auto"/>
          <w:color w:val="auto"/>
        </w:rPr>
        <w:t>on the business to be transacted.</w:t>
      </w:r>
      <w:r>
        <w:rPr>
          <w:rFonts w:ascii="Arial" w:cs="Arial" w:eastAsia="Arial" w:hAnsi="Arial"/>
          <w:sz w:val="16"/>
          <w:szCs w:val="16"/>
          <w:color w:val="auto"/>
        </w:rPr>
        <w:t xml:space="preserve"> If at the adjourned meeting a quorum is not present within 15 minutes after the time appointed for holding the meeting, the meeting shall be dissolved.</w:t>
      </w:r>
    </w:p>
    <w:p>
      <w:pPr>
        <w:spacing w:after="0" w:line="67" w:lineRule="exact"/>
        <w:rPr>
          <w:sz w:val="20"/>
          <w:szCs w:val="20"/>
          <w:color w:val="auto"/>
        </w:rPr>
      </w:pPr>
    </w:p>
    <w:p>
      <w:pPr>
        <w:ind w:left="760"/>
        <w:spacing w:after="0"/>
        <w:rPr>
          <w:sz w:val="20"/>
          <w:szCs w:val="20"/>
          <w:color w:val="auto"/>
        </w:rPr>
      </w:pPr>
      <w:r>
        <w:rPr>
          <w:rFonts w:ascii="Arial" w:cs="Arial" w:eastAsia="Arial" w:hAnsi="Arial"/>
          <w:sz w:val="16"/>
          <w:szCs w:val="16"/>
          <w:color w:val="auto"/>
        </w:rPr>
        <w:t xml:space="preserve">18.4  The </w:t>
      </w:r>
      <w:r>
        <w:rPr>
          <w:rFonts w:ascii="Arial" w:cs="Arial" w:eastAsia="Arial" w:hAnsi="Arial"/>
          <w:sz w:val="16"/>
          <w:szCs w:val="16"/>
          <w:color w:val="auto"/>
          <w:strike w:val="1"/>
        </w:rPr>
        <w:t>chairman</w:t>
      </w:r>
      <w:r>
        <w:rPr>
          <w:rFonts w:ascii="Arial" w:cs="Arial" w:eastAsia="Arial" w:hAnsi="Arial"/>
          <w:sz w:val="16"/>
          <w:szCs w:val="16"/>
          <w:u w:val="single" w:color="auto"/>
          <w:color w:val="auto"/>
        </w:rPr>
        <w:t>chairperson</w:t>
      </w:r>
      <w:r>
        <w:rPr>
          <w:rFonts w:ascii="Arial" w:cs="Arial" w:eastAsia="Arial" w:hAnsi="Arial"/>
          <w:sz w:val="16"/>
          <w:szCs w:val="16"/>
          <w:color w:val="auto"/>
        </w:rPr>
        <w:t xml:space="preserve"> (if any) of the Board, or in </w:t>
      </w:r>
      <w:r>
        <w:rPr>
          <w:rFonts w:ascii="Arial" w:cs="Arial" w:eastAsia="Arial" w:hAnsi="Arial"/>
          <w:sz w:val="16"/>
          <w:szCs w:val="16"/>
          <w:color w:val="auto"/>
          <w:strike w:val="1"/>
        </w:rPr>
        <w:t>his</w:t>
      </w:r>
      <w:r>
        <w:rPr>
          <w:rFonts w:ascii="Arial" w:cs="Arial" w:eastAsia="Arial" w:hAnsi="Arial"/>
          <w:sz w:val="16"/>
          <w:szCs w:val="16"/>
          <w:u w:val="single" w:color="auto"/>
          <w:color w:val="auto"/>
        </w:rPr>
        <w:t>their</w:t>
      </w:r>
      <w:r>
        <w:rPr>
          <w:rFonts w:ascii="Arial" w:cs="Arial" w:eastAsia="Arial" w:hAnsi="Arial"/>
          <w:sz w:val="16"/>
          <w:szCs w:val="16"/>
          <w:color w:val="auto"/>
        </w:rPr>
        <w:t xml:space="preserve"> absence the </w:t>
      </w:r>
      <w:r>
        <w:rPr>
          <w:rFonts w:ascii="Arial" w:cs="Arial" w:eastAsia="Arial" w:hAnsi="Arial"/>
          <w:sz w:val="16"/>
          <w:szCs w:val="16"/>
          <w:color w:val="auto"/>
          <w:strike w:val="1"/>
        </w:rPr>
        <w:t>deputy chairman</w:t>
      </w:r>
      <w:r>
        <w:rPr>
          <w:rFonts w:ascii="Arial" w:cs="Arial" w:eastAsia="Arial" w:hAnsi="Arial"/>
          <w:sz w:val="16"/>
          <w:szCs w:val="16"/>
          <w:u w:val="single" w:color="auto"/>
          <w:color w:val="auto"/>
        </w:rPr>
        <w:t>senior independent director</w:t>
      </w:r>
      <w:r>
        <w:rPr>
          <w:rFonts w:ascii="Arial" w:cs="Arial" w:eastAsia="Arial" w:hAnsi="Arial"/>
          <w:sz w:val="16"/>
          <w:szCs w:val="16"/>
          <w:color w:val="auto"/>
        </w:rPr>
        <w:t xml:space="preserve"> of the</w:t>
      </w:r>
    </w:p>
    <w:p>
      <w:pPr>
        <w:spacing w:after="0" w:line="5" w:lineRule="exact"/>
        <w:rPr>
          <w:sz w:val="20"/>
          <w:szCs w:val="20"/>
          <w:color w:val="auto"/>
        </w:rPr>
      </w:pPr>
    </w:p>
    <w:p>
      <w:pPr>
        <w:ind w:left="1200"/>
        <w:spacing w:after="0"/>
        <w:rPr>
          <w:sz w:val="20"/>
          <w:szCs w:val="20"/>
          <w:color w:val="auto"/>
        </w:rPr>
      </w:pPr>
      <w:r>
        <w:rPr>
          <w:rFonts w:ascii="Arial" w:cs="Arial" w:eastAsia="Arial" w:hAnsi="Arial"/>
          <w:sz w:val="16"/>
          <w:szCs w:val="16"/>
          <w:color w:val="auto"/>
        </w:rPr>
        <w:t>Board, or in the absence of both of them some other Director nominated prior to the meeting by the Board, shall preside as</w:t>
      </w:r>
    </w:p>
    <w:p>
      <w:pPr>
        <w:spacing w:after="0" w:line="5" w:lineRule="exact"/>
        <w:rPr>
          <w:sz w:val="20"/>
          <w:szCs w:val="20"/>
          <w:color w:val="auto"/>
        </w:rPr>
      </w:pPr>
    </w:p>
    <w:p>
      <w:pPr>
        <w:ind w:left="1200"/>
        <w:spacing w:after="0"/>
        <w:rPr>
          <w:sz w:val="20"/>
          <w:szCs w:val="20"/>
          <w:color w:val="auto"/>
        </w:rPr>
      </w:pPr>
      <w:r>
        <w:rPr>
          <w:rFonts w:ascii="Arial" w:cs="Arial" w:eastAsia="Arial" w:hAnsi="Arial"/>
          <w:sz w:val="16"/>
          <w:szCs w:val="16"/>
          <w:color w:val="auto"/>
          <w:strike w:val="1"/>
        </w:rPr>
        <w:t>chairman</w:t>
      </w:r>
      <w:r>
        <w:rPr>
          <w:rFonts w:ascii="Arial" w:cs="Arial" w:eastAsia="Arial" w:hAnsi="Arial"/>
          <w:sz w:val="16"/>
          <w:szCs w:val="16"/>
          <w:u w:val="single" w:color="auto"/>
          <w:color w:val="auto"/>
        </w:rPr>
        <w:t>chairperson</w:t>
      </w:r>
      <w:r>
        <w:rPr>
          <w:rFonts w:ascii="Arial" w:cs="Arial" w:eastAsia="Arial" w:hAnsi="Arial"/>
          <w:sz w:val="16"/>
          <w:szCs w:val="16"/>
          <w:color w:val="auto"/>
        </w:rPr>
        <w:t xml:space="preserve"> of the meeting. If none of the </w:t>
      </w:r>
      <w:r>
        <w:rPr>
          <w:rFonts w:ascii="Arial" w:cs="Arial" w:eastAsia="Arial" w:hAnsi="Arial"/>
          <w:sz w:val="16"/>
          <w:szCs w:val="16"/>
          <w:color w:val="auto"/>
          <w:strike w:val="1"/>
        </w:rPr>
        <w:t>chairman, deputy chairman</w:t>
      </w:r>
      <w:r>
        <w:rPr>
          <w:rFonts w:ascii="Arial" w:cs="Arial" w:eastAsia="Arial" w:hAnsi="Arial"/>
          <w:sz w:val="16"/>
          <w:szCs w:val="16"/>
          <w:u w:val="single" w:color="auto"/>
          <w:color w:val="auto"/>
        </w:rPr>
        <w:t>chairperson, senior independent director</w:t>
      </w:r>
      <w:r>
        <w:rPr>
          <w:rFonts w:ascii="Arial" w:cs="Arial" w:eastAsia="Arial" w:hAnsi="Arial"/>
          <w:sz w:val="16"/>
          <w:szCs w:val="16"/>
          <w:color w:val="auto"/>
        </w:rPr>
        <w:t xml:space="preserve"> or</w:t>
      </w:r>
    </w:p>
    <w:p>
      <w:pPr>
        <w:spacing w:after="0" w:line="5" w:lineRule="exact"/>
        <w:rPr>
          <w:sz w:val="20"/>
          <w:szCs w:val="20"/>
          <w:color w:val="auto"/>
        </w:rPr>
      </w:pPr>
    </w:p>
    <w:p>
      <w:pPr>
        <w:ind w:left="1200"/>
        <w:spacing w:after="0"/>
        <w:rPr>
          <w:sz w:val="20"/>
          <w:szCs w:val="20"/>
          <w:color w:val="auto"/>
        </w:rPr>
      </w:pPr>
      <w:r>
        <w:rPr>
          <w:rFonts w:ascii="Arial" w:cs="Arial" w:eastAsia="Arial" w:hAnsi="Arial"/>
          <w:sz w:val="16"/>
          <w:szCs w:val="16"/>
          <w:color w:val="auto"/>
        </w:rPr>
        <w:t>such other Director (if any) is present within 15 minutes after the time appointed for holding the meeting or is not willing to act</w:t>
      </w:r>
    </w:p>
    <w:p>
      <w:pPr>
        <w:spacing w:after="0" w:line="5" w:lineRule="exact"/>
        <w:rPr>
          <w:sz w:val="20"/>
          <w:szCs w:val="20"/>
          <w:color w:val="auto"/>
        </w:rPr>
      </w:pPr>
    </w:p>
    <w:p>
      <w:pPr>
        <w:ind w:left="1200"/>
        <w:spacing w:after="0"/>
        <w:rPr>
          <w:sz w:val="20"/>
          <w:szCs w:val="20"/>
          <w:color w:val="auto"/>
        </w:rPr>
      </w:pPr>
      <w:r>
        <w:rPr>
          <w:rFonts w:ascii="Arial" w:cs="Arial" w:eastAsia="Arial" w:hAnsi="Arial"/>
          <w:sz w:val="16"/>
          <w:szCs w:val="16"/>
          <w:color w:val="auto"/>
        </w:rPr>
        <w:t xml:space="preserve">as </w:t>
      </w:r>
      <w:r>
        <w:rPr>
          <w:rFonts w:ascii="Arial" w:cs="Arial" w:eastAsia="Arial" w:hAnsi="Arial"/>
          <w:sz w:val="16"/>
          <w:szCs w:val="16"/>
          <w:color w:val="auto"/>
          <w:strike w:val="1"/>
        </w:rPr>
        <w:t>chairman</w:t>
      </w:r>
      <w:r>
        <w:rPr>
          <w:rFonts w:ascii="Arial" w:cs="Arial" w:eastAsia="Arial" w:hAnsi="Arial"/>
          <w:sz w:val="16"/>
          <w:szCs w:val="16"/>
          <w:u w:val="single" w:color="auto"/>
          <w:color w:val="auto"/>
        </w:rPr>
        <w:t>chairperson</w:t>
      </w:r>
      <w:r>
        <w:rPr>
          <w:rFonts w:ascii="Arial" w:cs="Arial" w:eastAsia="Arial" w:hAnsi="Arial"/>
          <w:sz w:val="16"/>
          <w:szCs w:val="16"/>
          <w:color w:val="auto"/>
        </w:rPr>
        <w:t>, the Directors present shall elect one of their number present and willing to act to be</w:t>
      </w:r>
    </w:p>
    <w:p>
      <w:pPr>
        <w:spacing w:after="0" w:line="5" w:lineRule="exact"/>
        <w:rPr>
          <w:sz w:val="20"/>
          <w:szCs w:val="20"/>
          <w:color w:val="auto"/>
        </w:rPr>
      </w:pPr>
    </w:p>
    <w:p>
      <w:pPr>
        <w:ind w:left="1200"/>
        <w:spacing w:after="0"/>
        <w:rPr>
          <w:sz w:val="20"/>
          <w:szCs w:val="20"/>
          <w:color w:val="auto"/>
        </w:rPr>
      </w:pPr>
      <w:r>
        <w:rPr>
          <w:rFonts w:ascii="Arial" w:cs="Arial" w:eastAsia="Arial" w:hAnsi="Arial"/>
          <w:sz w:val="16"/>
          <w:szCs w:val="16"/>
          <w:color w:val="auto"/>
          <w:strike w:val="1"/>
        </w:rPr>
        <w:t>chairman</w:t>
      </w:r>
      <w:r>
        <w:rPr>
          <w:rFonts w:ascii="Arial" w:cs="Arial" w:eastAsia="Arial" w:hAnsi="Arial"/>
          <w:sz w:val="16"/>
          <w:szCs w:val="16"/>
          <w:u w:val="single" w:color="auto"/>
          <w:color w:val="auto"/>
        </w:rPr>
        <w:t>chairperson</w:t>
      </w:r>
      <w:r>
        <w:rPr>
          <w:rFonts w:ascii="Arial" w:cs="Arial" w:eastAsia="Arial" w:hAnsi="Arial"/>
          <w:sz w:val="16"/>
          <w:szCs w:val="16"/>
          <w:color w:val="auto"/>
        </w:rPr>
        <w:t xml:space="preserve"> of the meeting, and if there is only one Director present, </w:t>
      </w:r>
      <w:r>
        <w:rPr>
          <w:rFonts w:ascii="Arial" w:cs="Arial" w:eastAsia="Arial" w:hAnsi="Arial"/>
          <w:sz w:val="16"/>
          <w:szCs w:val="16"/>
          <w:color w:val="auto"/>
          <w:strike w:val="1"/>
        </w:rPr>
        <w:t>he</w:t>
      </w:r>
      <w:r>
        <w:rPr>
          <w:rFonts w:ascii="Arial" w:cs="Arial" w:eastAsia="Arial" w:hAnsi="Arial"/>
          <w:sz w:val="16"/>
          <w:szCs w:val="16"/>
          <w:u w:val="single" w:color="auto"/>
          <w:color w:val="auto"/>
        </w:rPr>
        <w:t>that Director</w:t>
      </w:r>
      <w:r>
        <w:rPr>
          <w:rFonts w:ascii="Arial" w:cs="Arial" w:eastAsia="Arial" w:hAnsi="Arial"/>
          <w:sz w:val="16"/>
          <w:szCs w:val="16"/>
          <w:color w:val="auto"/>
        </w:rPr>
        <w:t xml:space="preserve"> shall be </w:t>
      </w:r>
      <w:r>
        <w:rPr>
          <w:rFonts w:ascii="Arial" w:cs="Arial" w:eastAsia="Arial" w:hAnsi="Arial"/>
          <w:sz w:val="16"/>
          <w:szCs w:val="16"/>
          <w:color w:val="auto"/>
          <w:strike w:val="1"/>
        </w:rPr>
        <w:t>chairman</w:t>
      </w:r>
      <w:r>
        <w:rPr>
          <w:rFonts w:ascii="Arial" w:cs="Arial" w:eastAsia="Arial" w:hAnsi="Arial"/>
          <w:sz w:val="16"/>
          <w:szCs w:val="16"/>
          <w:u w:val="single" w:color="auto"/>
          <w:color w:val="auto"/>
        </w:rPr>
        <w:t>chairperson</w:t>
      </w:r>
    </w:p>
    <w:p>
      <w:pPr>
        <w:spacing w:after="0" w:line="5" w:lineRule="exact"/>
        <w:rPr>
          <w:sz w:val="20"/>
          <w:szCs w:val="20"/>
          <w:color w:val="auto"/>
        </w:rPr>
      </w:pPr>
    </w:p>
    <w:p>
      <w:pPr>
        <w:ind w:left="1200"/>
        <w:spacing w:after="0"/>
        <w:rPr>
          <w:sz w:val="20"/>
          <w:szCs w:val="20"/>
          <w:color w:val="auto"/>
        </w:rPr>
      </w:pPr>
      <w:r>
        <w:rPr>
          <w:rFonts w:ascii="Arial" w:cs="Arial" w:eastAsia="Arial" w:hAnsi="Arial"/>
          <w:sz w:val="16"/>
          <w:szCs w:val="16"/>
          <w:color w:val="auto"/>
        </w:rPr>
        <w:t>of the meeting.</w:t>
      </w:r>
    </w:p>
    <w:p>
      <w:pPr>
        <w:spacing w:after="0" w:line="100" w:lineRule="exact"/>
        <w:rPr>
          <w:sz w:val="20"/>
          <w:szCs w:val="20"/>
          <w:color w:val="auto"/>
        </w:rPr>
      </w:pPr>
    </w:p>
    <w:p>
      <w:pPr>
        <w:ind w:left="1200" w:right="820" w:hanging="431"/>
        <w:spacing w:after="0" w:line="251" w:lineRule="auto"/>
        <w:rPr>
          <w:sz w:val="20"/>
          <w:szCs w:val="20"/>
          <w:color w:val="auto"/>
        </w:rPr>
      </w:pPr>
      <w:r>
        <w:rPr>
          <w:rFonts w:ascii="Arial" w:cs="Arial" w:eastAsia="Arial" w:hAnsi="Arial"/>
          <w:sz w:val="16"/>
          <w:szCs w:val="16"/>
          <w:color w:val="auto"/>
        </w:rPr>
        <w:t xml:space="preserve">18.5 If no Director is willing to act as </w:t>
      </w:r>
      <w:r>
        <w:rPr>
          <w:rFonts w:ascii="Arial" w:cs="Arial" w:eastAsia="Arial" w:hAnsi="Arial"/>
          <w:sz w:val="16"/>
          <w:szCs w:val="16"/>
          <w:color w:val="auto"/>
          <w:strike w:val="1"/>
        </w:rPr>
        <w:t>chairman</w:t>
      </w:r>
      <w:r>
        <w:rPr>
          <w:rFonts w:ascii="Arial" w:cs="Arial" w:eastAsia="Arial" w:hAnsi="Arial"/>
          <w:sz w:val="16"/>
          <w:szCs w:val="16"/>
          <w:u w:val="single" w:color="auto"/>
          <w:color w:val="auto"/>
        </w:rPr>
        <w:t>chairperson</w:t>
      </w:r>
      <w:r>
        <w:rPr>
          <w:rFonts w:ascii="Arial" w:cs="Arial" w:eastAsia="Arial" w:hAnsi="Arial"/>
          <w:sz w:val="16"/>
          <w:szCs w:val="16"/>
          <w:color w:val="auto"/>
        </w:rPr>
        <w:t xml:space="preserve"> or if no Director is present within 15 minutes after the time appointed for holding the meeting, the members present in person or by proxy and entitled to vote shall choose a member present in person or a proxy of a member or a person authorised to act as a representative of a corporation in relation to the meeting to be </w:t>
      </w:r>
      <w:r>
        <w:rPr>
          <w:rFonts w:ascii="Arial" w:cs="Arial" w:eastAsia="Arial" w:hAnsi="Arial"/>
          <w:sz w:val="16"/>
          <w:szCs w:val="16"/>
          <w:color w:val="auto"/>
          <w:strike w:val="1"/>
        </w:rPr>
        <w:t>chairman</w:t>
      </w:r>
      <w:r>
        <w:rPr>
          <w:rFonts w:ascii="Arial" w:cs="Arial" w:eastAsia="Arial" w:hAnsi="Arial"/>
          <w:sz w:val="16"/>
          <w:szCs w:val="16"/>
          <w:u w:val="single" w:color="auto"/>
          <w:color w:val="auto"/>
        </w:rPr>
        <w:t>chairperson</w:t>
      </w:r>
      <w:r>
        <w:rPr>
          <w:rFonts w:ascii="Arial" w:cs="Arial" w:eastAsia="Arial" w:hAnsi="Arial"/>
          <w:sz w:val="16"/>
          <w:szCs w:val="16"/>
          <w:color w:val="auto"/>
        </w:rPr>
        <w:t xml:space="preserve"> of the meeting.</w:t>
      </w:r>
    </w:p>
    <w:p>
      <w:pPr>
        <w:spacing w:after="0" w:line="67" w:lineRule="exact"/>
        <w:rPr>
          <w:sz w:val="20"/>
          <w:szCs w:val="20"/>
          <w:color w:val="auto"/>
        </w:rPr>
      </w:pPr>
    </w:p>
    <w:p>
      <w:pPr>
        <w:ind w:left="1200" w:right="820" w:hanging="431"/>
        <w:spacing w:after="0" w:line="248" w:lineRule="auto"/>
        <w:rPr>
          <w:sz w:val="20"/>
          <w:szCs w:val="20"/>
          <w:color w:val="auto"/>
        </w:rPr>
      </w:pPr>
      <w:r>
        <w:rPr>
          <w:rFonts w:ascii="Arial" w:cs="Arial" w:eastAsia="Arial" w:hAnsi="Arial"/>
          <w:sz w:val="16"/>
          <w:szCs w:val="16"/>
          <w:color w:val="auto"/>
        </w:rPr>
        <w:t xml:space="preserve">18.6 </w:t>
      </w:r>
      <w:r>
        <w:rPr>
          <w:rFonts w:ascii="Arial" w:cs="Arial" w:eastAsia="Arial" w:hAnsi="Arial"/>
          <w:sz w:val="16"/>
          <w:szCs w:val="16"/>
          <w:color w:val="auto"/>
          <w:strike w:val="1"/>
        </w:rPr>
        <w:t>The Board and at</w:t>
      </w:r>
      <w:r>
        <w:rPr>
          <w:rFonts w:ascii="Arial" w:cs="Arial" w:eastAsia="Arial" w:hAnsi="Arial"/>
          <w:sz w:val="16"/>
          <w:szCs w:val="16"/>
          <w:u w:val="single" w:color="auto"/>
          <w:color w:val="auto"/>
        </w:rPr>
        <w:t>At</w:t>
      </w:r>
      <w:r>
        <w:rPr>
          <w:rFonts w:ascii="Arial" w:cs="Arial" w:eastAsia="Arial" w:hAnsi="Arial"/>
          <w:sz w:val="16"/>
          <w:szCs w:val="16"/>
          <w:color w:val="auto"/>
        </w:rPr>
        <w:t xml:space="preserve"> any physical general meeting </w:t>
      </w:r>
      <w:r>
        <w:rPr>
          <w:rFonts w:ascii="Arial" w:cs="Arial" w:eastAsia="Arial" w:hAnsi="Arial"/>
          <w:sz w:val="16"/>
          <w:szCs w:val="16"/>
          <w:u w:val="single" w:color="auto"/>
          <w:color w:val="auto"/>
        </w:rPr>
        <w:t>or meeting which is both physical and electronic</w:t>
      </w:r>
      <w:r>
        <w:rPr>
          <w:rFonts w:ascii="Arial" w:cs="Arial" w:eastAsia="Arial" w:hAnsi="Arial"/>
          <w:sz w:val="16"/>
          <w:szCs w:val="16"/>
          <w:color w:val="auto"/>
        </w:rPr>
        <w:t xml:space="preserve">, the </w:t>
      </w:r>
      <w:r>
        <w:rPr>
          <w:rFonts w:ascii="Arial" w:cs="Arial" w:eastAsia="Arial" w:hAnsi="Arial"/>
          <w:sz w:val="16"/>
          <w:szCs w:val="16"/>
          <w:color w:val="auto"/>
          <w:strike w:val="1"/>
        </w:rPr>
        <w:t>chairman</w:t>
      </w:r>
      <w:r>
        <w:rPr>
          <w:rFonts w:ascii="Arial" w:cs="Arial" w:eastAsia="Arial" w:hAnsi="Arial"/>
          <w:sz w:val="16"/>
          <w:szCs w:val="16"/>
          <w:u w:val="single" w:color="auto"/>
          <w:color w:val="auto"/>
        </w:rPr>
        <w:t>Board</w:t>
      </w:r>
      <w:r>
        <w:rPr>
          <w:rFonts w:ascii="Arial" w:cs="Arial" w:eastAsia="Arial" w:hAnsi="Arial"/>
          <w:sz w:val="16"/>
          <w:szCs w:val="16"/>
          <w:color w:val="auto"/>
        </w:rPr>
        <w:t xml:space="preserve"> </w:t>
      </w:r>
      <w:r>
        <w:rPr>
          <w:rFonts w:ascii="Arial" w:cs="Arial" w:eastAsia="Arial" w:hAnsi="Arial"/>
          <w:sz w:val="16"/>
          <w:szCs w:val="16"/>
          <w:u w:val="single" w:color="auto"/>
          <w:color w:val="auto"/>
        </w:rPr>
        <w:t>and/or the chairperson</w:t>
      </w:r>
      <w:r>
        <w:rPr>
          <w:rFonts w:ascii="Arial" w:cs="Arial" w:eastAsia="Arial" w:hAnsi="Arial"/>
          <w:sz w:val="16"/>
          <w:szCs w:val="16"/>
          <w:color w:val="auto"/>
        </w:rPr>
        <w:t xml:space="preserve"> of the meeting may make any arrangement and impose any restriction they consider appropriate to ensure the security of a general meeting, including to direct that any person wishing to attend any general meeting should submit to such searches or other security arrangements (including without limitation, requiring evidence of identity to be produced before entering the meeting and placing restrictions on the items of personal property which may be taken into the meeting) as they </w:t>
      </w:r>
      <w:r>
        <w:rPr>
          <w:rFonts w:ascii="Arial" w:cs="Arial" w:eastAsia="Arial" w:hAnsi="Arial"/>
          <w:sz w:val="16"/>
          <w:szCs w:val="16"/>
          <w:color w:val="auto"/>
          <w:strike w:val="1"/>
        </w:rPr>
        <w:t>or he</w:t>
      </w:r>
      <w:r>
        <w:rPr>
          <w:rFonts w:ascii="Arial" w:cs="Arial" w:eastAsia="Arial" w:hAnsi="Arial"/>
          <w:sz w:val="16"/>
          <w:szCs w:val="16"/>
          <w:color w:val="auto"/>
        </w:rPr>
        <w:t xml:space="preserve"> consider appropriate under the circumstances. The </w:t>
      </w:r>
      <w:r>
        <w:rPr>
          <w:rFonts w:ascii="Arial" w:cs="Arial" w:eastAsia="Arial" w:hAnsi="Arial"/>
          <w:sz w:val="16"/>
          <w:szCs w:val="16"/>
          <w:color w:val="auto"/>
          <w:strike w:val="1"/>
        </w:rPr>
        <w:t>Directors</w:t>
      </w:r>
      <w:r>
        <w:rPr>
          <w:rFonts w:ascii="Arial" w:cs="Arial" w:eastAsia="Arial" w:hAnsi="Arial"/>
          <w:sz w:val="16"/>
          <w:szCs w:val="16"/>
          <w:u w:val="single" w:color="auto"/>
          <w:color w:val="auto"/>
        </w:rPr>
        <w:t>Board</w:t>
      </w:r>
      <w:r>
        <w:rPr>
          <w:rFonts w:ascii="Arial" w:cs="Arial" w:eastAsia="Arial" w:hAnsi="Arial"/>
          <w:sz w:val="16"/>
          <w:szCs w:val="16"/>
          <w:color w:val="auto"/>
        </w:rPr>
        <w:t xml:space="preserve"> or the </w:t>
      </w:r>
      <w:r>
        <w:rPr>
          <w:rFonts w:ascii="Arial" w:cs="Arial" w:eastAsia="Arial" w:hAnsi="Arial"/>
          <w:sz w:val="16"/>
          <w:szCs w:val="16"/>
          <w:color w:val="auto"/>
          <w:strike w:val="1"/>
        </w:rPr>
        <w:t>chairman</w:t>
      </w:r>
      <w:r>
        <w:rPr>
          <w:rFonts w:ascii="Arial" w:cs="Arial" w:eastAsia="Arial" w:hAnsi="Arial"/>
          <w:sz w:val="16"/>
          <w:szCs w:val="16"/>
          <w:u w:val="single" w:color="auto"/>
          <w:color w:val="auto"/>
        </w:rPr>
        <w:t>chairperson</w:t>
      </w:r>
      <w:r>
        <w:rPr>
          <w:rFonts w:ascii="Arial" w:cs="Arial" w:eastAsia="Arial" w:hAnsi="Arial"/>
          <w:sz w:val="16"/>
          <w:szCs w:val="16"/>
          <w:color w:val="auto"/>
        </w:rPr>
        <w:t xml:space="preserve"> of the meeting may in their </w:t>
      </w:r>
      <w:r>
        <w:rPr>
          <w:rFonts w:ascii="Arial" w:cs="Arial" w:eastAsia="Arial" w:hAnsi="Arial"/>
          <w:sz w:val="16"/>
          <w:szCs w:val="16"/>
          <w:color w:val="auto"/>
          <w:strike w:val="1"/>
        </w:rPr>
        <w:t>or his</w:t>
      </w:r>
      <w:r>
        <w:rPr>
          <w:rFonts w:ascii="Arial" w:cs="Arial" w:eastAsia="Arial" w:hAnsi="Arial"/>
          <w:sz w:val="16"/>
          <w:szCs w:val="16"/>
          <w:color w:val="auto"/>
        </w:rPr>
        <w:t xml:space="preserve"> absolute discretion refuse entry to, or eject from, any general meeting any person who refuses to submit to a search or otherwise comply with such security arrangements or restrictions.</w:t>
      </w:r>
    </w:p>
    <w:p>
      <w:pPr>
        <w:spacing w:after="0" w:line="86" w:lineRule="exact"/>
        <w:rPr>
          <w:sz w:val="20"/>
          <w:szCs w:val="20"/>
          <w:color w:val="auto"/>
        </w:rPr>
      </w:pPr>
    </w:p>
    <w:p>
      <w:pPr>
        <w:ind w:left="1200" w:right="1040" w:hanging="431"/>
        <w:spacing w:after="0" w:line="250" w:lineRule="auto"/>
        <w:rPr>
          <w:sz w:val="20"/>
          <w:szCs w:val="20"/>
          <w:color w:val="auto"/>
        </w:rPr>
      </w:pPr>
      <w:r>
        <w:rPr>
          <w:rFonts w:ascii="Arial" w:cs="Arial" w:eastAsia="Arial" w:hAnsi="Arial"/>
          <w:sz w:val="16"/>
          <w:szCs w:val="16"/>
          <w:color w:val="auto"/>
        </w:rPr>
        <w:t xml:space="preserve">18.7 The Board or the </w:t>
      </w:r>
      <w:r>
        <w:rPr>
          <w:rFonts w:ascii="Arial" w:cs="Arial" w:eastAsia="Arial" w:hAnsi="Arial"/>
          <w:sz w:val="16"/>
          <w:szCs w:val="16"/>
          <w:color w:val="auto"/>
          <w:strike w:val="1"/>
        </w:rPr>
        <w:t>chairman</w:t>
      </w:r>
      <w:r>
        <w:rPr>
          <w:rFonts w:ascii="Arial" w:cs="Arial" w:eastAsia="Arial" w:hAnsi="Arial"/>
          <w:sz w:val="16"/>
          <w:szCs w:val="16"/>
          <w:u w:val="single" w:color="auto"/>
          <w:color w:val="auto"/>
        </w:rPr>
        <w:t>chairperson</w:t>
      </w:r>
      <w:r>
        <w:rPr>
          <w:rFonts w:ascii="Arial" w:cs="Arial" w:eastAsia="Arial" w:hAnsi="Arial"/>
          <w:sz w:val="16"/>
          <w:szCs w:val="16"/>
          <w:color w:val="auto"/>
        </w:rPr>
        <w:t xml:space="preserve"> of the meeting may take such action, give such direction or put in place such arrangements as they </w:t>
      </w:r>
      <w:r>
        <w:rPr>
          <w:rFonts w:ascii="Arial" w:cs="Arial" w:eastAsia="Arial" w:hAnsi="Arial"/>
          <w:sz w:val="16"/>
          <w:szCs w:val="16"/>
          <w:color w:val="auto"/>
          <w:strike w:val="1"/>
        </w:rPr>
        <w:t>or he</w:t>
      </w:r>
      <w:r>
        <w:rPr>
          <w:rFonts w:ascii="Arial" w:cs="Arial" w:eastAsia="Arial" w:hAnsi="Arial"/>
          <w:sz w:val="16"/>
          <w:szCs w:val="16"/>
          <w:color w:val="auto"/>
        </w:rPr>
        <w:t xml:space="preserve"> consider appropriate to secure the safety of the people attending the meeting and to promote the orderly conduct of the business of the meeting. Any decision of the </w:t>
      </w:r>
      <w:r>
        <w:rPr>
          <w:rFonts w:ascii="Arial" w:cs="Arial" w:eastAsia="Arial" w:hAnsi="Arial"/>
          <w:sz w:val="16"/>
          <w:szCs w:val="16"/>
          <w:color w:val="auto"/>
          <w:strike w:val="1"/>
        </w:rPr>
        <w:t>chairman</w:t>
      </w:r>
      <w:r>
        <w:rPr>
          <w:rFonts w:ascii="Arial" w:cs="Arial" w:eastAsia="Arial" w:hAnsi="Arial"/>
          <w:sz w:val="16"/>
          <w:szCs w:val="16"/>
          <w:u w:val="single" w:color="auto"/>
          <w:color w:val="auto"/>
        </w:rPr>
        <w:t>chairperson</w:t>
      </w:r>
      <w:r>
        <w:rPr>
          <w:rFonts w:ascii="Arial" w:cs="Arial" w:eastAsia="Arial" w:hAnsi="Arial"/>
          <w:sz w:val="16"/>
          <w:szCs w:val="16"/>
          <w:color w:val="auto"/>
        </w:rPr>
        <w:t xml:space="preserve"> of the meeting on matters of procedure or matters arising incidentally from the business of the meeting, and any determination by the </w:t>
      </w:r>
      <w:r>
        <w:rPr>
          <w:rFonts w:ascii="Arial" w:cs="Arial" w:eastAsia="Arial" w:hAnsi="Arial"/>
          <w:sz w:val="16"/>
          <w:szCs w:val="16"/>
          <w:color w:val="auto"/>
          <w:strike w:val="1"/>
        </w:rPr>
        <w:t>chairman</w:t>
      </w:r>
      <w:r>
        <w:rPr>
          <w:rFonts w:ascii="Arial" w:cs="Arial" w:eastAsia="Arial" w:hAnsi="Arial"/>
          <w:sz w:val="16"/>
          <w:szCs w:val="16"/>
          <w:u w:val="single" w:color="auto"/>
          <w:color w:val="auto"/>
        </w:rPr>
        <w:t>chairperson</w:t>
      </w:r>
      <w:r>
        <w:rPr>
          <w:rFonts w:ascii="Arial" w:cs="Arial" w:eastAsia="Arial" w:hAnsi="Arial"/>
          <w:sz w:val="16"/>
          <w:szCs w:val="16"/>
          <w:color w:val="auto"/>
        </w:rPr>
        <w:t xml:space="preserve"> of the meeting as to whether a matter is of such a nature, shall be final.</w:t>
      </w:r>
    </w:p>
    <w:p>
      <w:pPr>
        <w:spacing w:after="0" w:line="81" w:lineRule="exact"/>
        <w:rPr>
          <w:sz w:val="20"/>
          <w:szCs w:val="20"/>
          <w:color w:val="auto"/>
        </w:rPr>
      </w:pPr>
    </w:p>
    <w:p>
      <w:pPr>
        <w:ind w:left="1200" w:right="1080"/>
        <w:spacing w:after="0" w:line="262" w:lineRule="auto"/>
        <w:rPr>
          <w:sz w:val="20"/>
          <w:szCs w:val="20"/>
          <w:color w:val="auto"/>
        </w:rPr>
      </w:pPr>
      <w:r>
        <w:rPr>
          <w:rFonts w:ascii="Arial" w:cs="Arial" w:eastAsia="Arial" w:hAnsi="Arial"/>
          <w:sz w:val="15"/>
          <w:szCs w:val="15"/>
          <w:color w:val="auto"/>
          <w:strike w:val="1"/>
        </w:rPr>
        <w:t>The Board and, at</w:t>
      </w:r>
      <w:r>
        <w:rPr>
          <w:rFonts w:ascii="Arial" w:cs="Arial" w:eastAsia="Arial" w:hAnsi="Arial"/>
          <w:sz w:val="15"/>
          <w:szCs w:val="15"/>
          <w:u w:val="single" w:color="auto"/>
          <w:color w:val="auto"/>
        </w:rPr>
        <w:t>At</w:t>
      </w:r>
      <w:r>
        <w:rPr>
          <w:rFonts w:ascii="Arial" w:cs="Arial" w:eastAsia="Arial" w:hAnsi="Arial"/>
          <w:sz w:val="15"/>
          <w:szCs w:val="15"/>
          <w:color w:val="auto"/>
        </w:rPr>
        <w:t xml:space="preserve"> any electronic general meeting </w:t>
      </w:r>
      <w:r>
        <w:rPr>
          <w:rFonts w:ascii="Arial" w:cs="Arial" w:eastAsia="Arial" w:hAnsi="Arial"/>
          <w:sz w:val="15"/>
          <w:szCs w:val="15"/>
          <w:u w:val="single" w:color="auto"/>
          <w:color w:val="auto"/>
        </w:rPr>
        <w:t>or meeting which is both physical and electronic</w:t>
      </w:r>
      <w:r>
        <w:rPr>
          <w:rFonts w:ascii="Arial" w:cs="Arial" w:eastAsia="Arial" w:hAnsi="Arial"/>
          <w:sz w:val="15"/>
          <w:szCs w:val="15"/>
          <w:color w:val="auto"/>
        </w:rPr>
        <w:t xml:space="preserve">, the </w:t>
      </w:r>
      <w:r>
        <w:rPr>
          <w:rFonts w:ascii="Arial" w:cs="Arial" w:eastAsia="Arial" w:hAnsi="Arial"/>
          <w:sz w:val="15"/>
          <w:szCs w:val="15"/>
          <w:color w:val="auto"/>
          <w:strike w:val="1"/>
        </w:rPr>
        <w:t>chairman</w:t>
      </w:r>
      <w:r>
        <w:rPr>
          <w:rFonts w:ascii="Arial" w:cs="Arial" w:eastAsia="Arial" w:hAnsi="Arial"/>
          <w:sz w:val="15"/>
          <w:szCs w:val="15"/>
          <w:u w:val="single" w:color="auto"/>
          <w:color w:val="auto"/>
        </w:rPr>
        <w:t>Board</w:t>
      </w:r>
      <w:r>
        <w:rPr>
          <w:rFonts w:ascii="Arial" w:cs="Arial" w:eastAsia="Arial" w:hAnsi="Arial"/>
          <w:sz w:val="15"/>
          <w:szCs w:val="15"/>
          <w:color w:val="auto"/>
        </w:rPr>
        <w:t xml:space="preserve"> </w:t>
      </w:r>
      <w:r>
        <w:rPr>
          <w:rFonts w:ascii="Arial" w:cs="Arial" w:eastAsia="Arial" w:hAnsi="Arial"/>
          <w:sz w:val="15"/>
          <w:szCs w:val="15"/>
          <w:u w:val="single" w:color="auto"/>
          <w:color w:val="auto"/>
        </w:rPr>
        <w:t>and/or the chairperson</w:t>
      </w:r>
      <w:r>
        <w:rPr>
          <w:rFonts w:ascii="Arial" w:cs="Arial" w:eastAsia="Arial" w:hAnsi="Arial"/>
          <w:sz w:val="15"/>
          <w:szCs w:val="15"/>
          <w:color w:val="auto"/>
        </w:rPr>
        <w:t xml:space="preserve"> of the meeting may make any arrangement and impose any requirement or restrictions as is:</w:t>
      </w:r>
    </w:p>
    <w:p>
      <w:pPr>
        <w:spacing w:after="0" w:line="1" w:lineRule="exact"/>
        <w:rPr>
          <w:sz w:val="20"/>
          <w:szCs w:val="20"/>
          <w:color w:val="auto"/>
        </w:rPr>
      </w:pPr>
    </w:p>
    <w:p>
      <w:pPr>
        <w:ind w:left="1440" w:hanging="244"/>
        <w:spacing w:after="0"/>
        <w:tabs>
          <w:tab w:leader="none" w:pos="1440" w:val="left"/>
        </w:tabs>
        <w:numPr>
          <w:ilvl w:val="0"/>
          <w:numId w:val="127"/>
        </w:numPr>
        <w:rPr>
          <w:rFonts w:ascii="Arial" w:cs="Arial" w:eastAsia="Arial" w:hAnsi="Arial"/>
          <w:sz w:val="16"/>
          <w:szCs w:val="16"/>
          <w:color w:val="auto"/>
        </w:rPr>
      </w:pPr>
      <w:r>
        <w:rPr>
          <w:rFonts w:ascii="Arial" w:cs="Arial" w:eastAsia="Arial" w:hAnsi="Arial"/>
          <w:sz w:val="16"/>
          <w:szCs w:val="16"/>
          <w:color w:val="auto"/>
        </w:rPr>
        <w:t>necessary to ensure the identification of those taking part and the security of the electronic communication, and</w:t>
      </w:r>
    </w:p>
    <w:p>
      <w:pPr>
        <w:spacing w:after="0" w:line="5" w:lineRule="exact"/>
        <w:rPr>
          <w:rFonts w:ascii="Arial" w:cs="Arial" w:eastAsia="Arial" w:hAnsi="Arial"/>
          <w:sz w:val="16"/>
          <w:szCs w:val="16"/>
          <w:color w:val="auto"/>
        </w:rPr>
      </w:pPr>
    </w:p>
    <w:p>
      <w:pPr>
        <w:ind w:left="1200" w:right="1180" w:hanging="4"/>
        <w:spacing w:after="0" w:line="260" w:lineRule="auto"/>
        <w:tabs>
          <w:tab w:leader="none" w:pos="1437" w:val="left"/>
        </w:tabs>
        <w:numPr>
          <w:ilvl w:val="0"/>
          <w:numId w:val="127"/>
        </w:numPr>
        <w:rPr>
          <w:rFonts w:ascii="Arial" w:cs="Arial" w:eastAsia="Arial" w:hAnsi="Arial"/>
          <w:sz w:val="16"/>
          <w:szCs w:val="16"/>
          <w:color w:val="auto"/>
        </w:rPr>
      </w:pPr>
      <w:r>
        <w:rPr>
          <w:rFonts w:ascii="Arial" w:cs="Arial" w:eastAsia="Arial" w:hAnsi="Arial"/>
          <w:sz w:val="16"/>
          <w:szCs w:val="16"/>
          <w:color w:val="auto"/>
        </w:rPr>
        <w:t>proportionate to those objectives. In this respect, the Company is able to authorise any voting application, system or facility for electronic general meetings as it sees fit.</w:t>
      </w:r>
    </w:p>
    <w:p>
      <w:pPr>
        <w:spacing w:after="0" w:line="60" w:lineRule="exact"/>
        <w:rPr>
          <w:sz w:val="20"/>
          <w:szCs w:val="20"/>
          <w:color w:val="auto"/>
        </w:rPr>
      </w:pPr>
    </w:p>
    <w:p>
      <w:pPr>
        <w:ind w:left="1200" w:right="840" w:hanging="431"/>
        <w:spacing w:after="0" w:line="251" w:lineRule="auto"/>
        <w:rPr>
          <w:sz w:val="20"/>
          <w:szCs w:val="20"/>
          <w:color w:val="auto"/>
        </w:rPr>
      </w:pPr>
      <w:r>
        <w:rPr>
          <w:rFonts w:ascii="Arial" w:cs="Arial" w:eastAsia="Arial" w:hAnsi="Arial"/>
          <w:sz w:val="16"/>
          <w:szCs w:val="16"/>
          <w:color w:val="auto"/>
        </w:rPr>
        <w:t xml:space="preserve">18.8 Directors may attend and speak at general meetings and at any separate meeting of the holders of any class of shares, whether or not they are members. The </w:t>
      </w:r>
      <w:r>
        <w:rPr>
          <w:rFonts w:ascii="Arial" w:cs="Arial" w:eastAsia="Arial" w:hAnsi="Arial"/>
          <w:sz w:val="16"/>
          <w:szCs w:val="16"/>
          <w:color w:val="auto"/>
          <w:strike w:val="1"/>
        </w:rPr>
        <w:t>chairman</w:t>
      </w:r>
      <w:r>
        <w:rPr>
          <w:rFonts w:ascii="Arial" w:cs="Arial" w:eastAsia="Arial" w:hAnsi="Arial"/>
          <w:sz w:val="16"/>
          <w:szCs w:val="16"/>
          <w:u w:val="single" w:color="auto"/>
          <w:color w:val="auto"/>
        </w:rPr>
        <w:t>chairperson</w:t>
      </w:r>
      <w:r>
        <w:rPr>
          <w:rFonts w:ascii="Arial" w:cs="Arial" w:eastAsia="Arial" w:hAnsi="Arial"/>
          <w:sz w:val="16"/>
          <w:szCs w:val="16"/>
          <w:color w:val="auto"/>
        </w:rPr>
        <w:t xml:space="preserve"> of the meeting may permit other persons who are not members of the Company or otherwise entitled to exercise the rights of members in relation to general meetings to attend and, at the </w:t>
      </w:r>
      <w:r>
        <w:rPr>
          <w:rFonts w:ascii="Arial" w:cs="Arial" w:eastAsia="Arial" w:hAnsi="Arial"/>
          <w:sz w:val="16"/>
          <w:szCs w:val="16"/>
          <w:color w:val="auto"/>
          <w:strike w:val="1"/>
        </w:rPr>
        <w:t>chairman</w:t>
      </w:r>
      <w:r>
        <w:rPr>
          <w:rFonts w:ascii="Arial" w:cs="Arial" w:eastAsia="Arial" w:hAnsi="Arial"/>
          <w:sz w:val="16"/>
          <w:szCs w:val="16"/>
          <w:u w:val="single" w:color="auto"/>
          <w:color w:val="auto"/>
        </w:rPr>
        <w:t>chairperson</w:t>
      </w:r>
      <w:r>
        <w:rPr>
          <w:rFonts w:ascii="Arial" w:cs="Arial" w:eastAsia="Arial" w:hAnsi="Arial"/>
          <w:sz w:val="16"/>
          <w:szCs w:val="16"/>
          <w:color w:val="auto"/>
        </w:rPr>
        <w:t xml:space="preserve"> of the meeting’s discretion, speak at a general meeting or at any separate class meeting.</w:t>
      </w:r>
    </w:p>
    <w:p>
      <w:pPr>
        <w:spacing w:after="0" w:line="81" w:lineRule="exact"/>
        <w:rPr>
          <w:sz w:val="20"/>
          <w:szCs w:val="20"/>
          <w:color w:val="auto"/>
        </w:rPr>
      </w:pPr>
    </w:p>
    <w:p>
      <w:pPr>
        <w:ind w:left="760"/>
        <w:spacing w:after="0"/>
        <w:rPr>
          <w:sz w:val="20"/>
          <w:szCs w:val="20"/>
          <w:color w:val="auto"/>
        </w:rPr>
      </w:pPr>
      <w:r>
        <w:rPr>
          <w:rFonts w:ascii="Arial" w:cs="Arial" w:eastAsia="Arial" w:hAnsi="Arial"/>
          <w:sz w:val="16"/>
          <w:szCs w:val="16"/>
          <w:color w:val="auto"/>
        </w:rPr>
        <w:t>18.9  Without prejudice to Article 18.10, in the case of any general meeting, the Board may, notwithstanding the specification in the</w:t>
      </w:r>
    </w:p>
    <w:p>
      <w:pPr>
        <w:spacing w:after="0" w:line="5" w:lineRule="exact"/>
        <w:rPr>
          <w:sz w:val="20"/>
          <w:szCs w:val="20"/>
          <w:color w:val="auto"/>
        </w:rPr>
      </w:pPr>
    </w:p>
    <w:p>
      <w:pPr>
        <w:ind w:left="1200"/>
        <w:spacing w:after="0"/>
        <w:rPr>
          <w:sz w:val="20"/>
          <w:szCs w:val="20"/>
          <w:color w:val="auto"/>
        </w:rPr>
      </w:pPr>
      <w:r>
        <w:rPr>
          <w:rFonts w:ascii="Arial" w:cs="Arial" w:eastAsia="Arial" w:hAnsi="Arial"/>
          <w:sz w:val="16"/>
          <w:szCs w:val="16"/>
          <w:color w:val="auto"/>
        </w:rPr>
        <w:t xml:space="preserve">notice convening the general meeting of the place at which the </w:t>
      </w:r>
      <w:r>
        <w:rPr>
          <w:rFonts w:ascii="Arial" w:cs="Arial" w:eastAsia="Arial" w:hAnsi="Arial"/>
          <w:sz w:val="16"/>
          <w:szCs w:val="16"/>
          <w:color w:val="auto"/>
          <w:strike w:val="1"/>
        </w:rPr>
        <w:t>chairman</w:t>
      </w:r>
      <w:r>
        <w:rPr>
          <w:rFonts w:ascii="Arial" w:cs="Arial" w:eastAsia="Arial" w:hAnsi="Arial"/>
          <w:sz w:val="16"/>
          <w:szCs w:val="16"/>
          <w:u w:val="single" w:color="auto"/>
          <w:color w:val="auto"/>
        </w:rPr>
        <w:t>chairperson</w:t>
      </w:r>
      <w:r>
        <w:rPr>
          <w:rFonts w:ascii="Arial" w:cs="Arial" w:eastAsia="Arial" w:hAnsi="Arial"/>
          <w:sz w:val="16"/>
          <w:szCs w:val="16"/>
          <w:color w:val="auto"/>
        </w:rPr>
        <w:t xml:space="preserve"> of the meeting shall preside (the</w:t>
      </w:r>
    </w:p>
    <w:p>
      <w:pPr>
        <w:spacing w:after="0" w:line="5" w:lineRule="exact"/>
        <w:rPr>
          <w:sz w:val="20"/>
          <w:szCs w:val="20"/>
          <w:color w:val="auto"/>
        </w:rPr>
      </w:pPr>
    </w:p>
    <w:p>
      <w:pPr>
        <w:ind w:left="120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principal place</w:t>
      </w:r>
      <w:r>
        <w:rPr>
          <w:rFonts w:ascii="Arial" w:cs="Arial" w:eastAsia="Arial" w:hAnsi="Arial"/>
          <w:sz w:val="16"/>
          <w:szCs w:val="16"/>
          <w:color w:val="auto"/>
        </w:rPr>
        <w:t>”), make arrangements for simultaneous attendance and participation at satellite meeting places, or by way</w:t>
      </w:r>
    </w:p>
    <w:p>
      <w:pPr>
        <w:spacing w:after="0" w:line="5" w:lineRule="exact"/>
        <w:rPr>
          <w:sz w:val="20"/>
          <w:szCs w:val="20"/>
          <w:color w:val="auto"/>
        </w:rPr>
      </w:pPr>
    </w:p>
    <w:p>
      <w:pPr>
        <w:ind w:left="1200"/>
        <w:spacing w:after="0"/>
        <w:rPr>
          <w:sz w:val="20"/>
          <w:szCs w:val="20"/>
          <w:color w:val="auto"/>
        </w:rPr>
      </w:pPr>
      <w:r>
        <w:rPr>
          <w:rFonts w:ascii="Arial" w:cs="Arial" w:eastAsia="Arial" w:hAnsi="Arial"/>
          <w:sz w:val="16"/>
          <w:szCs w:val="16"/>
          <w:color w:val="auto"/>
        </w:rPr>
        <w:t>of any other electronic means, allowing persons not present together at the same place to attend, speak and vote at the</w:t>
      </w:r>
    </w:p>
    <w:p>
      <w:pPr>
        <w:spacing w:after="0" w:line="5" w:lineRule="exact"/>
        <w:rPr>
          <w:sz w:val="20"/>
          <w:szCs w:val="20"/>
          <w:color w:val="auto"/>
        </w:rPr>
      </w:pPr>
    </w:p>
    <w:p>
      <w:pPr>
        <w:ind w:left="1200"/>
        <w:spacing w:after="0"/>
        <w:rPr>
          <w:sz w:val="20"/>
          <w:szCs w:val="20"/>
          <w:color w:val="auto"/>
        </w:rPr>
      </w:pPr>
      <w:r>
        <w:rPr>
          <w:rFonts w:ascii="Arial" w:cs="Arial" w:eastAsia="Arial" w:hAnsi="Arial"/>
          <w:sz w:val="16"/>
          <w:szCs w:val="16"/>
          <w:color w:val="auto"/>
        </w:rPr>
        <w:t>meeting. The arrangements for simultaneous attendance and participation at satellite meeting places, or other</w:t>
      </w:r>
    </w:p>
    <w:p>
      <w:pPr>
        <w:spacing w:after="0" w:line="305" w:lineRule="exact"/>
        <w:rPr>
          <w:sz w:val="20"/>
          <w:szCs w:val="20"/>
          <w:color w:val="auto"/>
        </w:rPr>
      </w:pPr>
    </w:p>
    <w:tbl>
      <w:tblPr>
        <w:tblLayout w:type="fixed"/>
        <w:tblInd w:w="0" w:type="dxa"/>
        <w:tblCellMar>
          <w:top w:w="0" w:type="dxa"/>
          <w:left w:w="0" w:type="dxa"/>
          <w:bottom w:w="0" w:type="dxa"/>
          <w:right w:w="0" w:type="dxa"/>
        </w:tblCellMar>
      </w:tblPr>
      <w:tr>
        <w:trPr>
          <w:trHeight w:val="130"/>
        </w:trPr>
        <w:tc>
          <w:tcPr>
            <w:tcW w:w="800" w:type="dxa"/>
            <w:vAlign w:val="bottom"/>
            <w:vMerge w:val="restart"/>
          </w:tcPr>
          <w:p>
            <w:pPr>
              <w:spacing w:after="0"/>
              <w:rPr>
                <w:sz w:val="11"/>
                <w:szCs w:val="11"/>
                <w:color w:val="auto"/>
              </w:rPr>
            </w:pPr>
          </w:p>
        </w:tc>
        <w:tc>
          <w:tcPr>
            <w:tcW w:w="3060" w:type="dxa"/>
            <w:vAlign w:val="bottom"/>
            <w:tcBorders>
              <w:bottom w:val="single" w:sz="8" w:color="auto"/>
            </w:tcBorders>
          </w:tcPr>
          <w:p>
            <w:pPr>
              <w:spacing w:after="0"/>
              <w:rPr>
                <w:sz w:val="11"/>
                <w:szCs w:val="11"/>
                <w:color w:val="auto"/>
              </w:rPr>
            </w:pPr>
          </w:p>
        </w:tc>
        <w:tc>
          <w:tcPr>
            <w:tcW w:w="2740" w:type="dxa"/>
            <w:vAlign w:val="bottom"/>
            <w:vMerge w:val="restart"/>
          </w:tcPr>
          <w:p>
            <w:pPr>
              <w:ind w:left="380"/>
              <w:spacing w:after="0"/>
              <w:rPr>
                <w:sz w:val="20"/>
                <w:szCs w:val="20"/>
                <w:color w:val="auto"/>
              </w:rPr>
            </w:pPr>
            <w:r>
              <w:rPr>
                <w:rFonts w:ascii="Arial" w:cs="Arial" w:eastAsia="Arial" w:hAnsi="Arial"/>
                <w:sz w:val="13"/>
                <w:szCs w:val="13"/>
                <w:b w:val="1"/>
                <w:bCs w:val="1"/>
                <w:color w:val="4800E6"/>
              </w:rPr>
              <w:t xml:space="preserve">LIVANOVA </w:t>
            </w:r>
            <w:r>
              <w:rPr>
                <w:rFonts w:ascii="Arial" w:cs="Arial" w:eastAsia="Arial" w:hAnsi="Arial"/>
                <w:sz w:val="13"/>
                <w:szCs w:val="13"/>
                <w:color w:val="000000"/>
              </w:rPr>
              <w:t>|</w:t>
            </w:r>
            <w:r>
              <w:rPr>
                <w:rFonts w:ascii="Arial" w:cs="Arial" w:eastAsia="Arial" w:hAnsi="Arial"/>
                <w:sz w:val="13"/>
                <w:szCs w:val="13"/>
                <w:b w:val="1"/>
                <w:bCs w:val="1"/>
                <w:color w:val="4800E6"/>
              </w:rPr>
              <w:t xml:space="preserve"> </w:t>
            </w:r>
            <w:r>
              <w:rPr>
                <w:rFonts w:ascii="Arial" w:cs="Arial" w:eastAsia="Arial" w:hAnsi="Arial"/>
                <w:sz w:val="13"/>
                <w:szCs w:val="13"/>
                <w:color w:val="4800E6"/>
              </w:rPr>
              <w:t>2020</w:t>
            </w:r>
            <w:r>
              <w:rPr>
                <w:rFonts w:ascii="Arial" w:cs="Arial" w:eastAsia="Arial" w:hAnsi="Arial"/>
                <w:sz w:val="13"/>
                <w:szCs w:val="13"/>
                <w:b w:val="1"/>
                <w:bCs w:val="1"/>
                <w:color w:val="4800E6"/>
              </w:rPr>
              <w:t xml:space="preserve"> </w:t>
            </w:r>
            <w:r>
              <w:rPr>
                <w:rFonts w:ascii="Arial" w:cs="Arial" w:eastAsia="Arial" w:hAnsi="Arial"/>
                <w:sz w:val="13"/>
                <w:szCs w:val="13"/>
                <w:color w:val="000000"/>
              </w:rPr>
              <w:t>Proxy Statement</w:t>
            </w:r>
          </w:p>
        </w:tc>
        <w:tc>
          <w:tcPr>
            <w:tcW w:w="3080" w:type="dxa"/>
            <w:vAlign w:val="bottom"/>
            <w:tcBorders>
              <w:bottom w:val="single" w:sz="8" w:color="auto"/>
            </w:tcBorders>
          </w:tcPr>
          <w:p>
            <w:pPr>
              <w:spacing w:after="0"/>
              <w:rPr>
                <w:sz w:val="11"/>
                <w:szCs w:val="11"/>
                <w:color w:val="auto"/>
              </w:rPr>
            </w:pPr>
          </w:p>
        </w:tc>
        <w:tc>
          <w:tcPr>
            <w:tcW w:w="1040" w:type="dxa"/>
            <w:vAlign w:val="bottom"/>
            <w:vMerge w:val="restart"/>
          </w:tcPr>
          <w:p>
            <w:pPr>
              <w:ind w:left="200"/>
              <w:spacing w:after="0"/>
              <w:rPr>
                <w:sz w:val="20"/>
                <w:szCs w:val="20"/>
                <w:color w:val="auto"/>
              </w:rPr>
            </w:pPr>
            <w:r>
              <w:rPr>
                <w:rFonts w:ascii="Arial" w:cs="Arial" w:eastAsia="Arial" w:hAnsi="Arial"/>
                <w:sz w:val="14"/>
                <w:szCs w:val="14"/>
                <w:b w:val="1"/>
                <w:bCs w:val="1"/>
                <w:color w:val="auto"/>
              </w:rPr>
              <w:t>A-13</w:t>
            </w:r>
          </w:p>
        </w:tc>
        <w:tc>
          <w:tcPr>
            <w:tcW w:w="0" w:type="dxa"/>
            <w:vAlign w:val="bottom"/>
          </w:tcPr>
          <w:p>
            <w:pPr>
              <w:spacing w:after="0"/>
              <w:rPr>
                <w:sz w:val="1"/>
                <w:szCs w:val="1"/>
                <w:color w:val="auto"/>
              </w:rPr>
            </w:pPr>
          </w:p>
        </w:tc>
      </w:tr>
      <w:tr>
        <w:trPr>
          <w:trHeight w:val="49"/>
        </w:trPr>
        <w:tc>
          <w:tcPr>
            <w:tcW w:w="800" w:type="dxa"/>
            <w:vAlign w:val="bottom"/>
            <w:vMerge w:val="continue"/>
          </w:tcPr>
          <w:p>
            <w:pPr>
              <w:spacing w:after="0"/>
              <w:rPr>
                <w:sz w:val="4"/>
                <w:szCs w:val="4"/>
                <w:color w:val="auto"/>
              </w:rPr>
            </w:pPr>
          </w:p>
        </w:tc>
        <w:tc>
          <w:tcPr>
            <w:tcW w:w="3060" w:type="dxa"/>
            <w:vAlign w:val="bottom"/>
          </w:tcPr>
          <w:p>
            <w:pPr>
              <w:spacing w:after="0"/>
              <w:rPr>
                <w:sz w:val="4"/>
                <w:szCs w:val="4"/>
                <w:color w:val="auto"/>
              </w:rPr>
            </w:pPr>
          </w:p>
        </w:tc>
        <w:tc>
          <w:tcPr>
            <w:tcW w:w="2740" w:type="dxa"/>
            <w:vAlign w:val="bottom"/>
            <w:vMerge w:val="continue"/>
          </w:tcPr>
          <w:p>
            <w:pPr>
              <w:spacing w:after="0"/>
              <w:rPr>
                <w:sz w:val="4"/>
                <w:szCs w:val="4"/>
                <w:color w:val="auto"/>
              </w:rPr>
            </w:pPr>
          </w:p>
        </w:tc>
        <w:tc>
          <w:tcPr>
            <w:tcW w:w="3080" w:type="dxa"/>
            <w:vAlign w:val="bottom"/>
          </w:tcPr>
          <w:p>
            <w:pPr>
              <w:spacing w:after="0"/>
              <w:rPr>
                <w:sz w:val="4"/>
                <w:szCs w:val="4"/>
                <w:color w:val="auto"/>
              </w:rPr>
            </w:pPr>
          </w:p>
        </w:tc>
        <w:tc>
          <w:tcPr>
            <w:tcW w:w="104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40"/>
        </w:trPr>
        <w:tc>
          <w:tcPr>
            <w:tcW w:w="800" w:type="dxa"/>
            <w:vAlign w:val="bottom"/>
            <w:tcBorders>
              <w:bottom w:val="single" w:sz="8" w:color="9A9A9A"/>
            </w:tcBorders>
          </w:tcPr>
          <w:p>
            <w:pPr>
              <w:spacing w:after="0"/>
              <w:rPr>
                <w:sz w:val="12"/>
                <w:szCs w:val="12"/>
                <w:color w:val="auto"/>
              </w:rPr>
            </w:pPr>
          </w:p>
        </w:tc>
        <w:tc>
          <w:tcPr>
            <w:tcW w:w="3060" w:type="dxa"/>
            <w:vAlign w:val="bottom"/>
            <w:tcBorders>
              <w:bottom w:val="single" w:sz="8" w:color="9A9A9A"/>
            </w:tcBorders>
          </w:tcPr>
          <w:p>
            <w:pPr>
              <w:spacing w:after="0"/>
              <w:rPr>
                <w:sz w:val="12"/>
                <w:szCs w:val="12"/>
                <w:color w:val="auto"/>
              </w:rPr>
            </w:pPr>
          </w:p>
        </w:tc>
        <w:tc>
          <w:tcPr>
            <w:tcW w:w="2740" w:type="dxa"/>
            <w:vAlign w:val="bottom"/>
            <w:tcBorders>
              <w:bottom w:val="single" w:sz="8" w:color="9A9A9A"/>
            </w:tcBorders>
          </w:tcPr>
          <w:p>
            <w:pPr>
              <w:spacing w:after="0"/>
              <w:rPr>
                <w:sz w:val="12"/>
                <w:szCs w:val="12"/>
                <w:color w:val="auto"/>
              </w:rPr>
            </w:pPr>
          </w:p>
        </w:tc>
        <w:tc>
          <w:tcPr>
            <w:tcW w:w="3080" w:type="dxa"/>
            <w:vAlign w:val="bottom"/>
            <w:tcBorders>
              <w:bottom w:val="single" w:sz="8" w:color="9A9A9A"/>
            </w:tcBorders>
          </w:tcPr>
          <w:p>
            <w:pPr>
              <w:spacing w:after="0"/>
              <w:rPr>
                <w:sz w:val="12"/>
                <w:szCs w:val="12"/>
                <w:color w:val="auto"/>
              </w:rPr>
            </w:pPr>
          </w:p>
        </w:tc>
        <w:tc>
          <w:tcPr>
            <w:tcW w:w="1040" w:type="dxa"/>
            <w:vAlign w:val="bottom"/>
            <w:tcBorders>
              <w:bottom w:val="single" w:sz="8" w:color="9A9A9A"/>
            </w:tcBorders>
          </w:tcPr>
          <w:p>
            <w:pPr>
              <w:spacing w:after="0"/>
              <w:rPr>
                <w:sz w:val="12"/>
                <w:szCs w:val="12"/>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6802755</wp:posOffset>
            </wp:positionH>
            <wp:positionV relativeFrom="paragraph">
              <wp:posOffset>-8255</wp:posOffset>
            </wp:positionV>
            <wp:extent cx="8255" cy="8890"/>
            <wp:wrapNone/>
            <wp:docPr id="406" name="Picture 4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6"/>
                    <pic:cNvPicPr>
                      <a:picLocks noChangeAspect="1" noChangeArrowheads="1"/>
                    </pic:cNvPicPr>
                  </pic:nvPicPr>
                  <pic:blipFill>
                    <a:blip r:embed="rId413">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wp:posOffset>
            </wp:positionV>
            <wp:extent cx="8890" cy="17145"/>
            <wp:wrapNone/>
            <wp:docPr id="407" name="Picture 4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7"/>
                    <pic:cNvPicPr>
                      <a:picLocks noChangeAspect="1" noChangeArrowheads="1"/>
                    </pic:cNvPicPr>
                  </pic:nvPicPr>
                  <pic:blipFill>
                    <a:blip r:embed="rId414">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sectPr>
          <w:pgSz w:w="11900" w:h="16838" w:orient="portrait"/>
          <w:cols w:equalWidth="0" w:num="1">
            <w:col w:w="10720"/>
          </w:cols>
          <w:pgMar w:left="320" w:top="131" w:right="859" w:bottom="1440" w:gutter="0" w:footer="0" w:header="0"/>
        </w:sectPr>
      </w:pPr>
    </w:p>
    <w:bookmarkStart w:id="92" w:name="page93"/>
    <w:bookmarkEnd w:id="92"/>
    <w:p>
      <w:pPr>
        <w:spacing w:after="0"/>
        <w:rPr>
          <w:rFonts w:ascii="Arial" w:cs="Arial" w:eastAsia="Arial" w:hAnsi="Arial"/>
          <w:sz w:val="14"/>
          <w:szCs w:val="14"/>
          <w:color w:val="003366"/>
        </w:rPr>
      </w:pPr>
      <w:hyperlink w:anchor="page77">
        <w:r>
          <w:rPr>
            <w:rFonts w:ascii="Arial" w:cs="Arial" w:eastAsia="Arial" w:hAnsi="Arial"/>
            <w:sz w:val="14"/>
            <w:szCs w:val="14"/>
            <w:color w:val="003366"/>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485140</wp:posOffset>
            </wp:positionH>
            <wp:positionV relativeFrom="paragraph">
              <wp:posOffset>357505</wp:posOffset>
            </wp:positionV>
            <wp:extent cx="5829300" cy="8890"/>
            <wp:wrapNone/>
            <wp:docPr id="408" name="Picture 4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8"/>
                    <pic:cNvPicPr>
                      <a:picLocks noChangeAspect="1" noChangeArrowheads="1"/>
                    </pic:cNvPicPr>
                  </pic:nvPicPr>
                  <pic:blipFill>
                    <a:blip r:embed="rId415">
                      <a:extLst>
                        <a:ext uri="{28A0092B-C50C-407E-A947-70E740481C1C}"/>
                      </a:extLst>
                    </a:blip>
                    <a:srcRect/>
                    <a:stretch>
                      <a:fillRect/>
                    </a:stretch>
                  </pic:blipFill>
                  <pic:spPr bwMode="auto">
                    <a:xfrm>
                      <a:off x="0" y="0"/>
                      <a:ext cx="5829300" cy="8890"/>
                    </a:xfrm>
                    <a:prstGeom prst="rect">
                      <a:avLst/>
                    </a:prstGeom>
                    <a:noFill/>
                  </pic:spPr>
                </pic:pic>
              </a:graphicData>
            </a:graphic>
          </wp:anchor>
        </w:drawing>
      </w:r>
    </w:p>
    <w:p>
      <w:pPr>
        <w:sectPr>
          <w:pgSz w:w="11900" w:h="16838" w:orient="portrait"/>
          <w:cols w:equalWidth="0" w:num="1">
            <w:col w:w="10139"/>
          </w:cols>
          <w:pgMar w:left="320" w:top="131"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p>
      <w:pPr>
        <w:ind w:left="1200" w:right="339"/>
        <w:spacing w:after="0" w:line="248" w:lineRule="auto"/>
        <w:rPr>
          <w:sz w:val="20"/>
          <w:szCs w:val="20"/>
          <w:color w:val="auto"/>
        </w:rPr>
      </w:pPr>
      <w:r>
        <w:rPr>
          <w:rFonts w:ascii="Arial" w:cs="Arial" w:eastAsia="Arial" w:hAnsi="Arial"/>
          <w:sz w:val="16"/>
          <w:szCs w:val="16"/>
          <w:color w:val="auto"/>
        </w:rPr>
        <w:t xml:space="preserve">places at which persons are participating via electronic means may include arrangements for controlling or regulating the level of attendance at any particular venue provided that such arrangements shall operate so that all members and proxies wishing to attend the meeting are able to attend at one or other of the venues. The members or proxies at the satellite meeting places, or other places at which persons are participating via electronic means, shall be counted in the quorum for, and be entitled to vote at, the general meeting in question, and that meeting shall be duly constituted and its proceedings valid if the </w:t>
      </w:r>
      <w:r>
        <w:rPr>
          <w:rFonts w:ascii="Arial" w:cs="Arial" w:eastAsia="Arial" w:hAnsi="Arial"/>
          <w:sz w:val="16"/>
          <w:szCs w:val="16"/>
          <w:color w:val="auto"/>
          <w:strike w:val="1"/>
        </w:rPr>
        <w:t>chairman</w:t>
      </w:r>
      <w:r>
        <w:rPr>
          <w:rFonts w:ascii="Arial" w:cs="Arial" w:eastAsia="Arial" w:hAnsi="Arial"/>
          <w:sz w:val="16"/>
          <w:szCs w:val="16"/>
          <w:u w:val="single" w:color="auto"/>
          <w:color w:val="auto"/>
        </w:rPr>
        <w:t>chairperson</w:t>
      </w:r>
      <w:r>
        <w:rPr>
          <w:rFonts w:ascii="Arial" w:cs="Arial" w:eastAsia="Arial" w:hAnsi="Arial"/>
          <w:sz w:val="16"/>
          <w:szCs w:val="16"/>
          <w:color w:val="auto"/>
        </w:rPr>
        <w:t xml:space="preserve"> of the meeting is satisfied that adequate facilities are available throughout the meeting to ensure that the members or proxies attending at the satellite meeting places, or other places at which persons are participating via electronic means, are able to:</w:t>
      </w:r>
    </w:p>
    <w:p>
      <w:pPr>
        <w:spacing w:after="0" w:line="86" w:lineRule="exact"/>
        <w:rPr>
          <w:sz w:val="20"/>
          <w:szCs w:val="20"/>
          <w:color w:val="auto"/>
        </w:rPr>
      </w:pPr>
    </w:p>
    <w:p>
      <w:pPr>
        <w:ind w:left="1620" w:hanging="424"/>
        <w:spacing w:after="0"/>
        <w:tabs>
          <w:tab w:leader="none" w:pos="1620" w:val="left"/>
        </w:tabs>
        <w:numPr>
          <w:ilvl w:val="0"/>
          <w:numId w:val="128"/>
        </w:numPr>
        <w:rPr>
          <w:rFonts w:ascii="Arial" w:cs="Arial" w:eastAsia="Arial" w:hAnsi="Arial"/>
          <w:sz w:val="16"/>
          <w:szCs w:val="16"/>
          <w:color w:val="auto"/>
        </w:rPr>
      </w:pPr>
      <w:r>
        <w:rPr>
          <w:rFonts w:ascii="Arial" w:cs="Arial" w:eastAsia="Arial" w:hAnsi="Arial"/>
          <w:sz w:val="16"/>
          <w:szCs w:val="16"/>
          <w:color w:val="auto"/>
        </w:rPr>
        <w:t>participate in the business for which the meeting has been convened;</w:t>
      </w:r>
    </w:p>
    <w:p>
      <w:pPr>
        <w:spacing w:after="0" w:line="86" w:lineRule="exact"/>
        <w:rPr>
          <w:rFonts w:ascii="Arial" w:cs="Arial" w:eastAsia="Arial" w:hAnsi="Arial"/>
          <w:sz w:val="16"/>
          <w:szCs w:val="16"/>
          <w:color w:val="auto"/>
        </w:rPr>
      </w:pPr>
    </w:p>
    <w:p>
      <w:pPr>
        <w:ind w:left="1620" w:right="1039" w:hanging="424"/>
        <w:spacing w:after="0" w:line="260" w:lineRule="auto"/>
        <w:tabs>
          <w:tab w:leader="none" w:pos="1620" w:val="left"/>
        </w:tabs>
        <w:numPr>
          <w:ilvl w:val="0"/>
          <w:numId w:val="128"/>
        </w:numPr>
        <w:rPr>
          <w:rFonts w:ascii="Arial" w:cs="Arial" w:eastAsia="Arial" w:hAnsi="Arial"/>
          <w:sz w:val="16"/>
          <w:szCs w:val="16"/>
          <w:color w:val="auto"/>
        </w:rPr>
      </w:pPr>
      <w:r>
        <w:rPr>
          <w:rFonts w:ascii="Arial" w:cs="Arial" w:eastAsia="Arial" w:hAnsi="Arial"/>
          <w:sz w:val="16"/>
          <w:szCs w:val="16"/>
          <w:color w:val="auto"/>
        </w:rPr>
        <w:t>see and hear all persons who speak (whether through the use of microphones, loud speakers, audio-visual communication equipment or otherwise) in the principal place and any other such place; and</w:t>
      </w:r>
    </w:p>
    <w:p>
      <w:pPr>
        <w:spacing w:after="0" w:line="73" w:lineRule="exact"/>
        <w:rPr>
          <w:rFonts w:ascii="Arial" w:cs="Arial" w:eastAsia="Arial" w:hAnsi="Arial"/>
          <w:sz w:val="16"/>
          <w:szCs w:val="16"/>
          <w:color w:val="auto"/>
        </w:rPr>
      </w:pPr>
    </w:p>
    <w:p>
      <w:pPr>
        <w:ind w:left="1620" w:hanging="424"/>
        <w:spacing w:after="0"/>
        <w:tabs>
          <w:tab w:leader="none" w:pos="1620" w:val="left"/>
        </w:tabs>
        <w:numPr>
          <w:ilvl w:val="0"/>
          <w:numId w:val="128"/>
        </w:numPr>
        <w:rPr>
          <w:rFonts w:ascii="Arial" w:cs="Arial" w:eastAsia="Arial" w:hAnsi="Arial"/>
          <w:sz w:val="16"/>
          <w:szCs w:val="16"/>
          <w:color w:val="auto"/>
        </w:rPr>
      </w:pPr>
      <w:r>
        <w:rPr>
          <w:rFonts w:ascii="Arial" w:cs="Arial" w:eastAsia="Arial" w:hAnsi="Arial"/>
          <w:sz w:val="16"/>
          <w:szCs w:val="16"/>
          <w:color w:val="auto"/>
        </w:rPr>
        <w:t>be heard and seen by all other persons so present in the same way.</w:t>
      </w:r>
    </w:p>
    <w:p>
      <w:pPr>
        <w:spacing w:after="0" w:line="100" w:lineRule="exact"/>
        <w:rPr>
          <w:sz w:val="20"/>
          <w:szCs w:val="20"/>
          <w:color w:val="auto"/>
        </w:rPr>
      </w:pPr>
    </w:p>
    <w:p>
      <w:pPr>
        <w:ind w:left="1200" w:right="339"/>
        <w:spacing w:after="0" w:line="260" w:lineRule="auto"/>
        <w:rPr>
          <w:sz w:val="20"/>
          <w:szCs w:val="20"/>
          <w:color w:val="auto"/>
        </w:rPr>
      </w:pPr>
      <w:r>
        <w:rPr>
          <w:rFonts w:ascii="Arial" w:cs="Arial" w:eastAsia="Arial" w:hAnsi="Arial"/>
          <w:sz w:val="16"/>
          <w:szCs w:val="16"/>
          <w:color w:val="auto"/>
        </w:rPr>
        <w:t xml:space="preserve">The </w:t>
      </w:r>
      <w:r>
        <w:rPr>
          <w:rFonts w:ascii="Arial" w:cs="Arial" w:eastAsia="Arial" w:hAnsi="Arial"/>
          <w:sz w:val="16"/>
          <w:szCs w:val="16"/>
          <w:color w:val="auto"/>
          <w:strike w:val="1"/>
        </w:rPr>
        <w:t>chairman</w:t>
      </w:r>
      <w:r>
        <w:rPr>
          <w:rFonts w:ascii="Arial" w:cs="Arial" w:eastAsia="Arial" w:hAnsi="Arial"/>
          <w:sz w:val="16"/>
          <w:szCs w:val="16"/>
          <w:u w:val="single" w:color="auto"/>
          <w:color w:val="auto"/>
        </w:rPr>
        <w:t>chairperson</w:t>
      </w:r>
      <w:r>
        <w:rPr>
          <w:rFonts w:ascii="Arial" w:cs="Arial" w:eastAsia="Arial" w:hAnsi="Arial"/>
          <w:sz w:val="16"/>
          <w:szCs w:val="16"/>
          <w:color w:val="auto"/>
        </w:rPr>
        <w:t xml:space="preserve"> of the general meeting shall be present at, and the meeting shall be deemed to take place at, the principal place.</w:t>
      </w:r>
    </w:p>
    <w:p>
      <w:pPr>
        <w:spacing w:after="0" w:line="60" w:lineRule="exact"/>
        <w:rPr>
          <w:sz w:val="20"/>
          <w:szCs w:val="20"/>
          <w:color w:val="auto"/>
        </w:rPr>
      </w:pPr>
    </w:p>
    <w:p>
      <w:pPr>
        <w:ind w:left="1200" w:right="239" w:hanging="431"/>
        <w:spacing w:after="0" w:line="268" w:lineRule="auto"/>
        <w:rPr>
          <w:sz w:val="20"/>
          <w:szCs w:val="20"/>
          <w:color w:val="auto"/>
        </w:rPr>
      </w:pPr>
      <w:r>
        <w:rPr>
          <w:rFonts w:ascii="Arial" w:cs="Arial" w:eastAsia="Arial" w:hAnsi="Arial"/>
          <w:sz w:val="15"/>
          <w:szCs w:val="15"/>
          <w:color w:val="auto"/>
        </w:rPr>
        <w:t>18.10 Without prejudice to Article 18.9, the Board may resolve to enable persons entitled to attend a general meeting hosted on an electronic platform (such meeting being an “</w:t>
      </w:r>
      <w:r>
        <w:rPr>
          <w:rFonts w:ascii="Arial" w:cs="Arial" w:eastAsia="Arial" w:hAnsi="Arial"/>
          <w:sz w:val="15"/>
          <w:szCs w:val="15"/>
          <w:b w:val="1"/>
          <w:bCs w:val="1"/>
          <w:color w:val="auto"/>
        </w:rPr>
        <w:t>electronic general meeting</w:t>
      </w:r>
      <w:r>
        <w:rPr>
          <w:rFonts w:ascii="Arial" w:cs="Arial" w:eastAsia="Arial" w:hAnsi="Arial"/>
          <w:sz w:val="15"/>
          <w:szCs w:val="15"/>
          <w:color w:val="auto"/>
        </w:rPr>
        <w:t xml:space="preserve">”) to do so by simultaneous attendance by electronic means with no member necessarily in physical attendance at the electronic general meeting. The members or their proxies present shall be counted in the quorum for, and entitled to vote at, the general meeting in question, and that meeting shall be duly constituted and its proceedings valid if the </w:t>
      </w:r>
      <w:r>
        <w:rPr>
          <w:rFonts w:ascii="Arial" w:cs="Arial" w:eastAsia="Arial" w:hAnsi="Arial"/>
          <w:sz w:val="15"/>
          <w:szCs w:val="15"/>
          <w:color w:val="auto"/>
          <w:strike w:val="1"/>
        </w:rPr>
        <w:t>chairman</w:t>
      </w:r>
      <w:r>
        <w:rPr>
          <w:rFonts w:ascii="Arial" w:cs="Arial" w:eastAsia="Arial" w:hAnsi="Arial"/>
          <w:sz w:val="15"/>
          <w:szCs w:val="15"/>
          <w:u w:val="single" w:color="auto"/>
          <w:color w:val="auto"/>
        </w:rPr>
        <w:t>chairperson</w:t>
      </w:r>
      <w:r>
        <w:rPr>
          <w:rFonts w:ascii="Arial" w:cs="Arial" w:eastAsia="Arial" w:hAnsi="Arial"/>
          <w:sz w:val="15"/>
          <w:szCs w:val="15"/>
          <w:color w:val="auto"/>
        </w:rPr>
        <w:t xml:space="preserve"> of the general meeting is satisfied that adequate facilities are available throughout the electronic general meeting to ensure that members attending the electronic general meeting who are not present together at the same place may, by electronic means, attend and speak and vote at it.</w:t>
      </w:r>
    </w:p>
    <w:p>
      <w:pPr>
        <w:spacing w:after="0" w:line="69" w:lineRule="exact"/>
        <w:rPr>
          <w:sz w:val="20"/>
          <w:szCs w:val="20"/>
          <w:color w:val="auto"/>
        </w:rPr>
      </w:pPr>
    </w:p>
    <w:p>
      <w:pPr>
        <w:ind w:left="1200"/>
        <w:spacing w:after="0"/>
        <w:rPr>
          <w:sz w:val="20"/>
          <w:szCs w:val="20"/>
          <w:color w:val="auto"/>
        </w:rPr>
      </w:pPr>
      <w:r>
        <w:rPr>
          <w:rFonts w:ascii="Arial" w:cs="Arial" w:eastAsia="Arial" w:hAnsi="Arial"/>
          <w:sz w:val="16"/>
          <w:szCs w:val="16"/>
          <w:color w:val="auto"/>
        </w:rPr>
        <w:t>Nothing in these Articles prevents a general meeting being held both physically and electronically.</w:t>
      </w:r>
    </w:p>
    <w:p>
      <w:pPr>
        <w:spacing w:after="0" w:line="86" w:lineRule="exact"/>
        <w:rPr>
          <w:sz w:val="20"/>
          <w:szCs w:val="20"/>
          <w:color w:val="auto"/>
        </w:rPr>
      </w:pPr>
    </w:p>
    <w:p>
      <w:pPr>
        <w:ind w:left="1200" w:right="299" w:hanging="431"/>
        <w:spacing w:after="0" w:line="250" w:lineRule="auto"/>
        <w:rPr>
          <w:sz w:val="20"/>
          <w:szCs w:val="20"/>
          <w:color w:val="auto"/>
        </w:rPr>
      </w:pPr>
      <w:r>
        <w:rPr>
          <w:rFonts w:ascii="Arial" w:cs="Arial" w:eastAsia="Arial" w:hAnsi="Arial"/>
          <w:sz w:val="16"/>
          <w:szCs w:val="16"/>
          <w:color w:val="auto"/>
        </w:rPr>
        <w:t xml:space="preserve">18.11 If it appears to the </w:t>
      </w:r>
      <w:r>
        <w:rPr>
          <w:rFonts w:ascii="Arial" w:cs="Arial" w:eastAsia="Arial" w:hAnsi="Arial"/>
          <w:sz w:val="16"/>
          <w:szCs w:val="16"/>
          <w:color w:val="auto"/>
          <w:strike w:val="1"/>
        </w:rPr>
        <w:t>chairman</w:t>
      </w:r>
      <w:r>
        <w:rPr>
          <w:rFonts w:ascii="Arial" w:cs="Arial" w:eastAsia="Arial" w:hAnsi="Arial"/>
          <w:sz w:val="16"/>
          <w:szCs w:val="16"/>
          <w:u w:val="single" w:color="auto"/>
          <w:color w:val="auto"/>
        </w:rPr>
        <w:t>chairperson</w:t>
      </w:r>
      <w:r>
        <w:rPr>
          <w:rFonts w:ascii="Arial" w:cs="Arial" w:eastAsia="Arial" w:hAnsi="Arial"/>
          <w:sz w:val="16"/>
          <w:szCs w:val="16"/>
          <w:color w:val="auto"/>
        </w:rPr>
        <w:t xml:space="preserve"> of the meeting that the facilities at the principal place or any satellite meeting place, or the electronic platform, facilities or security at the electronic general meeting, have become inadequate for the purposes set out in Articles 18.9 or 18.10, then the </w:t>
      </w:r>
      <w:r>
        <w:rPr>
          <w:rFonts w:ascii="Arial" w:cs="Arial" w:eastAsia="Arial" w:hAnsi="Arial"/>
          <w:sz w:val="16"/>
          <w:szCs w:val="16"/>
          <w:color w:val="auto"/>
          <w:strike w:val="1"/>
        </w:rPr>
        <w:t>chairman</w:t>
      </w:r>
      <w:r>
        <w:rPr>
          <w:rFonts w:ascii="Arial" w:cs="Arial" w:eastAsia="Arial" w:hAnsi="Arial"/>
          <w:sz w:val="16"/>
          <w:szCs w:val="16"/>
          <w:u w:val="single" w:color="auto"/>
          <w:color w:val="auto"/>
        </w:rPr>
        <w:t>chairperson</w:t>
      </w:r>
      <w:r>
        <w:rPr>
          <w:rFonts w:ascii="Arial" w:cs="Arial" w:eastAsia="Arial" w:hAnsi="Arial"/>
          <w:sz w:val="16"/>
          <w:szCs w:val="16"/>
          <w:color w:val="auto"/>
        </w:rPr>
        <w:t xml:space="preserve"> of the meeting may, without the consent of the meeting, interrupt or adjourn the general meeting. All business conducted at the general meeting up to the point of the adjournment shall be valid. The provisions of Article 18.17 shall apply to that adjournment.</w:t>
      </w:r>
    </w:p>
    <w:p>
      <w:pPr>
        <w:spacing w:after="0" w:line="81" w:lineRule="exact"/>
        <w:rPr>
          <w:sz w:val="20"/>
          <w:szCs w:val="20"/>
          <w:color w:val="auto"/>
        </w:rPr>
      </w:pPr>
    </w:p>
    <w:p>
      <w:pPr>
        <w:ind w:left="1200" w:right="259" w:hanging="431"/>
        <w:spacing w:after="0" w:line="248" w:lineRule="auto"/>
        <w:rPr>
          <w:sz w:val="20"/>
          <w:szCs w:val="20"/>
          <w:color w:val="auto"/>
        </w:rPr>
      </w:pPr>
      <w:r>
        <w:rPr>
          <w:rFonts w:ascii="Arial" w:cs="Arial" w:eastAsia="Arial" w:hAnsi="Arial"/>
          <w:sz w:val="16"/>
          <w:szCs w:val="16"/>
          <w:color w:val="auto"/>
        </w:rPr>
        <w:t>18.12 The Board may make arrangements for persons entitled to attend a general meeting or an adjourned general meeting to be able to view and hear the proceedings of the general meeting or adjourned general meeting and to speak at the meeting (whether by the use of microphones, loudspeakers, audio-visual communications equipment or otherwise) by attending at a venue anywhere in the world not being a satellite meeting place. Those attending at any such venue shall not be regarded as present at the general meeting or adjourned general meeting and shall not be entitled to vote at the meeting at or from that venue. The inability for any reason of any member present in person or by proxy at such a venue to view or hear all or any of the proceedings of the meeting or to speak at the meeting shall not in any way affect the validity of the proceedings of the meeting.</w:t>
      </w:r>
    </w:p>
    <w:p>
      <w:pPr>
        <w:spacing w:after="0" w:line="86" w:lineRule="exact"/>
        <w:rPr>
          <w:sz w:val="20"/>
          <w:szCs w:val="20"/>
          <w:color w:val="auto"/>
        </w:rPr>
      </w:pPr>
    </w:p>
    <w:p>
      <w:pPr>
        <w:ind w:left="1200" w:right="279" w:hanging="431"/>
        <w:spacing w:after="0" w:line="268" w:lineRule="auto"/>
        <w:rPr>
          <w:sz w:val="20"/>
          <w:szCs w:val="20"/>
          <w:color w:val="auto"/>
        </w:rPr>
      </w:pPr>
      <w:r>
        <w:rPr>
          <w:rFonts w:ascii="Arial" w:cs="Arial" w:eastAsia="Arial" w:hAnsi="Arial"/>
          <w:sz w:val="15"/>
          <w:szCs w:val="15"/>
          <w:color w:val="auto"/>
        </w:rPr>
        <w:t xml:space="preserve">18.13 The Board may from time to time make any arrangements for controlling the level of attendance at any venue for which arrangements have been made pursuant to Article 18.12 (including without limitation the issue of tickets or the imposition of some other means of selection) it in its absolute discretion considers appropriate, and may from time to time change those arrangements. If a member, pursuant to those arrangements, is not entitled to attend in person or by proxy at a particular venue, </w:t>
      </w:r>
      <w:r>
        <w:rPr>
          <w:rFonts w:ascii="Arial" w:cs="Arial" w:eastAsia="Arial" w:hAnsi="Arial"/>
          <w:sz w:val="15"/>
          <w:szCs w:val="15"/>
          <w:color w:val="auto"/>
          <w:strike w:val="1"/>
        </w:rPr>
        <w:t>he</w:t>
      </w:r>
      <w:r>
        <w:rPr>
          <w:rFonts w:ascii="Arial" w:cs="Arial" w:eastAsia="Arial" w:hAnsi="Arial"/>
          <w:sz w:val="15"/>
          <w:szCs w:val="15"/>
          <w:u w:val="single" w:color="auto"/>
          <w:color w:val="auto"/>
        </w:rPr>
        <w:t>they</w:t>
      </w:r>
      <w:r>
        <w:rPr>
          <w:rFonts w:ascii="Arial" w:cs="Arial" w:eastAsia="Arial" w:hAnsi="Arial"/>
          <w:sz w:val="15"/>
          <w:szCs w:val="15"/>
          <w:color w:val="auto"/>
        </w:rPr>
        <w:t xml:space="preserve"> shall be entitled to attend in person or by proxy at any other venue for which arrangements have been made pursuant to Article 18.12. The entitlement of any member to be present at such venue in person or by proxy shall be subject to any arrangement then in force and stated by the notice of meeting or adjourned meeting to apply to the meeting.</w:t>
      </w:r>
    </w:p>
    <w:p>
      <w:pPr>
        <w:spacing w:after="0" w:line="56" w:lineRule="exact"/>
        <w:rPr>
          <w:sz w:val="20"/>
          <w:szCs w:val="20"/>
          <w:color w:val="auto"/>
        </w:rPr>
      </w:pPr>
    </w:p>
    <w:p>
      <w:pPr>
        <w:ind w:left="1200" w:right="299" w:hanging="431"/>
        <w:spacing w:after="0" w:line="248" w:lineRule="auto"/>
        <w:rPr>
          <w:sz w:val="20"/>
          <w:szCs w:val="20"/>
          <w:color w:val="auto"/>
        </w:rPr>
      </w:pPr>
      <w:r>
        <w:rPr>
          <w:rFonts w:ascii="Arial" w:cs="Arial" w:eastAsia="Arial" w:hAnsi="Arial"/>
          <w:sz w:val="16"/>
          <w:szCs w:val="16"/>
          <w:color w:val="auto"/>
        </w:rPr>
        <w:t xml:space="preserve">18.14 If, after the sending of the notice of a general meeting but before the meeting is held, or after the adjournment of a general meeting but before the adjourned meeting is held (whether or not notice of the adjourned meeting is required), the Board decides that it is impracticable or unreasonable, for a reason beyond its control, to hold (i) the physical general meeting at the declared place (or any of the declared places, in the case of a meeting to which Article 18.9 applies) or (ii) the electronic general meeting on the electronic platform specified in the notice, </w:t>
      </w:r>
      <w:r>
        <w:rPr>
          <w:rFonts w:ascii="Arial" w:cs="Arial" w:eastAsia="Arial" w:hAnsi="Arial"/>
          <w:sz w:val="16"/>
          <w:szCs w:val="16"/>
          <w:color w:val="auto"/>
          <w:strike w:val="1"/>
        </w:rPr>
        <w:t>and/or time,</w:t>
      </w:r>
      <w:r>
        <w:rPr>
          <w:rFonts w:ascii="Arial" w:cs="Arial" w:eastAsia="Arial" w:hAnsi="Arial"/>
          <w:sz w:val="16"/>
          <w:szCs w:val="16"/>
          <w:color w:val="auto"/>
        </w:rPr>
        <w:t xml:space="preserve"> it may change the place (or any of the declared places, in the case of a meeting to which Article 18.9 applies) or electronic platform and/or postpone the time at which the meeting is to be held. If such a decision is made, the Board may then change the place (or any of the declared places, in the case of a meeting to which Article 18.9 applies) or electronic platform and/or postpone the time again if it decides that it is reasonable to do so. In either case:</w:t>
      </w:r>
    </w:p>
    <w:p>
      <w:pPr>
        <w:spacing w:after="0" w:line="84" w:lineRule="exact"/>
        <w:rPr>
          <w:sz w:val="20"/>
          <w:szCs w:val="20"/>
          <w:color w:val="auto"/>
        </w:rPr>
      </w:pPr>
    </w:p>
    <w:p>
      <w:pPr>
        <w:ind w:left="1620" w:hanging="424"/>
        <w:spacing w:after="0"/>
        <w:tabs>
          <w:tab w:leader="none" w:pos="1620" w:val="left"/>
        </w:tabs>
        <w:numPr>
          <w:ilvl w:val="0"/>
          <w:numId w:val="129"/>
        </w:numPr>
        <w:rPr>
          <w:rFonts w:ascii="Arial" w:cs="Arial" w:eastAsia="Arial" w:hAnsi="Arial"/>
          <w:sz w:val="16"/>
          <w:szCs w:val="16"/>
          <w:color w:val="auto"/>
        </w:rPr>
      </w:pPr>
      <w:r>
        <w:rPr>
          <w:rFonts w:ascii="Arial" w:cs="Arial" w:eastAsia="Arial" w:hAnsi="Arial"/>
          <w:sz w:val="16"/>
          <w:szCs w:val="16"/>
          <w:color w:val="auto"/>
        </w:rPr>
        <w:t>no new notice of the meeting need be sent, but the Board shall, if practicable, advertise the date, time and place</w:t>
      </w:r>
    </w:p>
    <w:p>
      <w:pPr>
        <w:spacing w:after="0" w:line="119" w:lineRule="exact"/>
        <w:rPr>
          <w:sz w:val="20"/>
          <w:szCs w:val="20"/>
          <w:color w:val="auto"/>
        </w:rPr>
      </w:pPr>
    </w:p>
    <w:p>
      <w:pPr>
        <w:ind w:left="480"/>
        <w:spacing w:after="0"/>
        <w:tabs>
          <w:tab w:leader="none" w:pos="4420" w:val="left"/>
          <w:tab w:leader="none" w:pos="8760" w:val="left"/>
        </w:tabs>
        <w:rPr>
          <w:sz w:val="20"/>
          <w:szCs w:val="20"/>
          <w:color w:val="auto"/>
        </w:rPr>
      </w:pPr>
      <w:r>
        <w:rPr>
          <w:rFonts w:ascii="Arial" w:cs="Arial" w:eastAsia="Arial" w:hAnsi="Arial"/>
          <w:sz w:val="28"/>
          <w:szCs w:val="28"/>
          <w:b w:val="1"/>
          <w:bCs w:val="1"/>
          <w:color w:val="000000"/>
          <w:vertAlign w:val="subscript"/>
        </w:rPr>
        <w:t>A-14</w:t>
      </w:r>
      <w:r>
        <w:rPr>
          <w:sz w:val="20"/>
          <w:szCs w:val="20"/>
          <w:color w:val="auto"/>
        </w:rPr>
        <w:tab/>
      </w:r>
      <w:r>
        <w:rPr>
          <w:rFonts w:ascii="Arial" w:cs="Arial" w:eastAsia="Arial" w:hAnsi="Arial"/>
          <w:sz w:val="13"/>
          <w:szCs w:val="13"/>
          <w:b w:val="1"/>
          <w:bCs w:val="1"/>
          <w:color w:val="4800E6"/>
        </w:rPr>
        <w:t xml:space="preserve">LIVANOVA </w:t>
      </w:r>
      <w:r>
        <w:rPr>
          <w:rFonts w:ascii="Arial" w:cs="Arial" w:eastAsia="Arial" w:hAnsi="Arial"/>
          <w:sz w:val="13"/>
          <w:szCs w:val="13"/>
          <w:color w:val="000000"/>
        </w:rPr>
        <w:t>|</w:t>
      </w:r>
      <w:r>
        <w:rPr>
          <w:rFonts w:ascii="Arial" w:cs="Arial" w:eastAsia="Arial" w:hAnsi="Arial"/>
          <w:sz w:val="13"/>
          <w:szCs w:val="13"/>
          <w:b w:val="1"/>
          <w:bCs w:val="1"/>
          <w:color w:val="4800E6"/>
        </w:rPr>
        <w:t xml:space="preserve"> </w:t>
      </w:r>
      <w:r>
        <w:rPr>
          <w:rFonts w:ascii="Arial" w:cs="Arial" w:eastAsia="Arial" w:hAnsi="Arial"/>
          <w:sz w:val="13"/>
          <w:szCs w:val="13"/>
          <w:color w:val="4800E6"/>
        </w:rPr>
        <w:t>2020</w:t>
      </w:r>
      <w:r>
        <w:rPr>
          <w:rFonts w:ascii="Arial" w:cs="Arial" w:eastAsia="Arial" w:hAnsi="Arial"/>
          <w:sz w:val="13"/>
          <w:szCs w:val="13"/>
          <w:b w:val="1"/>
          <w:bCs w:val="1"/>
          <w:color w:val="4800E6"/>
        </w:rPr>
        <w:t xml:space="preserve"> </w:t>
      </w:r>
      <w:r>
        <w:rPr>
          <w:rFonts w:ascii="Arial" w:cs="Arial" w:eastAsia="Arial" w:hAnsi="Arial"/>
          <w:sz w:val="13"/>
          <w:szCs w:val="13"/>
          <w:color w:val="000000"/>
        </w:rPr>
        <w:t>Proxy Statement</w:t>
      </w:r>
      <w:r>
        <w:rPr>
          <w:sz w:val="20"/>
          <w:szCs w:val="20"/>
          <w:color w:val="auto"/>
        </w:rPr>
        <w:tab/>
      </w:r>
      <w:r>
        <w:rPr>
          <w:rFonts w:ascii="Arial" w:cs="Arial" w:eastAsia="Arial" w:hAnsi="Arial"/>
          <w:sz w:val="12"/>
          <w:szCs w:val="12"/>
          <w:b w:val="1"/>
          <w:bCs w:val="1"/>
          <w:color w:val="4800E6"/>
        </w:rPr>
        <w:t>www.livanova.com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639445</wp:posOffset>
            </wp:positionH>
            <wp:positionV relativeFrom="paragraph">
              <wp:posOffset>-2540</wp:posOffset>
            </wp:positionV>
            <wp:extent cx="1954530" cy="8890"/>
            <wp:wrapNone/>
            <wp:docPr id="409" name="Picture 4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9"/>
                    <pic:cNvPicPr>
                      <a:picLocks noChangeAspect="1" noChangeArrowheads="1"/>
                    </pic:cNvPicPr>
                  </pic:nvPicPr>
                  <pic:blipFill>
                    <a:blip r:embed="rId416">
                      <a:extLst>
                        <a:ext uri="{28A0092B-C50C-407E-A947-70E740481C1C}"/>
                      </a:extLst>
                    </a:blip>
                    <a:srcRect/>
                    <a:stretch>
                      <a:fillRect/>
                    </a:stretch>
                  </pic:blipFill>
                  <pic:spPr bwMode="auto">
                    <a:xfrm>
                      <a:off x="0" y="0"/>
                      <a:ext cx="1954530" cy="8890"/>
                    </a:xfrm>
                    <a:prstGeom prst="rect">
                      <a:avLst/>
                    </a:prstGeom>
                    <a:noFill/>
                  </pic:spPr>
                </pic:pic>
              </a:graphicData>
            </a:graphic>
          </wp:anchor>
        </w:drawing>
        <w:drawing>
          <wp:anchor simplePos="0" relativeHeight="251657728" behindDoc="1" locked="0" layoutInCell="0" allowOverlap="1">
            <wp:simplePos x="0" y="0"/>
            <wp:positionH relativeFrom="column">
              <wp:posOffset>4316730</wp:posOffset>
            </wp:positionH>
            <wp:positionV relativeFrom="paragraph">
              <wp:posOffset>-2540</wp:posOffset>
            </wp:positionV>
            <wp:extent cx="1028700" cy="8890"/>
            <wp:wrapNone/>
            <wp:docPr id="410" name="Picture 4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0"/>
                    <pic:cNvPicPr>
                      <a:picLocks noChangeAspect="1" noChangeArrowheads="1"/>
                    </pic:cNvPicPr>
                  </pic:nvPicPr>
                  <pic:blipFill>
                    <a:blip r:embed="rId417">
                      <a:extLst>
                        <a:ext uri="{28A0092B-C50C-407E-A947-70E740481C1C}"/>
                      </a:extLst>
                    </a:blip>
                    <a:srcRect/>
                    <a:stretch>
                      <a:fillRect/>
                    </a:stretch>
                  </pic:blipFill>
                  <pic:spPr bwMode="auto">
                    <a:xfrm>
                      <a:off x="0" y="0"/>
                      <a:ext cx="102870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125095</wp:posOffset>
            </wp:positionV>
            <wp:extent cx="6806565" cy="17145"/>
            <wp:wrapNone/>
            <wp:docPr id="411" name="Picture 4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1"/>
                    <pic:cNvPicPr>
                      <a:picLocks noChangeAspect="1" noChangeArrowheads="1"/>
                    </pic:cNvPicPr>
                  </pic:nvPicPr>
                  <pic:blipFill>
                    <a:blip r:embed="rId418">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10139"/>
          </w:cols>
          <w:pgMar w:left="320" w:top="131" w:right="1440" w:bottom="1440" w:gutter="0" w:footer="0" w:header="0"/>
          <w:type w:val="continuous"/>
        </w:sectPr>
      </w:pPr>
    </w:p>
    <w:bookmarkStart w:id="93" w:name="page94"/>
    <w:bookmarkEnd w:id="93"/>
    <w:p>
      <w:pPr>
        <w:spacing w:after="0"/>
        <w:rPr>
          <w:rFonts w:ascii="Arial" w:cs="Arial" w:eastAsia="Arial" w:hAnsi="Arial"/>
          <w:sz w:val="14"/>
          <w:szCs w:val="14"/>
          <w:color w:val="003366"/>
        </w:rPr>
      </w:pPr>
      <w:hyperlink w:anchor="page77">
        <w:r>
          <w:rPr>
            <w:rFonts w:ascii="Arial" w:cs="Arial" w:eastAsia="Arial" w:hAnsi="Arial"/>
            <w:sz w:val="14"/>
            <w:szCs w:val="14"/>
            <w:color w:val="003366"/>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485140</wp:posOffset>
            </wp:positionH>
            <wp:positionV relativeFrom="paragraph">
              <wp:posOffset>357505</wp:posOffset>
            </wp:positionV>
            <wp:extent cx="5829300" cy="8255"/>
            <wp:wrapNone/>
            <wp:docPr id="412" name="Picture 4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2"/>
                    <pic:cNvPicPr>
                      <a:picLocks noChangeAspect="1" noChangeArrowheads="1"/>
                    </pic:cNvPicPr>
                  </pic:nvPicPr>
                  <pic:blipFill>
                    <a:blip r:embed="rId419">
                      <a:extLst>
                        <a:ext uri="{28A0092B-C50C-407E-A947-70E740481C1C}"/>
                      </a:extLst>
                    </a:blip>
                    <a:srcRect/>
                    <a:stretch>
                      <a:fillRect/>
                    </a:stretch>
                  </pic:blipFill>
                  <pic:spPr bwMode="auto">
                    <a:xfrm>
                      <a:off x="0" y="0"/>
                      <a:ext cx="582930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ind w:left="1620" w:right="980"/>
        <w:spacing w:after="0" w:line="253" w:lineRule="auto"/>
        <w:rPr>
          <w:sz w:val="20"/>
          <w:szCs w:val="20"/>
          <w:color w:val="auto"/>
        </w:rPr>
      </w:pPr>
      <w:r>
        <w:rPr>
          <w:rFonts w:ascii="Arial" w:cs="Arial" w:eastAsia="Arial" w:hAnsi="Arial"/>
          <w:sz w:val="16"/>
          <w:szCs w:val="16"/>
          <w:color w:val="auto"/>
        </w:rPr>
        <w:t>of, or electronic platform for, the meeting by public announcement and in two newspapers with national circulation in the United Kingdom and shall make arrangements for notices of the change of place or electronic platform and/or postponement to appear at the original place and/or at the original time; and</w:t>
      </w:r>
    </w:p>
    <w:p>
      <w:pPr>
        <w:spacing w:after="0" w:line="80" w:lineRule="exact"/>
        <w:rPr>
          <w:sz w:val="20"/>
          <w:szCs w:val="20"/>
          <w:color w:val="auto"/>
        </w:rPr>
      </w:pPr>
    </w:p>
    <w:p>
      <w:pPr>
        <w:ind w:left="1620" w:right="920" w:hanging="424"/>
        <w:spacing w:after="0" w:line="251" w:lineRule="auto"/>
        <w:tabs>
          <w:tab w:leader="none" w:pos="1620" w:val="left"/>
        </w:tabs>
        <w:numPr>
          <w:ilvl w:val="0"/>
          <w:numId w:val="130"/>
        </w:numPr>
        <w:rPr>
          <w:rFonts w:ascii="Arial" w:cs="Arial" w:eastAsia="Arial" w:hAnsi="Arial"/>
          <w:sz w:val="16"/>
          <w:szCs w:val="16"/>
          <w:color w:val="auto"/>
        </w:rPr>
      </w:pPr>
      <w:r>
        <w:rPr>
          <w:rFonts w:ascii="Arial" w:cs="Arial" w:eastAsia="Arial" w:hAnsi="Arial"/>
          <w:sz w:val="16"/>
          <w:szCs w:val="16"/>
          <w:color w:val="auto"/>
        </w:rPr>
        <w:t>a proxy appointment in relation to the meeting may, if by means of a document in hard copy form, be delivered to the Office or such other place within the United Kingdom as may be specified by or on behalf of the Company in accordance with Article 22.7(a) or, if in electronic form, be received at the address (if any) specified by or on behalf of the Company in accordance with Article 22.7(b).</w:t>
      </w:r>
    </w:p>
    <w:p>
      <w:pPr>
        <w:spacing w:after="0" w:line="81" w:lineRule="exact"/>
        <w:rPr>
          <w:sz w:val="20"/>
          <w:szCs w:val="20"/>
          <w:color w:val="auto"/>
        </w:rPr>
      </w:pPr>
    </w:p>
    <w:p>
      <w:pPr>
        <w:ind w:left="1200" w:right="860" w:hanging="431"/>
        <w:spacing w:after="0" w:line="251" w:lineRule="auto"/>
        <w:rPr>
          <w:sz w:val="20"/>
          <w:szCs w:val="20"/>
          <w:color w:val="auto"/>
        </w:rPr>
      </w:pPr>
      <w:r>
        <w:rPr>
          <w:rFonts w:ascii="Arial" w:cs="Arial" w:eastAsia="Arial" w:hAnsi="Arial"/>
          <w:sz w:val="16"/>
          <w:szCs w:val="16"/>
          <w:color w:val="auto"/>
        </w:rPr>
        <w:t xml:space="preserve">18.15 For the purposes of Articles 18.9, 18.11, 18.12, 18.13 and 18.14, in relation to physical general meetings </w:t>
      </w:r>
      <w:r>
        <w:rPr>
          <w:rFonts w:ascii="Arial" w:cs="Arial" w:eastAsia="Arial" w:hAnsi="Arial"/>
          <w:sz w:val="16"/>
          <w:szCs w:val="16"/>
          <w:u w:val="single" w:color="auto"/>
          <w:color w:val="auto"/>
        </w:rPr>
        <w:t>and general</w:t>
      </w:r>
      <w:r>
        <w:rPr>
          <w:rFonts w:ascii="Arial" w:cs="Arial" w:eastAsia="Arial" w:hAnsi="Arial"/>
          <w:sz w:val="16"/>
          <w:szCs w:val="16"/>
          <w:color w:val="auto"/>
        </w:rPr>
        <w:t xml:space="preserve"> </w:t>
      </w:r>
      <w:r>
        <w:rPr>
          <w:rFonts w:ascii="Arial" w:cs="Arial" w:eastAsia="Arial" w:hAnsi="Arial"/>
          <w:sz w:val="16"/>
          <w:szCs w:val="16"/>
          <w:u w:val="single" w:color="auto"/>
          <w:color w:val="auto"/>
        </w:rPr>
        <w:t>meetings which are both physical and electronic</w:t>
      </w:r>
      <w:r>
        <w:rPr>
          <w:rFonts w:ascii="Arial" w:cs="Arial" w:eastAsia="Arial" w:hAnsi="Arial"/>
          <w:sz w:val="16"/>
          <w:szCs w:val="16"/>
          <w:color w:val="auto"/>
        </w:rPr>
        <w:t>, the right of a member to participate in the business of any general meeting shall include, without limitation, the right to speak, vote on a poll, be represented by a proxy and have access to all documents which are required by the Companies Act or these Articles to be made available at the meeting.</w:t>
      </w:r>
    </w:p>
    <w:p>
      <w:pPr>
        <w:spacing w:after="0" w:line="67" w:lineRule="exact"/>
        <w:rPr>
          <w:sz w:val="20"/>
          <w:szCs w:val="20"/>
          <w:color w:val="auto"/>
        </w:rPr>
      </w:pPr>
    </w:p>
    <w:p>
      <w:pPr>
        <w:ind w:left="1200" w:right="860" w:hanging="431"/>
        <w:spacing w:after="0" w:line="250" w:lineRule="auto"/>
        <w:rPr>
          <w:sz w:val="20"/>
          <w:szCs w:val="20"/>
          <w:color w:val="auto"/>
        </w:rPr>
      </w:pPr>
      <w:r>
        <w:rPr>
          <w:rFonts w:ascii="Arial" w:cs="Arial" w:eastAsia="Arial" w:hAnsi="Arial"/>
          <w:sz w:val="16"/>
          <w:szCs w:val="16"/>
          <w:color w:val="auto"/>
        </w:rPr>
        <w:t xml:space="preserve">18.16 For the purposes of Articles 18.10, 18.11, 18.12, 18.13 and 18.14, in relation to electronic general meetings </w:t>
      </w:r>
      <w:r>
        <w:rPr>
          <w:rFonts w:ascii="Arial" w:cs="Arial" w:eastAsia="Arial" w:hAnsi="Arial"/>
          <w:sz w:val="16"/>
          <w:szCs w:val="16"/>
          <w:u w:val="single" w:color="auto"/>
          <w:color w:val="auto"/>
        </w:rPr>
        <w:t>and general</w:t>
      </w:r>
      <w:r>
        <w:rPr>
          <w:rFonts w:ascii="Arial" w:cs="Arial" w:eastAsia="Arial" w:hAnsi="Arial"/>
          <w:sz w:val="16"/>
          <w:szCs w:val="16"/>
          <w:color w:val="auto"/>
        </w:rPr>
        <w:t xml:space="preserve"> </w:t>
      </w:r>
      <w:r>
        <w:rPr>
          <w:rFonts w:ascii="Arial" w:cs="Arial" w:eastAsia="Arial" w:hAnsi="Arial"/>
          <w:sz w:val="16"/>
          <w:szCs w:val="16"/>
          <w:u w:val="single" w:color="auto"/>
          <w:color w:val="auto"/>
        </w:rPr>
        <w:t>meetings which are both physical and electronic</w:t>
      </w:r>
      <w:r>
        <w:rPr>
          <w:rFonts w:ascii="Arial" w:cs="Arial" w:eastAsia="Arial" w:hAnsi="Arial"/>
          <w:sz w:val="16"/>
          <w:szCs w:val="16"/>
          <w:color w:val="auto"/>
        </w:rPr>
        <w:t>, the right of a member to participate in the business of any general meeting shall include, without limitation the right to speak, vote on a poll, be represented by a proxy and have access (including electronic access) to all documents which are required by the Companies Act or these Articles to be made available at the meeting.</w:t>
      </w:r>
    </w:p>
    <w:p>
      <w:pPr>
        <w:spacing w:after="0" w:line="81" w:lineRule="exact"/>
        <w:rPr>
          <w:sz w:val="20"/>
          <w:szCs w:val="20"/>
          <w:color w:val="auto"/>
        </w:rPr>
      </w:pPr>
    </w:p>
    <w:p>
      <w:pPr>
        <w:ind w:left="760"/>
        <w:spacing w:after="0"/>
        <w:rPr>
          <w:sz w:val="20"/>
          <w:szCs w:val="20"/>
          <w:color w:val="auto"/>
        </w:rPr>
      </w:pPr>
      <w:r>
        <w:rPr>
          <w:rFonts w:ascii="Arial" w:cs="Arial" w:eastAsia="Arial" w:hAnsi="Arial"/>
          <w:sz w:val="16"/>
          <w:szCs w:val="16"/>
          <w:color w:val="auto"/>
        </w:rPr>
        <w:t xml:space="preserve">18.17 Without prejudice to any other power of adjournment </w:t>
      </w:r>
      <w:r>
        <w:rPr>
          <w:rFonts w:ascii="Arial" w:cs="Arial" w:eastAsia="Arial" w:hAnsi="Arial"/>
          <w:sz w:val="16"/>
          <w:szCs w:val="16"/>
          <w:color w:val="auto"/>
          <w:strike w:val="1"/>
        </w:rPr>
        <w:t>he</w:t>
      </w:r>
      <w:r>
        <w:rPr>
          <w:rFonts w:ascii="Arial" w:cs="Arial" w:eastAsia="Arial" w:hAnsi="Arial"/>
          <w:sz w:val="16"/>
          <w:szCs w:val="16"/>
          <w:u w:val="single" w:color="auto"/>
          <w:color w:val="auto"/>
        </w:rPr>
        <w:t>they</w:t>
      </w:r>
      <w:r>
        <w:rPr>
          <w:rFonts w:ascii="Arial" w:cs="Arial" w:eastAsia="Arial" w:hAnsi="Arial"/>
          <w:sz w:val="16"/>
          <w:szCs w:val="16"/>
          <w:color w:val="auto"/>
        </w:rPr>
        <w:t xml:space="preserve"> may have under these Articles or at common law:</w:t>
      </w:r>
    </w:p>
    <w:p>
      <w:pPr>
        <w:spacing w:after="0" w:line="100" w:lineRule="exact"/>
        <w:rPr>
          <w:sz w:val="20"/>
          <w:szCs w:val="20"/>
          <w:color w:val="auto"/>
        </w:rPr>
      </w:pPr>
    </w:p>
    <w:p>
      <w:pPr>
        <w:jc w:val="both"/>
        <w:ind w:left="1620" w:right="900" w:hanging="424"/>
        <w:spacing w:after="0" w:line="253" w:lineRule="auto"/>
        <w:tabs>
          <w:tab w:leader="none" w:pos="1620" w:val="left"/>
        </w:tabs>
        <w:numPr>
          <w:ilvl w:val="0"/>
          <w:numId w:val="131"/>
        </w:numPr>
        <w:rPr>
          <w:rFonts w:ascii="Arial" w:cs="Arial" w:eastAsia="Arial" w:hAnsi="Arial"/>
          <w:sz w:val="16"/>
          <w:szCs w:val="16"/>
          <w:color w:val="auto"/>
        </w:rPr>
      </w:pPr>
      <w:r>
        <w:rPr>
          <w:rFonts w:ascii="Arial" w:cs="Arial" w:eastAsia="Arial" w:hAnsi="Arial"/>
          <w:sz w:val="16"/>
          <w:szCs w:val="16"/>
          <w:color w:val="auto"/>
        </w:rPr>
        <w:t xml:space="preserve">the </w:t>
      </w:r>
      <w:r>
        <w:rPr>
          <w:rFonts w:ascii="Arial" w:cs="Arial" w:eastAsia="Arial" w:hAnsi="Arial"/>
          <w:sz w:val="16"/>
          <w:szCs w:val="16"/>
          <w:color w:val="auto"/>
          <w:strike w:val="1"/>
        </w:rPr>
        <w:t>chairman</w:t>
      </w:r>
      <w:r>
        <w:rPr>
          <w:rFonts w:ascii="Arial" w:cs="Arial" w:eastAsia="Arial" w:hAnsi="Arial"/>
          <w:sz w:val="16"/>
          <w:szCs w:val="16"/>
          <w:u w:val="single" w:color="auto"/>
          <w:color w:val="auto"/>
        </w:rPr>
        <w:t>chairperson</w:t>
      </w:r>
      <w:r>
        <w:rPr>
          <w:rFonts w:ascii="Arial" w:cs="Arial" w:eastAsia="Arial" w:hAnsi="Arial"/>
          <w:sz w:val="16"/>
          <w:szCs w:val="16"/>
          <w:color w:val="auto"/>
        </w:rPr>
        <w:t xml:space="preserve"> of the meeting may, with the consent of a meeting at which a quorum is present (and shall if so directed by the meeting), adjourn the meeting from time to time and from place to place or for an indefinite period; and</w:t>
      </w:r>
    </w:p>
    <w:p>
      <w:pPr>
        <w:spacing w:after="0" w:line="66" w:lineRule="exact"/>
        <w:rPr>
          <w:rFonts w:ascii="Arial" w:cs="Arial" w:eastAsia="Arial" w:hAnsi="Arial"/>
          <w:sz w:val="16"/>
          <w:szCs w:val="16"/>
          <w:color w:val="auto"/>
        </w:rPr>
      </w:pPr>
    </w:p>
    <w:p>
      <w:pPr>
        <w:ind w:left="1620" w:right="820" w:hanging="424"/>
        <w:spacing w:after="0" w:line="253" w:lineRule="auto"/>
        <w:tabs>
          <w:tab w:leader="none" w:pos="1620" w:val="left"/>
        </w:tabs>
        <w:numPr>
          <w:ilvl w:val="0"/>
          <w:numId w:val="131"/>
        </w:numPr>
        <w:rPr>
          <w:rFonts w:ascii="Arial" w:cs="Arial" w:eastAsia="Arial" w:hAnsi="Arial"/>
          <w:sz w:val="16"/>
          <w:szCs w:val="16"/>
          <w:color w:val="auto"/>
        </w:rPr>
      </w:pPr>
      <w:r>
        <w:rPr>
          <w:rFonts w:ascii="Arial" w:cs="Arial" w:eastAsia="Arial" w:hAnsi="Arial"/>
          <w:sz w:val="16"/>
          <w:szCs w:val="16"/>
          <w:color w:val="auto"/>
        </w:rPr>
        <w:t xml:space="preserve">the </w:t>
      </w:r>
      <w:r>
        <w:rPr>
          <w:rFonts w:ascii="Arial" w:cs="Arial" w:eastAsia="Arial" w:hAnsi="Arial"/>
          <w:sz w:val="16"/>
          <w:szCs w:val="16"/>
          <w:color w:val="auto"/>
          <w:strike w:val="1"/>
        </w:rPr>
        <w:t>chairman</w:t>
      </w:r>
      <w:r>
        <w:rPr>
          <w:rFonts w:ascii="Arial" w:cs="Arial" w:eastAsia="Arial" w:hAnsi="Arial"/>
          <w:sz w:val="16"/>
          <w:szCs w:val="16"/>
          <w:u w:val="single" w:color="auto"/>
          <w:color w:val="auto"/>
        </w:rPr>
        <w:t>chairperson</w:t>
      </w:r>
      <w:r>
        <w:rPr>
          <w:rFonts w:ascii="Arial" w:cs="Arial" w:eastAsia="Arial" w:hAnsi="Arial"/>
          <w:sz w:val="16"/>
          <w:szCs w:val="16"/>
          <w:color w:val="auto"/>
        </w:rPr>
        <w:t xml:space="preserve"> of the meeting may, without the consent of the meeting, adjourn the meeting before or after it has commenced, to another date, time </w:t>
      </w:r>
      <w:r>
        <w:rPr>
          <w:rFonts w:ascii="Arial" w:cs="Arial" w:eastAsia="Arial" w:hAnsi="Arial"/>
          <w:sz w:val="16"/>
          <w:szCs w:val="16"/>
          <w:u w:val="single" w:color="auto"/>
          <w:color w:val="auto"/>
        </w:rPr>
        <w:t>and/</w:t>
      </w:r>
      <w:r>
        <w:rPr>
          <w:rFonts w:ascii="Arial" w:cs="Arial" w:eastAsia="Arial" w:hAnsi="Arial"/>
          <w:sz w:val="16"/>
          <w:szCs w:val="16"/>
          <w:color w:val="auto"/>
        </w:rPr>
        <w:t xml:space="preserve">or place which the </w:t>
      </w:r>
      <w:r>
        <w:rPr>
          <w:rFonts w:ascii="Arial" w:cs="Arial" w:eastAsia="Arial" w:hAnsi="Arial"/>
          <w:sz w:val="16"/>
          <w:szCs w:val="16"/>
          <w:color w:val="auto"/>
          <w:strike w:val="1"/>
        </w:rPr>
        <w:t>chairman</w:t>
      </w:r>
      <w:r>
        <w:rPr>
          <w:rFonts w:ascii="Arial" w:cs="Arial" w:eastAsia="Arial" w:hAnsi="Arial"/>
          <w:sz w:val="16"/>
          <w:szCs w:val="16"/>
          <w:u w:val="single" w:color="auto"/>
          <w:color w:val="auto"/>
        </w:rPr>
        <w:t>chairperson</w:t>
      </w:r>
      <w:r>
        <w:rPr>
          <w:rFonts w:ascii="Arial" w:cs="Arial" w:eastAsia="Arial" w:hAnsi="Arial"/>
          <w:sz w:val="16"/>
          <w:szCs w:val="16"/>
          <w:color w:val="auto"/>
        </w:rPr>
        <w:t xml:space="preserve"> of the meeting may decide, if the </w:t>
      </w:r>
      <w:r>
        <w:rPr>
          <w:rFonts w:ascii="Arial" w:cs="Arial" w:eastAsia="Arial" w:hAnsi="Arial"/>
          <w:sz w:val="16"/>
          <w:szCs w:val="16"/>
          <w:color w:val="auto"/>
          <w:strike w:val="1"/>
        </w:rPr>
        <w:t>chairman</w:t>
      </w:r>
      <w:r>
        <w:rPr>
          <w:rFonts w:ascii="Arial" w:cs="Arial" w:eastAsia="Arial" w:hAnsi="Arial"/>
          <w:sz w:val="16"/>
          <w:szCs w:val="16"/>
          <w:u w:val="single" w:color="auto"/>
          <w:color w:val="auto"/>
        </w:rPr>
        <w:t>chairperson</w:t>
      </w:r>
      <w:r>
        <w:rPr>
          <w:rFonts w:ascii="Arial" w:cs="Arial" w:eastAsia="Arial" w:hAnsi="Arial"/>
          <w:sz w:val="16"/>
          <w:szCs w:val="16"/>
          <w:color w:val="auto"/>
        </w:rPr>
        <w:t xml:space="preserve"> of the meeting considers that:</w:t>
      </w:r>
    </w:p>
    <w:p>
      <w:pPr>
        <w:spacing w:after="0" w:line="79" w:lineRule="exact"/>
        <w:rPr>
          <w:rFonts w:ascii="Arial" w:cs="Arial" w:eastAsia="Arial" w:hAnsi="Arial"/>
          <w:sz w:val="16"/>
          <w:szCs w:val="16"/>
          <w:color w:val="auto"/>
        </w:rPr>
      </w:pPr>
    </w:p>
    <w:p>
      <w:pPr>
        <w:ind w:left="2060" w:hanging="432"/>
        <w:spacing w:after="0"/>
        <w:tabs>
          <w:tab w:leader="none" w:pos="2060" w:val="left"/>
        </w:tabs>
        <w:numPr>
          <w:ilvl w:val="1"/>
          <w:numId w:val="131"/>
        </w:numPr>
        <w:rPr>
          <w:rFonts w:ascii="Arial" w:cs="Arial" w:eastAsia="Arial" w:hAnsi="Arial"/>
          <w:sz w:val="16"/>
          <w:szCs w:val="16"/>
          <w:color w:val="auto"/>
        </w:rPr>
      </w:pPr>
      <w:r>
        <w:rPr>
          <w:rFonts w:ascii="Arial" w:cs="Arial" w:eastAsia="Arial" w:hAnsi="Arial"/>
          <w:sz w:val="16"/>
          <w:szCs w:val="16"/>
          <w:color w:val="auto"/>
        </w:rPr>
        <w:t>there is not enough room for the number of members and proxies who wish to attend the meeting;</w:t>
      </w:r>
    </w:p>
    <w:p>
      <w:pPr>
        <w:spacing w:after="0" w:line="99" w:lineRule="exact"/>
        <w:rPr>
          <w:rFonts w:ascii="Arial" w:cs="Arial" w:eastAsia="Arial" w:hAnsi="Arial"/>
          <w:sz w:val="16"/>
          <w:szCs w:val="16"/>
          <w:color w:val="auto"/>
        </w:rPr>
      </w:pPr>
    </w:p>
    <w:p>
      <w:pPr>
        <w:ind w:left="2060" w:right="1220" w:hanging="432"/>
        <w:spacing w:after="0" w:line="260" w:lineRule="auto"/>
        <w:tabs>
          <w:tab w:leader="none" w:pos="2060" w:val="left"/>
        </w:tabs>
        <w:numPr>
          <w:ilvl w:val="1"/>
          <w:numId w:val="131"/>
        </w:numPr>
        <w:rPr>
          <w:rFonts w:ascii="Arial" w:cs="Arial" w:eastAsia="Arial" w:hAnsi="Arial"/>
          <w:sz w:val="16"/>
          <w:szCs w:val="16"/>
          <w:color w:val="auto"/>
        </w:rPr>
      </w:pPr>
      <w:r>
        <w:rPr>
          <w:rFonts w:ascii="Arial" w:cs="Arial" w:eastAsia="Arial" w:hAnsi="Arial"/>
          <w:sz w:val="16"/>
          <w:szCs w:val="16"/>
          <w:color w:val="auto"/>
        </w:rPr>
        <w:t>the behaviour of anyone present prevents, or is likely to prevent, the orderly conduct of the business of the meeting;</w:t>
      </w:r>
    </w:p>
    <w:p>
      <w:pPr>
        <w:spacing w:after="0" w:line="60" w:lineRule="exact"/>
        <w:rPr>
          <w:rFonts w:ascii="Arial" w:cs="Arial" w:eastAsia="Arial" w:hAnsi="Arial"/>
          <w:sz w:val="16"/>
          <w:szCs w:val="16"/>
          <w:color w:val="auto"/>
        </w:rPr>
      </w:pPr>
    </w:p>
    <w:p>
      <w:pPr>
        <w:ind w:left="2060" w:hanging="432"/>
        <w:spacing w:after="0"/>
        <w:tabs>
          <w:tab w:leader="none" w:pos="2060" w:val="left"/>
        </w:tabs>
        <w:numPr>
          <w:ilvl w:val="1"/>
          <w:numId w:val="131"/>
        </w:numPr>
        <w:rPr>
          <w:rFonts w:ascii="Arial" w:cs="Arial" w:eastAsia="Arial" w:hAnsi="Arial"/>
          <w:sz w:val="16"/>
          <w:szCs w:val="16"/>
          <w:color w:val="auto"/>
        </w:rPr>
      </w:pPr>
      <w:r>
        <w:rPr>
          <w:rFonts w:ascii="Arial" w:cs="Arial" w:eastAsia="Arial" w:hAnsi="Arial"/>
          <w:sz w:val="16"/>
          <w:szCs w:val="16"/>
          <w:color w:val="auto"/>
        </w:rPr>
        <w:t xml:space="preserve">an adjournment is necessary to protect the safety of any person attending the meeting; </w:t>
      </w:r>
      <w:r>
        <w:rPr>
          <w:rFonts w:ascii="Arial" w:cs="Arial" w:eastAsia="Arial" w:hAnsi="Arial"/>
          <w:sz w:val="16"/>
          <w:szCs w:val="16"/>
          <w:color w:val="auto"/>
          <w:strike w:val="1"/>
        </w:rPr>
        <w:t>or</w:t>
      </w:r>
    </w:p>
    <w:p>
      <w:pPr>
        <w:spacing w:after="0" w:line="99" w:lineRule="exact"/>
        <w:rPr>
          <w:rFonts w:ascii="Arial" w:cs="Arial" w:eastAsia="Arial" w:hAnsi="Arial"/>
          <w:sz w:val="16"/>
          <w:szCs w:val="16"/>
          <w:color w:val="auto"/>
        </w:rPr>
      </w:pPr>
    </w:p>
    <w:p>
      <w:pPr>
        <w:ind w:left="2060" w:right="1200" w:hanging="432"/>
        <w:spacing w:after="0" w:line="260" w:lineRule="auto"/>
        <w:tabs>
          <w:tab w:leader="none" w:pos="2060" w:val="left"/>
        </w:tabs>
        <w:numPr>
          <w:ilvl w:val="1"/>
          <w:numId w:val="131"/>
        </w:numPr>
        <w:rPr>
          <w:rFonts w:ascii="Arial" w:cs="Arial" w:eastAsia="Arial" w:hAnsi="Arial"/>
          <w:sz w:val="16"/>
          <w:szCs w:val="16"/>
          <w:color w:val="auto"/>
        </w:rPr>
      </w:pPr>
      <w:r>
        <w:rPr>
          <w:rFonts w:ascii="Arial" w:cs="Arial" w:eastAsia="Arial" w:hAnsi="Arial"/>
          <w:sz w:val="16"/>
          <w:szCs w:val="16"/>
          <w:color w:val="auto"/>
        </w:rPr>
        <w:t>an adjournment is necessary to give all persons entitled to do so a reasonable opportunity of speaking and voting at the meeting; or</w:t>
      </w:r>
    </w:p>
    <w:p>
      <w:pPr>
        <w:spacing w:after="0" w:line="73" w:lineRule="exact"/>
        <w:rPr>
          <w:rFonts w:ascii="Arial" w:cs="Arial" w:eastAsia="Arial" w:hAnsi="Arial"/>
          <w:sz w:val="16"/>
          <w:szCs w:val="16"/>
          <w:color w:val="auto"/>
        </w:rPr>
      </w:pPr>
    </w:p>
    <w:p>
      <w:pPr>
        <w:ind w:left="2060" w:hanging="432"/>
        <w:spacing w:after="0"/>
        <w:tabs>
          <w:tab w:leader="none" w:pos="2060" w:val="left"/>
        </w:tabs>
        <w:numPr>
          <w:ilvl w:val="1"/>
          <w:numId w:val="131"/>
        </w:numPr>
        <w:rPr>
          <w:rFonts w:ascii="Arial" w:cs="Arial" w:eastAsia="Arial" w:hAnsi="Arial"/>
          <w:sz w:val="16"/>
          <w:szCs w:val="16"/>
          <w:color w:val="auto"/>
        </w:rPr>
      </w:pPr>
      <w:r>
        <w:rPr>
          <w:rFonts w:ascii="Arial" w:cs="Arial" w:eastAsia="Arial" w:hAnsi="Arial"/>
          <w:sz w:val="16"/>
          <w:szCs w:val="16"/>
          <w:color w:val="auto"/>
        </w:rPr>
        <w:t>an adjournment is otherwise necessary in order for the business of the meeting to be properly carried out.</w:t>
      </w:r>
    </w:p>
    <w:p>
      <w:pPr>
        <w:spacing w:after="0" w:line="86" w:lineRule="exact"/>
        <w:rPr>
          <w:sz w:val="20"/>
          <w:szCs w:val="20"/>
          <w:color w:val="auto"/>
        </w:rPr>
      </w:pPr>
    </w:p>
    <w:p>
      <w:pPr>
        <w:ind w:left="1200" w:right="820" w:hanging="431"/>
        <w:spacing w:after="0" w:line="265" w:lineRule="auto"/>
        <w:rPr>
          <w:sz w:val="20"/>
          <w:szCs w:val="20"/>
          <w:color w:val="auto"/>
        </w:rPr>
      </w:pPr>
      <w:r>
        <w:rPr>
          <w:rFonts w:ascii="Arial" w:cs="Arial" w:eastAsia="Arial" w:hAnsi="Arial"/>
          <w:sz w:val="15"/>
          <w:szCs w:val="15"/>
          <w:u w:val="single" w:color="auto"/>
          <w:color w:val="auto"/>
        </w:rPr>
        <w:t>18.18</w:t>
      </w:r>
      <w:r>
        <w:rPr>
          <w:rFonts w:ascii="Arial" w:cs="Arial" w:eastAsia="Arial" w:hAnsi="Arial"/>
          <w:sz w:val="15"/>
          <w:szCs w:val="15"/>
          <w:color w:val="auto"/>
        </w:rPr>
        <w:t xml:space="preserve"> Save in accordance with Article 18.2 an adjournment may, subject to the provisions of the Companies Act, be for such time and to such other place (or, in the case of a meeting held at a principal place and a satellite meeting place, such other places) as the </w:t>
      </w:r>
      <w:r>
        <w:rPr>
          <w:rFonts w:ascii="Arial" w:cs="Arial" w:eastAsia="Arial" w:hAnsi="Arial"/>
          <w:sz w:val="15"/>
          <w:szCs w:val="15"/>
          <w:color w:val="auto"/>
          <w:strike w:val="1"/>
        </w:rPr>
        <w:t>chairman</w:t>
      </w:r>
      <w:r>
        <w:rPr>
          <w:rFonts w:ascii="Arial" w:cs="Arial" w:eastAsia="Arial" w:hAnsi="Arial"/>
          <w:sz w:val="15"/>
          <w:szCs w:val="15"/>
          <w:u w:val="single" w:color="auto"/>
          <w:color w:val="auto"/>
        </w:rPr>
        <w:t>chairperson</w:t>
      </w:r>
      <w:r>
        <w:rPr>
          <w:rFonts w:ascii="Arial" w:cs="Arial" w:eastAsia="Arial" w:hAnsi="Arial"/>
          <w:sz w:val="15"/>
          <w:szCs w:val="15"/>
          <w:color w:val="auto"/>
        </w:rPr>
        <w:t xml:space="preserve"> may, in </w:t>
      </w:r>
      <w:r>
        <w:rPr>
          <w:rFonts w:ascii="Arial" w:cs="Arial" w:eastAsia="Arial" w:hAnsi="Arial"/>
          <w:sz w:val="15"/>
          <w:szCs w:val="15"/>
          <w:color w:val="auto"/>
          <w:strike w:val="1"/>
        </w:rPr>
        <w:t>his</w:t>
      </w:r>
      <w:r>
        <w:rPr>
          <w:rFonts w:ascii="Arial" w:cs="Arial" w:eastAsia="Arial" w:hAnsi="Arial"/>
          <w:sz w:val="15"/>
          <w:szCs w:val="15"/>
          <w:u w:val="single" w:color="auto"/>
          <w:color w:val="auto"/>
        </w:rPr>
        <w:t>their</w:t>
      </w:r>
      <w:r>
        <w:rPr>
          <w:rFonts w:ascii="Arial" w:cs="Arial" w:eastAsia="Arial" w:hAnsi="Arial"/>
          <w:sz w:val="15"/>
          <w:szCs w:val="15"/>
          <w:color w:val="auto"/>
        </w:rPr>
        <w:t xml:space="preserve"> absolute discretion determine, notwithstanding that by reason of such adjournment some members may be unable to be present at the adjourned meeting. Any such member may nevertheless appoint a proxy for the adjourned meeting either in accordance with Articles 22.2, 22.3 and 22.7 or by means of a document in hard copy form which, if delivered at the meeting which is adjourned to the </w:t>
      </w:r>
      <w:r>
        <w:rPr>
          <w:rFonts w:ascii="Arial" w:cs="Arial" w:eastAsia="Arial" w:hAnsi="Arial"/>
          <w:sz w:val="15"/>
          <w:szCs w:val="15"/>
          <w:color w:val="auto"/>
          <w:strike w:val="1"/>
        </w:rPr>
        <w:t>chairman</w:t>
      </w:r>
      <w:r>
        <w:rPr>
          <w:rFonts w:ascii="Arial" w:cs="Arial" w:eastAsia="Arial" w:hAnsi="Arial"/>
          <w:sz w:val="15"/>
          <w:szCs w:val="15"/>
          <w:u w:val="single" w:color="auto"/>
          <w:color w:val="auto"/>
        </w:rPr>
        <w:t>chairperson</w:t>
      </w:r>
      <w:r>
        <w:rPr>
          <w:rFonts w:ascii="Arial" w:cs="Arial" w:eastAsia="Arial" w:hAnsi="Arial"/>
          <w:sz w:val="15"/>
          <w:szCs w:val="15"/>
          <w:color w:val="auto"/>
        </w:rPr>
        <w:t xml:space="preserve"> or the secretary or any Director, shall be valid even though it is given at less notice than would otherwise be required by Article 22.7(a). Subject to the provisions of the Companies Act, it shall not be necessary to give notice of an adjourned meeting, except that when a meeting is adjourned for 28 days or more, or for an indefinite period, at least seven clear days’ notice shall be given specifying the time and place (or places, in the case of a meeting to which Article 18.9 applies) of the adjourned meeting and the general nature of the business to be transacted. No business shall be transacted at an adjourned meeting other than business which might properly have been transacted at the meeting had the adjournment not taken place.</w:t>
      </w:r>
    </w:p>
    <w:p>
      <w:pPr>
        <w:spacing w:after="0" w:line="77" w:lineRule="exact"/>
        <w:rPr>
          <w:sz w:val="20"/>
          <w:szCs w:val="20"/>
          <w:color w:val="auto"/>
        </w:rPr>
      </w:pPr>
    </w:p>
    <w:p>
      <w:pPr>
        <w:ind w:left="760"/>
        <w:spacing w:after="0"/>
        <w:rPr>
          <w:sz w:val="20"/>
          <w:szCs w:val="20"/>
          <w:color w:val="auto"/>
        </w:rPr>
      </w:pPr>
      <w:r>
        <w:rPr>
          <w:rFonts w:ascii="Arial" w:cs="Arial" w:eastAsia="Arial" w:hAnsi="Arial"/>
          <w:sz w:val="16"/>
          <w:szCs w:val="16"/>
          <w:u w:val="single" w:color="auto"/>
          <w:color w:val="auto"/>
        </w:rPr>
        <w:t>18.19</w:t>
      </w:r>
      <w:r>
        <w:rPr>
          <w:rFonts w:ascii="Arial" w:cs="Arial" w:eastAsia="Arial" w:hAnsi="Arial"/>
          <w:sz w:val="16"/>
          <w:szCs w:val="16"/>
          <w:color w:val="auto"/>
        </w:rPr>
        <w:t xml:space="preserve"> A resolution put to the vote of a general meeting must be decided on a poll.</w:t>
      </w:r>
    </w:p>
    <w:p>
      <w:pPr>
        <w:spacing w:after="0" w:line="100" w:lineRule="exact"/>
        <w:rPr>
          <w:sz w:val="20"/>
          <w:szCs w:val="20"/>
          <w:color w:val="auto"/>
        </w:rPr>
      </w:pPr>
    </w:p>
    <w:p>
      <w:pPr>
        <w:ind w:left="1200" w:right="880" w:hanging="431"/>
        <w:spacing w:after="0" w:line="253" w:lineRule="auto"/>
        <w:rPr>
          <w:sz w:val="20"/>
          <w:szCs w:val="20"/>
          <w:color w:val="auto"/>
        </w:rPr>
      </w:pPr>
      <w:r>
        <w:rPr>
          <w:rFonts w:ascii="Arial" w:cs="Arial" w:eastAsia="Arial" w:hAnsi="Arial"/>
          <w:sz w:val="16"/>
          <w:szCs w:val="16"/>
          <w:u w:val="single" w:color="auto"/>
          <w:color w:val="auto"/>
        </w:rPr>
        <w:t>18.20</w:t>
      </w:r>
      <w:r>
        <w:rPr>
          <w:rFonts w:ascii="Arial" w:cs="Arial" w:eastAsia="Arial" w:hAnsi="Arial"/>
          <w:sz w:val="16"/>
          <w:szCs w:val="16"/>
          <w:color w:val="auto"/>
        </w:rPr>
        <w:t xml:space="preserve"> Subject to Article </w:t>
      </w:r>
      <w:r>
        <w:rPr>
          <w:rFonts w:ascii="Arial" w:cs="Arial" w:eastAsia="Arial" w:hAnsi="Arial"/>
          <w:sz w:val="16"/>
          <w:szCs w:val="16"/>
          <w:u w:val="single" w:color="auto"/>
          <w:color w:val="auto"/>
        </w:rPr>
        <w:t>18.21</w:t>
      </w:r>
      <w:r>
        <w:rPr>
          <w:rFonts w:ascii="Arial" w:cs="Arial" w:eastAsia="Arial" w:hAnsi="Arial"/>
          <w:sz w:val="16"/>
          <w:szCs w:val="16"/>
          <w:color w:val="auto"/>
          <w:strike w:val="1"/>
        </w:rPr>
        <w:t>20</w:t>
      </w:r>
      <w:r>
        <w:rPr>
          <w:rFonts w:ascii="Arial" w:cs="Arial" w:eastAsia="Arial" w:hAnsi="Arial"/>
          <w:sz w:val="16"/>
          <w:szCs w:val="16"/>
          <w:color w:val="auto"/>
        </w:rPr>
        <w:t xml:space="preserve">, a poll shall be taken as the </w:t>
      </w:r>
      <w:r>
        <w:rPr>
          <w:rFonts w:ascii="Arial" w:cs="Arial" w:eastAsia="Arial" w:hAnsi="Arial"/>
          <w:sz w:val="16"/>
          <w:szCs w:val="16"/>
          <w:color w:val="auto"/>
          <w:strike w:val="1"/>
        </w:rPr>
        <w:t>chairman</w:t>
      </w:r>
      <w:r>
        <w:rPr>
          <w:rFonts w:ascii="Arial" w:cs="Arial" w:eastAsia="Arial" w:hAnsi="Arial"/>
          <w:sz w:val="16"/>
          <w:szCs w:val="16"/>
          <w:u w:val="single" w:color="auto"/>
          <w:color w:val="auto"/>
        </w:rPr>
        <w:t>chairperson</w:t>
      </w:r>
      <w:r>
        <w:rPr>
          <w:rFonts w:ascii="Arial" w:cs="Arial" w:eastAsia="Arial" w:hAnsi="Arial"/>
          <w:sz w:val="16"/>
          <w:szCs w:val="16"/>
          <w:color w:val="auto"/>
        </w:rPr>
        <w:t xml:space="preserve"> directs and </w:t>
      </w:r>
      <w:r>
        <w:rPr>
          <w:rFonts w:ascii="Arial" w:cs="Arial" w:eastAsia="Arial" w:hAnsi="Arial"/>
          <w:sz w:val="16"/>
          <w:szCs w:val="16"/>
          <w:color w:val="auto"/>
          <w:strike w:val="1"/>
        </w:rPr>
        <w:t>he</w:t>
      </w:r>
      <w:r>
        <w:rPr>
          <w:rFonts w:ascii="Arial" w:cs="Arial" w:eastAsia="Arial" w:hAnsi="Arial"/>
          <w:sz w:val="16"/>
          <w:szCs w:val="16"/>
          <w:u w:val="single" w:color="auto"/>
          <w:color w:val="auto"/>
        </w:rPr>
        <w:t>they</w:t>
      </w:r>
      <w:r>
        <w:rPr>
          <w:rFonts w:ascii="Arial" w:cs="Arial" w:eastAsia="Arial" w:hAnsi="Arial"/>
          <w:sz w:val="16"/>
          <w:szCs w:val="16"/>
          <w:color w:val="auto"/>
        </w:rPr>
        <w:t xml:space="preserve"> may, and shall if required by the meeting, appoint scrutineers (who need not be members) and fix a time and a place for declaring the result of the poll. The result of the poll shall be deemed to be the resolution of the meeting at which the poll was demanded.</w:t>
      </w:r>
    </w:p>
    <w:p>
      <w:pPr>
        <w:spacing w:after="0" w:line="66" w:lineRule="exact"/>
        <w:rPr>
          <w:sz w:val="20"/>
          <w:szCs w:val="20"/>
          <w:color w:val="auto"/>
        </w:rPr>
      </w:pPr>
    </w:p>
    <w:p>
      <w:pPr>
        <w:ind w:left="1200" w:right="1040" w:hanging="431"/>
        <w:spacing w:after="0" w:line="253" w:lineRule="auto"/>
        <w:rPr>
          <w:sz w:val="20"/>
          <w:szCs w:val="20"/>
          <w:color w:val="auto"/>
        </w:rPr>
      </w:pPr>
      <w:r>
        <w:rPr>
          <w:rFonts w:ascii="Arial" w:cs="Arial" w:eastAsia="Arial" w:hAnsi="Arial"/>
          <w:sz w:val="16"/>
          <w:szCs w:val="16"/>
          <w:u w:val="single" w:color="auto"/>
          <w:color w:val="auto"/>
        </w:rPr>
        <w:t>18.21</w:t>
      </w:r>
      <w:r>
        <w:rPr>
          <w:rFonts w:ascii="Arial" w:cs="Arial" w:eastAsia="Arial" w:hAnsi="Arial"/>
          <w:sz w:val="16"/>
          <w:szCs w:val="16"/>
          <w:color w:val="auto"/>
        </w:rPr>
        <w:t xml:space="preserve"> A poll on the election of a </w:t>
      </w:r>
      <w:r>
        <w:rPr>
          <w:rFonts w:ascii="Arial" w:cs="Arial" w:eastAsia="Arial" w:hAnsi="Arial"/>
          <w:sz w:val="16"/>
          <w:szCs w:val="16"/>
          <w:color w:val="auto"/>
          <w:strike w:val="1"/>
        </w:rPr>
        <w:t>chairman</w:t>
      </w:r>
      <w:r>
        <w:rPr>
          <w:rFonts w:ascii="Arial" w:cs="Arial" w:eastAsia="Arial" w:hAnsi="Arial"/>
          <w:sz w:val="16"/>
          <w:szCs w:val="16"/>
          <w:u w:val="single" w:color="auto"/>
          <w:color w:val="auto"/>
        </w:rPr>
        <w:t>chairperson</w:t>
      </w:r>
      <w:r>
        <w:rPr>
          <w:rFonts w:ascii="Arial" w:cs="Arial" w:eastAsia="Arial" w:hAnsi="Arial"/>
          <w:sz w:val="16"/>
          <w:szCs w:val="16"/>
          <w:color w:val="auto"/>
        </w:rPr>
        <w:t xml:space="preserve"> or on a question of adjournment shall be taken immediately. A poll on any other question shall be taken at either the meeting or such time and place as the </w:t>
      </w:r>
      <w:r>
        <w:rPr>
          <w:rFonts w:ascii="Arial" w:cs="Arial" w:eastAsia="Arial" w:hAnsi="Arial"/>
          <w:sz w:val="16"/>
          <w:szCs w:val="16"/>
          <w:color w:val="auto"/>
          <w:strike w:val="1"/>
        </w:rPr>
        <w:t>chairman</w:t>
      </w:r>
      <w:r>
        <w:rPr>
          <w:rFonts w:ascii="Arial" w:cs="Arial" w:eastAsia="Arial" w:hAnsi="Arial"/>
          <w:sz w:val="16"/>
          <w:szCs w:val="16"/>
          <w:u w:val="single" w:color="auto"/>
          <w:color w:val="auto"/>
        </w:rPr>
        <w:t>chairperson</w:t>
      </w:r>
      <w:r>
        <w:rPr>
          <w:rFonts w:ascii="Arial" w:cs="Arial" w:eastAsia="Arial" w:hAnsi="Arial"/>
          <w:sz w:val="16"/>
          <w:szCs w:val="16"/>
          <w:color w:val="auto"/>
        </w:rPr>
        <w:t xml:space="preserve"> directs not being more than 30 days after the meeting.</w:t>
      </w:r>
    </w:p>
    <w:p>
      <w:pPr>
        <w:spacing w:after="0" w:line="312" w:lineRule="exact"/>
        <w:rPr>
          <w:sz w:val="20"/>
          <w:szCs w:val="20"/>
          <w:color w:val="auto"/>
        </w:rPr>
      </w:pPr>
    </w:p>
    <w:tbl>
      <w:tblPr>
        <w:tblLayout w:type="fixed"/>
        <w:tblInd w:w="0" w:type="dxa"/>
        <w:tblCellMar>
          <w:top w:w="0" w:type="dxa"/>
          <w:left w:w="0" w:type="dxa"/>
          <w:bottom w:w="0" w:type="dxa"/>
          <w:right w:w="0" w:type="dxa"/>
        </w:tblCellMar>
      </w:tblPr>
      <w:tr>
        <w:trPr>
          <w:trHeight w:val="116"/>
        </w:trPr>
        <w:tc>
          <w:tcPr>
            <w:tcW w:w="800" w:type="dxa"/>
            <w:vAlign w:val="bottom"/>
            <w:vMerge w:val="restart"/>
          </w:tcPr>
          <w:p>
            <w:pPr>
              <w:spacing w:after="0"/>
              <w:rPr>
                <w:sz w:val="10"/>
                <w:szCs w:val="10"/>
                <w:color w:val="auto"/>
              </w:rPr>
            </w:pPr>
          </w:p>
        </w:tc>
        <w:tc>
          <w:tcPr>
            <w:tcW w:w="3060" w:type="dxa"/>
            <w:vAlign w:val="bottom"/>
            <w:tcBorders>
              <w:bottom w:val="single" w:sz="8" w:color="auto"/>
            </w:tcBorders>
          </w:tcPr>
          <w:p>
            <w:pPr>
              <w:spacing w:after="0"/>
              <w:rPr>
                <w:sz w:val="10"/>
                <w:szCs w:val="10"/>
                <w:color w:val="auto"/>
              </w:rPr>
            </w:pPr>
          </w:p>
        </w:tc>
        <w:tc>
          <w:tcPr>
            <w:tcW w:w="2740" w:type="dxa"/>
            <w:vAlign w:val="bottom"/>
            <w:vMerge w:val="restart"/>
          </w:tcPr>
          <w:p>
            <w:pPr>
              <w:ind w:left="380"/>
              <w:spacing w:after="0"/>
              <w:rPr>
                <w:sz w:val="20"/>
                <w:szCs w:val="20"/>
                <w:color w:val="auto"/>
              </w:rPr>
            </w:pPr>
            <w:r>
              <w:rPr>
                <w:rFonts w:ascii="Arial" w:cs="Arial" w:eastAsia="Arial" w:hAnsi="Arial"/>
                <w:sz w:val="13"/>
                <w:szCs w:val="13"/>
                <w:b w:val="1"/>
                <w:bCs w:val="1"/>
                <w:color w:val="4800E6"/>
              </w:rPr>
              <w:t xml:space="preserve">LIVANOVA </w:t>
            </w:r>
            <w:r>
              <w:rPr>
                <w:rFonts w:ascii="Arial" w:cs="Arial" w:eastAsia="Arial" w:hAnsi="Arial"/>
                <w:sz w:val="13"/>
                <w:szCs w:val="13"/>
                <w:color w:val="000000"/>
              </w:rPr>
              <w:t>|</w:t>
            </w:r>
            <w:r>
              <w:rPr>
                <w:rFonts w:ascii="Arial" w:cs="Arial" w:eastAsia="Arial" w:hAnsi="Arial"/>
                <w:sz w:val="13"/>
                <w:szCs w:val="13"/>
                <w:b w:val="1"/>
                <w:bCs w:val="1"/>
                <w:color w:val="4800E6"/>
              </w:rPr>
              <w:t xml:space="preserve"> </w:t>
            </w:r>
            <w:r>
              <w:rPr>
                <w:rFonts w:ascii="Arial" w:cs="Arial" w:eastAsia="Arial" w:hAnsi="Arial"/>
                <w:sz w:val="13"/>
                <w:szCs w:val="13"/>
                <w:color w:val="4800E6"/>
              </w:rPr>
              <w:t>2020</w:t>
            </w:r>
            <w:r>
              <w:rPr>
                <w:rFonts w:ascii="Arial" w:cs="Arial" w:eastAsia="Arial" w:hAnsi="Arial"/>
                <w:sz w:val="13"/>
                <w:szCs w:val="13"/>
                <w:b w:val="1"/>
                <w:bCs w:val="1"/>
                <w:color w:val="4800E6"/>
              </w:rPr>
              <w:t xml:space="preserve"> </w:t>
            </w:r>
            <w:r>
              <w:rPr>
                <w:rFonts w:ascii="Arial" w:cs="Arial" w:eastAsia="Arial" w:hAnsi="Arial"/>
                <w:sz w:val="13"/>
                <w:szCs w:val="13"/>
                <w:color w:val="000000"/>
              </w:rPr>
              <w:t>Proxy Statement</w:t>
            </w:r>
          </w:p>
        </w:tc>
        <w:tc>
          <w:tcPr>
            <w:tcW w:w="3080" w:type="dxa"/>
            <w:vAlign w:val="bottom"/>
            <w:tcBorders>
              <w:bottom w:val="single" w:sz="8" w:color="auto"/>
            </w:tcBorders>
          </w:tcPr>
          <w:p>
            <w:pPr>
              <w:spacing w:after="0"/>
              <w:rPr>
                <w:sz w:val="10"/>
                <w:szCs w:val="10"/>
                <w:color w:val="auto"/>
              </w:rPr>
            </w:pPr>
          </w:p>
        </w:tc>
        <w:tc>
          <w:tcPr>
            <w:tcW w:w="1040" w:type="dxa"/>
            <w:vAlign w:val="bottom"/>
            <w:vMerge w:val="restart"/>
          </w:tcPr>
          <w:p>
            <w:pPr>
              <w:ind w:left="200"/>
              <w:spacing w:after="0"/>
              <w:rPr>
                <w:sz w:val="20"/>
                <w:szCs w:val="20"/>
                <w:color w:val="auto"/>
              </w:rPr>
            </w:pPr>
            <w:r>
              <w:rPr>
                <w:rFonts w:ascii="Arial" w:cs="Arial" w:eastAsia="Arial" w:hAnsi="Arial"/>
                <w:sz w:val="14"/>
                <w:szCs w:val="14"/>
                <w:b w:val="1"/>
                <w:bCs w:val="1"/>
                <w:color w:val="auto"/>
              </w:rPr>
              <w:t>A-15</w:t>
            </w:r>
          </w:p>
        </w:tc>
        <w:tc>
          <w:tcPr>
            <w:tcW w:w="0" w:type="dxa"/>
            <w:vAlign w:val="bottom"/>
          </w:tcPr>
          <w:p>
            <w:pPr>
              <w:spacing w:after="0"/>
              <w:rPr>
                <w:sz w:val="1"/>
                <w:szCs w:val="1"/>
                <w:color w:val="auto"/>
              </w:rPr>
            </w:pPr>
          </w:p>
        </w:tc>
      </w:tr>
      <w:tr>
        <w:trPr>
          <w:trHeight w:val="63"/>
        </w:trPr>
        <w:tc>
          <w:tcPr>
            <w:tcW w:w="800" w:type="dxa"/>
            <w:vAlign w:val="bottom"/>
            <w:vMerge w:val="continue"/>
          </w:tcPr>
          <w:p>
            <w:pPr>
              <w:spacing w:after="0"/>
              <w:rPr>
                <w:sz w:val="5"/>
                <w:szCs w:val="5"/>
                <w:color w:val="auto"/>
              </w:rPr>
            </w:pPr>
          </w:p>
        </w:tc>
        <w:tc>
          <w:tcPr>
            <w:tcW w:w="3060" w:type="dxa"/>
            <w:vAlign w:val="bottom"/>
          </w:tcPr>
          <w:p>
            <w:pPr>
              <w:spacing w:after="0"/>
              <w:rPr>
                <w:sz w:val="5"/>
                <w:szCs w:val="5"/>
                <w:color w:val="auto"/>
              </w:rPr>
            </w:pPr>
          </w:p>
        </w:tc>
        <w:tc>
          <w:tcPr>
            <w:tcW w:w="2740" w:type="dxa"/>
            <w:vAlign w:val="bottom"/>
            <w:vMerge w:val="continue"/>
          </w:tcPr>
          <w:p>
            <w:pPr>
              <w:spacing w:after="0"/>
              <w:rPr>
                <w:sz w:val="5"/>
                <w:szCs w:val="5"/>
                <w:color w:val="auto"/>
              </w:rPr>
            </w:pPr>
          </w:p>
        </w:tc>
        <w:tc>
          <w:tcPr>
            <w:tcW w:w="3080" w:type="dxa"/>
            <w:vAlign w:val="bottom"/>
          </w:tcPr>
          <w:p>
            <w:pPr>
              <w:spacing w:after="0"/>
              <w:rPr>
                <w:sz w:val="5"/>
                <w:szCs w:val="5"/>
                <w:color w:val="auto"/>
              </w:rPr>
            </w:pPr>
          </w:p>
        </w:tc>
        <w:tc>
          <w:tcPr>
            <w:tcW w:w="104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40"/>
        </w:trPr>
        <w:tc>
          <w:tcPr>
            <w:tcW w:w="800" w:type="dxa"/>
            <w:vAlign w:val="bottom"/>
            <w:tcBorders>
              <w:bottom w:val="single" w:sz="8" w:color="9A9A9A"/>
            </w:tcBorders>
          </w:tcPr>
          <w:p>
            <w:pPr>
              <w:spacing w:after="0"/>
              <w:rPr>
                <w:sz w:val="12"/>
                <w:szCs w:val="12"/>
                <w:color w:val="auto"/>
              </w:rPr>
            </w:pPr>
          </w:p>
        </w:tc>
        <w:tc>
          <w:tcPr>
            <w:tcW w:w="3060" w:type="dxa"/>
            <w:vAlign w:val="bottom"/>
            <w:tcBorders>
              <w:bottom w:val="single" w:sz="8" w:color="9A9A9A"/>
            </w:tcBorders>
          </w:tcPr>
          <w:p>
            <w:pPr>
              <w:spacing w:after="0"/>
              <w:rPr>
                <w:sz w:val="12"/>
                <w:szCs w:val="12"/>
                <w:color w:val="auto"/>
              </w:rPr>
            </w:pPr>
          </w:p>
        </w:tc>
        <w:tc>
          <w:tcPr>
            <w:tcW w:w="2740" w:type="dxa"/>
            <w:vAlign w:val="bottom"/>
            <w:tcBorders>
              <w:bottom w:val="single" w:sz="8" w:color="9A9A9A"/>
            </w:tcBorders>
          </w:tcPr>
          <w:p>
            <w:pPr>
              <w:spacing w:after="0"/>
              <w:rPr>
                <w:sz w:val="12"/>
                <w:szCs w:val="12"/>
                <w:color w:val="auto"/>
              </w:rPr>
            </w:pPr>
          </w:p>
        </w:tc>
        <w:tc>
          <w:tcPr>
            <w:tcW w:w="3080" w:type="dxa"/>
            <w:vAlign w:val="bottom"/>
            <w:tcBorders>
              <w:bottom w:val="single" w:sz="8" w:color="9A9A9A"/>
            </w:tcBorders>
          </w:tcPr>
          <w:p>
            <w:pPr>
              <w:spacing w:after="0"/>
              <w:rPr>
                <w:sz w:val="12"/>
                <w:szCs w:val="12"/>
                <w:color w:val="auto"/>
              </w:rPr>
            </w:pPr>
          </w:p>
        </w:tc>
        <w:tc>
          <w:tcPr>
            <w:tcW w:w="1040" w:type="dxa"/>
            <w:vAlign w:val="bottom"/>
            <w:tcBorders>
              <w:bottom w:val="single" w:sz="8" w:color="9A9A9A"/>
            </w:tcBorders>
          </w:tcPr>
          <w:p>
            <w:pPr>
              <w:spacing w:after="0"/>
              <w:rPr>
                <w:sz w:val="12"/>
                <w:szCs w:val="12"/>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6802755</wp:posOffset>
            </wp:positionH>
            <wp:positionV relativeFrom="paragraph">
              <wp:posOffset>-8255</wp:posOffset>
            </wp:positionV>
            <wp:extent cx="8255" cy="8890"/>
            <wp:wrapNone/>
            <wp:docPr id="413" name="Picture 4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3"/>
                    <pic:cNvPicPr>
                      <a:picLocks noChangeAspect="1" noChangeArrowheads="1"/>
                    </pic:cNvPicPr>
                  </pic:nvPicPr>
                  <pic:blipFill>
                    <a:blip r:embed="rId420">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wp:posOffset>
            </wp:positionV>
            <wp:extent cx="8890" cy="17145"/>
            <wp:wrapNone/>
            <wp:docPr id="414" name="Picture 4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4"/>
                    <pic:cNvPicPr>
                      <a:picLocks noChangeAspect="1" noChangeArrowheads="1"/>
                    </pic:cNvPicPr>
                  </pic:nvPicPr>
                  <pic:blipFill>
                    <a:blip r:embed="rId421">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sectPr>
          <w:pgSz w:w="11900" w:h="16838" w:orient="portrait"/>
          <w:cols w:equalWidth="0" w:num="1">
            <w:col w:w="10720"/>
          </w:cols>
          <w:pgMar w:left="320" w:top="131" w:right="859" w:bottom="1440" w:gutter="0" w:footer="0" w:header="0"/>
        </w:sectPr>
      </w:pPr>
    </w:p>
    <w:bookmarkStart w:id="94" w:name="page95"/>
    <w:bookmarkEnd w:id="94"/>
    <w:p>
      <w:pPr>
        <w:spacing w:after="0"/>
        <w:rPr>
          <w:rFonts w:ascii="Arial" w:cs="Arial" w:eastAsia="Arial" w:hAnsi="Arial"/>
          <w:sz w:val="14"/>
          <w:szCs w:val="14"/>
          <w:color w:val="003366"/>
        </w:rPr>
      </w:pPr>
      <w:hyperlink w:anchor="page77">
        <w:r>
          <w:rPr>
            <w:rFonts w:ascii="Arial" w:cs="Arial" w:eastAsia="Arial" w:hAnsi="Arial"/>
            <w:sz w:val="14"/>
            <w:szCs w:val="14"/>
            <w:color w:val="003366"/>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485140</wp:posOffset>
            </wp:positionH>
            <wp:positionV relativeFrom="paragraph">
              <wp:posOffset>357505</wp:posOffset>
            </wp:positionV>
            <wp:extent cx="5829300" cy="8255"/>
            <wp:wrapNone/>
            <wp:docPr id="415" name="Picture 4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5"/>
                    <pic:cNvPicPr>
                      <a:picLocks noChangeAspect="1" noChangeArrowheads="1"/>
                    </pic:cNvPicPr>
                  </pic:nvPicPr>
                  <pic:blipFill>
                    <a:blip r:embed="rId422">
                      <a:extLst>
                        <a:ext uri="{28A0092B-C50C-407E-A947-70E740481C1C}"/>
                      </a:extLst>
                    </a:blip>
                    <a:srcRect/>
                    <a:stretch>
                      <a:fillRect/>
                    </a:stretch>
                  </pic:blipFill>
                  <pic:spPr bwMode="auto">
                    <a:xfrm>
                      <a:off x="0" y="0"/>
                      <a:ext cx="5829300" cy="8255"/>
                    </a:xfrm>
                    <a:prstGeom prst="rect">
                      <a:avLst/>
                    </a:prstGeom>
                    <a:noFill/>
                  </pic:spPr>
                </pic:pic>
              </a:graphicData>
            </a:graphic>
          </wp:anchor>
        </w:drawing>
      </w:r>
    </w:p>
    <w:p>
      <w:pPr>
        <w:sectPr>
          <w:pgSz w:w="11900" w:h="16838" w:orient="portrait"/>
          <w:cols w:equalWidth="0" w:num="1">
            <w:col w:w="10139"/>
          </w:cols>
          <w:pgMar w:left="320" w:top="131"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ind w:left="1200" w:hanging="436"/>
        <w:spacing w:after="0"/>
        <w:tabs>
          <w:tab w:leader="none" w:pos="1200" w:val="left"/>
        </w:tabs>
        <w:numPr>
          <w:ilvl w:val="0"/>
          <w:numId w:val="132"/>
        </w:numPr>
        <w:rPr>
          <w:rFonts w:ascii="Arial" w:cs="Arial" w:eastAsia="Arial" w:hAnsi="Arial"/>
          <w:sz w:val="16"/>
          <w:szCs w:val="16"/>
          <w:b w:val="1"/>
          <w:bCs w:val="1"/>
          <w:color w:val="auto"/>
        </w:rPr>
      </w:pPr>
      <w:r>
        <w:rPr>
          <w:rFonts w:ascii="Arial" w:cs="Arial" w:eastAsia="Arial" w:hAnsi="Arial"/>
          <w:sz w:val="16"/>
          <w:szCs w:val="16"/>
          <w:b w:val="1"/>
          <w:bCs w:val="1"/>
          <w:color w:val="auto"/>
        </w:rPr>
        <w:t>AMENDMENTS TO RESOLUTIONS</w:t>
      </w:r>
    </w:p>
    <w:p>
      <w:pPr>
        <w:spacing w:after="0" w:line="120" w:lineRule="exact"/>
        <w:rPr>
          <w:sz w:val="20"/>
          <w:szCs w:val="20"/>
          <w:color w:val="auto"/>
        </w:rPr>
      </w:pPr>
    </w:p>
    <w:p>
      <w:pPr>
        <w:ind w:left="760"/>
        <w:spacing w:after="0"/>
        <w:rPr>
          <w:sz w:val="20"/>
          <w:szCs w:val="20"/>
          <w:color w:val="auto"/>
        </w:rPr>
      </w:pPr>
      <w:r>
        <w:rPr>
          <w:rFonts w:ascii="Arial" w:cs="Arial" w:eastAsia="Arial" w:hAnsi="Arial"/>
          <w:sz w:val="16"/>
          <w:szCs w:val="16"/>
          <w:color w:val="auto"/>
        </w:rPr>
        <w:t>19.1  A special resolution to be proposed at a general meeting may be amended by ordinary resolution if:</w:t>
      </w:r>
    </w:p>
    <w:p>
      <w:pPr>
        <w:spacing w:after="0" w:line="86" w:lineRule="exact"/>
        <w:rPr>
          <w:sz w:val="20"/>
          <w:szCs w:val="20"/>
          <w:color w:val="auto"/>
        </w:rPr>
      </w:pPr>
    </w:p>
    <w:p>
      <w:pPr>
        <w:ind w:left="1620" w:right="299" w:hanging="424"/>
        <w:spacing w:after="0" w:line="260" w:lineRule="auto"/>
        <w:tabs>
          <w:tab w:leader="none" w:pos="1620" w:val="left"/>
        </w:tabs>
        <w:numPr>
          <w:ilvl w:val="0"/>
          <w:numId w:val="133"/>
        </w:numPr>
        <w:rPr>
          <w:rFonts w:ascii="Arial" w:cs="Arial" w:eastAsia="Arial" w:hAnsi="Arial"/>
          <w:sz w:val="16"/>
          <w:szCs w:val="16"/>
          <w:color w:val="auto"/>
        </w:rPr>
      </w:pPr>
      <w:r>
        <w:rPr>
          <w:rFonts w:ascii="Arial" w:cs="Arial" w:eastAsia="Arial" w:hAnsi="Arial"/>
          <w:sz w:val="16"/>
          <w:szCs w:val="16"/>
          <w:color w:val="auto"/>
        </w:rPr>
        <w:t xml:space="preserve">the </w:t>
      </w:r>
      <w:r>
        <w:rPr>
          <w:rFonts w:ascii="Arial" w:cs="Arial" w:eastAsia="Arial" w:hAnsi="Arial"/>
          <w:sz w:val="16"/>
          <w:szCs w:val="16"/>
          <w:color w:val="auto"/>
          <w:strike w:val="1"/>
        </w:rPr>
        <w:t>chairman</w:t>
      </w:r>
      <w:r>
        <w:rPr>
          <w:rFonts w:ascii="Arial" w:cs="Arial" w:eastAsia="Arial" w:hAnsi="Arial"/>
          <w:sz w:val="16"/>
          <w:szCs w:val="16"/>
          <w:u w:val="single" w:color="auto"/>
          <w:color w:val="auto"/>
        </w:rPr>
        <w:t>chairperson</w:t>
      </w:r>
      <w:r>
        <w:rPr>
          <w:rFonts w:ascii="Arial" w:cs="Arial" w:eastAsia="Arial" w:hAnsi="Arial"/>
          <w:sz w:val="16"/>
          <w:szCs w:val="16"/>
          <w:color w:val="auto"/>
        </w:rPr>
        <w:t xml:space="preserve"> of the meeting proposes the amendment at the general meeting at which the resolution is to be proposed; and</w:t>
      </w:r>
    </w:p>
    <w:p>
      <w:pPr>
        <w:spacing w:after="0" w:line="73" w:lineRule="exact"/>
        <w:rPr>
          <w:rFonts w:ascii="Arial" w:cs="Arial" w:eastAsia="Arial" w:hAnsi="Arial"/>
          <w:sz w:val="16"/>
          <w:szCs w:val="16"/>
          <w:color w:val="auto"/>
        </w:rPr>
      </w:pPr>
    </w:p>
    <w:p>
      <w:pPr>
        <w:ind w:left="1620" w:hanging="424"/>
        <w:spacing w:after="0"/>
        <w:tabs>
          <w:tab w:leader="none" w:pos="1620" w:val="left"/>
        </w:tabs>
        <w:numPr>
          <w:ilvl w:val="0"/>
          <w:numId w:val="133"/>
        </w:numPr>
        <w:rPr>
          <w:rFonts w:ascii="Arial" w:cs="Arial" w:eastAsia="Arial" w:hAnsi="Arial"/>
          <w:sz w:val="16"/>
          <w:szCs w:val="16"/>
          <w:color w:val="auto"/>
        </w:rPr>
      </w:pPr>
      <w:r>
        <w:rPr>
          <w:rFonts w:ascii="Arial" w:cs="Arial" w:eastAsia="Arial" w:hAnsi="Arial"/>
          <w:sz w:val="16"/>
          <w:szCs w:val="16"/>
          <w:color w:val="auto"/>
        </w:rPr>
        <w:t>the amendment does not go beyond what is necessary to correct a clear error in the resolution.</w:t>
      </w:r>
    </w:p>
    <w:p>
      <w:pPr>
        <w:spacing w:after="0" w:line="86" w:lineRule="exact"/>
        <w:rPr>
          <w:sz w:val="20"/>
          <w:szCs w:val="20"/>
          <w:color w:val="auto"/>
        </w:rPr>
      </w:pPr>
    </w:p>
    <w:p>
      <w:pPr>
        <w:ind w:left="760"/>
        <w:spacing w:after="0"/>
        <w:rPr>
          <w:sz w:val="20"/>
          <w:szCs w:val="20"/>
          <w:color w:val="auto"/>
        </w:rPr>
      </w:pPr>
      <w:r>
        <w:rPr>
          <w:rFonts w:ascii="Arial" w:cs="Arial" w:eastAsia="Arial" w:hAnsi="Arial"/>
          <w:sz w:val="16"/>
          <w:szCs w:val="16"/>
          <w:color w:val="auto"/>
        </w:rPr>
        <w:t>19.2  An ordinary resolution to be proposed at a general meeting may be amended by ordinary resolution if:</w:t>
      </w:r>
    </w:p>
    <w:p>
      <w:pPr>
        <w:spacing w:after="0" w:line="86" w:lineRule="exact"/>
        <w:rPr>
          <w:sz w:val="20"/>
          <w:szCs w:val="20"/>
          <w:color w:val="auto"/>
        </w:rPr>
      </w:pPr>
    </w:p>
    <w:p>
      <w:pPr>
        <w:ind w:left="1620" w:right="319" w:hanging="424"/>
        <w:spacing w:after="0" w:line="268" w:lineRule="auto"/>
        <w:tabs>
          <w:tab w:leader="none" w:pos="1620" w:val="left"/>
        </w:tabs>
        <w:numPr>
          <w:ilvl w:val="0"/>
          <w:numId w:val="134"/>
        </w:numPr>
        <w:rPr>
          <w:rFonts w:ascii="Arial" w:cs="Arial" w:eastAsia="Arial" w:hAnsi="Arial"/>
          <w:sz w:val="15"/>
          <w:szCs w:val="15"/>
          <w:color w:val="auto"/>
        </w:rPr>
      </w:pPr>
      <w:r>
        <w:rPr>
          <w:rFonts w:ascii="Arial" w:cs="Arial" w:eastAsia="Arial" w:hAnsi="Arial"/>
          <w:sz w:val="15"/>
          <w:szCs w:val="15"/>
          <w:color w:val="auto"/>
        </w:rPr>
        <w:t xml:space="preserve">written notice of the terms of the proposed amendment and of the intention to move the amendment have been delivered in hard copy to the Company at the Office or to such other place as may be specified by or on behalf of the Company for that purpose, or received in electronic form at such address (if any) for the time being specified by or on behalf of the Company for that purpose, at least 48 hours before the time for holding the meeting or the adjourned meeting at which the ordinary resolution in question is proposed (which, if the Board so specifies, shall be calculated taking no account of any part of a day that is not a working day) and the proposed amendment does not, in the reasonable opinion of the </w:t>
      </w:r>
      <w:r>
        <w:rPr>
          <w:rFonts w:ascii="Arial" w:cs="Arial" w:eastAsia="Arial" w:hAnsi="Arial"/>
          <w:sz w:val="15"/>
          <w:szCs w:val="15"/>
          <w:color w:val="auto"/>
          <w:strike w:val="1"/>
        </w:rPr>
        <w:t>chairman</w:t>
      </w:r>
      <w:r>
        <w:rPr>
          <w:rFonts w:ascii="Arial" w:cs="Arial" w:eastAsia="Arial" w:hAnsi="Arial"/>
          <w:sz w:val="15"/>
          <w:szCs w:val="15"/>
          <w:u w:val="single" w:color="auto"/>
          <w:color w:val="auto"/>
        </w:rPr>
        <w:t>chairperson</w:t>
      </w:r>
      <w:r>
        <w:rPr>
          <w:rFonts w:ascii="Arial" w:cs="Arial" w:eastAsia="Arial" w:hAnsi="Arial"/>
          <w:sz w:val="15"/>
          <w:szCs w:val="15"/>
          <w:color w:val="auto"/>
        </w:rPr>
        <w:t xml:space="preserve"> of the meeting, materially alter the substance of the resolution; or</w:t>
      </w:r>
    </w:p>
    <w:p>
      <w:pPr>
        <w:spacing w:after="0" w:line="69" w:lineRule="exact"/>
        <w:rPr>
          <w:rFonts w:ascii="Arial" w:cs="Arial" w:eastAsia="Arial" w:hAnsi="Arial"/>
          <w:sz w:val="15"/>
          <w:szCs w:val="15"/>
          <w:color w:val="auto"/>
        </w:rPr>
      </w:pPr>
    </w:p>
    <w:p>
      <w:pPr>
        <w:ind w:left="1620" w:right="239" w:hanging="424"/>
        <w:spacing w:after="0" w:line="260" w:lineRule="auto"/>
        <w:tabs>
          <w:tab w:leader="none" w:pos="1620" w:val="left"/>
        </w:tabs>
        <w:numPr>
          <w:ilvl w:val="0"/>
          <w:numId w:val="134"/>
        </w:numPr>
        <w:rPr>
          <w:rFonts w:ascii="Arial" w:cs="Arial" w:eastAsia="Arial" w:hAnsi="Arial"/>
          <w:sz w:val="16"/>
          <w:szCs w:val="16"/>
          <w:color w:val="auto"/>
        </w:rPr>
      </w:pPr>
      <w:r>
        <w:rPr>
          <w:rFonts w:ascii="Arial" w:cs="Arial" w:eastAsia="Arial" w:hAnsi="Arial"/>
          <w:sz w:val="16"/>
          <w:szCs w:val="16"/>
          <w:color w:val="auto"/>
        </w:rPr>
        <w:t xml:space="preserve">the </w:t>
      </w:r>
      <w:r>
        <w:rPr>
          <w:rFonts w:ascii="Arial" w:cs="Arial" w:eastAsia="Arial" w:hAnsi="Arial"/>
          <w:sz w:val="16"/>
          <w:szCs w:val="16"/>
          <w:color w:val="auto"/>
          <w:strike w:val="1"/>
        </w:rPr>
        <w:t>chairman</w:t>
      </w:r>
      <w:r>
        <w:rPr>
          <w:rFonts w:ascii="Arial" w:cs="Arial" w:eastAsia="Arial" w:hAnsi="Arial"/>
          <w:sz w:val="16"/>
          <w:szCs w:val="16"/>
          <w:u w:val="single" w:color="auto"/>
          <w:color w:val="auto"/>
        </w:rPr>
        <w:t>chairperson</w:t>
      </w:r>
      <w:r>
        <w:rPr>
          <w:rFonts w:ascii="Arial" w:cs="Arial" w:eastAsia="Arial" w:hAnsi="Arial"/>
          <w:sz w:val="16"/>
          <w:szCs w:val="16"/>
          <w:color w:val="auto"/>
        </w:rPr>
        <w:t xml:space="preserve"> of the meeting, in </w:t>
      </w:r>
      <w:r>
        <w:rPr>
          <w:rFonts w:ascii="Arial" w:cs="Arial" w:eastAsia="Arial" w:hAnsi="Arial"/>
          <w:sz w:val="16"/>
          <w:szCs w:val="16"/>
          <w:color w:val="auto"/>
          <w:strike w:val="1"/>
        </w:rPr>
        <w:t>his</w:t>
      </w:r>
      <w:r>
        <w:rPr>
          <w:rFonts w:ascii="Arial" w:cs="Arial" w:eastAsia="Arial" w:hAnsi="Arial"/>
          <w:sz w:val="16"/>
          <w:szCs w:val="16"/>
          <w:u w:val="single" w:color="auto"/>
          <w:color w:val="auto"/>
        </w:rPr>
        <w:t>their</w:t>
      </w:r>
      <w:r>
        <w:rPr>
          <w:rFonts w:ascii="Arial" w:cs="Arial" w:eastAsia="Arial" w:hAnsi="Arial"/>
          <w:sz w:val="16"/>
          <w:szCs w:val="16"/>
          <w:color w:val="auto"/>
        </w:rPr>
        <w:t xml:space="preserve"> absolute discretion, decides that the proposed amendment may be considered or voted on.</w:t>
      </w:r>
    </w:p>
    <w:p>
      <w:pPr>
        <w:spacing w:after="0" w:line="60" w:lineRule="exact"/>
        <w:rPr>
          <w:sz w:val="20"/>
          <w:szCs w:val="20"/>
          <w:color w:val="auto"/>
        </w:rPr>
      </w:pPr>
    </w:p>
    <w:p>
      <w:pPr>
        <w:ind w:left="1200" w:right="299" w:hanging="431"/>
        <w:spacing w:after="0" w:line="253" w:lineRule="auto"/>
        <w:rPr>
          <w:sz w:val="20"/>
          <w:szCs w:val="20"/>
          <w:color w:val="auto"/>
        </w:rPr>
      </w:pPr>
      <w:r>
        <w:rPr>
          <w:rFonts w:ascii="Arial" w:cs="Arial" w:eastAsia="Arial" w:hAnsi="Arial"/>
          <w:sz w:val="16"/>
          <w:szCs w:val="16"/>
          <w:color w:val="auto"/>
        </w:rPr>
        <w:t xml:space="preserve">19.3 With the consent of the </w:t>
      </w:r>
      <w:r>
        <w:rPr>
          <w:rFonts w:ascii="Arial" w:cs="Arial" w:eastAsia="Arial" w:hAnsi="Arial"/>
          <w:sz w:val="16"/>
          <w:szCs w:val="16"/>
          <w:color w:val="auto"/>
          <w:strike w:val="1"/>
        </w:rPr>
        <w:t>chairman</w:t>
      </w:r>
      <w:r>
        <w:rPr>
          <w:rFonts w:ascii="Arial" w:cs="Arial" w:eastAsia="Arial" w:hAnsi="Arial"/>
          <w:sz w:val="16"/>
          <w:szCs w:val="16"/>
          <w:u w:val="single" w:color="auto"/>
          <w:color w:val="auto"/>
        </w:rPr>
        <w:t>chairperson</w:t>
      </w:r>
      <w:r>
        <w:rPr>
          <w:rFonts w:ascii="Arial" w:cs="Arial" w:eastAsia="Arial" w:hAnsi="Arial"/>
          <w:sz w:val="16"/>
          <w:szCs w:val="16"/>
          <w:color w:val="auto"/>
        </w:rPr>
        <w:t xml:space="preserve"> of the meeting, an amendment may be withdrawn by its proposer before it is voted on. If an amendment proposed to any resolution under consideration is ruled out of order by the </w:t>
      </w:r>
      <w:r>
        <w:rPr>
          <w:rFonts w:ascii="Arial" w:cs="Arial" w:eastAsia="Arial" w:hAnsi="Arial"/>
          <w:sz w:val="16"/>
          <w:szCs w:val="16"/>
          <w:color w:val="auto"/>
          <w:strike w:val="1"/>
        </w:rPr>
        <w:t>chairman</w:t>
      </w:r>
      <w:r>
        <w:rPr>
          <w:rFonts w:ascii="Arial" w:cs="Arial" w:eastAsia="Arial" w:hAnsi="Arial"/>
          <w:sz w:val="16"/>
          <w:szCs w:val="16"/>
          <w:u w:val="single" w:color="auto"/>
          <w:color w:val="auto"/>
        </w:rPr>
        <w:t>chairperson</w:t>
      </w:r>
      <w:r>
        <w:rPr>
          <w:rFonts w:ascii="Arial" w:cs="Arial" w:eastAsia="Arial" w:hAnsi="Arial"/>
          <w:sz w:val="16"/>
          <w:szCs w:val="16"/>
          <w:color w:val="auto"/>
        </w:rPr>
        <w:t xml:space="preserve"> of the meeting, the proceedings on the resolution shall not be invalidated by any error in the ruling.</w:t>
      </w:r>
    </w:p>
    <w:p>
      <w:pPr>
        <w:spacing w:after="0" w:line="46" w:lineRule="exact"/>
        <w:rPr>
          <w:sz w:val="20"/>
          <w:szCs w:val="20"/>
          <w:color w:val="auto"/>
        </w:rPr>
      </w:pPr>
    </w:p>
    <w:p>
      <w:pPr>
        <w:ind w:left="1200" w:hanging="436"/>
        <w:spacing w:after="0"/>
        <w:tabs>
          <w:tab w:leader="none" w:pos="1200" w:val="left"/>
        </w:tabs>
        <w:numPr>
          <w:ilvl w:val="0"/>
          <w:numId w:val="135"/>
        </w:numPr>
        <w:rPr>
          <w:rFonts w:ascii="Arial" w:cs="Arial" w:eastAsia="Arial" w:hAnsi="Arial"/>
          <w:sz w:val="16"/>
          <w:szCs w:val="16"/>
          <w:b w:val="1"/>
          <w:bCs w:val="1"/>
          <w:color w:val="auto"/>
        </w:rPr>
      </w:pPr>
      <w:r>
        <w:rPr>
          <w:rFonts w:ascii="Arial" w:cs="Arial" w:eastAsia="Arial" w:hAnsi="Arial"/>
          <w:sz w:val="16"/>
          <w:szCs w:val="16"/>
          <w:b w:val="1"/>
          <w:bCs w:val="1"/>
          <w:color w:val="auto"/>
        </w:rPr>
        <w:t>PROPOSED MEMBER RESOLUTIONS</w:t>
      </w:r>
    </w:p>
    <w:p>
      <w:pPr>
        <w:spacing w:after="0" w:line="120" w:lineRule="exact"/>
        <w:rPr>
          <w:sz w:val="20"/>
          <w:szCs w:val="20"/>
          <w:color w:val="auto"/>
        </w:rPr>
      </w:pPr>
    </w:p>
    <w:p>
      <w:pPr>
        <w:ind w:left="1200" w:right="219" w:hanging="431"/>
        <w:spacing w:after="0" w:line="250" w:lineRule="auto"/>
        <w:rPr>
          <w:sz w:val="20"/>
          <w:szCs w:val="20"/>
          <w:color w:val="auto"/>
        </w:rPr>
      </w:pPr>
      <w:r>
        <w:rPr>
          <w:rFonts w:ascii="Arial" w:cs="Arial" w:eastAsia="Arial" w:hAnsi="Arial"/>
          <w:sz w:val="16"/>
          <w:szCs w:val="16"/>
          <w:color w:val="auto"/>
        </w:rPr>
        <w:t xml:space="preserve">20.1 Where a member or members, in accordance with the provisions of the Companies Act, request the Company to (i) call a general meeting for the purposes of bringing a resolution before the meeting, or (ii) give notice of a resolution to be proposed at a general meeting, such request must, in each case and in addition to the requirements of the Companies Act, contain the following </w:t>
      </w:r>
      <w:r>
        <w:rPr>
          <w:rFonts w:ascii="Arial" w:cs="Arial" w:eastAsia="Arial" w:hAnsi="Arial"/>
          <w:sz w:val="16"/>
          <w:szCs w:val="16"/>
          <w:color w:val="auto"/>
          <w:strike w:val="1"/>
        </w:rPr>
        <w:t>(and, to the extent that the request relates to the nomination of a director, the content requirements of</w:t>
      </w:r>
      <w:r>
        <w:rPr>
          <w:rFonts w:ascii="Arial" w:cs="Arial" w:eastAsia="Arial" w:hAnsi="Arial"/>
          <w:sz w:val="16"/>
          <w:szCs w:val="16"/>
          <w:color w:val="auto"/>
        </w:rPr>
        <w:t xml:space="preserve"> </w:t>
      </w:r>
      <w:r>
        <w:rPr>
          <w:rFonts w:ascii="Arial" w:cs="Arial" w:eastAsia="Arial" w:hAnsi="Arial"/>
          <w:sz w:val="16"/>
          <w:szCs w:val="16"/>
          <w:color w:val="auto"/>
          <w:strike w:val="1"/>
        </w:rPr>
        <w:t>Article 24.3(b) also apply):</w:t>
      </w:r>
      <w:r>
        <w:rPr>
          <w:rFonts w:ascii="Arial" w:cs="Arial" w:eastAsia="Arial" w:hAnsi="Arial"/>
          <w:sz w:val="16"/>
          <w:szCs w:val="16"/>
          <w:u w:val="single" w:color="auto"/>
          <w:color w:val="auto"/>
          <w:strike w:val="1"/>
        </w:rPr>
        <w:t>:</w:t>
      </w:r>
    </w:p>
    <w:p>
      <w:pPr>
        <w:spacing w:after="0" w:line="68" w:lineRule="exact"/>
        <w:rPr>
          <w:sz w:val="20"/>
          <w:szCs w:val="20"/>
          <w:color w:val="auto"/>
        </w:rPr>
      </w:pPr>
    </w:p>
    <w:p>
      <w:pPr>
        <w:ind w:left="1620" w:right="339" w:hanging="424"/>
        <w:spacing w:after="0" w:line="249" w:lineRule="auto"/>
        <w:tabs>
          <w:tab w:leader="none" w:pos="1620" w:val="left"/>
        </w:tabs>
        <w:numPr>
          <w:ilvl w:val="0"/>
          <w:numId w:val="136"/>
        </w:numPr>
        <w:rPr>
          <w:rFonts w:ascii="Arial" w:cs="Arial" w:eastAsia="Arial" w:hAnsi="Arial"/>
          <w:sz w:val="16"/>
          <w:szCs w:val="16"/>
          <w:color w:val="auto"/>
        </w:rPr>
      </w:pPr>
      <w:r>
        <w:rPr>
          <w:rFonts w:ascii="Arial" w:cs="Arial" w:eastAsia="Arial" w:hAnsi="Arial"/>
          <w:sz w:val="16"/>
          <w:szCs w:val="16"/>
          <w:color w:val="auto"/>
        </w:rPr>
        <w:t xml:space="preserve">to the extent that the request relates to the nomination of a </w:t>
      </w:r>
      <w:r>
        <w:rPr>
          <w:rFonts w:ascii="Arial" w:cs="Arial" w:eastAsia="Arial" w:hAnsi="Arial"/>
          <w:sz w:val="16"/>
          <w:szCs w:val="16"/>
          <w:color w:val="auto"/>
          <w:strike w:val="1"/>
        </w:rPr>
        <w:t>director</w:t>
      </w:r>
      <w:r>
        <w:rPr>
          <w:rFonts w:ascii="Arial" w:cs="Arial" w:eastAsia="Arial" w:hAnsi="Arial"/>
          <w:sz w:val="16"/>
          <w:szCs w:val="16"/>
          <w:u w:val="single" w:color="auto"/>
          <w:color w:val="auto"/>
        </w:rPr>
        <w:t>Director</w:t>
      </w:r>
      <w:r>
        <w:rPr>
          <w:rFonts w:ascii="Arial" w:cs="Arial" w:eastAsia="Arial" w:hAnsi="Arial"/>
          <w:sz w:val="16"/>
          <w:szCs w:val="16"/>
          <w:color w:val="auto"/>
        </w:rPr>
        <w:t xml:space="preserve">, as to each person whom the member(s) propose(s) to nominate for election or re-election as a </w:t>
      </w:r>
      <w:r>
        <w:rPr>
          <w:rFonts w:ascii="Arial" w:cs="Arial" w:eastAsia="Arial" w:hAnsi="Arial"/>
          <w:sz w:val="16"/>
          <w:szCs w:val="16"/>
          <w:color w:val="auto"/>
          <w:strike w:val="1"/>
        </w:rPr>
        <w:t>director</w:t>
      </w:r>
      <w:r>
        <w:rPr>
          <w:rFonts w:ascii="Arial" w:cs="Arial" w:eastAsia="Arial" w:hAnsi="Arial"/>
          <w:sz w:val="16"/>
          <w:szCs w:val="16"/>
          <w:u w:val="single" w:color="auto"/>
          <w:color w:val="auto"/>
        </w:rPr>
        <w:t>Director</w:t>
      </w:r>
      <w:r>
        <w:rPr>
          <w:rFonts w:ascii="Arial" w:cs="Arial" w:eastAsia="Arial" w:hAnsi="Arial"/>
          <w:sz w:val="16"/>
          <w:szCs w:val="16"/>
          <w:color w:val="auto"/>
        </w:rPr>
        <w:t xml:space="preserve">, all information relating to such person that is required to be disclosed in a proxy statement or other filings required to be made in connection with solicitations of proxies for election of </w:t>
      </w:r>
      <w:r>
        <w:rPr>
          <w:rFonts w:ascii="Arial" w:cs="Arial" w:eastAsia="Arial" w:hAnsi="Arial"/>
          <w:sz w:val="16"/>
          <w:szCs w:val="16"/>
          <w:color w:val="auto"/>
          <w:strike w:val="1"/>
        </w:rPr>
        <w:t>directors</w:t>
      </w:r>
      <w:r>
        <w:rPr>
          <w:rFonts w:ascii="Arial" w:cs="Arial" w:eastAsia="Arial" w:hAnsi="Arial"/>
          <w:sz w:val="16"/>
          <w:szCs w:val="16"/>
          <w:u w:val="single" w:color="auto"/>
          <w:color w:val="auto"/>
        </w:rPr>
        <w:t>Directors</w:t>
      </w:r>
      <w:r>
        <w:rPr>
          <w:rFonts w:ascii="Arial" w:cs="Arial" w:eastAsia="Arial" w:hAnsi="Arial"/>
          <w:sz w:val="16"/>
          <w:szCs w:val="16"/>
          <w:color w:val="auto"/>
        </w:rPr>
        <w:t xml:space="preserve">, or is otherwise required, in each case pursuant to Regulation 14A under the Exchange Act including such person’s written consent to being named in the proxy statement as a nominee and to serving as a </w:t>
      </w:r>
      <w:r>
        <w:rPr>
          <w:rFonts w:ascii="Arial" w:cs="Arial" w:eastAsia="Arial" w:hAnsi="Arial"/>
          <w:sz w:val="16"/>
          <w:szCs w:val="16"/>
          <w:color w:val="auto"/>
          <w:strike w:val="1"/>
        </w:rPr>
        <w:t>director</w:t>
      </w:r>
      <w:r>
        <w:rPr>
          <w:rFonts w:ascii="Arial" w:cs="Arial" w:eastAsia="Arial" w:hAnsi="Arial"/>
          <w:sz w:val="16"/>
          <w:szCs w:val="16"/>
          <w:u w:val="single" w:color="auto"/>
          <w:color w:val="auto"/>
        </w:rPr>
        <w:t>Director</w:t>
      </w:r>
      <w:r>
        <w:rPr>
          <w:rFonts w:ascii="Arial" w:cs="Arial" w:eastAsia="Arial" w:hAnsi="Arial"/>
          <w:sz w:val="16"/>
          <w:szCs w:val="16"/>
          <w:color w:val="auto"/>
        </w:rPr>
        <w:t xml:space="preserve"> if elected (or re-elected);</w:t>
      </w:r>
    </w:p>
    <w:p>
      <w:pPr>
        <w:spacing w:after="0" w:line="83" w:lineRule="exact"/>
        <w:rPr>
          <w:rFonts w:ascii="Arial" w:cs="Arial" w:eastAsia="Arial" w:hAnsi="Arial"/>
          <w:sz w:val="16"/>
          <w:szCs w:val="16"/>
          <w:color w:val="auto"/>
        </w:rPr>
      </w:pPr>
    </w:p>
    <w:p>
      <w:pPr>
        <w:ind w:left="1620" w:right="359" w:hanging="424"/>
        <w:spacing w:after="0" w:line="248" w:lineRule="auto"/>
        <w:tabs>
          <w:tab w:leader="none" w:pos="1620" w:val="left"/>
        </w:tabs>
        <w:numPr>
          <w:ilvl w:val="0"/>
          <w:numId w:val="136"/>
        </w:numPr>
        <w:rPr>
          <w:rFonts w:ascii="Arial" w:cs="Arial" w:eastAsia="Arial" w:hAnsi="Arial"/>
          <w:sz w:val="16"/>
          <w:szCs w:val="16"/>
          <w:color w:val="auto"/>
        </w:rPr>
      </w:pPr>
      <w:r>
        <w:rPr>
          <w:rFonts w:ascii="Arial" w:cs="Arial" w:eastAsia="Arial" w:hAnsi="Arial"/>
          <w:sz w:val="16"/>
          <w:szCs w:val="16"/>
          <w:color w:val="auto"/>
        </w:rPr>
        <w:t>to the extent that that request relates to any business other than the nomination of a Director that the member(s) propose(s) to bring before the meeting, a brief description of the business desired to be brought before the meeting, the reasons for conducting such business at the meeting and any material interest in such business of such member(s) (other than where the member is a Depositary) and any Member Associated Person on whose behalf the nomination or proposal is made, individually or in the aggregate, including any anticipated benefit to the member(s) (other than where the member is a Depositary) or the Member Associated Person therefrom on whose behalf the nomination or proposal is made; and</w:t>
      </w:r>
    </w:p>
    <w:p>
      <w:pPr>
        <w:spacing w:after="0" w:line="73" w:lineRule="exact"/>
        <w:rPr>
          <w:rFonts w:ascii="Arial" w:cs="Arial" w:eastAsia="Arial" w:hAnsi="Arial"/>
          <w:sz w:val="16"/>
          <w:szCs w:val="16"/>
          <w:color w:val="auto"/>
        </w:rPr>
      </w:pPr>
    </w:p>
    <w:p>
      <w:pPr>
        <w:ind w:left="1620" w:right="379" w:hanging="424"/>
        <w:spacing w:after="0" w:line="260" w:lineRule="auto"/>
        <w:tabs>
          <w:tab w:leader="none" w:pos="1620" w:val="left"/>
        </w:tabs>
        <w:numPr>
          <w:ilvl w:val="0"/>
          <w:numId w:val="136"/>
        </w:numPr>
        <w:rPr>
          <w:rFonts w:ascii="Arial" w:cs="Arial" w:eastAsia="Arial" w:hAnsi="Arial"/>
          <w:sz w:val="16"/>
          <w:szCs w:val="16"/>
          <w:color w:val="auto"/>
        </w:rPr>
      </w:pPr>
      <w:r>
        <w:rPr>
          <w:rFonts w:ascii="Arial" w:cs="Arial" w:eastAsia="Arial" w:hAnsi="Arial"/>
          <w:sz w:val="16"/>
          <w:szCs w:val="16"/>
          <w:color w:val="auto"/>
        </w:rPr>
        <w:t>as to the member(s) giving the notice and the Member Associated Person, if any, on whose behalf the nomination or proposal is made:</w:t>
      </w:r>
    </w:p>
    <w:p>
      <w:pPr>
        <w:spacing w:after="0" w:line="60" w:lineRule="exact"/>
        <w:rPr>
          <w:rFonts w:ascii="Arial" w:cs="Arial" w:eastAsia="Arial" w:hAnsi="Arial"/>
          <w:sz w:val="16"/>
          <w:szCs w:val="16"/>
          <w:color w:val="auto"/>
        </w:rPr>
      </w:pPr>
    </w:p>
    <w:p>
      <w:pPr>
        <w:ind w:left="2060" w:right="679" w:hanging="432"/>
        <w:spacing w:after="0" w:line="260" w:lineRule="auto"/>
        <w:tabs>
          <w:tab w:leader="none" w:pos="2060" w:val="left"/>
        </w:tabs>
        <w:numPr>
          <w:ilvl w:val="1"/>
          <w:numId w:val="136"/>
        </w:numPr>
        <w:rPr>
          <w:rFonts w:ascii="Arial" w:cs="Arial" w:eastAsia="Arial" w:hAnsi="Arial"/>
          <w:sz w:val="16"/>
          <w:szCs w:val="16"/>
          <w:color w:val="auto"/>
        </w:rPr>
      </w:pPr>
      <w:r>
        <w:rPr>
          <w:rFonts w:ascii="Arial" w:cs="Arial" w:eastAsia="Arial" w:hAnsi="Arial"/>
          <w:sz w:val="16"/>
          <w:szCs w:val="16"/>
          <w:color w:val="auto"/>
        </w:rPr>
        <w:t>the name and address of such member(s), as they appear on the Company’s books, and of such Member Associated Persons, if any;</w:t>
      </w:r>
    </w:p>
    <w:p>
      <w:pPr>
        <w:spacing w:after="0" w:line="73" w:lineRule="exact"/>
        <w:rPr>
          <w:rFonts w:ascii="Arial" w:cs="Arial" w:eastAsia="Arial" w:hAnsi="Arial"/>
          <w:sz w:val="16"/>
          <w:szCs w:val="16"/>
          <w:color w:val="auto"/>
        </w:rPr>
      </w:pPr>
    </w:p>
    <w:p>
      <w:pPr>
        <w:ind w:left="2060" w:right="299" w:hanging="432"/>
        <w:spacing w:after="0" w:line="260" w:lineRule="auto"/>
        <w:tabs>
          <w:tab w:leader="none" w:pos="2060" w:val="left"/>
        </w:tabs>
        <w:numPr>
          <w:ilvl w:val="1"/>
          <w:numId w:val="136"/>
        </w:numPr>
        <w:rPr>
          <w:rFonts w:ascii="Arial" w:cs="Arial" w:eastAsia="Arial" w:hAnsi="Arial"/>
          <w:sz w:val="16"/>
          <w:szCs w:val="16"/>
          <w:color w:val="auto"/>
        </w:rPr>
      </w:pPr>
      <w:r>
        <w:rPr>
          <w:rFonts w:ascii="Arial" w:cs="Arial" w:eastAsia="Arial" w:hAnsi="Arial"/>
          <w:sz w:val="16"/>
          <w:szCs w:val="16"/>
          <w:color w:val="auto"/>
        </w:rPr>
        <w:t>the class and number of shares of the Company held by such member(s) which are owned beneficially by such member(s) and such Member Associated Persons, if any;</w:t>
      </w:r>
    </w:p>
    <w:p>
      <w:pPr>
        <w:spacing w:after="0" w:line="60" w:lineRule="exact"/>
        <w:rPr>
          <w:rFonts w:ascii="Arial" w:cs="Arial" w:eastAsia="Arial" w:hAnsi="Arial"/>
          <w:sz w:val="16"/>
          <w:szCs w:val="16"/>
          <w:color w:val="auto"/>
        </w:rPr>
      </w:pPr>
    </w:p>
    <w:p>
      <w:pPr>
        <w:ind w:left="2060" w:right="219" w:hanging="432"/>
        <w:spacing w:after="0" w:line="251" w:lineRule="auto"/>
        <w:tabs>
          <w:tab w:leader="none" w:pos="2060" w:val="left"/>
        </w:tabs>
        <w:numPr>
          <w:ilvl w:val="1"/>
          <w:numId w:val="136"/>
        </w:numPr>
        <w:rPr>
          <w:rFonts w:ascii="Arial" w:cs="Arial" w:eastAsia="Arial" w:hAnsi="Arial"/>
          <w:sz w:val="16"/>
          <w:szCs w:val="16"/>
          <w:color w:val="auto"/>
        </w:rPr>
      </w:pPr>
      <w:r>
        <w:rPr>
          <w:rFonts w:ascii="Arial" w:cs="Arial" w:eastAsia="Arial" w:hAnsi="Arial"/>
          <w:sz w:val="16"/>
          <w:szCs w:val="16"/>
          <w:color w:val="auto"/>
        </w:rPr>
        <w:t>a description of all agreements, arrangements and understandings between such member (other than where the member is a Depositary) and such Member Associated Persons, if any, each proposed nominee and any other person or persons (including their names) in connection with the nomination of a Director or the proposal of any other business by such member(s) or such Member Associated Person, if any;</w:t>
      </w:r>
    </w:p>
    <w:p>
      <w:pPr>
        <w:spacing w:after="0" w:line="80" w:lineRule="exact"/>
        <w:rPr>
          <w:rFonts w:ascii="Arial" w:cs="Arial" w:eastAsia="Arial" w:hAnsi="Arial"/>
          <w:sz w:val="16"/>
          <w:szCs w:val="16"/>
          <w:color w:val="auto"/>
        </w:rPr>
      </w:pPr>
    </w:p>
    <w:p>
      <w:pPr>
        <w:ind w:left="2060" w:right="559" w:hanging="432"/>
        <w:spacing w:after="0" w:line="253" w:lineRule="auto"/>
        <w:tabs>
          <w:tab w:leader="none" w:pos="2060" w:val="left"/>
        </w:tabs>
        <w:numPr>
          <w:ilvl w:val="1"/>
          <w:numId w:val="136"/>
        </w:numPr>
        <w:rPr>
          <w:rFonts w:ascii="Arial" w:cs="Arial" w:eastAsia="Arial" w:hAnsi="Arial"/>
          <w:sz w:val="16"/>
          <w:szCs w:val="16"/>
          <w:color w:val="auto"/>
        </w:rPr>
      </w:pPr>
      <w:r>
        <w:rPr>
          <w:rFonts w:ascii="Arial" w:cs="Arial" w:eastAsia="Arial" w:hAnsi="Arial"/>
          <w:sz w:val="16"/>
          <w:szCs w:val="16"/>
          <w:color w:val="auto"/>
        </w:rPr>
        <w:t>any other information relating to such member or Member Associated Person that would be required to be disclosed in a proxy statement or other filings required to be made in connection with solicitations of proxies pursuant to Section 14 of the Exchange Act; and</w:t>
      </w:r>
    </w:p>
    <w:p>
      <w:pPr>
        <w:spacing w:after="0" w:line="66" w:lineRule="exact"/>
        <w:rPr>
          <w:rFonts w:ascii="Arial" w:cs="Arial" w:eastAsia="Arial" w:hAnsi="Arial"/>
          <w:sz w:val="16"/>
          <w:szCs w:val="16"/>
          <w:color w:val="auto"/>
        </w:rPr>
      </w:pPr>
    </w:p>
    <w:p>
      <w:pPr>
        <w:ind w:left="2060" w:hanging="432"/>
        <w:spacing w:after="0"/>
        <w:tabs>
          <w:tab w:leader="none" w:pos="2060" w:val="left"/>
        </w:tabs>
        <w:numPr>
          <w:ilvl w:val="1"/>
          <w:numId w:val="136"/>
        </w:numPr>
        <w:rPr>
          <w:rFonts w:ascii="Arial" w:cs="Arial" w:eastAsia="Arial" w:hAnsi="Arial"/>
          <w:sz w:val="16"/>
          <w:szCs w:val="16"/>
          <w:color w:val="auto"/>
        </w:rPr>
      </w:pPr>
      <w:r>
        <w:rPr>
          <w:rFonts w:ascii="Arial" w:cs="Arial" w:eastAsia="Arial" w:hAnsi="Arial"/>
          <w:sz w:val="16"/>
          <w:szCs w:val="16"/>
          <w:color w:val="auto"/>
        </w:rPr>
        <w:t>to the extent known by the Member Associated Person or the member(s) giving the notice, the name and</w:t>
      </w:r>
    </w:p>
    <w:p>
      <w:pPr>
        <w:spacing w:after="0" w:line="119" w:lineRule="exact"/>
        <w:rPr>
          <w:sz w:val="20"/>
          <w:szCs w:val="20"/>
          <w:color w:val="auto"/>
        </w:rPr>
      </w:pPr>
    </w:p>
    <w:p>
      <w:pPr>
        <w:ind w:left="480"/>
        <w:spacing w:after="0"/>
        <w:tabs>
          <w:tab w:leader="none" w:pos="4420" w:val="left"/>
          <w:tab w:leader="none" w:pos="8760" w:val="left"/>
        </w:tabs>
        <w:rPr>
          <w:sz w:val="20"/>
          <w:szCs w:val="20"/>
          <w:color w:val="auto"/>
        </w:rPr>
      </w:pPr>
      <w:r>
        <w:rPr>
          <w:rFonts w:ascii="Arial" w:cs="Arial" w:eastAsia="Arial" w:hAnsi="Arial"/>
          <w:sz w:val="28"/>
          <w:szCs w:val="28"/>
          <w:b w:val="1"/>
          <w:bCs w:val="1"/>
          <w:color w:val="000000"/>
          <w:vertAlign w:val="subscript"/>
        </w:rPr>
        <w:t>A-16</w:t>
      </w:r>
      <w:r>
        <w:rPr>
          <w:sz w:val="20"/>
          <w:szCs w:val="20"/>
          <w:color w:val="auto"/>
        </w:rPr>
        <w:tab/>
      </w:r>
      <w:r>
        <w:rPr>
          <w:rFonts w:ascii="Arial" w:cs="Arial" w:eastAsia="Arial" w:hAnsi="Arial"/>
          <w:sz w:val="13"/>
          <w:szCs w:val="13"/>
          <w:b w:val="1"/>
          <w:bCs w:val="1"/>
          <w:color w:val="4800E6"/>
        </w:rPr>
        <w:t xml:space="preserve">LIVANOVA </w:t>
      </w:r>
      <w:r>
        <w:rPr>
          <w:rFonts w:ascii="Arial" w:cs="Arial" w:eastAsia="Arial" w:hAnsi="Arial"/>
          <w:sz w:val="13"/>
          <w:szCs w:val="13"/>
          <w:color w:val="000000"/>
        </w:rPr>
        <w:t>|</w:t>
      </w:r>
      <w:r>
        <w:rPr>
          <w:rFonts w:ascii="Arial" w:cs="Arial" w:eastAsia="Arial" w:hAnsi="Arial"/>
          <w:sz w:val="13"/>
          <w:szCs w:val="13"/>
          <w:b w:val="1"/>
          <w:bCs w:val="1"/>
          <w:color w:val="4800E6"/>
        </w:rPr>
        <w:t xml:space="preserve"> </w:t>
      </w:r>
      <w:r>
        <w:rPr>
          <w:rFonts w:ascii="Arial" w:cs="Arial" w:eastAsia="Arial" w:hAnsi="Arial"/>
          <w:sz w:val="13"/>
          <w:szCs w:val="13"/>
          <w:color w:val="4800E6"/>
        </w:rPr>
        <w:t>2020</w:t>
      </w:r>
      <w:r>
        <w:rPr>
          <w:rFonts w:ascii="Arial" w:cs="Arial" w:eastAsia="Arial" w:hAnsi="Arial"/>
          <w:sz w:val="13"/>
          <w:szCs w:val="13"/>
          <w:b w:val="1"/>
          <w:bCs w:val="1"/>
          <w:color w:val="4800E6"/>
        </w:rPr>
        <w:t xml:space="preserve"> </w:t>
      </w:r>
      <w:r>
        <w:rPr>
          <w:rFonts w:ascii="Arial" w:cs="Arial" w:eastAsia="Arial" w:hAnsi="Arial"/>
          <w:sz w:val="13"/>
          <w:szCs w:val="13"/>
          <w:color w:val="000000"/>
        </w:rPr>
        <w:t>Proxy Statement</w:t>
      </w:r>
      <w:r>
        <w:rPr>
          <w:sz w:val="20"/>
          <w:szCs w:val="20"/>
          <w:color w:val="auto"/>
        </w:rPr>
        <w:tab/>
      </w:r>
      <w:r>
        <w:rPr>
          <w:rFonts w:ascii="Arial" w:cs="Arial" w:eastAsia="Arial" w:hAnsi="Arial"/>
          <w:sz w:val="12"/>
          <w:szCs w:val="12"/>
          <w:b w:val="1"/>
          <w:bCs w:val="1"/>
          <w:color w:val="4800E6"/>
        </w:rPr>
        <w:t>www.livanova.com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639445</wp:posOffset>
            </wp:positionH>
            <wp:positionV relativeFrom="paragraph">
              <wp:posOffset>-2540</wp:posOffset>
            </wp:positionV>
            <wp:extent cx="1954530" cy="8890"/>
            <wp:wrapNone/>
            <wp:docPr id="416" name="Picture 4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6"/>
                    <pic:cNvPicPr>
                      <a:picLocks noChangeAspect="1" noChangeArrowheads="1"/>
                    </pic:cNvPicPr>
                  </pic:nvPicPr>
                  <pic:blipFill>
                    <a:blip r:embed="rId423">
                      <a:extLst>
                        <a:ext uri="{28A0092B-C50C-407E-A947-70E740481C1C}"/>
                      </a:extLst>
                    </a:blip>
                    <a:srcRect/>
                    <a:stretch>
                      <a:fillRect/>
                    </a:stretch>
                  </pic:blipFill>
                  <pic:spPr bwMode="auto">
                    <a:xfrm>
                      <a:off x="0" y="0"/>
                      <a:ext cx="1954530" cy="8890"/>
                    </a:xfrm>
                    <a:prstGeom prst="rect">
                      <a:avLst/>
                    </a:prstGeom>
                    <a:noFill/>
                  </pic:spPr>
                </pic:pic>
              </a:graphicData>
            </a:graphic>
          </wp:anchor>
        </w:drawing>
        <w:drawing>
          <wp:anchor simplePos="0" relativeHeight="251657728" behindDoc="1" locked="0" layoutInCell="0" allowOverlap="1">
            <wp:simplePos x="0" y="0"/>
            <wp:positionH relativeFrom="column">
              <wp:posOffset>4316730</wp:posOffset>
            </wp:positionH>
            <wp:positionV relativeFrom="paragraph">
              <wp:posOffset>-2540</wp:posOffset>
            </wp:positionV>
            <wp:extent cx="1028700" cy="8890"/>
            <wp:wrapNone/>
            <wp:docPr id="417" name="Picture 4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7"/>
                    <pic:cNvPicPr>
                      <a:picLocks noChangeAspect="1" noChangeArrowheads="1"/>
                    </pic:cNvPicPr>
                  </pic:nvPicPr>
                  <pic:blipFill>
                    <a:blip r:embed="rId424">
                      <a:extLst>
                        <a:ext uri="{28A0092B-C50C-407E-A947-70E740481C1C}"/>
                      </a:extLst>
                    </a:blip>
                    <a:srcRect/>
                    <a:stretch>
                      <a:fillRect/>
                    </a:stretch>
                  </pic:blipFill>
                  <pic:spPr bwMode="auto">
                    <a:xfrm>
                      <a:off x="0" y="0"/>
                      <a:ext cx="102870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125095</wp:posOffset>
            </wp:positionV>
            <wp:extent cx="6806565" cy="17145"/>
            <wp:wrapNone/>
            <wp:docPr id="418" name="Picture 4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8"/>
                    <pic:cNvPicPr>
                      <a:picLocks noChangeAspect="1" noChangeArrowheads="1"/>
                    </pic:cNvPicPr>
                  </pic:nvPicPr>
                  <pic:blipFill>
                    <a:blip r:embed="rId425">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10139"/>
          </w:cols>
          <w:pgMar w:left="320" w:top="131" w:right="1440" w:bottom="1440" w:gutter="0" w:footer="0" w:header="0"/>
          <w:type w:val="continuous"/>
        </w:sectPr>
      </w:pPr>
    </w:p>
    <w:bookmarkStart w:id="95" w:name="page96"/>
    <w:bookmarkEnd w:id="95"/>
    <w:p>
      <w:pPr>
        <w:spacing w:after="0"/>
        <w:rPr>
          <w:rFonts w:ascii="Arial" w:cs="Arial" w:eastAsia="Arial" w:hAnsi="Arial"/>
          <w:sz w:val="14"/>
          <w:szCs w:val="14"/>
          <w:color w:val="003366"/>
        </w:rPr>
      </w:pPr>
      <w:hyperlink w:anchor="page77">
        <w:r>
          <w:rPr>
            <w:rFonts w:ascii="Arial" w:cs="Arial" w:eastAsia="Arial" w:hAnsi="Arial"/>
            <w:sz w:val="14"/>
            <w:szCs w:val="14"/>
            <w:color w:val="003366"/>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485140</wp:posOffset>
            </wp:positionH>
            <wp:positionV relativeFrom="paragraph">
              <wp:posOffset>357505</wp:posOffset>
            </wp:positionV>
            <wp:extent cx="5829300" cy="8255"/>
            <wp:wrapNone/>
            <wp:docPr id="419" name="Picture 4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9"/>
                    <pic:cNvPicPr>
                      <a:picLocks noChangeAspect="1" noChangeArrowheads="1"/>
                    </pic:cNvPicPr>
                  </pic:nvPicPr>
                  <pic:blipFill>
                    <a:blip r:embed="rId426">
                      <a:extLst>
                        <a:ext uri="{28A0092B-C50C-407E-A947-70E740481C1C}"/>
                      </a:extLst>
                    </a:blip>
                    <a:srcRect/>
                    <a:stretch>
                      <a:fillRect/>
                    </a:stretch>
                  </pic:blipFill>
                  <pic:spPr bwMode="auto">
                    <a:xfrm>
                      <a:off x="0" y="0"/>
                      <a:ext cx="582930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ind w:left="2060" w:right="920"/>
        <w:spacing w:after="0" w:line="260" w:lineRule="auto"/>
        <w:rPr>
          <w:sz w:val="20"/>
          <w:szCs w:val="20"/>
          <w:color w:val="auto"/>
        </w:rPr>
      </w:pPr>
      <w:r>
        <w:rPr>
          <w:rFonts w:ascii="Arial" w:cs="Arial" w:eastAsia="Arial" w:hAnsi="Arial"/>
          <w:sz w:val="16"/>
          <w:szCs w:val="16"/>
          <w:color w:val="auto"/>
        </w:rPr>
        <w:t>address of any other member or Member Associated Person supporting the nominee for election or re-election as a Director or the proposal of other business on the date of such request.</w:t>
      </w:r>
    </w:p>
    <w:p>
      <w:pPr>
        <w:spacing w:after="0" w:line="54" w:lineRule="exact"/>
        <w:rPr>
          <w:sz w:val="20"/>
          <w:szCs w:val="20"/>
          <w:color w:val="auto"/>
        </w:rPr>
      </w:pPr>
    </w:p>
    <w:p>
      <w:pPr>
        <w:ind w:left="760"/>
        <w:spacing w:after="0"/>
        <w:rPr>
          <w:sz w:val="20"/>
          <w:szCs w:val="20"/>
          <w:color w:val="auto"/>
        </w:rPr>
      </w:pPr>
      <w:r>
        <w:rPr>
          <w:rFonts w:ascii="Arial" w:cs="Arial" w:eastAsia="Arial" w:hAnsi="Arial"/>
          <w:sz w:val="16"/>
          <w:szCs w:val="16"/>
          <w:color w:val="auto"/>
        </w:rPr>
        <w:t xml:space="preserve">20.2  For the purposes of Article 20, a </w:t>
      </w:r>
      <w:r>
        <w:rPr>
          <w:rFonts w:ascii="Arial" w:cs="Arial" w:eastAsia="Arial" w:hAnsi="Arial"/>
          <w:sz w:val="16"/>
          <w:szCs w:val="16"/>
          <w:u w:val="single" w:color="auto"/>
          <w:color w:val="auto"/>
        </w:rPr>
        <w:t>“</w:t>
      </w:r>
      <w:r>
        <w:rPr>
          <w:rFonts w:ascii="Arial" w:cs="Arial" w:eastAsia="Arial" w:hAnsi="Arial"/>
          <w:sz w:val="16"/>
          <w:szCs w:val="16"/>
          <w:b w:val="1"/>
          <w:bCs w:val="1"/>
          <w:color w:val="auto"/>
        </w:rPr>
        <w:t>Member Associated Person</w:t>
      </w:r>
      <w:r>
        <w:rPr>
          <w:rFonts w:ascii="Arial" w:cs="Arial" w:eastAsia="Arial" w:hAnsi="Arial"/>
          <w:sz w:val="16"/>
          <w:szCs w:val="16"/>
          <w:u w:val="single" w:color="auto"/>
          <w:color w:val="auto"/>
        </w:rPr>
        <w:t>”</w:t>
      </w:r>
      <w:r>
        <w:rPr>
          <w:rFonts w:ascii="Arial" w:cs="Arial" w:eastAsia="Arial" w:hAnsi="Arial"/>
          <w:sz w:val="16"/>
          <w:szCs w:val="16"/>
          <w:color w:val="auto"/>
        </w:rPr>
        <w:t xml:space="preserve"> of any member shall mean:</w:t>
      </w:r>
    </w:p>
    <w:p>
      <w:pPr>
        <w:spacing w:after="0" w:line="106" w:lineRule="exact"/>
        <w:rPr>
          <w:sz w:val="20"/>
          <w:szCs w:val="20"/>
          <w:color w:val="auto"/>
        </w:rPr>
      </w:pPr>
    </w:p>
    <w:p>
      <w:pPr>
        <w:ind w:left="1620" w:hanging="424"/>
        <w:spacing w:after="0"/>
        <w:tabs>
          <w:tab w:leader="none" w:pos="1620" w:val="left"/>
        </w:tabs>
        <w:numPr>
          <w:ilvl w:val="0"/>
          <w:numId w:val="137"/>
        </w:numPr>
        <w:rPr>
          <w:rFonts w:ascii="Arial" w:cs="Arial" w:eastAsia="Arial" w:hAnsi="Arial"/>
          <w:sz w:val="16"/>
          <w:szCs w:val="16"/>
          <w:u w:val="single" w:color="auto"/>
          <w:color w:val="auto"/>
        </w:rPr>
      </w:pPr>
      <w:r>
        <w:rPr>
          <w:rFonts w:ascii="Arial" w:cs="Arial" w:eastAsia="Arial" w:hAnsi="Arial"/>
          <w:sz w:val="16"/>
          <w:szCs w:val="16"/>
          <w:color w:val="auto"/>
        </w:rPr>
        <w:t xml:space="preserve">any person controlling, directly or indirectly, or acting </w:t>
      </w:r>
      <w:r>
        <w:rPr>
          <w:rFonts w:ascii="Arial" w:cs="Arial" w:eastAsia="Arial" w:hAnsi="Arial"/>
          <w:sz w:val="16"/>
          <w:szCs w:val="16"/>
          <w:color w:val="auto"/>
          <w:strike w:val="1"/>
        </w:rPr>
        <w:t>in concert</w:t>
      </w:r>
      <w:r>
        <w:rPr>
          <w:rFonts w:ascii="Arial" w:cs="Arial" w:eastAsia="Arial" w:hAnsi="Arial"/>
          <w:sz w:val="16"/>
          <w:szCs w:val="16"/>
          <w:u w:val="single" w:color="auto"/>
          <w:color w:val="auto"/>
        </w:rPr>
        <w:t>as a group</w:t>
      </w:r>
      <w:r>
        <w:rPr>
          <w:rFonts w:ascii="Arial" w:cs="Arial" w:eastAsia="Arial" w:hAnsi="Arial"/>
          <w:sz w:val="16"/>
          <w:szCs w:val="16"/>
          <w:color w:val="auto"/>
        </w:rPr>
        <w:t xml:space="preserve"> with, such member;</w:t>
      </w:r>
    </w:p>
    <w:p>
      <w:pPr>
        <w:spacing w:after="0" w:line="99" w:lineRule="exact"/>
        <w:rPr>
          <w:rFonts w:ascii="Arial" w:cs="Arial" w:eastAsia="Arial" w:hAnsi="Arial"/>
          <w:sz w:val="16"/>
          <w:szCs w:val="16"/>
          <w:u w:val="single" w:color="auto"/>
          <w:color w:val="auto"/>
        </w:rPr>
      </w:pPr>
    </w:p>
    <w:p>
      <w:pPr>
        <w:ind w:left="1620" w:hanging="424"/>
        <w:spacing w:after="0"/>
        <w:tabs>
          <w:tab w:leader="none" w:pos="1620" w:val="left"/>
        </w:tabs>
        <w:numPr>
          <w:ilvl w:val="0"/>
          <w:numId w:val="137"/>
        </w:numPr>
        <w:rPr>
          <w:rFonts w:ascii="Arial" w:cs="Arial" w:eastAsia="Arial" w:hAnsi="Arial"/>
          <w:sz w:val="16"/>
          <w:szCs w:val="16"/>
          <w:u w:val="single" w:color="auto"/>
          <w:color w:val="auto"/>
        </w:rPr>
      </w:pPr>
      <w:r>
        <w:rPr>
          <w:rFonts w:ascii="Arial" w:cs="Arial" w:eastAsia="Arial" w:hAnsi="Arial"/>
          <w:sz w:val="16"/>
          <w:szCs w:val="16"/>
          <w:color w:val="auto"/>
        </w:rPr>
        <w:t>any beneficial owner of shares in the capital of the Company owned of record or beneficially by such member; and</w:t>
      </w:r>
    </w:p>
    <w:p>
      <w:pPr>
        <w:spacing w:after="0" w:line="86" w:lineRule="exact"/>
        <w:rPr>
          <w:rFonts w:ascii="Arial" w:cs="Arial" w:eastAsia="Arial" w:hAnsi="Arial"/>
          <w:sz w:val="16"/>
          <w:szCs w:val="16"/>
          <w:u w:val="single" w:color="auto"/>
          <w:color w:val="auto"/>
        </w:rPr>
      </w:pPr>
    </w:p>
    <w:p>
      <w:pPr>
        <w:ind w:left="1620" w:hanging="424"/>
        <w:spacing w:after="0"/>
        <w:tabs>
          <w:tab w:leader="none" w:pos="1620" w:val="left"/>
        </w:tabs>
        <w:numPr>
          <w:ilvl w:val="0"/>
          <w:numId w:val="137"/>
        </w:numPr>
        <w:rPr>
          <w:rFonts w:ascii="Arial" w:cs="Arial" w:eastAsia="Arial" w:hAnsi="Arial"/>
          <w:sz w:val="16"/>
          <w:szCs w:val="16"/>
          <w:u w:val="single" w:color="auto"/>
          <w:color w:val="auto"/>
        </w:rPr>
      </w:pPr>
      <w:r>
        <w:rPr>
          <w:rFonts w:ascii="Arial" w:cs="Arial" w:eastAsia="Arial" w:hAnsi="Arial"/>
          <w:sz w:val="16"/>
          <w:szCs w:val="16"/>
          <w:color w:val="auto"/>
        </w:rPr>
        <w:t>any person controlling, controlled by or under common control with such Member Associated Person</w:t>
      </w:r>
      <w:r>
        <w:rPr>
          <w:rFonts w:ascii="Arial" w:cs="Arial" w:eastAsia="Arial" w:hAnsi="Arial"/>
          <w:sz w:val="16"/>
          <w:szCs w:val="16"/>
          <w:color w:val="auto"/>
          <w:strike w:val="1"/>
        </w:rPr>
        <w:t>.</w:t>
      </w:r>
      <w:r>
        <w:rPr>
          <w:rFonts w:ascii="Arial" w:cs="Arial" w:eastAsia="Arial" w:hAnsi="Arial"/>
          <w:sz w:val="16"/>
          <w:szCs w:val="16"/>
          <w:u w:val="single" w:color="auto"/>
          <w:color w:val="auto"/>
        </w:rPr>
        <w:t>,</w:t>
      </w:r>
    </w:p>
    <w:p>
      <w:pPr>
        <w:spacing w:after="0" w:line="80" w:lineRule="exact"/>
        <w:rPr>
          <w:sz w:val="20"/>
          <w:szCs w:val="20"/>
          <w:color w:val="auto"/>
        </w:rPr>
      </w:pPr>
    </w:p>
    <w:p>
      <w:pPr>
        <w:ind w:left="1200" w:right="980"/>
        <w:spacing w:after="0" w:line="266" w:lineRule="auto"/>
        <w:rPr>
          <w:sz w:val="20"/>
          <w:szCs w:val="20"/>
          <w:color w:val="auto"/>
        </w:rPr>
      </w:pPr>
      <w:r>
        <w:rPr>
          <w:rFonts w:ascii="Arial" w:cs="Arial" w:eastAsia="Arial" w:hAnsi="Arial"/>
          <w:sz w:val="16"/>
          <w:szCs w:val="16"/>
          <w:u w:val="single" w:color="auto"/>
          <w:color w:val="auto"/>
        </w:rPr>
        <w:t>with</w:t>
      </w:r>
      <w:r>
        <w:rPr>
          <w:rFonts w:ascii="Arial" w:cs="Arial" w:eastAsia="Arial" w:hAnsi="Arial"/>
          <w:sz w:val="16"/>
          <w:szCs w:val="16"/>
          <w:color w:val="auto"/>
        </w:rPr>
        <w:t xml:space="preserve"> “</w:t>
      </w:r>
      <w:r>
        <w:rPr>
          <w:rFonts w:ascii="Arial" w:cs="Arial" w:eastAsia="Arial" w:hAnsi="Arial"/>
          <w:sz w:val="16"/>
          <w:szCs w:val="16"/>
          <w:b w:val="1"/>
          <w:bCs w:val="1"/>
          <w:u w:val="single" w:color="auto"/>
          <w:color w:val="auto"/>
        </w:rPr>
        <w:t>control</w:t>
      </w:r>
      <w:r>
        <w:rPr>
          <w:rFonts w:ascii="Arial" w:cs="Arial" w:eastAsia="Arial" w:hAnsi="Arial"/>
          <w:sz w:val="16"/>
          <w:szCs w:val="16"/>
          <w:color w:val="auto"/>
        </w:rPr>
        <w:t xml:space="preserve">” </w:t>
      </w:r>
      <w:r>
        <w:rPr>
          <w:rFonts w:ascii="Arial" w:cs="Arial" w:eastAsia="Arial" w:hAnsi="Arial"/>
          <w:sz w:val="16"/>
          <w:szCs w:val="16"/>
          <w:u w:val="single" w:color="auto"/>
          <w:color w:val="auto"/>
        </w:rPr>
        <w:t>for these purposes being the possession, directly or indirectly of the power to direct or cause the direction of</w:t>
      </w:r>
      <w:r>
        <w:rPr>
          <w:rFonts w:ascii="Arial" w:cs="Arial" w:eastAsia="Arial" w:hAnsi="Arial"/>
          <w:sz w:val="16"/>
          <w:szCs w:val="16"/>
          <w:color w:val="auto"/>
        </w:rPr>
        <w:t xml:space="preserve"> </w:t>
      </w:r>
      <w:r>
        <w:rPr>
          <w:rFonts w:ascii="Arial" w:cs="Arial" w:eastAsia="Arial" w:hAnsi="Arial"/>
          <w:sz w:val="16"/>
          <w:szCs w:val="16"/>
          <w:u w:val="single" w:color="auto"/>
          <w:color w:val="auto"/>
        </w:rPr>
        <w:t xml:space="preserve">the management and policies of the relevant person, whether through the ownership of shares or otherwise, and </w:t>
      </w:r>
      <w:r>
        <w:rPr>
          <w:rFonts w:ascii="Arial" w:cs="Arial" w:eastAsia="Arial" w:hAnsi="Arial"/>
          <w:sz w:val="16"/>
          <w:szCs w:val="16"/>
          <w:color w:val="auto"/>
        </w:rPr>
        <w:t>“</w:t>
      </w:r>
      <w:r>
        <w:rPr>
          <w:rFonts w:ascii="Arial" w:cs="Arial" w:eastAsia="Arial" w:hAnsi="Arial"/>
          <w:sz w:val="16"/>
          <w:szCs w:val="16"/>
          <w:b w:val="1"/>
          <w:bCs w:val="1"/>
          <w:u w:val="single" w:color="auto"/>
          <w:color w:val="auto"/>
        </w:rPr>
        <w:t>controlling</w:t>
      </w:r>
      <w:r>
        <w:rPr>
          <w:rFonts w:ascii="Arial" w:cs="Arial" w:eastAsia="Arial" w:hAnsi="Arial"/>
          <w:sz w:val="16"/>
          <w:szCs w:val="16"/>
          <w:color w:val="auto"/>
        </w:rPr>
        <w:t xml:space="preserve">” </w:t>
      </w:r>
      <w:r>
        <w:rPr>
          <w:rFonts w:ascii="Arial" w:cs="Arial" w:eastAsia="Arial" w:hAnsi="Arial"/>
          <w:sz w:val="16"/>
          <w:szCs w:val="16"/>
          <w:u w:val="single" w:color="auto"/>
          <w:color w:val="auto"/>
        </w:rPr>
        <w:t>and</w:t>
      </w:r>
      <w:r>
        <w:rPr>
          <w:rFonts w:ascii="Arial" w:cs="Arial" w:eastAsia="Arial" w:hAnsi="Arial"/>
          <w:sz w:val="16"/>
          <w:szCs w:val="16"/>
          <w:color w:val="auto"/>
        </w:rPr>
        <w:t xml:space="preserve"> “</w:t>
      </w:r>
      <w:r>
        <w:rPr>
          <w:rFonts w:ascii="Arial" w:cs="Arial" w:eastAsia="Arial" w:hAnsi="Arial"/>
          <w:sz w:val="16"/>
          <w:szCs w:val="16"/>
          <w:b w:val="1"/>
          <w:bCs w:val="1"/>
          <w:u w:val="single" w:color="auto"/>
          <w:color w:val="auto"/>
        </w:rPr>
        <w:t>controlled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having a correlative meaning.</w:t>
      </w:r>
    </w:p>
    <w:p>
      <w:pPr>
        <w:spacing w:after="0" w:line="56" w:lineRule="exact"/>
        <w:rPr>
          <w:sz w:val="20"/>
          <w:szCs w:val="20"/>
          <w:color w:val="auto"/>
        </w:rPr>
      </w:pPr>
    </w:p>
    <w:p>
      <w:pPr>
        <w:ind w:left="1200" w:right="780" w:hanging="431"/>
        <w:spacing w:after="0" w:line="248" w:lineRule="auto"/>
        <w:rPr>
          <w:sz w:val="20"/>
          <w:szCs w:val="20"/>
          <w:color w:val="auto"/>
        </w:rPr>
      </w:pPr>
      <w:r>
        <w:rPr>
          <w:rFonts w:ascii="Arial" w:cs="Arial" w:eastAsia="Arial" w:hAnsi="Arial"/>
          <w:sz w:val="16"/>
          <w:szCs w:val="16"/>
          <w:color w:val="auto"/>
        </w:rPr>
        <w:t>20.3 If a request made in accordance with Article 20.1 does not include the information specified in that Article, or if a request made in accordance with Article 20.1 is not received in the time and manner required by Article 20.4, in respect of such shares which the relevant member(s) hold which are owned beneficially by such member(s) and the Member Associated Persons, if any, on whose behalf the nomination or proposal is made (the “</w:t>
      </w:r>
      <w:r>
        <w:rPr>
          <w:rFonts w:ascii="Arial" w:cs="Arial" w:eastAsia="Arial" w:hAnsi="Arial"/>
          <w:sz w:val="16"/>
          <w:szCs w:val="16"/>
          <w:b w:val="1"/>
          <w:bCs w:val="1"/>
          <w:color w:val="auto"/>
        </w:rPr>
        <w:t>member default shares</w:t>
      </w:r>
      <w:r>
        <w:rPr>
          <w:rFonts w:ascii="Arial" w:cs="Arial" w:eastAsia="Arial" w:hAnsi="Arial"/>
          <w:sz w:val="16"/>
          <w:szCs w:val="16"/>
          <w:color w:val="auto"/>
        </w:rPr>
        <w:t>”) the relevant member(s) shall not be entitled to vote, either personally or by proxy at a general meeting or at a separate meeting of the holders of that class of shares (or at an adjournment of any such meeting), the member default shares with respect to the matters detailed in the request made in accordance with Article 20.1.</w:t>
      </w:r>
    </w:p>
    <w:p>
      <w:pPr>
        <w:spacing w:after="0" w:line="87" w:lineRule="exact"/>
        <w:rPr>
          <w:sz w:val="20"/>
          <w:szCs w:val="20"/>
          <w:color w:val="auto"/>
        </w:rPr>
      </w:pPr>
    </w:p>
    <w:p>
      <w:pPr>
        <w:ind w:left="1200" w:right="840" w:hanging="431"/>
        <w:spacing w:after="0" w:line="221" w:lineRule="auto"/>
        <w:rPr>
          <w:sz w:val="20"/>
          <w:szCs w:val="20"/>
          <w:color w:val="auto"/>
        </w:rPr>
      </w:pPr>
      <w:r>
        <w:rPr>
          <w:rFonts w:ascii="Arial" w:cs="Arial" w:eastAsia="Arial" w:hAnsi="Arial"/>
          <w:sz w:val="16"/>
          <w:szCs w:val="16"/>
          <w:color w:val="auto"/>
        </w:rPr>
        <w:t>20.4 Without prejudice to the rights of any member under the Companies Act, a member who makes a request to which Article 20.1 relates, must deliver any such request in writing to the secretary at the Office not earlier than the close of business on the one hundred and twentieth (</w:t>
      </w:r>
      <w:r>
        <w:rPr>
          <w:rFonts w:ascii="Arial" w:cs="Arial" w:eastAsia="Arial" w:hAnsi="Arial"/>
          <w:sz w:val="16"/>
          <w:szCs w:val="16"/>
          <w:color w:val="auto"/>
          <w:strike w:val="1"/>
        </w:rPr>
        <w:t>120</w:t>
      </w:r>
      <w:r>
        <w:rPr>
          <w:rFonts w:ascii="Arial" w:cs="Arial" w:eastAsia="Arial" w:hAnsi="Arial"/>
          <w:sz w:val="16"/>
          <w:szCs w:val="16"/>
          <w:u w:val="single" w:color="auto"/>
          <w:color w:val="auto"/>
        </w:rPr>
        <w:t>120</w:t>
      </w:r>
      <w:r>
        <w:rPr>
          <w:rFonts w:ascii="Arial" w:cs="Arial" w:eastAsia="Arial" w:hAnsi="Arial"/>
          <w:sz w:val="25"/>
          <w:szCs w:val="25"/>
          <w:u w:val="single" w:color="auto"/>
          <w:color w:val="auto"/>
          <w:vertAlign w:val="superscript"/>
        </w:rPr>
        <w:t>th</w:t>
      </w:r>
      <w:r>
        <w:rPr>
          <w:rFonts w:ascii="Arial" w:cs="Arial" w:eastAsia="Arial" w:hAnsi="Arial"/>
          <w:sz w:val="16"/>
          <w:szCs w:val="16"/>
          <w:color w:val="auto"/>
        </w:rPr>
        <w:t>) calendar day nor later than the close of business on the ninetieth (</w:t>
      </w:r>
      <w:r>
        <w:rPr>
          <w:rFonts w:ascii="Arial" w:cs="Arial" w:eastAsia="Arial" w:hAnsi="Arial"/>
          <w:sz w:val="16"/>
          <w:szCs w:val="16"/>
          <w:color w:val="auto"/>
          <w:strike w:val="1"/>
        </w:rPr>
        <w:t>90</w:t>
      </w:r>
      <w:r>
        <w:rPr>
          <w:rFonts w:ascii="Arial" w:cs="Arial" w:eastAsia="Arial" w:hAnsi="Arial"/>
          <w:sz w:val="16"/>
          <w:szCs w:val="16"/>
          <w:u w:val="single" w:color="auto"/>
          <w:color w:val="auto"/>
        </w:rPr>
        <w:t>90</w:t>
      </w:r>
      <w:r>
        <w:rPr>
          <w:rFonts w:ascii="Arial" w:cs="Arial" w:eastAsia="Arial" w:hAnsi="Arial"/>
          <w:sz w:val="25"/>
          <w:szCs w:val="25"/>
          <w:u w:val="single" w:color="auto"/>
          <w:color w:val="auto"/>
          <w:vertAlign w:val="superscript"/>
        </w:rPr>
        <w:t>th</w:t>
      </w:r>
      <w:r>
        <w:rPr>
          <w:rFonts w:ascii="Arial" w:cs="Arial" w:eastAsia="Arial" w:hAnsi="Arial"/>
          <w:sz w:val="16"/>
          <w:szCs w:val="16"/>
          <w:color w:val="auto"/>
        </w:rPr>
        <w:t>) calendar day prior to the date of the first anniversary of the preceding year’s annual general meeting provided, however, that in the event that the date of an annual general meeting is more than thirty (30) calendar days before or more than sixty (60) calendar days after the date of the first anniversary of the preceding year’s annual general meeting, notice by the member must be so delivered in writing not earlier than the close of business on the one hundred and twentieth (</w:t>
      </w:r>
      <w:r>
        <w:rPr>
          <w:rFonts w:ascii="Arial" w:cs="Arial" w:eastAsia="Arial" w:hAnsi="Arial"/>
          <w:sz w:val="16"/>
          <w:szCs w:val="16"/>
          <w:color w:val="auto"/>
          <w:strike w:val="1"/>
        </w:rPr>
        <w:t>120</w:t>
      </w:r>
      <w:r>
        <w:rPr>
          <w:rFonts w:ascii="Arial" w:cs="Arial" w:eastAsia="Arial" w:hAnsi="Arial"/>
          <w:sz w:val="16"/>
          <w:szCs w:val="16"/>
          <w:u w:val="single" w:color="auto"/>
          <w:color w:val="auto"/>
        </w:rPr>
        <w:t>120</w:t>
      </w:r>
      <w:r>
        <w:rPr>
          <w:rFonts w:ascii="Arial" w:cs="Arial" w:eastAsia="Arial" w:hAnsi="Arial"/>
          <w:sz w:val="25"/>
          <w:szCs w:val="25"/>
          <w:u w:val="single" w:color="auto"/>
          <w:color w:val="auto"/>
          <w:vertAlign w:val="superscript"/>
        </w:rPr>
        <w:t>th</w:t>
      </w:r>
      <w:r>
        <w:rPr>
          <w:rFonts w:ascii="Arial" w:cs="Arial" w:eastAsia="Arial" w:hAnsi="Arial"/>
          <w:sz w:val="16"/>
          <w:szCs w:val="16"/>
          <w:color w:val="auto"/>
        </w:rPr>
        <w:t>) calendar day prior to such annual general meeting and not later than the close of business on the later of (i) the ninetieth (</w:t>
      </w:r>
      <w:r>
        <w:rPr>
          <w:rFonts w:ascii="Arial" w:cs="Arial" w:eastAsia="Arial" w:hAnsi="Arial"/>
          <w:sz w:val="16"/>
          <w:szCs w:val="16"/>
          <w:color w:val="auto"/>
          <w:strike w:val="1"/>
        </w:rPr>
        <w:t>90</w:t>
      </w:r>
      <w:r>
        <w:rPr>
          <w:rFonts w:ascii="Arial" w:cs="Arial" w:eastAsia="Arial" w:hAnsi="Arial"/>
          <w:sz w:val="16"/>
          <w:szCs w:val="16"/>
          <w:u w:val="single" w:color="auto"/>
          <w:color w:val="auto"/>
        </w:rPr>
        <w:t>90</w:t>
      </w:r>
      <w:r>
        <w:rPr>
          <w:rFonts w:ascii="Arial" w:cs="Arial" w:eastAsia="Arial" w:hAnsi="Arial"/>
          <w:sz w:val="25"/>
          <w:szCs w:val="25"/>
          <w:u w:val="single" w:color="auto"/>
          <w:color w:val="auto"/>
          <w:vertAlign w:val="superscript"/>
        </w:rPr>
        <w:t>th</w:t>
      </w:r>
      <w:r>
        <w:rPr>
          <w:rFonts w:ascii="Arial" w:cs="Arial" w:eastAsia="Arial" w:hAnsi="Arial"/>
          <w:sz w:val="16"/>
          <w:szCs w:val="16"/>
          <w:color w:val="auto"/>
        </w:rPr>
        <w:t xml:space="preserve">) calendar day prior to such annual general meeting and (ii) the </w:t>
      </w:r>
      <w:r>
        <w:rPr>
          <w:rFonts w:ascii="Arial" w:cs="Arial" w:eastAsia="Arial" w:hAnsi="Arial"/>
          <w:sz w:val="16"/>
          <w:szCs w:val="16"/>
          <w:color w:val="auto"/>
          <w:strike w:val="1"/>
        </w:rPr>
        <w:t>10</w:t>
      </w:r>
      <w:r>
        <w:rPr>
          <w:rFonts w:ascii="Arial" w:cs="Arial" w:eastAsia="Arial" w:hAnsi="Arial"/>
          <w:sz w:val="16"/>
          <w:szCs w:val="16"/>
          <w:u w:val="single" w:color="auto"/>
          <w:color w:val="auto"/>
        </w:rPr>
        <w:t>tenth (10</w:t>
      </w:r>
      <w:r>
        <w:rPr>
          <w:rFonts w:ascii="Arial" w:cs="Arial" w:eastAsia="Arial" w:hAnsi="Arial"/>
          <w:sz w:val="25"/>
          <w:szCs w:val="25"/>
          <w:u w:val="single" w:color="auto"/>
          <w:color w:val="auto"/>
          <w:vertAlign w:val="superscript"/>
        </w:rPr>
        <w:t>th</w:t>
      </w:r>
      <w:r>
        <w:rPr>
          <w:rFonts w:ascii="Arial" w:cs="Arial" w:eastAsia="Arial" w:hAnsi="Arial"/>
          <w:sz w:val="16"/>
          <w:szCs w:val="16"/>
          <w:u w:val="single" w:color="auto"/>
          <w:color w:val="auto"/>
        </w:rPr>
        <w:t>)</w:t>
      </w:r>
      <w:r>
        <w:rPr>
          <w:rFonts w:ascii="Arial" w:cs="Arial" w:eastAsia="Arial" w:hAnsi="Arial"/>
          <w:sz w:val="16"/>
          <w:szCs w:val="16"/>
          <w:color w:val="auto"/>
        </w:rPr>
        <w:t xml:space="preserve"> calendar day after the day on which public announcement of the date of such annual general meeting is first made by the Company. In no event shall any adjournment or postponement of an annual general meeting or the public announcement thereof commence a new time period for the giving of a member’s notice as described in this Article 20.4.</w:t>
      </w:r>
    </w:p>
    <w:p>
      <w:pPr>
        <w:spacing w:after="0" w:line="84" w:lineRule="exact"/>
        <w:rPr>
          <w:sz w:val="20"/>
          <w:szCs w:val="20"/>
          <w:color w:val="auto"/>
        </w:rPr>
      </w:pPr>
    </w:p>
    <w:p>
      <w:pPr>
        <w:ind w:left="1200" w:right="840"/>
        <w:spacing w:after="0" w:line="254" w:lineRule="auto"/>
        <w:rPr>
          <w:sz w:val="20"/>
          <w:szCs w:val="20"/>
          <w:color w:val="auto"/>
        </w:rPr>
      </w:pPr>
      <w:r>
        <w:rPr>
          <w:rFonts w:ascii="Arial" w:cs="Arial" w:eastAsia="Arial" w:hAnsi="Arial"/>
          <w:sz w:val="15"/>
          <w:szCs w:val="15"/>
          <w:color w:val="auto"/>
        </w:rPr>
        <w:t xml:space="preserve">Notwithstanding anything in the foregoing provisions of this Article 20.4 to the contrary, in the event that the number of Directors to be elected to the Board is increased and there is no public announcement, naming all of the nominees for Director or specifying the size of the increased Board, made by the Company at least one hundred (100) calendar days prior to the date of the first anniversary of the preceding year’s annual general meeting </w:t>
      </w:r>
      <w:r>
        <w:rPr>
          <w:rFonts w:ascii="Arial" w:cs="Arial" w:eastAsia="Arial" w:hAnsi="Arial"/>
          <w:sz w:val="15"/>
          <w:szCs w:val="15"/>
          <w:color w:val="auto"/>
          <w:strike w:val="1"/>
        </w:rPr>
        <w:t>or</w:t>
      </w:r>
      <w:r>
        <w:rPr>
          <w:rFonts w:ascii="Arial" w:cs="Arial" w:eastAsia="Arial" w:hAnsi="Arial"/>
          <w:sz w:val="15"/>
          <w:szCs w:val="15"/>
          <w:color w:val="auto"/>
        </w:rPr>
        <w:t>, a member’s notice required by this Article 20.4 shall also be considered as validly delivered in accordance with this Article 20.4, but only with respect to nominees for any new positions created by such increase, if it shall be delivered to the secretary at the Office not later than</w:t>
      </w:r>
    </w:p>
    <w:p>
      <w:pPr>
        <w:spacing w:after="0" w:line="4" w:lineRule="exact"/>
        <w:rPr>
          <w:sz w:val="20"/>
          <w:szCs w:val="20"/>
          <w:color w:val="auto"/>
        </w:rPr>
      </w:pPr>
    </w:p>
    <w:p>
      <w:pPr>
        <w:ind w:left="1200" w:right="820"/>
        <w:spacing w:after="0" w:line="219" w:lineRule="auto"/>
        <w:rPr>
          <w:sz w:val="20"/>
          <w:szCs w:val="20"/>
          <w:color w:val="auto"/>
        </w:rPr>
      </w:pPr>
      <w:r>
        <w:rPr>
          <w:rFonts w:ascii="Arial" w:cs="Arial" w:eastAsia="Arial" w:hAnsi="Arial"/>
          <w:sz w:val="16"/>
          <w:szCs w:val="16"/>
          <w:color w:val="auto"/>
        </w:rPr>
        <w:t>5.00 pm, local time, on the tenth (</w:t>
      </w:r>
      <w:r>
        <w:rPr>
          <w:rFonts w:ascii="Arial" w:cs="Arial" w:eastAsia="Arial" w:hAnsi="Arial"/>
          <w:sz w:val="16"/>
          <w:szCs w:val="16"/>
          <w:color w:val="auto"/>
          <w:strike w:val="1"/>
        </w:rPr>
        <w:t>10</w:t>
      </w:r>
      <w:r>
        <w:rPr>
          <w:rFonts w:ascii="Arial" w:cs="Arial" w:eastAsia="Arial" w:hAnsi="Arial"/>
          <w:sz w:val="16"/>
          <w:szCs w:val="16"/>
          <w:u w:val="single" w:color="auto"/>
          <w:color w:val="auto"/>
        </w:rPr>
        <w:t>10</w:t>
      </w:r>
      <w:r>
        <w:rPr>
          <w:rFonts w:ascii="Arial" w:cs="Arial" w:eastAsia="Arial" w:hAnsi="Arial"/>
          <w:sz w:val="25"/>
          <w:szCs w:val="25"/>
          <w:u w:val="single" w:color="auto"/>
          <w:color w:val="auto"/>
          <w:vertAlign w:val="superscript"/>
        </w:rPr>
        <w:t>th</w:t>
      </w:r>
      <w:r>
        <w:rPr>
          <w:rFonts w:ascii="Arial" w:cs="Arial" w:eastAsia="Arial" w:hAnsi="Arial"/>
          <w:sz w:val="16"/>
          <w:szCs w:val="16"/>
          <w:color w:val="auto"/>
        </w:rPr>
        <w:t>) calendar day after the day on which such public announcement is first made by the Company.</w:t>
      </w:r>
    </w:p>
    <w:p>
      <w:pPr>
        <w:spacing w:after="0" w:line="91" w:lineRule="exact"/>
        <w:rPr>
          <w:sz w:val="20"/>
          <w:szCs w:val="20"/>
          <w:color w:val="auto"/>
        </w:rPr>
      </w:pPr>
    </w:p>
    <w:p>
      <w:pPr>
        <w:ind w:left="1200" w:right="920"/>
        <w:spacing w:after="0" w:line="249" w:lineRule="auto"/>
        <w:rPr>
          <w:sz w:val="20"/>
          <w:szCs w:val="20"/>
          <w:color w:val="auto"/>
        </w:rPr>
      </w:pPr>
      <w:r>
        <w:rPr>
          <w:rFonts w:ascii="Arial" w:cs="Arial" w:eastAsia="Arial" w:hAnsi="Arial"/>
          <w:sz w:val="16"/>
          <w:szCs w:val="16"/>
          <w:color w:val="auto"/>
        </w:rPr>
        <w:t>Notwithstanding the provisions of Articles 20.1 or 20.3 or the foregoing provisions of this Article 20.4, a member shall also comply with all applicable requirements of the Companies Act and of the Exchange Act with respect to the matters set forth in Articles 20.1 or 20.3 or in this Article 20.4. Nothing in Article 20.1 or 20.3 or in this Article 20.4 shall be deemed to affect any rights of members to request inclusion of proposals in, nor the right of the Company to omit proposals from, the Company’s proxy statement pursuant to Rule 14a-8 (or any successor provision) under the Exchange Act, subject in each case to compliance with the Exchange Act.</w:t>
      </w:r>
    </w:p>
    <w:p>
      <w:pPr>
        <w:spacing w:after="0" w:line="50" w:lineRule="exact"/>
        <w:rPr>
          <w:sz w:val="20"/>
          <w:szCs w:val="20"/>
          <w:color w:val="auto"/>
        </w:rPr>
      </w:pPr>
    </w:p>
    <w:p>
      <w:pPr>
        <w:ind w:left="1200" w:hanging="436"/>
        <w:spacing w:after="0"/>
        <w:tabs>
          <w:tab w:leader="none" w:pos="1200" w:val="left"/>
        </w:tabs>
        <w:numPr>
          <w:ilvl w:val="0"/>
          <w:numId w:val="138"/>
        </w:numPr>
        <w:rPr>
          <w:rFonts w:ascii="Arial" w:cs="Arial" w:eastAsia="Arial" w:hAnsi="Arial"/>
          <w:sz w:val="16"/>
          <w:szCs w:val="16"/>
          <w:b w:val="1"/>
          <w:bCs w:val="1"/>
          <w:color w:val="auto"/>
        </w:rPr>
      </w:pPr>
      <w:r>
        <w:rPr>
          <w:rFonts w:ascii="Arial" w:cs="Arial" w:eastAsia="Arial" w:hAnsi="Arial"/>
          <w:sz w:val="16"/>
          <w:szCs w:val="16"/>
          <w:b w:val="1"/>
          <w:bCs w:val="1"/>
          <w:color w:val="auto"/>
        </w:rPr>
        <w:t>VOTES OF MEMBERS</w:t>
      </w:r>
    </w:p>
    <w:p>
      <w:pPr>
        <w:spacing w:after="0" w:line="120" w:lineRule="exact"/>
        <w:rPr>
          <w:sz w:val="20"/>
          <w:szCs w:val="20"/>
          <w:color w:val="auto"/>
        </w:rPr>
      </w:pPr>
    </w:p>
    <w:p>
      <w:pPr>
        <w:ind w:left="1200" w:right="940" w:hanging="431"/>
        <w:spacing w:after="0" w:line="260" w:lineRule="auto"/>
        <w:rPr>
          <w:sz w:val="20"/>
          <w:szCs w:val="20"/>
          <w:color w:val="auto"/>
        </w:rPr>
      </w:pPr>
      <w:r>
        <w:rPr>
          <w:rFonts w:ascii="Arial" w:cs="Arial" w:eastAsia="Arial" w:hAnsi="Arial"/>
          <w:sz w:val="16"/>
          <w:szCs w:val="16"/>
          <w:color w:val="auto"/>
        </w:rPr>
        <w:t>21.1 A resolution put to the vote of a general meeting must be taken on a poll. This Article 21.1 may only be removed, amended or varied by resolution of the members passed unanimously at a general meeting of the Company.</w:t>
      </w:r>
    </w:p>
    <w:p>
      <w:pPr>
        <w:spacing w:after="0" w:line="74" w:lineRule="exact"/>
        <w:rPr>
          <w:sz w:val="20"/>
          <w:szCs w:val="20"/>
          <w:color w:val="auto"/>
        </w:rPr>
      </w:pPr>
    </w:p>
    <w:p>
      <w:pPr>
        <w:ind w:left="1200" w:right="820" w:hanging="431"/>
        <w:spacing w:after="0" w:line="253" w:lineRule="auto"/>
        <w:rPr>
          <w:sz w:val="20"/>
          <w:szCs w:val="20"/>
          <w:color w:val="auto"/>
        </w:rPr>
      </w:pPr>
      <w:r>
        <w:rPr>
          <w:rFonts w:ascii="Arial" w:cs="Arial" w:eastAsia="Arial" w:hAnsi="Arial"/>
          <w:sz w:val="16"/>
          <w:szCs w:val="16"/>
          <w:color w:val="auto"/>
        </w:rPr>
        <w:t xml:space="preserve">21.2 Subject to any relevant special rights or restrictions attached to any shares (including, for the avoidance of doubt, such rights and restrictions set out in Article </w:t>
      </w:r>
      <w:r>
        <w:rPr>
          <w:rFonts w:ascii="Arial" w:cs="Arial" w:eastAsia="Arial" w:hAnsi="Arial"/>
          <w:sz w:val="16"/>
          <w:szCs w:val="16"/>
          <w:color w:val="auto"/>
          <w:strike w:val="1"/>
        </w:rPr>
        <w:t>4.1</w:t>
      </w:r>
      <w:r>
        <w:rPr>
          <w:rFonts w:ascii="Arial" w:cs="Arial" w:eastAsia="Arial" w:hAnsi="Arial"/>
          <w:sz w:val="16"/>
          <w:szCs w:val="16"/>
          <w:color w:val="auto"/>
        </w:rPr>
        <w:t xml:space="preserve"> </w:t>
      </w:r>
      <w:r>
        <w:rPr>
          <w:rFonts w:ascii="Arial" w:cs="Arial" w:eastAsia="Arial" w:hAnsi="Arial"/>
          <w:sz w:val="16"/>
          <w:szCs w:val="16"/>
          <w:u w:val="single" w:color="auto"/>
          <w:color w:val="auto"/>
        </w:rPr>
        <w:t>4.2</w:t>
      </w:r>
      <w:r>
        <w:rPr>
          <w:rFonts w:ascii="Arial" w:cs="Arial" w:eastAsia="Arial" w:hAnsi="Arial"/>
          <w:sz w:val="16"/>
          <w:szCs w:val="16"/>
          <w:color w:val="auto"/>
        </w:rPr>
        <w:t xml:space="preserve"> above), on a poll taken at a meeting, every </w:t>
      </w:r>
      <w:r>
        <w:rPr>
          <w:rFonts w:ascii="Arial" w:cs="Arial" w:eastAsia="Arial" w:hAnsi="Arial"/>
          <w:sz w:val="16"/>
          <w:szCs w:val="16"/>
          <w:color w:val="auto"/>
          <w:strike w:val="1"/>
        </w:rPr>
        <w:t>qualifying</w:t>
      </w:r>
      <w:r>
        <w:rPr>
          <w:rFonts w:ascii="Arial" w:cs="Arial" w:eastAsia="Arial" w:hAnsi="Arial"/>
          <w:sz w:val="16"/>
          <w:szCs w:val="16"/>
          <w:color w:val="auto"/>
        </w:rPr>
        <w:t xml:space="preserve"> member present and entitled to vote on the resolution has one vote in respect of each Ordinary Share.</w:t>
      </w:r>
    </w:p>
    <w:p>
      <w:pPr>
        <w:spacing w:after="0" w:line="66" w:lineRule="exact"/>
        <w:rPr>
          <w:sz w:val="20"/>
          <w:szCs w:val="20"/>
          <w:color w:val="auto"/>
        </w:rPr>
      </w:pPr>
    </w:p>
    <w:p>
      <w:pPr>
        <w:ind w:left="1200" w:right="960" w:hanging="431"/>
        <w:spacing w:after="0" w:line="253" w:lineRule="auto"/>
        <w:rPr>
          <w:sz w:val="20"/>
          <w:szCs w:val="20"/>
          <w:color w:val="auto"/>
        </w:rPr>
      </w:pPr>
      <w:r>
        <w:rPr>
          <w:rFonts w:ascii="Arial" w:cs="Arial" w:eastAsia="Arial" w:hAnsi="Arial"/>
          <w:sz w:val="16"/>
          <w:szCs w:val="16"/>
          <w:color w:val="auto"/>
        </w:rPr>
        <w:t xml:space="preserve">21.3 In the case of joint holders the vote of the senior who tenders a vote shall be accepted to the exclusion of the votes of the other joint holders, and seniority shall be determined by the order in which the names of the holders stand in the register </w:t>
      </w:r>
      <w:r>
        <w:rPr>
          <w:rFonts w:ascii="Arial" w:cs="Arial" w:eastAsia="Arial" w:hAnsi="Arial"/>
          <w:sz w:val="16"/>
          <w:szCs w:val="16"/>
          <w:color w:val="auto"/>
          <w:strike w:val="1"/>
        </w:rPr>
        <w:t>of</w:t>
      </w:r>
      <w:r>
        <w:rPr>
          <w:rFonts w:ascii="Arial" w:cs="Arial" w:eastAsia="Arial" w:hAnsi="Arial"/>
          <w:sz w:val="16"/>
          <w:szCs w:val="16"/>
          <w:color w:val="auto"/>
        </w:rPr>
        <w:t xml:space="preserve"> </w:t>
      </w:r>
      <w:r>
        <w:rPr>
          <w:rFonts w:ascii="Arial" w:cs="Arial" w:eastAsia="Arial" w:hAnsi="Arial"/>
          <w:sz w:val="16"/>
          <w:szCs w:val="16"/>
          <w:color w:val="auto"/>
          <w:strike w:val="1"/>
        </w:rPr>
        <w:t>members</w:t>
      </w:r>
      <w:r>
        <w:rPr>
          <w:rFonts w:ascii="Arial" w:cs="Arial" w:eastAsia="Arial" w:hAnsi="Arial"/>
          <w:sz w:val="16"/>
          <w:szCs w:val="16"/>
          <w:color w:val="auto"/>
        </w:rPr>
        <w:t>.</w:t>
      </w:r>
    </w:p>
    <w:p>
      <w:pPr>
        <w:spacing w:after="0" w:line="80" w:lineRule="exact"/>
        <w:rPr>
          <w:sz w:val="20"/>
          <w:szCs w:val="20"/>
          <w:color w:val="auto"/>
        </w:rPr>
      </w:pPr>
    </w:p>
    <w:p>
      <w:pPr>
        <w:ind w:left="1200" w:right="980" w:hanging="431"/>
        <w:spacing w:after="0" w:line="293" w:lineRule="auto"/>
        <w:rPr>
          <w:sz w:val="20"/>
          <w:szCs w:val="20"/>
          <w:color w:val="auto"/>
        </w:rPr>
      </w:pPr>
      <w:r>
        <w:rPr>
          <w:rFonts w:ascii="Arial" w:cs="Arial" w:eastAsia="Arial" w:hAnsi="Arial"/>
          <w:sz w:val="15"/>
          <w:szCs w:val="15"/>
          <w:color w:val="auto"/>
        </w:rPr>
        <w:t xml:space="preserve">21.4 A member in respect of whom an order has been made by any court or official having jurisdiction (whether in the United Kingdom or elsewhere) in matters concerning mental disorder may vote by any person authorised </w:t>
      </w:r>
      <w:r>
        <w:rPr>
          <w:rFonts w:ascii="Arial" w:cs="Arial" w:eastAsia="Arial" w:hAnsi="Arial"/>
          <w:sz w:val="15"/>
          <w:szCs w:val="15"/>
          <w:color w:val="auto"/>
          <w:strike w:val="1"/>
        </w:rPr>
        <w:t>in</w:t>
      </w:r>
      <w:r>
        <w:rPr>
          <w:rFonts w:ascii="Arial" w:cs="Arial" w:eastAsia="Arial" w:hAnsi="Arial"/>
          <w:sz w:val="15"/>
          <w:szCs w:val="15"/>
          <w:u w:val="single" w:color="auto"/>
          <w:color w:val="auto"/>
        </w:rPr>
        <w:t>for</w:t>
      </w:r>
      <w:r>
        <w:rPr>
          <w:rFonts w:ascii="Arial" w:cs="Arial" w:eastAsia="Arial" w:hAnsi="Arial"/>
          <w:sz w:val="15"/>
          <w:szCs w:val="15"/>
          <w:color w:val="auto"/>
        </w:rPr>
        <w:t xml:space="preserve"> that </w:t>
      </w:r>
      <w:r>
        <w:rPr>
          <w:rFonts w:ascii="Arial" w:cs="Arial" w:eastAsia="Arial" w:hAnsi="Arial"/>
          <w:sz w:val="15"/>
          <w:szCs w:val="15"/>
          <w:color w:val="auto"/>
          <w:strike w:val="1"/>
        </w:rPr>
        <w:t>behalf</w:t>
      </w:r>
      <w:r>
        <w:rPr>
          <w:rFonts w:ascii="Arial" w:cs="Arial" w:eastAsia="Arial" w:hAnsi="Arial"/>
          <w:sz w:val="15"/>
          <w:szCs w:val="15"/>
          <w:u w:val="single" w:color="auto"/>
          <w:color w:val="auto"/>
        </w:rPr>
        <w:t>purpose</w:t>
      </w:r>
    </w:p>
    <w:p>
      <w:pPr>
        <w:spacing w:after="0" w:line="257" w:lineRule="exact"/>
        <w:rPr>
          <w:sz w:val="20"/>
          <w:szCs w:val="20"/>
          <w:color w:val="auto"/>
        </w:rPr>
      </w:pPr>
    </w:p>
    <w:tbl>
      <w:tblPr>
        <w:tblLayout w:type="fixed"/>
        <w:tblInd w:w="0" w:type="dxa"/>
        <w:tblCellMar>
          <w:top w:w="0" w:type="dxa"/>
          <w:left w:w="0" w:type="dxa"/>
          <w:bottom w:w="0" w:type="dxa"/>
          <w:right w:w="0" w:type="dxa"/>
        </w:tblCellMar>
      </w:tblPr>
      <w:tr>
        <w:trPr>
          <w:trHeight w:val="116"/>
        </w:trPr>
        <w:tc>
          <w:tcPr>
            <w:tcW w:w="800" w:type="dxa"/>
            <w:vAlign w:val="bottom"/>
            <w:vMerge w:val="restart"/>
          </w:tcPr>
          <w:p>
            <w:pPr>
              <w:spacing w:after="0"/>
              <w:rPr>
                <w:sz w:val="10"/>
                <w:szCs w:val="10"/>
                <w:color w:val="auto"/>
              </w:rPr>
            </w:pPr>
          </w:p>
        </w:tc>
        <w:tc>
          <w:tcPr>
            <w:tcW w:w="3060" w:type="dxa"/>
            <w:vAlign w:val="bottom"/>
            <w:tcBorders>
              <w:bottom w:val="single" w:sz="8" w:color="auto"/>
            </w:tcBorders>
          </w:tcPr>
          <w:p>
            <w:pPr>
              <w:spacing w:after="0"/>
              <w:rPr>
                <w:sz w:val="10"/>
                <w:szCs w:val="10"/>
                <w:color w:val="auto"/>
              </w:rPr>
            </w:pPr>
          </w:p>
        </w:tc>
        <w:tc>
          <w:tcPr>
            <w:tcW w:w="2740" w:type="dxa"/>
            <w:vAlign w:val="bottom"/>
            <w:vMerge w:val="restart"/>
          </w:tcPr>
          <w:p>
            <w:pPr>
              <w:ind w:left="380"/>
              <w:spacing w:after="0"/>
              <w:rPr>
                <w:sz w:val="20"/>
                <w:szCs w:val="20"/>
                <w:color w:val="auto"/>
              </w:rPr>
            </w:pPr>
            <w:r>
              <w:rPr>
                <w:rFonts w:ascii="Arial" w:cs="Arial" w:eastAsia="Arial" w:hAnsi="Arial"/>
                <w:sz w:val="13"/>
                <w:szCs w:val="13"/>
                <w:b w:val="1"/>
                <w:bCs w:val="1"/>
                <w:color w:val="4800E6"/>
              </w:rPr>
              <w:t xml:space="preserve">LIVANOVA </w:t>
            </w:r>
            <w:r>
              <w:rPr>
                <w:rFonts w:ascii="Arial" w:cs="Arial" w:eastAsia="Arial" w:hAnsi="Arial"/>
                <w:sz w:val="13"/>
                <w:szCs w:val="13"/>
                <w:color w:val="000000"/>
              </w:rPr>
              <w:t>|</w:t>
            </w:r>
            <w:r>
              <w:rPr>
                <w:rFonts w:ascii="Arial" w:cs="Arial" w:eastAsia="Arial" w:hAnsi="Arial"/>
                <w:sz w:val="13"/>
                <w:szCs w:val="13"/>
                <w:b w:val="1"/>
                <w:bCs w:val="1"/>
                <w:color w:val="4800E6"/>
              </w:rPr>
              <w:t xml:space="preserve"> </w:t>
            </w:r>
            <w:r>
              <w:rPr>
                <w:rFonts w:ascii="Arial" w:cs="Arial" w:eastAsia="Arial" w:hAnsi="Arial"/>
                <w:sz w:val="13"/>
                <w:szCs w:val="13"/>
                <w:color w:val="4800E6"/>
              </w:rPr>
              <w:t>2020</w:t>
            </w:r>
            <w:r>
              <w:rPr>
                <w:rFonts w:ascii="Arial" w:cs="Arial" w:eastAsia="Arial" w:hAnsi="Arial"/>
                <w:sz w:val="13"/>
                <w:szCs w:val="13"/>
                <w:b w:val="1"/>
                <w:bCs w:val="1"/>
                <w:color w:val="4800E6"/>
              </w:rPr>
              <w:t xml:space="preserve"> </w:t>
            </w:r>
            <w:r>
              <w:rPr>
                <w:rFonts w:ascii="Arial" w:cs="Arial" w:eastAsia="Arial" w:hAnsi="Arial"/>
                <w:sz w:val="13"/>
                <w:szCs w:val="13"/>
                <w:color w:val="000000"/>
              </w:rPr>
              <w:t>Proxy Statement</w:t>
            </w:r>
          </w:p>
        </w:tc>
        <w:tc>
          <w:tcPr>
            <w:tcW w:w="3080" w:type="dxa"/>
            <w:vAlign w:val="bottom"/>
            <w:tcBorders>
              <w:bottom w:val="single" w:sz="8" w:color="auto"/>
            </w:tcBorders>
          </w:tcPr>
          <w:p>
            <w:pPr>
              <w:spacing w:after="0"/>
              <w:rPr>
                <w:sz w:val="10"/>
                <w:szCs w:val="10"/>
                <w:color w:val="auto"/>
              </w:rPr>
            </w:pPr>
          </w:p>
        </w:tc>
        <w:tc>
          <w:tcPr>
            <w:tcW w:w="1040" w:type="dxa"/>
            <w:vAlign w:val="bottom"/>
            <w:vMerge w:val="restart"/>
          </w:tcPr>
          <w:p>
            <w:pPr>
              <w:ind w:left="200"/>
              <w:spacing w:after="0"/>
              <w:rPr>
                <w:sz w:val="20"/>
                <w:szCs w:val="20"/>
                <w:color w:val="auto"/>
              </w:rPr>
            </w:pPr>
            <w:r>
              <w:rPr>
                <w:rFonts w:ascii="Arial" w:cs="Arial" w:eastAsia="Arial" w:hAnsi="Arial"/>
                <w:sz w:val="14"/>
                <w:szCs w:val="14"/>
                <w:b w:val="1"/>
                <w:bCs w:val="1"/>
                <w:color w:val="auto"/>
              </w:rPr>
              <w:t>A-17</w:t>
            </w:r>
          </w:p>
        </w:tc>
        <w:tc>
          <w:tcPr>
            <w:tcW w:w="0" w:type="dxa"/>
            <w:vAlign w:val="bottom"/>
          </w:tcPr>
          <w:p>
            <w:pPr>
              <w:spacing w:after="0"/>
              <w:rPr>
                <w:sz w:val="1"/>
                <w:szCs w:val="1"/>
                <w:color w:val="auto"/>
              </w:rPr>
            </w:pPr>
          </w:p>
        </w:tc>
      </w:tr>
      <w:tr>
        <w:trPr>
          <w:trHeight w:val="63"/>
        </w:trPr>
        <w:tc>
          <w:tcPr>
            <w:tcW w:w="800" w:type="dxa"/>
            <w:vAlign w:val="bottom"/>
            <w:vMerge w:val="continue"/>
          </w:tcPr>
          <w:p>
            <w:pPr>
              <w:spacing w:after="0"/>
              <w:rPr>
                <w:sz w:val="5"/>
                <w:szCs w:val="5"/>
                <w:color w:val="auto"/>
              </w:rPr>
            </w:pPr>
          </w:p>
        </w:tc>
        <w:tc>
          <w:tcPr>
            <w:tcW w:w="3060" w:type="dxa"/>
            <w:vAlign w:val="bottom"/>
          </w:tcPr>
          <w:p>
            <w:pPr>
              <w:spacing w:after="0"/>
              <w:rPr>
                <w:sz w:val="5"/>
                <w:szCs w:val="5"/>
                <w:color w:val="auto"/>
              </w:rPr>
            </w:pPr>
          </w:p>
        </w:tc>
        <w:tc>
          <w:tcPr>
            <w:tcW w:w="2740" w:type="dxa"/>
            <w:vAlign w:val="bottom"/>
            <w:vMerge w:val="continue"/>
          </w:tcPr>
          <w:p>
            <w:pPr>
              <w:spacing w:after="0"/>
              <w:rPr>
                <w:sz w:val="5"/>
                <w:szCs w:val="5"/>
                <w:color w:val="auto"/>
              </w:rPr>
            </w:pPr>
          </w:p>
        </w:tc>
        <w:tc>
          <w:tcPr>
            <w:tcW w:w="3080" w:type="dxa"/>
            <w:vAlign w:val="bottom"/>
          </w:tcPr>
          <w:p>
            <w:pPr>
              <w:spacing w:after="0"/>
              <w:rPr>
                <w:sz w:val="5"/>
                <w:szCs w:val="5"/>
                <w:color w:val="auto"/>
              </w:rPr>
            </w:pPr>
          </w:p>
        </w:tc>
        <w:tc>
          <w:tcPr>
            <w:tcW w:w="104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40"/>
        </w:trPr>
        <w:tc>
          <w:tcPr>
            <w:tcW w:w="800" w:type="dxa"/>
            <w:vAlign w:val="bottom"/>
            <w:tcBorders>
              <w:bottom w:val="single" w:sz="8" w:color="9A9A9A"/>
            </w:tcBorders>
          </w:tcPr>
          <w:p>
            <w:pPr>
              <w:spacing w:after="0"/>
              <w:rPr>
                <w:sz w:val="12"/>
                <w:szCs w:val="12"/>
                <w:color w:val="auto"/>
              </w:rPr>
            </w:pPr>
          </w:p>
        </w:tc>
        <w:tc>
          <w:tcPr>
            <w:tcW w:w="3060" w:type="dxa"/>
            <w:vAlign w:val="bottom"/>
            <w:tcBorders>
              <w:bottom w:val="single" w:sz="8" w:color="9A9A9A"/>
            </w:tcBorders>
          </w:tcPr>
          <w:p>
            <w:pPr>
              <w:spacing w:after="0"/>
              <w:rPr>
                <w:sz w:val="12"/>
                <w:szCs w:val="12"/>
                <w:color w:val="auto"/>
              </w:rPr>
            </w:pPr>
          </w:p>
        </w:tc>
        <w:tc>
          <w:tcPr>
            <w:tcW w:w="2740" w:type="dxa"/>
            <w:vAlign w:val="bottom"/>
            <w:tcBorders>
              <w:bottom w:val="single" w:sz="8" w:color="9A9A9A"/>
            </w:tcBorders>
          </w:tcPr>
          <w:p>
            <w:pPr>
              <w:spacing w:after="0"/>
              <w:rPr>
                <w:sz w:val="12"/>
                <w:szCs w:val="12"/>
                <w:color w:val="auto"/>
              </w:rPr>
            </w:pPr>
          </w:p>
        </w:tc>
        <w:tc>
          <w:tcPr>
            <w:tcW w:w="3080" w:type="dxa"/>
            <w:vAlign w:val="bottom"/>
            <w:tcBorders>
              <w:bottom w:val="single" w:sz="8" w:color="9A9A9A"/>
            </w:tcBorders>
          </w:tcPr>
          <w:p>
            <w:pPr>
              <w:spacing w:after="0"/>
              <w:rPr>
                <w:sz w:val="12"/>
                <w:szCs w:val="12"/>
                <w:color w:val="auto"/>
              </w:rPr>
            </w:pPr>
          </w:p>
        </w:tc>
        <w:tc>
          <w:tcPr>
            <w:tcW w:w="1040" w:type="dxa"/>
            <w:vAlign w:val="bottom"/>
            <w:tcBorders>
              <w:bottom w:val="single" w:sz="8" w:color="9A9A9A"/>
            </w:tcBorders>
          </w:tcPr>
          <w:p>
            <w:pPr>
              <w:spacing w:after="0"/>
              <w:rPr>
                <w:sz w:val="12"/>
                <w:szCs w:val="12"/>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6802755</wp:posOffset>
            </wp:positionH>
            <wp:positionV relativeFrom="paragraph">
              <wp:posOffset>-7620</wp:posOffset>
            </wp:positionV>
            <wp:extent cx="8255" cy="8255"/>
            <wp:wrapNone/>
            <wp:docPr id="420" name="Picture 4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0"/>
                    <pic:cNvPicPr>
                      <a:picLocks noChangeAspect="1" noChangeArrowheads="1"/>
                    </pic:cNvPicPr>
                  </pic:nvPicPr>
                  <pic:blipFill>
                    <a:blip r:embed="rId42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wp:posOffset>
            </wp:positionV>
            <wp:extent cx="8890" cy="17145"/>
            <wp:wrapNone/>
            <wp:docPr id="421" name="Picture 4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1"/>
                    <pic:cNvPicPr>
                      <a:picLocks noChangeAspect="1" noChangeArrowheads="1"/>
                    </pic:cNvPicPr>
                  </pic:nvPicPr>
                  <pic:blipFill>
                    <a:blip r:embed="rId428">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sectPr>
          <w:pgSz w:w="11900" w:h="16838" w:orient="portrait"/>
          <w:cols w:equalWidth="0" w:num="1">
            <w:col w:w="10720"/>
          </w:cols>
          <w:pgMar w:left="320" w:top="131" w:right="859" w:bottom="1440" w:gutter="0" w:footer="0" w:header="0"/>
        </w:sectPr>
      </w:pPr>
    </w:p>
    <w:bookmarkStart w:id="96" w:name="page97"/>
    <w:bookmarkEnd w:id="96"/>
    <w:p>
      <w:pPr>
        <w:spacing w:after="0"/>
        <w:rPr>
          <w:rFonts w:ascii="Arial" w:cs="Arial" w:eastAsia="Arial" w:hAnsi="Arial"/>
          <w:sz w:val="14"/>
          <w:szCs w:val="14"/>
          <w:color w:val="003366"/>
        </w:rPr>
      </w:pPr>
      <w:hyperlink w:anchor="page77">
        <w:r>
          <w:rPr>
            <w:rFonts w:ascii="Arial" w:cs="Arial" w:eastAsia="Arial" w:hAnsi="Arial"/>
            <w:sz w:val="14"/>
            <w:szCs w:val="14"/>
            <w:color w:val="003366"/>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485140</wp:posOffset>
            </wp:positionH>
            <wp:positionV relativeFrom="paragraph">
              <wp:posOffset>357505</wp:posOffset>
            </wp:positionV>
            <wp:extent cx="5829300" cy="8255"/>
            <wp:wrapNone/>
            <wp:docPr id="422" name="Picture 4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2"/>
                    <pic:cNvPicPr>
                      <a:picLocks noChangeAspect="1" noChangeArrowheads="1"/>
                    </pic:cNvPicPr>
                  </pic:nvPicPr>
                  <pic:blipFill>
                    <a:blip r:embed="rId429">
                      <a:extLst>
                        <a:ext uri="{28A0092B-C50C-407E-A947-70E740481C1C}"/>
                      </a:extLst>
                    </a:blip>
                    <a:srcRect/>
                    <a:stretch>
                      <a:fillRect/>
                    </a:stretch>
                  </pic:blipFill>
                  <pic:spPr bwMode="auto">
                    <a:xfrm>
                      <a:off x="0" y="0"/>
                      <a:ext cx="5829300" cy="8255"/>
                    </a:xfrm>
                    <a:prstGeom prst="rect">
                      <a:avLst/>
                    </a:prstGeom>
                    <a:noFill/>
                  </pic:spPr>
                </pic:pic>
              </a:graphicData>
            </a:graphic>
          </wp:anchor>
        </w:drawing>
      </w:r>
    </w:p>
    <w:p>
      <w:pPr>
        <w:sectPr>
          <w:pgSz w:w="11900" w:h="16838" w:orient="portrait"/>
          <w:cols w:equalWidth="0" w:num="1">
            <w:col w:w="10139"/>
          </w:cols>
          <w:pgMar w:left="320" w:top="131"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p>
      <w:pPr>
        <w:ind w:left="1200" w:right="279"/>
        <w:spacing w:after="0" w:line="249" w:lineRule="auto"/>
        <w:rPr>
          <w:sz w:val="20"/>
          <w:szCs w:val="20"/>
          <w:color w:val="auto"/>
        </w:rPr>
      </w:pPr>
      <w:r>
        <w:rPr>
          <w:rFonts w:ascii="Arial" w:cs="Arial" w:eastAsia="Arial" w:hAnsi="Arial"/>
          <w:sz w:val="16"/>
          <w:szCs w:val="16"/>
          <w:color w:val="auto"/>
        </w:rPr>
        <w:t>by that court or official and such person may vote by proxy. Evidence to the satisfaction of the Board of the authority of the person claiming the right to vote shall be delivered to the Office, or such other place as is specified in accordance with these Articles for the delivery or receipt of appointments of proxy, not less than 48 hours before the time appointed for holding the meeting or adjourned meeting at which the right to vote is to be exercised (provided that the Company may specify, in any case, that in calculating the period of 48 hours, no account shall be taken of any part of a day that is not a working day). Failure to satisfy the requirements of this Article 21.4 shall cause the right to vote not to be exercisable.</w:t>
      </w:r>
    </w:p>
    <w:p>
      <w:pPr>
        <w:spacing w:after="0" w:line="83" w:lineRule="exact"/>
        <w:rPr>
          <w:sz w:val="20"/>
          <w:szCs w:val="20"/>
          <w:color w:val="auto"/>
        </w:rPr>
      </w:pPr>
    </w:p>
    <w:p>
      <w:pPr>
        <w:ind w:left="760"/>
        <w:spacing w:after="0"/>
        <w:rPr>
          <w:sz w:val="20"/>
          <w:szCs w:val="20"/>
          <w:color w:val="auto"/>
        </w:rPr>
      </w:pPr>
      <w:r>
        <w:rPr>
          <w:rFonts w:ascii="Arial" w:cs="Arial" w:eastAsia="Arial" w:hAnsi="Arial"/>
          <w:sz w:val="16"/>
          <w:szCs w:val="16"/>
          <w:color w:val="auto"/>
        </w:rPr>
        <w:t xml:space="preserve">21.5  In the case of an equality of votes, the </w:t>
      </w:r>
      <w:r>
        <w:rPr>
          <w:rFonts w:ascii="Arial" w:cs="Arial" w:eastAsia="Arial" w:hAnsi="Arial"/>
          <w:sz w:val="16"/>
          <w:szCs w:val="16"/>
          <w:color w:val="auto"/>
          <w:strike w:val="1"/>
        </w:rPr>
        <w:t>chairman</w:t>
      </w:r>
      <w:r>
        <w:rPr>
          <w:rFonts w:ascii="Arial" w:cs="Arial" w:eastAsia="Arial" w:hAnsi="Arial"/>
          <w:sz w:val="16"/>
          <w:szCs w:val="16"/>
          <w:u w:val="single" w:color="auto"/>
          <w:color w:val="auto"/>
        </w:rPr>
        <w:t>chairperson</w:t>
      </w:r>
      <w:r>
        <w:rPr>
          <w:rFonts w:ascii="Arial" w:cs="Arial" w:eastAsia="Arial" w:hAnsi="Arial"/>
          <w:sz w:val="16"/>
          <w:szCs w:val="16"/>
          <w:color w:val="auto"/>
        </w:rPr>
        <w:t xml:space="preserve"> of the meeting shall not be entitled to a casting vote.</w:t>
      </w:r>
    </w:p>
    <w:p>
      <w:pPr>
        <w:spacing w:after="0" w:line="100" w:lineRule="exact"/>
        <w:rPr>
          <w:sz w:val="20"/>
          <w:szCs w:val="20"/>
          <w:color w:val="auto"/>
        </w:rPr>
      </w:pPr>
    </w:p>
    <w:p>
      <w:pPr>
        <w:ind w:left="1200" w:right="299" w:hanging="431"/>
        <w:spacing w:after="0" w:line="253" w:lineRule="auto"/>
        <w:rPr>
          <w:sz w:val="20"/>
          <w:szCs w:val="20"/>
          <w:color w:val="auto"/>
        </w:rPr>
      </w:pPr>
      <w:r>
        <w:rPr>
          <w:rFonts w:ascii="Arial" w:cs="Arial" w:eastAsia="Arial" w:hAnsi="Arial"/>
          <w:sz w:val="16"/>
          <w:szCs w:val="16"/>
          <w:color w:val="auto"/>
        </w:rPr>
        <w:t xml:space="preserve">21.6 No member shall have the right to vote at any general meeting or at any separate meeting of the holders of any class of shares, either in person or by representative or proxy, in respect of any share held by </w:t>
      </w:r>
      <w:r>
        <w:rPr>
          <w:rFonts w:ascii="Arial" w:cs="Arial" w:eastAsia="Arial" w:hAnsi="Arial"/>
          <w:sz w:val="16"/>
          <w:szCs w:val="16"/>
          <w:color w:val="auto"/>
          <w:strike w:val="1"/>
        </w:rPr>
        <w:t>him</w:t>
      </w:r>
      <w:r>
        <w:rPr>
          <w:rFonts w:ascii="Arial" w:cs="Arial" w:eastAsia="Arial" w:hAnsi="Arial"/>
          <w:sz w:val="16"/>
          <w:szCs w:val="16"/>
          <w:u w:val="single" w:color="auto"/>
          <w:color w:val="auto"/>
        </w:rPr>
        <w:t>them</w:t>
      </w:r>
      <w:r>
        <w:rPr>
          <w:rFonts w:ascii="Arial" w:cs="Arial" w:eastAsia="Arial" w:hAnsi="Arial"/>
          <w:sz w:val="16"/>
          <w:szCs w:val="16"/>
          <w:color w:val="auto"/>
        </w:rPr>
        <w:t xml:space="preserve"> unless all amounts presently payable by </w:t>
      </w:r>
      <w:r>
        <w:rPr>
          <w:rFonts w:ascii="Arial" w:cs="Arial" w:eastAsia="Arial" w:hAnsi="Arial"/>
          <w:sz w:val="16"/>
          <w:szCs w:val="16"/>
          <w:color w:val="auto"/>
          <w:strike w:val="1"/>
        </w:rPr>
        <w:t>him</w:t>
      </w:r>
      <w:r>
        <w:rPr>
          <w:rFonts w:ascii="Arial" w:cs="Arial" w:eastAsia="Arial" w:hAnsi="Arial"/>
          <w:sz w:val="16"/>
          <w:szCs w:val="16"/>
          <w:u w:val="single" w:color="auto"/>
          <w:color w:val="auto"/>
        </w:rPr>
        <w:t>them</w:t>
      </w:r>
      <w:r>
        <w:rPr>
          <w:rFonts w:ascii="Arial" w:cs="Arial" w:eastAsia="Arial" w:hAnsi="Arial"/>
          <w:sz w:val="16"/>
          <w:szCs w:val="16"/>
          <w:color w:val="auto"/>
        </w:rPr>
        <w:t xml:space="preserve"> in respect of that share have been paid.</w:t>
      </w:r>
    </w:p>
    <w:p>
      <w:pPr>
        <w:spacing w:after="0" w:line="80" w:lineRule="exact"/>
        <w:rPr>
          <w:sz w:val="20"/>
          <w:szCs w:val="20"/>
          <w:color w:val="auto"/>
        </w:rPr>
      </w:pPr>
    </w:p>
    <w:p>
      <w:pPr>
        <w:ind w:left="1200" w:right="339" w:hanging="431"/>
        <w:spacing w:after="0" w:line="250" w:lineRule="auto"/>
        <w:rPr>
          <w:sz w:val="20"/>
          <w:szCs w:val="20"/>
          <w:color w:val="auto"/>
        </w:rPr>
      </w:pPr>
      <w:r>
        <w:rPr>
          <w:rFonts w:ascii="Arial" w:cs="Arial" w:eastAsia="Arial" w:hAnsi="Arial"/>
          <w:sz w:val="16"/>
          <w:szCs w:val="16"/>
          <w:color w:val="auto"/>
        </w:rPr>
        <w:t>21.7 If at any time the Board is satisfied that any member, or any other person appearing to be interested in shares held by such member, has been duly served with a notice under section 793 of the Companies Act (a “</w:t>
      </w:r>
      <w:r>
        <w:rPr>
          <w:rFonts w:ascii="Arial" w:cs="Arial" w:eastAsia="Arial" w:hAnsi="Arial"/>
          <w:sz w:val="16"/>
          <w:szCs w:val="16"/>
          <w:b w:val="1"/>
          <w:bCs w:val="1"/>
          <w:color w:val="auto"/>
        </w:rPr>
        <w:t>section 793 notice</w:t>
      </w:r>
      <w:r>
        <w:rPr>
          <w:rFonts w:ascii="Arial" w:cs="Arial" w:eastAsia="Arial" w:hAnsi="Arial"/>
          <w:sz w:val="16"/>
          <w:szCs w:val="16"/>
          <w:color w:val="auto"/>
        </w:rPr>
        <w:t>”) and is in default for the prescribed period in supplying to the Company the information thereby required, or, in purported compliance with such a notice, has made a statement which is false or inadequate in a material particular, then the Board may, in its absolute discretion at any time by notice (a “</w:t>
      </w:r>
      <w:r>
        <w:rPr>
          <w:rFonts w:ascii="Arial" w:cs="Arial" w:eastAsia="Arial" w:hAnsi="Arial"/>
          <w:sz w:val="16"/>
          <w:szCs w:val="16"/>
          <w:b w:val="1"/>
          <w:bCs w:val="1"/>
          <w:color w:val="auto"/>
        </w:rPr>
        <w:t>direction notice</w:t>
      </w:r>
      <w:r>
        <w:rPr>
          <w:rFonts w:ascii="Arial" w:cs="Arial" w:eastAsia="Arial" w:hAnsi="Arial"/>
          <w:sz w:val="16"/>
          <w:szCs w:val="16"/>
          <w:color w:val="auto"/>
        </w:rPr>
        <w:t>”) to such member direct that:</w:t>
      </w:r>
    </w:p>
    <w:p>
      <w:pPr>
        <w:spacing w:after="0" w:line="61" w:lineRule="exact"/>
        <w:rPr>
          <w:sz w:val="20"/>
          <w:szCs w:val="20"/>
          <w:color w:val="auto"/>
        </w:rPr>
      </w:pPr>
    </w:p>
    <w:p>
      <w:pPr>
        <w:ind w:left="1620" w:right="199" w:hanging="424"/>
        <w:spacing w:after="0" w:line="259" w:lineRule="auto"/>
        <w:tabs>
          <w:tab w:leader="none" w:pos="1620" w:val="left"/>
        </w:tabs>
        <w:numPr>
          <w:ilvl w:val="0"/>
          <w:numId w:val="139"/>
        </w:numPr>
        <w:rPr>
          <w:rFonts w:ascii="Arial" w:cs="Arial" w:eastAsia="Arial" w:hAnsi="Arial"/>
          <w:sz w:val="16"/>
          <w:szCs w:val="16"/>
          <w:color w:val="auto"/>
        </w:rPr>
      </w:pPr>
      <w:r>
        <w:rPr>
          <w:rFonts w:ascii="Arial" w:cs="Arial" w:eastAsia="Arial" w:hAnsi="Arial"/>
          <w:sz w:val="16"/>
          <w:szCs w:val="16"/>
          <w:color w:val="auto"/>
        </w:rPr>
        <w:t>in respect of the shares in relation to which the default occurred (the “</w:t>
      </w:r>
      <w:r>
        <w:rPr>
          <w:rFonts w:ascii="Arial" w:cs="Arial" w:eastAsia="Arial" w:hAnsi="Arial"/>
          <w:sz w:val="16"/>
          <w:szCs w:val="16"/>
          <w:b w:val="1"/>
          <w:bCs w:val="1"/>
          <w:color w:val="auto"/>
        </w:rPr>
        <w:t>default shares</w:t>
      </w:r>
      <w:r>
        <w:rPr>
          <w:rFonts w:ascii="Arial" w:cs="Arial" w:eastAsia="Arial" w:hAnsi="Arial"/>
          <w:sz w:val="16"/>
          <w:szCs w:val="16"/>
          <w:color w:val="auto"/>
        </w:rPr>
        <w:t>”, which expression includes any shares issued after the date of the section 793 notice in respect of those shares) the member shall not be entitled to attend or vote either personally or by proxy at a general meeting or at a separate meeting of the holders of that class of shares or on a poll; and</w:t>
      </w:r>
    </w:p>
    <w:p>
      <w:pPr>
        <w:spacing w:after="0" w:line="76" w:lineRule="exact"/>
        <w:rPr>
          <w:rFonts w:ascii="Arial" w:cs="Arial" w:eastAsia="Arial" w:hAnsi="Arial"/>
          <w:sz w:val="16"/>
          <w:szCs w:val="16"/>
          <w:color w:val="auto"/>
        </w:rPr>
      </w:pPr>
    </w:p>
    <w:p>
      <w:pPr>
        <w:ind w:left="1620" w:right="919" w:hanging="424"/>
        <w:spacing w:after="0" w:line="260" w:lineRule="auto"/>
        <w:tabs>
          <w:tab w:leader="none" w:pos="1620" w:val="left"/>
        </w:tabs>
        <w:numPr>
          <w:ilvl w:val="0"/>
          <w:numId w:val="139"/>
        </w:numPr>
        <w:rPr>
          <w:rFonts w:ascii="Arial" w:cs="Arial" w:eastAsia="Arial" w:hAnsi="Arial"/>
          <w:sz w:val="16"/>
          <w:szCs w:val="16"/>
          <w:color w:val="auto"/>
        </w:rPr>
      </w:pPr>
      <w:r>
        <w:rPr>
          <w:rFonts w:ascii="Arial" w:cs="Arial" w:eastAsia="Arial" w:hAnsi="Arial"/>
          <w:sz w:val="16"/>
          <w:szCs w:val="16"/>
          <w:color w:val="auto"/>
        </w:rPr>
        <w:t>where the default shares represent at least 0.25 per cent. in nominal value of the issued shares of their class (calculated exclusive of any shares held in treasury), in respect of the default shares:</w:t>
      </w:r>
    </w:p>
    <w:p>
      <w:pPr>
        <w:spacing w:after="0" w:line="73" w:lineRule="exact"/>
        <w:rPr>
          <w:rFonts w:ascii="Arial" w:cs="Arial" w:eastAsia="Arial" w:hAnsi="Arial"/>
          <w:sz w:val="16"/>
          <w:szCs w:val="16"/>
          <w:color w:val="auto"/>
        </w:rPr>
      </w:pPr>
    </w:p>
    <w:p>
      <w:pPr>
        <w:ind w:left="2060" w:right="399" w:hanging="432"/>
        <w:spacing w:after="0" w:line="260" w:lineRule="auto"/>
        <w:tabs>
          <w:tab w:leader="none" w:pos="2060" w:val="left"/>
        </w:tabs>
        <w:numPr>
          <w:ilvl w:val="1"/>
          <w:numId w:val="139"/>
        </w:numPr>
        <w:rPr>
          <w:rFonts w:ascii="Arial" w:cs="Arial" w:eastAsia="Arial" w:hAnsi="Arial"/>
          <w:sz w:val="16"/>
          <w:szCs w:val="16"/>
          <w:color w:val="auto"/>
        </w:rPr>
      </w:pPr>
      <w:r>
        <w:rPr>
          <w:rFonts w:ascii="Arial" w:cs="Arial" w:eastAsia="Arial" w:hAnsi="Arial"/>
          <w:sz w:val="16"/>
          <w:szCs w:val="16"/>
          <w:color w:val="auto"/>
        </w:rPr>
        <w:t>no payment shall be made by way of dividend and no share shall be allotted or distributed pursuant to Articles 39.1, 40.1, and 40.2; and</w:t>
      </w:r>
    </w:p>
    <w:p>
      <w:pPr>
        <w:spacing w:after="0" w:line="73" w:lineRule="exact"/>
        <w:rPr>
          <w:rFonts w:ascii="Arial" w:cs="Arial" w:eastAsia="Arial" w:hAnsi="Arial"/>
          <w:sz w:val="16"/>
          <w:szCs w:val="16"/>
          <w:color w:val="auto"/>
        </w:rPr>
      </w:pPr>
    </w:p>
    <w:p>
      <w:pPr>
        <w:ind w:left="2060" w:hanging="432"/>
        <w:spacing w:after="0"/>
        <w:tabs>
          <w:tab w:leader="none" w:pos="2060" w:val="left"/>
        </w:tabs>
        <w:numPr>
          <w:ilvl w:val="1"/>
          <w:numId w:val="139"/>
        </w:numPr>
        <w:rPr>
          <w:rFonts w:ascii="Arial" w:cs="Arial" w:eastAsia="Arial" w:hAnsi="Arial"/>
          <w:sz w:val="16"/>
          <w:szCs w:val="16"/>
          <w:color w:val="auto"/>
        </w:rPr>
      </w:pPr>
      <w:r>
        <w:rPr>
          <w:rFonts w:ascii="Arial" w:cs="Arial" w:eastAsia="Arial" w:hAnsi="Arial"/>
          <w:sz w:val="16"/>
          <w:szCs w:val="16"/>
          <w:color w:val="auto"/>
        </w:rPr>
        <w:t>no transfer of any default share shall be registered unless:</w:t>
      </w:r>
    </w:p>
    <w:p>
      <w:pPr>
        <w:spacing w:after="0" w:line="99" w:lineRule="exact"/>
        <w:rPr>
          <w:rFonts w:ascii="Arial" w:cs="Arial" w:eastAsia="Arial" w:hAnsi="Arial"/>
          <w:sz w:val="16"/>
          <w:szCs w:val="16"/>
          <w:color w:val="auto"/>
        </w:rPr>
      </w:pPr>
    </w:p>
    <w:p>
      <w:pPr>
        <w:ind w:left="2500" w:right="399" w:hanging="440"/>
        <w:spacing w:after="0" w:line="253" w:lineRule="auto"/>
        <w:tabs>
          <w:tab w:leader="none" w:pos="2500" w:val="left"/>
        </w:tabs>
        <w:numPr>
          <w:ilvl w:val="2"/>
          <w:numId w:val="139"/>
        </w:numPr>
        <w:rPr>
          <w:rFonts w:ascii="Arial" w:cs="Arial" w:eastAsia="Arial" w:hAnsi="Arial"/>
          <w:sz w:val="16"/>
          <w:szCs w:val="16"/>
          <w:color w:val="auto"/>
        </w:rPr>
      </w:pPr>
      <w:r>
        <w:rPr>
          <w:rFonts w:ascii="Arial" w:cs="Arial" w:eastAsia="Arial" w:hAnsi="Arial"/>
          <w:sz w:val="16"/>
          <w:szCs w:val="16"/>
          <w:color w:val="auto"/>
        </w:rPr>
        <w:t xml:space="preserve">the member is not </w:t>
      </w:r>
      <w:r>
        <w:rPr>
          <w:rFonts w:ascii="Arial" w:cs="Arial" w:eastAsia="Arial" w:hAnsi="Arial"/>
          <w:sz w:val="16"/>
          <w:szCs w:val="16"/>
          <w:color w:val="auto"/>
          <w:strike w:val="1"/>
        </w:rPr>
        <w:t>himself</w:t>
      </w:r>
      <w:r>
        <w:rPr>
          <w:rFonts w:ascii="Arial" w:cs="Arial" w:eastAsia="Arial" w:hAnsi="Arial"/>
          <w:sz w:val="16"/>
          <w:szCs w:val="16"/>
          <w:u w:val="single" w:color="auto"/>
          <w:color w:val="auto"/>
        </w:rPr>
        <w:t>themselves</w:t>
      </w:r>
      <w:r>
        <w:rPr>
          <w:rFonts w:ascii="Arial" w:cs="Arial" w:eastAsia="Arial" w:hAnsi="Arial"/>
          <w:sz w:val="16"/>
          <w:szCs w:val="16"/>
          <w:color w:val="auto"/>
        </w:rPr>
        <w:t xml:space="preserve"> in default as regards supplying the information required and it has been proved to the reasonable satisfaction of the Board that no person in default of supplying the information required is interested in any of the shares which are the subject of the transfer; or</w:t>
      </w:r>
    </w:p>
    <w:p>
      <w:pPr>
        <w:spacing w:after="0" w:line="79" w:lineRule="exact"/>
        <w:rPr>
          <w:rFonts w:ascii="Arial" w:cs="Arial" w:eastAsia="Arial" w:hAnsi="Arial"/>
          <w:sz w:val="16"/>
          <w:szCs w:val="16"/>
          <w:color w:val="auto"/>
        </w:rPr>
      </w:pPr>
    </w:p>
    <w:p>
      <w:pPr>
        <w:ind w:left="2500" w:hanging="440"/>
        <w:spacing w:after="0"/>
        <w:tabs>
          <w:tab w:leader="none" w:pos="2500" w:val="left"/>
        </w:tabs>
        <w:numPr>
          <w:ilvl w:val="2"/>
          <w:numId w:val="139"/>
        </w:numPr>
        <w:rPr>
          <w:rFonts w:ascii="Arial" w:cs="Arial" w:eastAsia="Arial" w:hAnsi="Arial"/>
          <w:sz w:val="16"/>
          <w:szCs w:val="16"/>
          <w:color w:val="auto"/>
        </w:rPr>
      </w:pPr>
      <w:r>
        <w:rPr>
          <w:rFonts w:ascii="Arial" w:cs="Arial" w:eastAsia="Arial" w:hAnsi="Arial"/>
          <w:sz w:val="16"/>
          <w:szCs w:val="16"/>
          <w:color w:val="auto"/>
        </w:rPr>
        <w:t>the transfer is an approved transfer.</w:t>
      </w:r>
    </w:p>
    <w:p>
      <w:pPr>
        <w:spacing w:after="0" w:line="86" w:lineRule="exact"/>
        <w:rPr>
          <w:sz w:val="20"/>
          <w:szCs w:val="20"/>
          <w:color w:val="auto"/>
        </w:rPr>
      </w:pPr>
    </w:p>
    <w:p>
      <w:pPr>
        <w:jc w:val="both"/>
        <w:ind w:left="1620" w:right="399"/>
        <w:spacing w:after="0" w:line="278" w:lineRule="auto"/>
        <w:rPr>
          <w:sz w:val="20"/>
          <w:szCs w:val="20"/>
          <w:color w:val="auto"/>
        </w:rPr>
      </w:pPr>
      <w:r>
        <w:rPr>
          <w:rFonts w:ascii="Arial" w:cs="Arial" w:eastAsia="Arial" w:hAnsi="Arial"/>
          <w:sz w:val="15"/>
          <w:szCs w:val="15"/>
          <w:color w:val="auto"/>
        </w:rPr>
        <w:t xml:space="preserve">For the purposes of ensuring this Article 21.7(b)(ii) can apply to all shares held by the member, the Company may in accordance with the Uncertificated Securities Rules, issue a written notification to the Operator </w:t>
      </w:r>
      <w:r>
        <w:rPr>
          <w:rFonts w:ascii="Arial" w:cs="Arial" w:eastAsia="Arial" w:hAnsi="Arial"/>
          <w:sz w:val="15"/>
          <w:szCs w:val="15"/>
          <w:u w:val="single" w:color="auto"/>
          <w:color w:val="auto"/>
        </w:rPr>
        <w:t>or any Depositary of</w:t>
      </w:r>
      <w:r>
        <w:rPr>
          <w:rFonts w:ascii="Arial" w:cs="Arial" w:eastAsia="Arial" w:hAnsi="Arial"/>
          <w:sz w:val="15"/>
          <w:szCs w:val="15"/>
          <w:color w:val="auto"/>
        </w:rPr>
        <w:t xml:space="preserve"> </w:t>
      </w:r>
      <w:r>
        <w:rPr>
          <w:rFonts w:ascii="Arial" w:cs="Arial" w:eastAsia="Arial" w:hAnsi="Arial"/>
          <w:sz w:val="15"/>
          <w:szCs w:val="15"/>
          <w:u w:val="single" w:color="auto"/>
          <w:color w:val="auto"/>
        </w:rPr>
        <w:t>the shares</w:t>
      </w:r>
      <w:r>
        <w:rPr>
          <w:rFonts w:ascii="Arial" w:cs="Arial" w:eastAsia="Arial" w:hAnsi="Arial"/>
          <w:sz w:val="15"/>
          <w:szCs w:val="15"/>
          <w:color w:val="auto"/>
        </w:rPr>
        <w:t xml:space="preserve"> requiring conversion into certificated form of any share held by the member in uncertificated form.</w:t>
      </w:r>
    </w:p>
    <w:p>
      <w:pPr>
        <w:spacing w:after="0" w:line="62" w:lineRule="exact"/>
        <w:rPr>
          <w:sz w:val="20"/>
          <w:szCs w:val="20"/>
          <w:color w:val="auto"/>
        </w:rPr>
      </w:pPr>
    </w:p>
    <w:p>
      <w:pPr>
        <w:ind w:left="1200" w:right="399" w:hanging="431"/>
        <w:spacing w:after="0" w:line="260" w:lineRule="auto"/>
        <w:rPr>
          <w:sz w:val="20"/>
          <w:szCs w:val="20"/>
          <w:color w:val="auto"/>
        </w:rPr>
      </w:pPr>
      <w:r>
        <w:rPr>
          <w:rFonts w:ascii="Arial" w:cs="Arial" w:eastAsia="Arial" w:hAnsi="Arial"/>
          <w:sz w:val="16"/>
          <w:szCs w:val="16"/>
          <w:color w:val="auto"/>
        </w:rPr>
        <w:t>21.8 The Company shall send the direction notice to each other person appearing to be interested in the default shares, but the failure or omission by the Company to do so shall not invalidate such notice.</w:t>
      </w:r>
    </w:p>
    <w:p>
      <w:pPr>
        <w:spacing w:after="0" w:line="74" w:lineRule="exact"/>
        <w:rPr>
          <w:sz w:val="20"/>
          <w:szCs w:val="20"/>
          <w:color w:val="auto"/>
        </w:rPr>
      </w:pPr>
    </w:p>
    <w:p>
      <w:pPr>
        <w:ind w:left="760"/>
        <w:spacing w:after="0"/>
        <w:rPr>
          <w:sz w:val="20"/>
          <w:szCs w:val="20"/>
          <w:color w:val="auto"/>
        </w:rPr>
      </w:pPr>
      <w:r>
        <w:rPr>
          <w:rFonts w:ascii="Arial" w:cs="Arial" w:eastAsia="Arial" w:hAnsi="Arial"/>
          <w:sz w:val="16"/>
          <w:szCs w:val="16"/>
          <w:color w:val="auto"/>
        </w:rPr>
        <w:t>21.9  Any direction notice shall cease to have effect not more than seven days after the earlier of receipt by the Company of:</w:t>
      </w:r>
    </w:p>
    <w:p>
      <w:pPr>
        <w:spacing w:after="0" w:line="100" w:lineRule="exact"/>
        <w:rPr>
          <w:sz w:val="20"/>
          <w:szCs w:val="20"/>
          <w:color w:val="auto"/>
        </w:rPr>
      </w:pPr>
    </w:p>
    <w:p>
      <w:pPr>
        <w:ind w:left="1620" w:hanging="424"/>
        <w:spacing w:after="0"/>
        <w:tabs>
          <w:tab w:leader="none" w:pos="1620" w:val="left"/>
        </w:tabs>
        <w:numPr>
          <w:ilvl w:val="0"/>
          <w:numId w:val="140"/>
        </w:numPr>
        <w:rPr>
          <w:rFonts w:ascii="Arial" w:cs="Arial" w:eastAsia="Arial" w:hAnsi="Arial"/>
          <w:sz w:val="16"/>
          <w:szCs w:val="16"/>
          <w:color w:val="auto"/>
        </w:rPr>
      </w:pPr>
      <w:r>
        <w:rPr>
          <w:rFonts w:ascii="Arial" w:cs="Arial" w:eastAsia="Arial" w:hAnsi="Arial"/>
          <w:sz w:val="16"/>
          <w:szCs w:val="16"/>
          <w:color w:val="auto"/>
        </w:rPr>
        <w:t>a notice of an approved transfer, but only in relation to the shares transferred; or</w:t>
      </w:r>
    </w:p>
    <w:p>
      <w:pPr>
        <w:spacing w:after="0" w:line="99" w:lineRule="exact"/>
        <w:rPr>
          <w:rFonts w:ascii="Arial" w:cs="Arial" w:eastAsia="Arial" w:hAnsi="Arial"/>
          <w:sz w:val="16"/>
          <w:szCs w:val="16"/>
          <w:color w:val="auto"/>
        </w:rPr>
      </w:pPr>
    </w:p>
    <w:p>
      <w:pPr>
        <w:ind w:left="760" w:right="1739" w:firstLine="436"/>
        <w:spacing w:after="0" w:line="369" w:lineRule="auto"/>
        <w:tabs>
          <w:tab w:leader="none" w:pos="1624" w:val="left"/>
        </w:tabs>
        <w:numPr>
          <w:ilvl w:val="0"/>
          <w:numId w:val="140"/>
        </w:numPr>
        <w:rPr>
          <w:rFonts w:ascii="Arial" w:cs="Arial" w:eastAsia="Arial" w:hAnsi="Arial"/>
          <w:sz w:val="16"/>
          <w:szCs w:val="16"/>
          <w:color w:val="auto"/>
        </w:rPr>
      </w:pPr>
      <w:r>
        <w:rPr>
          <w:rFonts w:ascii="Arial" w:cs="Arial" w:eastAsia="Arial" w:hAnsi="Arial"/>
          <w:sz w:val="16"/>
          <w:szCs w:val="16"/>
          <w:color w:val="auto"/>
        </w:rPr>
        <w:t>all the information required by the relevant section 793 notice, in a form satisfactory to the Board. 21.10 The Board may at any time send a notice cancelling a direction notice.</w:t>
      </w:r>
    </w:p>
    <w:p>
      <w:pPr>
        <w:spacing w:after="0" w:line="1" w:lineRule="exact"/>
        <w:rPr>
          <w:sz w:val="20"/>
          <w:szCs w:val="20"/>
          <w:color w:val="auto"/>
        </w:rPr>
      </w:pPr>
    </w:p>
    <w:p>
      <w:pPr>
        <w:ind w:left="1200" w:right="419" w:hanging="431"/>
        <w:spacing w:after="0" w:line="260" w:lineRule="auto"/>
        <w:rPr>
          <w:sz w:val="20"/>
          <w:szCs w:val="20"/>
          <w:color w:val="auto"/>
        </w:rPr>
      </w:pPr>
      <w:r>
        <w:rPr>
          <w:rFonts w:ascii="Arial" w:cs="Arial" w:eastAsia="Arial" w:hAnsi="Arial"/>
          <w:sz w:val="16"/>
          <w:szCs w:val="16"/>
          <w:color w:val="auto"/>
        </w:rPr>
        <w:t>21.11 The Company may exercise any of its powers under Article 4.9 in respect of any default share that is held in uncertificated form.</w:t>
      </w:r>
    </w:p>
    <w:p>
      <w:pPr>
        <w:spacing w:after="0" w:line="74" w:lineRule="exact"/>
        <w:rPr>
          <w:sz w:val="20"/>
          <w:szCs w:val="20"/>
          <w:color w:val="auto"/>
        </w:rPr>
      </w:pPr>
    </w:p>
    <w:p>
      <w:pPr>
        <w:ind w:left="760"/>
        <w:spacing w:after="0"/>
        <w:rPr>
          <w:sz w:val="20"/>
          <w:szCs w:val="20"/>
          <w:color w:val="auto"/>
        </w:rPr>
      </w:pPr>
      <w:r>
        <w:rPr>
          <w:rFonts w:ascii="Arial" w:cs="Arial" w:eastAsia="Arial" w:hAnsi="Arial"/>
          <w:sz w:val="16"/>
          <w:szCs w:val="16"/>
          <w:color w:val="auto"/>
        </w:rPr>
        <w:t>21.12 For the purposes of this Article 21.12 and Articles 21.7, 21.8, 21.9, 21.10 and 21.11:</w:t>
      </w:r>
    </w:p>
    <w:p>
      <w:pPr>
        <w:spacing w:after="0" w:line="100" w:lineRule="exact"/>
        <w:rPr>
          <w:sz w:val="20"/>
          <w:szCs w:val="20"/>
          <w:color w:val="auto"/>
        </w:rPr>
      </w:pPr>
    </w:p>
    <w:p>
      <w:pPr>
        <w:ind w:left="1620" w:right="399" w:hanging="424"/>
        <w:spacing w:after="0" w:line="260" w:lineRule="auto"/>
        <w:tabs>
          <w:tab w:leader="none" w:pos="1620" w:val="left"/>
        </w:tabs>
        <w:numPr>
          <w:ilvl w:val="0"/>
          <w:numId w:val="141"/>
        </w:numPr>
        <w:rPr>
          <w:rFonts w:ascii="Arial" w:cs="Arial" w:eastAsia="Arial" w:hAnsi="Arial"/>
          <w:sz w:val="16"/>
          <w:szCs w:val="16"/>
          <w:color w:val="auto"/>
        </w:rPr>
      </w:pPr>
      <w:r>
        <w:rPr>
          <w:rFonts w:ascii="Arial" w:cs="Arial" w:eastAsia="Arial" w:hAnsi="Arial"/>
          <w:sz w:val="16"/>
          <w:szCs w:val="16"/>
          <w:color w:val="auto"/>
        </w:rPr>
        <w:t>a person shall be treated as appearing to be interested in any shares if the member holding such shares has sent to the Company a notification under section 793 of the Companies Act which either:</w:t>
      </w:r>
    </w:p>
    <w:p>
      <w:pPr>
        <w:spacing w:after="0" w:line="73" w:lineRule="exact"/>
        <w:rPr>
          <w:rFonts w:ascii="Arial" w:cs="Arial" w:eastAsia="Arial" w:hAnsi="Arial"/>
          <w:sz w:val="16"/>
          <w:szCs w:val="16"/>
          <w:color w:val="auto"/>
        </w:rPr>
      </w:pPr>
    </w:p>
    <w:p>
      <w:pPr>
        <w:ind w:left="2060" w:hanging="432"/>
        <w:spacing w:after="0"/>
        <w:tabs>
          <w:tab w:leader="none" w:pos="2060" w:val="left"/>
        </w:tabs>
        <w:numPr>
          <w:ilvl w:val="1"/>
          <w:numId w:val="141"/>
        </w:numPr>
        <w:rPr>
          <w:rFonts w:ascii="Arial" w:cs="Arial" w:eastAsia="Arial" w:hAnsi="Arial"/>
          <w:sz w:val="16"/>
          <w:szCs w:val="16"/>
          <w:color w:val="auto"/>
        </w:rPr>
      </w:pPr>
      <w:r>
        <w:rPr>
          <w:rFonts w:ascii="Arial" w:cs="Arial" w:eastAsia="Arial" w:hAnsi="Arial"/>
          <w:sz w:val="16"/>
          <w:szCs w:val="16"/>
          <w:color w:val="auto"/>
        </w:rPr>
        <w:t>names such person as being so interested; or</w:t>
      </w:r>
    </w:p>
    <w:p>
      <w:pPr>
        <w:spacing w:after="0" w:line="86" w:lineRule="exact"/>
        <w:rPr>
          <w:rFonts w:ascii="Arial" w:cs="Arial" w:eastAsia="Arial" w:hAnsi="Arial"/>
          <w:sz w:val="16"/>
          <w:szCs w:val="16"/>
          <w:color w:val="auto"/>
        </w:rPr>
      </w:pPr>
    </w:p>
    <w:p>
      <w:pPr>
        <w:ind w:left="2060" w:right="559" w:hanging="432"/>
        <w:spacing w:after="0" w:line="253" w:lineRule="auto"/>
        <w:tabs>
          <w:tab w:leader="none" w:pos="2060" w:val="left"/>
        </w:tabs>
        <w:numPr>
          <w:ilvl w:val="1"/>
          <w:numId w:val="141"/>
        </w:numPr>
        <w:rPr>
          <w:rFonts w:ascii="Arial" w:cs="Arial" w:eastAsia="Arial" w:hAnsi="Arial"/>
          <w:sz w:val="16"/>
          <w:szCs w:val="16"/>
          <w:color w:val="auto"/>
        </w:rPr>
      </w:pPr>
      <w:r>
        <w:rPr>
          <w:rFonts w:ascii="Arial" w:cs="Arial" w:eastAsia="Arial" w:hAnsi="Arial"/>
          <w:sz w:val="16"/>
          <w:szCs w:val="16"/>
          <w:color w:val="auto"/>
        </w:rPr>
        <w:t>fails to establish the identities of all those interested in the shares, and (after taking into account the said notification and any other relevant section 793 notification) the Company knows or has reasonable cause to believe that the person in question is or may be interested in the shares;</w:t>
      </w:r>
    </w:p>
    <w:p>
      <w:pPr>
        <w:spacing w:after="0" w:line="79" w:lineRule="exact"/>
        <w:rPr>
          <w:rFonts w:ascii="Arial" w:cs="Arial" w:eastAsia="Arial" w:hAnsi="Arial"/>
          <w:sz w:val="16"/>
          <w:szCs w:val="16"/>
          <w:color w:val="auto"/>
        </w:rPr>
      </w:pPr>
    </w:p>
    <w:p>
      <w:pPr>
        <w:ind w:left="1620" w:hanging="424"/>
        <w:spacing w:after="0"/>
        <w:tabs>
          <w:tab w:leader="none" w:pos="1620" w:val="left"/>
        </w:tabs>
        <w:numPr>
          <w:ilvl w:val="0"/>
          <w:numId w:val="141"/>
        </w:numPr>
        <w:rPr>
          <w:rFonts w:ascii="Arial" w:cs="Arial" w:eastAsia="Arial" w:hAnsi="Arial"/>
          <w:sz w:val="16"/>
          <w:szCs w:val="16"/>
          <w:color w:val="auto"/>
        </w:rPr>
      </w:pPr>
      <w:r>
        <w:rPr>
          <w:rFonts w:ascii="Arial" w:cs="Arial" w:eastAsia="Arial" w:hAnsi="Arial"/>
          <w:sz w:val="16"/>
          <w:szCs w:val="16"/>
          <w:color w:val="auto"/>
        </w:rPr>
        <w:t>the prescribed period is 14 days from the date of service of the section 793 notice; and</w:t>
      </w:r>
    </w:p>
    <w:p>
      <w:pPr>
        <w:spacing w:after="0" w:line="99" w:lineRule="exact"/>
        <w:rPr>
          <w:rFonts w:ascii="Arial" w:cs="Arial" w:eastAsia="Arial" w:hAnsi="Arial"/>
          <w:sz w:val="16"/>
          <w:szCs w:val="16"/>
          <w:color w:val="auto"/>
        </w:rPr>
      </w:pPr>
    </w:p>
    <w:p>
      <w:pPr>
        <w:ind w:left="1620" w:hanging="424"/>
        <w:spacing w:after="0"/>
        <w:tabs>
          <w:tab w:leader="none" w:pos="1620" w:val="left"/>
        </w:tabs>
        <w:numPr>
          <w:ilvl w:val="0"/>
          <w:numId w:val="141"/>
        </w:numPr>
        <w:rPr>
          <w:rFonts w:ascii="Arial" w:cs="Arial" w:eastAsia="Arial" w:hAnsi="Arial"/>
          <w:sz w:val="16"/>
          <w:szCs w:val="16"/>
          <w:color w:val="auto"/>
        </w:rPr>
      </w:pPr>
      <w:r>
        <w:rPr>
          <w:rFonts w:ascii="Arial" w:cs="Arial" w:eastAsia="Arial" w:hAnsi="Arial"/>
          <w:sz w:val="16"/>
          <w:szCs w:val="16"/>
          <w:color w:val="auto"/>
        </w:rPr>
        <w:t xml:space="preserve">a transfer of shares </w:t>
      </w:r>
      <w:r>
        <w:rPr>
          <w:rFonts w:ascii="Arial" w:cs="Arial" w:eastAsia="Arial" w:hAnsi="Arial"/>
          <w:sz w:val="16"/>
          <w:szCs w:val="16"/>
          <w:u w:val="single" w:color="auto"/>
          <w:color w:val="auto"/>
        </w:rPr>
        <w:t>(or depositary interests representing such shares)</w:t>
      </w:r>
      <w:r>
        <w:rPr>
          <w:rFonts w:ascii="Arial" w:cs="Arial" w:eastAsia="Arial" w:hAnsi="Arial"/>
          <w:sz w:val="16"/>
          <w:szCs w:val="16"/>
          <w:color w:val="auto"/>
        </w:rPr>
        <w:t xml:space="preserve"> is an approved transfer if:</w:t>
      </w:r>
    </w:p>
    <w:p>
      <w:pPr>
        <w:spacing w:after="0" w:line="119" w:lineRule="exact"/>
        <w:rPr>
          <w:sz w:val="20"/>
          <w:szCs w:val="20"/>
          <w:color w:val="auto"/>
        </w:rPr>
      </w:pPr>
    </w:p>
    <w:p>
      <w:pPr>
        <w:ind w:left="480"/>
        <w:spacing w:after="0"/>
        <w:tabs>
          <w:tab w:leader="none" w:pos="4420" w:val="left"/>
          <w:tab w:leader="none" w:pos="8760" w:val="left"/>
        </w:tabs>
        <w:rPr>
          <w:sz w:val="20"/>
          <w:szCs w:val="20"/>
          <w:color w:val="auto"/>
        </w:rPr>
      </w:pPr>
      <w:r>
        <w:rPr>
          <w:rFonts w:ascii="Arial" w:cs="Arial" w:eastAsia="Arial" w:hAnsi="Arial"/>
          <w:sz w:val="28"/>
          <w:szCs w:val="28"/>
          <w:b w:val="1"/>
          <w:bCs w:val="1"/>
          <w:color w:val="000000"/>
          <w:vertAlign w:val="subscript"/>
        </w:rPr>
        <w:t>A-18</w:t>
      </w:r>
      <w:r>
        <w:rPr>
          <w:sz w:val="20"/>
          <w:szCs w:val="20"/>
          <w:color w:val="auto"/>
        </w:rPr>
        <w:tab/>
      </w:r>
      <w:r>
        <w:rPr>
          <w:rFonts w:ascii="Arial" w:cs="Arial" w:eastAsia="Arial" w:hAnsi="Arial"/>
          <w:sz w:val="13"/>
          <w:szCs w:val="13"/>
          <w:b w:val="1"/>
          <w:bCs w:val="1"/>
          <w:color w:val="4800E6"/>
        </w:rPr>
        <w:t xml:space="preserve">LIVANOVA </w:t>
      </w:r>
      <w:r>
        <w:rPr>
          <w:rFonts w:ascii="Arial" w:cs="Arial" w:eastAsia="Arial" w:hAnsi="Arial"/>
          <w:sz w:val="13"/>
          <w:szCs w:val="13"/>
          <w:color w:val="000000"/>
        </w:rPr>
        <w:t>|</w:t>
      </w:r>
      <w:r>
        <w:rPr>
          <w:rFonts w:ascii="Arial" w:cs="Arial" w:eastAsia="Arial" w:hAnsi="Arial"/>
          <w:sz w:val="13"/>
          <w:szCs w:val="13"/>
          <w:b w:val="1"/>
          <w:bCs w:val="1"/>
          <w:color w:val="4800E6"/>
        </w:rPr>
        <w:t xml:space="preserve"> </w:t>
      </w:r>
      <w:r>
        <w:rPr>
          <w:rFonts w:ascii="Arial" w:cs="Arial" w:eastAsia="Arial" w:hAnsi="Arial"/>
          <w:sz w:val="13"/>
          <w:szCs w:val="13"/>
          <w:color w:val="4800E6"/>
        </w:rPr>
        <w:t>2020</w:t>
      </w:r>
      <w:r>
        <w:rPr>
          <w:rFonts w:ascii="Arial" w:cs="Arial" w:eastAsia="Arial" w:hAnsi="Arial"/>
          <w:sz w:val="13"/>
          <w:szCs w:val="13"/>
          <w:b w:val="1"/>
          <w:bCs w:val="1"/>
          <w:color w:val="4800E6"/>
        </w:rPr>
        <w:t xml:space="preserve"> </w:t>
      </w:r>
      <w:r>
        <w:rPr>
          <w:rFonts w:ascii="Arial" w:cs="Arial" w:eastAsia="Arial" w:hAnsi="Arial"/>
          <w:sz w:val="13"/>
          <w:szCs w:val="13"/>
          <w:color w:val="000000"/>
        </w:rPr>
        <w:t>Proxy Statement</w:t>
      </w:r>
      <w:r>
        <w:rPr>
          <w:sz w:val="20"/>
          <w:szCs w:val="20"/>
          <w:color w:val="auto"/>
        </w:rPr>
        <w:tab/>
      </w:r>
      <w:r>
        <w:rPr>
          <w:rFonts w:ascii="Arial" w:cs="Arial" w:eastAsia="Arial" w:hAnsi="Arial"/>
          <w:sz w:val="12"/>
          <w:szCs w:val="12"/>
          <w:b w:val="1"/>
          <w:bCs w:val="1"/>
          <w:color w:val="4800E6"/>
        </w:rPr>
        <w:t>www.livanova.com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639445</wp:posOffset>
            </wp:positionH>
            <wp:positionV relativeFrom="paragraph">
              <wp:posOffset>-2540</wp:posOffset>
            </wp:positionV>
            <wp:extent cx="1954530" cy="8890"/>
            <wp:wrapNone/>
            <wp:docPr id="423" name="Picture 4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3"/>
                    <pic:cNvPicPr>
                      <a:picLocks noChangeAspect="1" noChangeArrowheads="1"/>
                    </pic:cNvPicPr>
                  </pic:nvPicPr>
                  <pic:blipFill>
                    <a:blip r:embed="rId430">
                      <a:extLst>
                        <a:ext uri="{28A0092B-C50C-407E-A947-70E740481C1C}"/>
                      </a:extLst>
                    </a:blip>
                    <a:srcRect/>
                    <a:stretch>
                      <a:fillRect/>
                    </a:stretch>
                  </pic:blipFill>
                  <pic:spPr bwMode="auto">
                    <a:xfrm>
                      <a:off x="0" y="0"/>
                      <a:ext cx="1954530" cy="8890"/>
                    </a:xfrm>
                    <a:prstGeom prst="rect">
                      <a:avLst/>
                    </a:prstGeom>
                    <a:noFill/>
                  </pic:spPr>
                </pic:pic>
              </a:graphicData>
            </a:graphic>
          </wp:anchor>
        </w:drawing>
        <w:drawing>
          <wp:anchor simplePos="0" relativeHeight="251657728" behindDoc="1" locked="0" layoutInCell="0" allowOverlap="1">
            <wp:simplePos x="0" y="0"/>
            <wp:positionH relativeFrom="column">
              <wp:posOffset>4316730</wp:posOffset>
            </wp:positionH>
            <wp:positionV relativeFrom="paragraph">
              <wp:posOffset>-2540</wp:posOffset>
            </wp:positionV>
            <wp:extent cx="1028700" cy="8890"/>
            <wp:wrapNone/>
            <wp:docPr id="424" name="Picture 4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4"/>
                    <pic:cNvPicPr>
                      <a:picLocks noChangeAspect="1" noChangeArrowheads="1"/>
                    </pic:cNvPicPr>
                  </pic:nvPicPr>
                  <pic:blipFill>
                    <a:blip r:embed="rId431">
                      <a:extLst>
                        <a:ext uri="{28A0092B-C50C-407E-A947-70E740481C1C}"/>
                      </a:extLst>
                    </a:blip>
                    <a:srcRect/>
                    <a:stretch>
                      <a:fillRect/>
                    </a:stretch>
                  </pic:blipFill>
                  <pic:spPr bwMode="auto">
                    <a:xfrm>
                      <a:off x="0" y="0"/>
                      <a:ext cx="102870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125095</wp:posOffset>
            </wp:positionV>
            <wp:extent cx="6806565" cy="17145"/>
            <wp:wrapNone/>
            <wp:docPr id="425" name="Picture 4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5"/>
                    <pic:cNvPicPr>
                      <a:picLocks noChangeAspect="1" noChangeArrowheads="1"/>
                    </pic:cNvPicPr>
                  </pic:nvPicPr>
                  <pic:blipFill>
                    <a:blip r:embed="rId432">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10139"/>
          </w:cols>
          <w:pgMar w:left="320" w:top="131" w:right="1440" w:bottom="1440" w:gutter="0" w:footer="0" w:header="0"/>
          <w:type w:val="continuous"/>
        </w:sectPr>
      </w:pPr>
    </w:p>
    <w:bookmarkStart w:id="97" w:name="page98"/>
    <w:bookmarkEnd w:id="97"/>
    <w:p>
      <w:pPr>
        <w:spacing w:after="0"/>
        <w:rPr>
          <w:rFonts w:ascii="Arial" w:cs="Arial" w:eastAsia="Arial" w:hAnsi="Arial"/>
          <w:sz w:val="14"/>
          <w:szCs w:val="14"/>
          <w:color w:val="003366"/>
        </w:rPr>
      </w:pPr>
      <w:hyperlink w:anchor="page77">
        <w:r>
          <w:rPr>
            <w:rFonts w:ascii="Arial" w:cs="Arial" w:eastAsia="Arial" w:hAnsi="Arial"/>
            <w:sz w:val="14"/>
            <w:szCs w:val="14"/>
            <w:color w:val="003366"/>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485140</wp:posOffset>
            </wp:positionH>
            <wp:positionV relativeFrom="paragraph">
              <wp:posOffset>357505</wp:posOffset>
            </wp:positionV>
            <wp:extent cx="5829300" cy="8255"/>
            <wp:wrapNone/>
            <wp:docPr id="426" name="Picture 4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6"/>
                    <pic:cNvPicPr>
                      <a:picLocks noChangeAspect="1" noChangeArrowheads="1"/>
                    </pic:cNvPicPr>
                  </pic:nvPicPr>
                  <pic:blipFill>
                    <a:blip r:embed="rId433">
                      <a:extLst>
                        <a:ext uri="{28A0092B-C50C-407E-A947-70E740481C1C}"/>
                      </a:extLst>
                    </a:blip>
                    <a:srcRect/>
                    <a:stretch>
                      <a:fillRect/>
                    </a:stretch>
                  </pic:blipFill>
                  <pic:spPr bwMode="auto">
                    <a:xfrm>
                      <a:off x="0" y="0"/>
                      <a:ext cx="582930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ind w:left="2060" w:right="1260" w:hanging="432"/>
        <w:spacing w:after="0" w:line="260" w:lineRule="auto"/>
        <w:tabs>
          <w:tab w:leader="none" w:pos="2060" w:val="left"/>
        </w:tabs>
        <w:numPr>
          <w:ilvl w:val="0"/>
          <w:numId w:val="142"/>
        </w:numPr>
        <w:rPr>
          <w:rFonts w:ascii="Arial" w:cs="Arial" w:eastAsia="Arial" w:hAnsi="Arial"/>
          <w:sz w:val="16"/>
          <w:szCs w:val="16"/>
          <w:color w:val="auto"/>
        </w:rPr>
      </w:pPr>
      <w:r>
        <w:rPr>
          <w:rFonts w:ascii="Arial" w:cs="Arial" w:eastAsia="Arial" w:hAnsi="Arial"/>
          <w:sz w:val="16"/>
          <w:szCs w:val="16"/>
          <w:color w:val="auto"/>
        </w:rPr>
        <w:t xml:space="preserve">it is a transfer of shares </w:t>
      </w:r>
      <w:r>
        <w:rPr>
          <w:rFonts w:ascii="Arial" w:cs="Arial" w:eastAsia="Arial" w:hAnsi="Arial"/>
          <w:sz w:val="16"/>
          <w:szCs w:val="16"/>
          <w:u w:val="single" w:color="auto"/>
          <w:color w:val="auto"/>
        </w:rPr>
        <w:t>(or depositary interests representing such shares)</w:t>
      </w:r>
      <w:r>
        <w:rPr>
          <w:rFonts w:ascii="Arial" w:cs="Arial" w:eastAsia="Arial" w:hAnsi="Arial"/>
          <w:sz w:val="16"/>
          <w:szCs w:val="16"/>
          <w:color w:val="auto"/>
        </w:rPr>
        <w:t xml:space="preserve"> pursuant to an acceptance of a takeover offer (within the meaning of section 974 of the Companies Act);</w:t>
      </w:r>
    </w:p>
    <w:p>
      <w:pPr>
        <w:spacing w:after="0" w:line="73" w:lineRule="exact"/>
        <w:rPr>
          <w:rFonts w:ascii="Arial" w:cs="Arial" w:eastAsia="Arial" w:hAnsi="Arial"/>
          <w:sz w:val="16"/>
          <w:szCs w:val="16"/>
          <w:color w:val="auto"/>
        </w:rPr>
      </w:pPr>
    </w:p>
    <w:p>
      <w:pPr>
        <w:jc w:val="both"/>
        <w:ind w:left="2060" w:right="860" w:hanging="432"/>
        <w:spacing w:after="0" w:line="253" w:lineRule="auto"/>
        <w:tabs>
          <w:tab w:leader="none" w:pos="2060" w:val="left"/>
        </w:tabs>
        <w:numPr>
          <w:ilvl w:val="0"/>
          <w:numId w:val="142"/>
        </w:numPr>
        <w:rPr>
          <w:rFonts w:ascii="Arial" w:cs="Arial" w:eastAsia="Arial" w:hAnsi="Arial"/>
          <w:sz w:val="16"/>
          <w:szCs w:val="16"/>
          <w:color w:val="auto"/>
        </w:rPr>
      </w:pPr>
      <w:r>
        <w:rPr>
          <w:rFonts w:ascii="Arial" w:cs="Arial" w:eastAsia="Arial" w:hAnsi="Arial"/>
          <w:sz w:val="16"/>
          <w:szCs w:val="16"/>
          <w:color w:val="auto"/>
        </w:rPr>
        <w:t>the Board is satisfied that the transfer is made pursuant to a sale of the whole of the beneficial ownership of the shares the subject of the transfer to a party unconnected with the member and with any other person appearing to be interested in the shares; or</w:t>
      </w:r>
    </w:p>
    <w:p>
      <w:pPr>
        <w:spacing w:after="0" w:line="66" w:lineRule="exact"/>
        <w:rPr>
          <w:rFonts w:ascii="Arial" w:cs="Arial" w:eastAsia="Arial" w:hAnsi="Arial"/>
          <w:sz w:val="16"/>
          <w:szCs w:val="16"/>
          <w:color w:val="auto"/>
        </w:rPr>
      </w:pPr>
    </w:p>
    <w:p>
      <w:pPr>
        <w:ind w:left="2060" w:right="820" w:hanging="432"/>
        <w:spacing w:after="0" w:line="253" w:lineRule="auto"/>
        <w:tabs>
          <w:tab w:leader="none" w:pos="2060" w:val="left"/>
        </w:tabs>
        <w:numPr>
          <w:ilvl w:val="0"/>
          <w:numId w:val="142"/>
        </w:numPr>
        <w:rPr>
          <w:rFonts w:ascii="Arial" w:cs="Arial" w:eastAsia="Arial" w:hAnsi="Arial"/>
          <w:sz w:val="16"/>
          <w:szCs w:val="16"/>
          <w:color w:val="auto"/>
        </w:rPr>
      </w:pPr>
      <w:r>
        <w:rPr>
          <w:rFonts w:ascii="Arial" w:cs="Arial" w:eastAsia="Arial" w:hAnsi="Arial"/>
          <w:sz w:val="16"/>
          <w:szCs w:val="16"/>
          <w:color w:val="auto"/>
        </w:rPr>
        <w:t xml:space="preserve">the transfer results from a sale made through </w:t>
      </w:r>
      <w:r>
        <w:rPr>
          <w:rFonts w:ascii="Arial" w:cs="Arial" w:eastAsia="Arial" w:hAnsi="Arial"/>
          <w:sz w:val="16"/>
          <w:szCs w:val="16"/>
          <w:color w:val="auto"/>
          <w:strike w:val="1"/>
        </w:rPr>
        <w:t>a recognised investment exchange as defined in the FSMA or</w:t>
      </w:r>
      <w:r>
        <w:rPr>
          <w:rFonts w:ascii="Arial" w:cs="Arial" w:eastAsia="Arial" w:hAnsi="Arial"/>
          <w:sz w:val="16"/>
          <w:szCs w:val="16"/>
          <w:color w:val="auto"/>
        </w:rPr>
        <w:t xml:space="preserve"> any </w:t>
      </w:r>
      <w:r>
        <w:rPr>
          <w:rFonts w:ascii="Arial" w:cs="Arial" w:eastAsia="Arial" w:hAnsi="Arial"/>
          <w:sz w:val="16"/>
          <w:szCs w:val="16"/>
          <w:color w:val="auto"/>
          <w:strike w:val="1"/>
        </w:rPr>
        <w:t>other stock exchange outside the United Kingdom</w:t>
      </w:r>
      <w:r>
        <w:rPr>
          <w:rFonts w:ascii="Arial" w:cs="Arial" w:eastAsia="Arial" w:hAnsi="Arial"/>
          <w:sz w:val="16"/>
          <w:szCs w:val="16"/>
          <w:u w:val="single" w:color="auto"/>
          <w:color w:val="auto"/>
        </w:rPr>
        <w:t>Exchange</w:t>
      </w:r>
      <w:r>
        <w:rPr>
          <w:rFonts w:ascii="Arial" w:cs="Arial" w:eastAsia="Arial" w:hAnsi="Arial"/>
          <w:sz w:val="16"/>
          <w:szCs w:val="16"/>
          <w:color w:val="auto"/>
        </w:rPr>
        <w:t xml:space="preserve"> on which the Company’s shares </w:t>
      </w:r>
      <w:r>
        <w:rPr>
          <w:rFonts w:ascii="Arial" w:cs="Arial" w:eastAsia="Arial" w:hAnsi="Arial"/>
          <w:sz w:val="16"/>
          <w:szCs w:val="16"/>
          <w:u w:val="single" w:color="auto"/>
          <w:color w:val="auto"/>
        </w:rPr>
        <w:t>(or depositary</w:t>
      </w:r>
      <w:r>
        <w:rPr>
          <w:rFonts w:ascii="Arial" w:cs="Arial" w:eastAsia="Arial" w:hAnsi="Arial"/>
          <w:sz w:val="16"/>
          <w:szCs w:val="16"/>
          <w:color w:val="auto"/>
        </w:rPr>
        <w:t xml:space="preserve"> </w:t>
      </w:r>
      <w:r>
        <w:rPr>
          <w:rFonts w:ascii="Arial" w:cs="Arial" w:eastAsia="Arial" w:hAnsi="Arial"/>
          <w:sz w:val="16"/>
          <w:szCs w:val="16"/>
          <w:u w:val="single" w:color="auto"/>
          <w:color w:val="auto"/>
        </w:rPr>
        <w:t>interests representing such shares)</w:t>
      </w:r>
      <w:r>
        <w:rPr>
          <w:rFonts w:ascii="Arial" w:cs="Arial" w:eastAsia="Arial" w:hAnsi="Arial"/>
          <w:sz w:val="16"/>
          <w:szCs w:val="16"/>
          <w:color w:val="auto"/>
        </w:rPr>
        <w:t xml:space="preserve"> are normally traded.</w:t>
      </w:r>
    </w:p>
    <w:p>
      <w:pPr>
        <w:spacing w:after="0" w:line="80" w:lineRule="exact"/>
        <w:rPr>
          <w:sz w:val="20"/>
          <w:szCs w:val="20"/>
          <w:color w:val="auto"/>
        </w:rPr>
      </w:pPr>
    </w:p>
    <w:p>
      <w:pPr>
        <w:ind w:left="1200" w:right="1160" w:hanging="431"/>
        <w:spacing w:after="0" w:line="260" w:lineRule="auto"/>
        <w:rPr>
          <w:sz w:val="20"/>
          <w:szCs w:val="20"/>
          <w:color w:val="auto"/>
        </w:rPr>
      </w:pPr>
      <w:r>
        <w:rPr>
          <w:rFonts w:ascii="Arial" w:cs="Arial" w:eastAsia="Arial" w:hAnsi="Arial"/>
          <w:sz w:val="16"/>
          <w:szCs w:val="16"/>
          <w:color w:val="auto"/>
        </w:rPr>
        <w:t>21.13 Nothing contained in Article 21.7, 21.8, 21.9, 21.10 and 21.11 limits the power of the Company under section 794 of the Companies Act.</w:t>
      </w:r>
    </w:p>
    <w:p>
      <w:pPr>
        <w:spacing w:after="0" w:line="60" w:lineRule="exact"/>
        <w:rPr>
          <w:sz w:val="20"/>
          <w:szCs w:val="20"/>
          <w:color w:val="auto"/>
        </w:rPr>
      </w:pPr>
    </w:p>
    <w:p>
      <w:pPr>
        <w:ind w:left="1200" w:right="860" w:hanging="431"/>
        <w:spacing w:after="0" w:line="249" w:lineRule="auto"/>
        <w:rPr>
          <w:sz w:val="20"/>
          <w:szCs w:val="20"/>
          <w:color w:val="auto"/>
        </w:rPr>
      </w:pPr>
      <w:r>
        <w:rPr>
          <w:rFonts w:ascii="Arial" w:cs="Arial" w:eastAsia="Arial" w:hAnsi="Arial"/>
          <w:sz w:val="16"/>
          <w:szCs w:val="16"/>
          <w:color w:val="auto"/>
        </w:rPr>
        <w:t xml:space="preserve">21.14 Any objection to the qualification of any person voting at a general meeting or on a poll or to the counting of, or failure to count, any vote, must be made at the meeting or adjourned meeting or at the time the poll is taken (if not taken at the meeting or adjourned meeting) at which the vote objected to is tendered. Every vote not disallowed at such meeting shall be valid and every vote not counted which ought to have been counted shall be disregarded. Any objection made in due time shall be referred to the </w:t>
      </w:r>
      <w:r>
        <w:rPr>
          <w:rFonts w:ascii="Arial" w:cs="Arial" w:eastAsia="Arial" w:hAnsi="Arial"/>
          <w:sz w:val="16"/>
          <w:szCs w:val="16"/>
          <w:color w:val="auto"/>
          <w:strike w:val="1"/>
        </w:rPr>
        <w:t>chairman</w:t>
      </w:r>
      <w:r>
        <w:rPr>
          <w:rFonts w:ascii="Arial" w:cs="Arial" w:eastAsia="Arial" w:hAnsi="Arial"/>
          <w:sz w:val="16"/>
          <w:szCs w:val="16"/>
          <w:u w:val="single" w:color="auto"/>
          <w:color w:val="auto"/>
        </w:rPr>
        <w:t>chairperson</w:t>
      </w:r>
      <w:r>
        <w:rPr>
          <w:rFonts w:ascii="Arial" w:cs="Arial" w:eastAsia="Arial" w:hAnsi="Arial"/>
          <w:sz w:val="16"/>
          <w:szCs w:val="16"/>
          <w:color w:val="auto"/>
        </w:rPr>
        <w:t xml:space="preserve"> of the meeting whose decision shall be final and conclusive. If a vote is not disallowed by the </w:t>
      </w:r>
      <w:r>
        <w:rPr>
          <w:rFonts w:ascii="Arial" w:cs="Arial" w:eastAsia="Arial" w:hAnsi="Arial"/>
          <w:sz w:val="16"/>
          <w:szCs w:val="16"/>
          <w:color w:val="auto"/>
          <w:strike w:val="1"/>
        </w:rPr>
        <w:t>chairman</w:t>
      </w:r>
      <w:r>
        <w:rPr>
          <w:rFonts w:ascii="Arial" w:cs="Arial" w:eastAsia="Arial" w:hAnsi="Arial"/>
          <w:sz w:val="16"/>
          <w:szCs w:val="16"/>
          <w:u w:val="single" w:color="auto"/>
          <w:color w:val="auto"/>
        </w:rPr>
        <w:t>chairperson</w:t>
      </w:r>
      <w:r>
        <w:rPr>
          <w:rFonts w:ascii="Arial" w:cs="Arial" w:eastAsia="Arial" w:hAnsi="Arial"/>
          <w:sz w:val="16"/>
          <w:szCs w:val="16"/>
          <w:color w:val="auto"/>
        </w:rPr>
        <w:t xml:space="preserve"> of the meeting it is valid for all purposes.</w:t>
      </w:r>
    </w:p>
    <w:p>
      <w:pPr>
        <w:spacing w:after="0" w:line="70" w:lineRule="exact"/>
        <w:rPr>
          <w:sz w:val="20"/>
          <w:szCs w:val="20"/>
          <w:color w:val="auto"/>
        </w:rPr>
      </w:pPr>
    </w:p>
    <w:p>
      <w:pPr>
        <w:ind w:left="1200" w:right="1120"/>
        <w:spacing w:after="0" w:line="251" w:lineRule="auto"/>
        <w:rPr>
          <w:sz w:val="20"/>
          <w:szCs w:val="20"/>
          <w:color w:val="auto"/>
        </w:rPr>
      </w:pPr>
      <w:r>
        <w:rPr>
          <w:rFonts w:ascii="Arial" w:cs="Arial" w:eastAsia="Arial" w:hAnsi="Arial"/>
          <w:sz w:val="16"/>
          <w:szCs w:val="16"/>
          <w:color w:val="auto"/>
          <w:strike w:val="1"/>
        </w:rPr>
        <w:t>The Company shall not be bound to enquire whether any proxy or corporate representative votes in accordance with the instructions given to him by the member he represents and if a proxy or corporate representative does not vote in accordance with the instructions of the member he represents the vote or votes cast shall nevertheless be valid for all purposes.</w:t>
      </w:r>
    </w:p>
    <w:p>
      <w:pPr>
        <w:spacing w:after="0" w:line="81" w:lineRule="exact"/>
        <w:rPr>
          <w:sz w:val="20"/>
          <w:szCs w:val="20"/>
          <w:color w:val="auto"/>
        </w:rPr>
      </w:pPr>
    </w:p>
    <w:p>
      <w:pPr>
        <w:ind w:left="1200" w:right="820" w:hanging="431"/>
        <w:spacing w:after="0" w:line="253" w:lineRule="auto"/>
        <w:rPr>
          <w:sz w:val="20"/>
          <w:szCs w:val="20"/>
          <w:color w:val="auto"/>
        </w:rPr>
      </w:pPr>
      <w:r>
        <w:rPr>
          <w:rFonts w:ascii="Arial" w:cs="Arial" w:eastAsia="Arial" w:hAnsi="Arial"/>
          <w:sz w:val="16"/>
          <w:szCs w:val="16"/>
          <w:color w:val="auto"/>
        </w:rPr>
        <w:t xml:space="preserve">21.15 If any votes are counted which ought not to have been counted, or might have been rejected, the error shall not vitiate the result of the voting unless it is pointed out at the same meeting, or any adjournment of the meeting, and, in the opinion of the </w:t>
      </w:r>
      <w:r>
        <w:rPr>
          <w:rFonts w:ascii="Arial" w:cs="Arial" w:eastAsia="Arial" w:hAnsi="Arial"/>
          <w:sz w:val="16"/>
          <w:szCs w:val="16"/>
          <w:color w:val="auto"/>
          <w:strike w:val="1"/>
        </w:rPr>
        <w:t>chairman</w:t>
      </w:r>
      <w:r>
        <w:rPr>
          <w:rFonts w:ascii="Arial" w:cs="Arial" w:eastAsia="Arial" w:hAnsi="Arial"/>
          <w:sz w:val="16"/>
          <w:szCs w:val="16"/>
          <w:u w:val="single" w:color="auto"/>
          <w:color w:val="auto"/>
        </w:rPr>
        <w:t>chairperson</w:t>
      </w:r>
      <w:r>
        <w:rPr>
          <w:rFonts w:ascii="Arial" w:cs="Arial" w:eastAsia="Arial" w:hAnsi="Arial"/>
          <w:sz w:val="16"/>
          <w:szCs w:val="16"/>
          <w:color w:val="auto"/>
        </w:rPr>
        <w:t>, it is of sufficient magnitude to vitiate the result of the voting.</w:t>
      </w:r>
    </w:p>
    <w:p>
      <w:pPr>
        <w:spacing w:after="0" w:line="46" w:lineRule="exact"/>
        <w:rPr>
          <w:sz w:val="20"/>
          <w:szCs w:val="20"/>
          <w:color w:val="auto"/>
        </w:rPr>
      </w:pPr>
    </w:p>
    <w:p>
      <w:pPr>
        <w:ind w:left="1200" w:hanging="436"/>
        <w:spacing w:after="0"/>
        <w:tabs>
          <w:tab w:leader="none" w:pos="1200" w:val="left"/>
        </w:tabs>
        <w:numPr>
          <w:ilvl w:val="0"/>
          <w:numId w:val="143"/>
        </w:numPr>
        <w:rPr>
          <w:rFonts w:ascii="Arial" w:cs="Arial" w:eastAsia="Arial" w:hAnsi="Arial"/>
          <w:sz w:val="16"/>
          <w:szCs w:val="16"/>
          <w:b w:val="1"/>
          <w:bCs w:val="1"/>
          <w:color w:val="auto"/>
        </w:rPr>
      </w:pPr>
      <w:r>
        <w:rPr>
          <w:rFonts w:ascii="Arial" w:cs="Arial" w:eastAsia="Arial" w:hAnsi="Arial"/>
          <w:sz w:val="16"/>
          <w:szCs w:val="16"/>
          <w:b w:val="1"/>
          <w:bCs w:val="1"/>
          <w:color w:val="auto"/>
        </w:rPr>
        <w:t>PROXIES AND CORPORATE REPRESENTATIVES</w:t>
      </w:r>
    </w:p>
    <w:p>
      <w:pPr>
        <w:spacing w:after="0" w:line="106" w:lineRule="exact"/>
        <w:rPr>
          <w:sz w:val="20"/>
          <w:szCs w:val="20"/>
          <w:color w:val="auto"/>
        </w:rPr>
      </w:pPr>
    </w:p>
    <w:p>
      <w:pPr>
        <w:ind w:left="1200" w:right="780" w:hanging="431"/>
        <w:spacing w:after="0" w:line="251" w:lineRule="auto"/>
        <w:rPr>
          <w:sz w:val="20"/>
          <w:szCs w:val="20"/>
          <w:color w:val="auto"/>
        </w:rPr>
      </w:pPr>
      <w:r>
        <w:rPr>
          <w:rFonts w:ascii="Arial" w:cs="Arial" w:eastAsia="Arial" w:hAnsi="Arial"/>
          <w:sz w:val="16"/>
          <w:szCs w:val="16"/>
          <w:color w:val="auto"/>
        </w:rPr>
        <w:t xml:space="preserve">22.1 A member is entitled to appoint another person as </w:t>
      </w:r>
      <w:r>
        <w:rPr>
          <w:rFonts w:ascii="Arial" w:cs="Arial" w:eastAsia="Arial" w:hAnsi="Arial"/>
          <w:sz w:val="16"/>
          <w:szCs w:val="16"/>
          <w:color w:val="auto"/>
          <w:strike w:val="1"/>
        </w:rPr>
        <w:t>his</w:t>
      </w:r>
      <w:r>
        <w:rPr>
          <w:rFonts w:ascii="Arial" w:cs="Arial" w:eastAsia="Arial" w:hAnsi="Arial"/>
          <w:sz w:val="16"/>
          <w:szCs w:val="16"/>
          <w:u w:val="single" w:color="auto"/>
          <w:color w:val="auto"/>
        </w:rPr>
        <w:t>their</w:t>
      </w:r>
      <w:r>
        <w:rPr>
          <w:rFonts w:ascii="Arial" w:cs="Arial" w:eastAsia="Arial" w:hAnsi="Arial"/>
          <w:sz w:val="16"/>
          <w:szCs w:val="16"/>
          <w:color w:val="auto"/>
        </w:rPr>
        <w:t xml:space="preserve"> proxy to exercise all or any of </w:t>
      </w:r>
      <w:r>
        <w:rPr>
          <w:rFonts w:ascii="Arial" w:cs="Arial" w:eastAsia="Arial" w:hAnsi="Arial"/>
          <w:sz w:val="16"/>
          <w:szCs w:val="16"/>
          <w:color w:val="auto"/>
          <w:strike w:val="1"/>
        </w:rPr>
        <w:t>his</w:t>
      </w:r>
      <w:r>
        <w:rPr>
          <w:rFonts w:ascii="Arial" w:cs="Arial" w:eastAsia="Arial" w:hAnsi="Arial"/>
          <w:sz w:val="16"/>
          <w:szCs w:val="16"/>
          <w:u w:val="single" w:color="auto"/>
          <w:color w:val="auto"/>
        </w:rPr>
        <w:t>their</w:t>
      </w:r>
      <w:r>
        <w:rPr>
          <w:rFonts w:ascii="Arial" w:cs="Arial" w:eastAsia="Arial" w:hAnsi="Arial"/>
          <w:sz w:val="16"/>
          <w:szCs w:val="16"/>
          <w:color w:val="auto"/>
        </w:rPr>
        <w:t xml:space="preserve"> rights to attend and to speak and vote at a meeting of the Company in respect of the shares to which the proxy appointment relates. The proxy appointment shall, unless it provides to the contrary, be valid for any adjournment of the meeting as well as for the meeting to which it relates. A proxy need not be a member.</w:t>
      </w:r>
    </w:p>
    <w:p>
      <w:pPr>
        <w:spacing w:after="0" w:line="81" w:lineRule="exact"/>
        <w:rPr>
          <w:sz w:val="20"/>
          <w:szCs w:val="20"/>
          <w:color w:val="auto"/>
        </w:rPr>
      </w:pPr>
    </w:p>
    <w:p>
      <w:pPr>
        <w:ind w:left="760"/>
        <w:spacing w:after="0"/>
        <w:rPr>
          <w:sz w:val="20"/>
          <w:szCs w:val="20"/>
          <w:color w:val="auto"/>
        </w:rPr>
      </w:pPr>
      <w:r>
        <w:rPr>
          <w:rFonts w:ascii="Arial" w:cs="Arial" w:eastAsia="Arial" w:hAnsi="Arial"/>
          <w:sz w:val="16"/>
          <w:szCs w:val="16"/>
          <w:color w:val="auto"/>
        </w:rPr>
        <w:t>22.2  The appointment of a proxy shall be:</w:t>
      </w:r>
    </w:p>
    <w:p>
      <w:pPr>
        <w:spacing w:after="0" w:line="86" w:lineRule="exact"/>
        <w:rPr>
          <w:sz w:val="20"/>
          <w:szCs w:val="20"/>
          <w:color w:val="auto"/>
        </w:rPr>
      </w:pPr>
    </w:p>
    <w:p>
      <w:pPr>
        <w:ind w:left="1620" w:right="880" w:hanging="424"/>
        <w:spacing w:after="0" w:line="251" w:lineRule="auto"/>
        <w:tabs>
          <w:tab w:leader="none" w:pos="1620" w:val="left"/>
        </w:tabs>
        <w:numPr>
          <w:ilvl w:val="0"/>
          <w:numId w:val="144"/>
        </w:numPr>
        <w:rPr>
          <w:rFonts w:ascii="Arial" w:cs="Arial" w:eastAsia="Arial" w:hAnsi="Arial"/>
          <w:sz w:val="16"/>
          <w:szCs w:val="16"/>
          <w:color w:val="auto"/>
        </w:rPr>
      </w:pPr>
      <w:r>
        <w:rPr>
          <w:rFonts w:ascii="Arial" w:cs="Arial" w:eastAsia="Arial" w:hAnsi="Arial"/>
          <w:sz w:val="16"/>
          <w:szCs w:val="16"/>
          <w:color w:val="auto"/>
        </w:rPr>
        <w:t>in the case of a proxy relating to shares in the capital of the Company held in the name of a Depositary, in a form or manner of communication approved by the Board, which may include, without limitation, a voter instruction form to be provided to the Company by certain third parties on behalf of the Depositary. Subject thereto, the appointment of a proxy may be:</w:t>
      </w:r>
    </w:p>
    <w:p>
      <w:pPr>
        <w:spacing w:after="0" w:line="80" w:lineRule="exact"/>
        <w:rPr>
          <w:rFonts w:ascii="Arial" w:cs="Arial" w:eastAsia="Arial" w:hAnsi="Arial"/>
          <w:sz w:val="16"/>
          <w:szCs w:val="16"/>
          <w:color w:val="auto"/>
        </w:rPr>
      </w:pPr>
    </w:p>
    <w:p>
      <w:pPr>
        <w:ind w:left="2060" w:hanging="432"/>
        <w:spacing w:after="0"/>
        <w:tabs>
          <w:tab w:leader="none" w:pos="2060" w:val="left"/>
        </w:tabs>
        <w:numPr>
          <w:ilvl w:val="1"/>
          <w:numId w:val="144"/>
        </w:numPr>
        <w:rPr>
          <w:rFonts w:ascii="Arial" w:cs="Arial" w:eastAsia="Arial" w:hAnsi="Arial"/>
          <w:sz w:val="16"/>
          <w:szCs w:val="16"/>
          <w:color w:val="auto"/>
        </w:rPr>
      </w:pPr>
      <w:r>
        <w:rPr>
          <w:rFonts w:ascii="Arial" w:cs="Arial" w:eastAsia="Arial" w:hAnsi="Arial"/>
          <w:sz w:val="16"/>
          <w:szCs w:val="16"/>
          <w:color w:val="auto"/>
        </w:rPr>
        <w:t>in hard copy form; or</w:t>
      </w:r>
    </w:p>
    <w:p>
      <w:pPr>
        <w:spacing w:after="0" w:line="86" w:lineRule="exact"/>
        <w:rPr>
          <w:rFonts w:ascii="Arial" w:cs="Arial" w:eastAsia="Arial" w:hAnsi="Arial"/>
          <w:sz w:val="16"/>
          <w:szCs w:val="16"/>
          <w:color w:val="auto"/>
        </w:rPr>
      </w:pPr>
    </w:p>
    <w:p>
      <w:pPr>
        <w:ind w:left="2060" w:hanging="432"/>
        <w:spacing w:after="0"/>
        <w:tabs>
          <w:tab w:leader="none" w:pos="2060" w:val="left"/>
        </w:tabs>
        <w:numPr>
          <w:ilvl w:val="1"/>
          <w:numId w:val="144"/>
        </w:numPr>
        <w:rPr>
          <w:rFonts w:ascii="Arial" w:cs="Arial" w:eastAsia="Arial" w:hAnsi="Arial"/>
          <w:sz w:val="16"/>
          <w:szCs w:val="16"/>
          <w:color w:val="auto"/>
        </w:rPr>
      </w:pPr>
      <w:r>
        <w:rPr>
          <w:rFonts w:ascii="Arial" w:cs="Arial" w:eastAsia="Arial" w:hAnsi="Arial"/>
          <w:sz w:val="16"/>
          <w:szCs w:val="16"/>
          <w:color w:val="auto"/>
        </w:rPr>
        <w:t>in electronic form, to the electronic address provided by the Company for this purpose; or</w:t>
      </w:r>
    </w:p>
    <w:p>
      <w:pPr>
        <w:spacing w:after="0" w:line="86" w:lineRule="exact"/>
        <w:rPr>
          <w:rFonts w:ascii="Arial" w:cs="Arial" w:eastAsia="Arial" w:hAnsi="Arial"/>
          <w:sz w:val="16"/>
          <w:szCs w:val="16"/>
          <w:color w:val="auto"/>
        </w:rPr>
      </w:pPr>
    </w:p>
    <w:p>
      <w:pPr>
        <w:ind w:left="1620" w:hanging="424"/>
        <w:spacing w:after="0"/>
        <w:tabs>
          <w:tab w:leader="none" w:pos="1620" w:val="left"/>
        </w:tabs>
        <w:numPr>
          <w:ilvl w:val="0"/>
          <w:numId w:val="144"/>
        </w:numPr>
        <w:rPr>
          <w:rFonts w:ascii="Arial" w:cs="Arial" w:eastAsia="Arial" w:hAnsi="Arial"/>
          <w:sz w:val="16"/>
          <w:szCs w:val="16"/>
          <w:color w:val="auto"/>
        </w:rPr>
      </w:pPr>
      <w:r>
        <w:rPr>
          <w:rFonts w:ascii="Arial" w:cs="Arial" w:eastAsia="Arial" w:hAnsi="Arial"/>
          <w:sz w:val="16"/>
          <w:szCs w:val="16"/>
          <w:color w:val="auto"/>
        </w:rPr>
        <w:t>in the case of a proxy relating to the shares to which Article 22.2(a) does not apply:</w:t>
      </w:r>
    </w:p>
    <w:p>
      <w:pPr>
        <w:spacing w:after="0" w:line="99" w:lineRule="exact"/>
        <w:rPr>
          <w:rFonts w:ascii="Arial" w:cs="Arial" w:eastAsia="Arial" w:hAnsi="Arial"/>
          <w:sz w:val="16"/>
          <w:szCs w:val="16"/>
          <w:color w:val="auto"/>
        </w:rPr>
      </w:pPr>
    </w:p>
    <w:p>
      <w:pPr>
        <w:ind w:left="2060" w:right="1220" w:hanging="432"/>
        <w:spacing w:after="0" w:line="260" w:lineRule="auto"/>
        <w:tabs>
          <w:tab w:leader="none" w:pos="2060" w:val="left"/>
        </w:tabs>
        <w:numPr>
          <w:ilvl w:val="1"/>
          <w:numId w:val="144"/>
        </w:numPr>
        <w:rPr>
          <w:rFonts w:ascii="Arial" w:cs="Arial" w:eastAsia="Arial" w:hAnsi="Arial"/>
          <w:sz w:val="16"/>
          <w:szCs w:val="16"/>
          <w:color w:val="auto"/>
        </w:rPr>
      </w:pPr>
      <w:r>
        <w:rPr>
          <w:rFonts w:ascii="Arial" w:cs="Arial" w:eastAsia="Arial" w:hAnsi="Arial"/>
          <w:sz w:val="16"/>
          <w:szCs w:val="16"/>
          <w:color w:val="auto"/>
        </w:rPr>
        <w:t>in any usual form or in any other form or manner of communication which the Board may approve. Subject thereto, the appointment of a proxy may be:</w:t>
      </w:r>
    </w:p>
    <w:p>
      <w:pPr>
        <w:spacing w:after="0" w:line="60" w:lineRule="exact"/>
        <w:rPr>
          <w:rFonts w:ascii="Arial" w:cs="Arial" w:eastAsia="Arial" w:hAnsi="Arial"/>
          <w:sz w:val="16"/>
          <w:szCs w:val="16"/>
          <w:color w:val="auto"/>
        </w:rPr>
      </w:pPr>
    </w:p>
    <w:p>
      <w:pPr>
        <w:ind w:left="2500" w:hanging="440"/>
        <w:spacing w:after="0"/>
        <w:tabs>
          <w:tab w:leader="none" w:pos="2500" w:val="left"/>
        </w:tabs>
        <w:numPr>
          <w:ilvl w:val="2"/>
          <w:numId w:val="144"/>
        </w:numPr>
        <w:rPr>
          <w:rFonts w:ascii="Arial" w:cs="Arial" w:eastAsia="Arial" w:hAnsi="Arial"/>
          <w:sz w:val="16"/>
          <w:szCs w:val="16"/>
          <w:color w:val="auto"/>
        </w:rPr>
      </w:pPr>
      <w:r>
        <w:rPr>
          <w:rFonts w:ascii="Arial" w:cs="Arial" w:eastAsia="Arial" w:hAnsi="Arial"/>
          <w:sz w:val="16"/>
          <w:szCs w:val="16"/>
          <w:color w:val="auto"/>
        </w:rPr>
        <w:t>in hard copy form; or</w:t>
      </w:r>
    </w:p>
    <w:p>
      <w:pPr>
        <w:spacing w:after="0" w:line="99" w:lineRule="exact"/>
        <w:rPr>
          <w:rFonts w:ascii="Arial" w:cs="Arial" w:eastAsia="Arial" w:hAnsi="Arial"/>
          <w:sz w:val="16"/>
          <w:szCs w:val="16"/>
          <w:color w:val="auto"/>
        </w:rPr>
      </w:pPr>
    </w:p>
    <w:p>
      <w:pPr>
        <w:ind w:left="2500" w:hanging="440"/>
        <w:spacing w:after="0"/>
        <w:tabs>
          <w:tab w:leader="none" w:pos="2500" w:val="left"/>
        </w:tabs>
        <w:numPr>
          <w:ilvl w:val="2"/>
          <w:numId w:val="144"/>
        </w:numPr>
        <w:rPr>
          <w:rFonts w:ascii="Arial" w:cs="Arial" w:eastAsia="Arial" w:hAnsi="Arial"/>
          <w:sz w:val="16"/>
          <w:szCs w:val="16"/>
          <w:color w:val="auto"/>
        </w:rPr>
      </w:pPr>
      <w:r>
        <w:rPr>
          <w:rFonts w:ascii="Arial" w:cs="Arial" w:eastAsia="Arial" w:hAnsi="Arial"/>
          <w:sz w:val="16"/>
          <w:szCs w:val="16"/>
          <w:color w:val="auto"/>
        </w:rPr>
        <w:t>in electronic form, to the electronic address provided by the Company for this purpose;</w:t>
      </w:r>
    </w:p>
    <w:p>
      <w:pPr>
        <w:spacing w:after="0" w:line="86" w:lineRule="exact"/>
        <w:rPr>
          <w:sz w:val="20"/>
          <w:szCs w:val="20"/>
          <w:color w:val="auto"/>
        </w:rPr>
      </w:pPr>
    </w:p>
    <w:p>
      <w:pPr>
        <w:ind w:left="1200" w:right="940" w:hanging="431"/>
        <w:spacing w:after="0" w:line="251" w:lineRule="auto"/>
        <w:rPr>
          <w:sz w:val="20"/>
          <w:szCs w:val="20"/>
          <w:color w:val="auto"/>
        </w:rPr>
      </w:pPr>
      <w:r>
        <w:rPr>
          <w:rFonts w:ascii="Arial" w:cs="Arial" w:eastAsia="Arial" w:hAnsi="Arial"/>
          <w:sz w:val="16"/>
          <w:szCs w:val="16"/>
          <w:color w:val="auto"/>
        </w:rPr>
        <w:t xml:space="preserve">22.3 The appointment of a proxy, whether made in hard copy form or in electronic form, shall be executed by or on behalf of the appointor in such manner as the </w:t>
      </w:r>
      <w:r>
        <w:rPr>
          <w:rFonts w:ascii="Arial" w:cs="Arial" w:eastAsia="Arial" w:hAnsi="Arial"/>
          <w:sz w:val="16"/>
          <w:szCs w:val="16"/>
          <w:color w:val="auto"/>
          <w:strike w:val="1"/>
        </w:rPr>
        <w:t>Directors</w:t>
      </w:r>
      <w:r>
        <w:rPr>
          <w:rFonts w:ascii="Arial" w:cs="Arial" w:eastAsia="Arial" w:hAnsi="Arial"/>
          <w:sz w:val="16"/>
          <w:szCs w:val="16"/>
          <w:u w:val="single" w:color="auto"/>
          <w:color w:val="auto"/>
        </w:rPr>
        <w:t>Board</w:t>
      </w:r>
      <w:r>
        <w:rPr>
          <w:rFonts w:ascii="Arial" w:cs="Arial" w:eastAsia="Arial" w:hAnsi="Arial"/>
          <w:sz w:val="16"/>
          <w:szCs w:val="16"/>
          <w:color w:val="auto"/>
        </w:rPr>
        <w:t xml:space="preserve"> may approve, which in the case of a corporation may be either under its common seal or under the hand of a duly authorised officer or other person duly authorised for that purpose or in any other manner authorised by its constitution.</w:t>
      </w:r>
    </w:p>
    <w:p>
      <w:pPr>
        <w:spacing w:after="0" w:line="81" w:lineRule="exact"/>
        <w:rPr>
          <w:sz w:val="20"/>
          <w:szCs w:val="20"/>
          <w:color w:val="auto"/>
        </w:rPr>
      </w:pPr>
    </w:p>
    <w:p>
      <w:pPr>
        <w:ind w:left="760"/>
        <w:spacing w:after="0"/>
        <w:rPr>
          <w:sz w:val="20"/>
          <w:szCs w:val="20"/>
          <w:color w:val="auto"/>
        </w:rPr>
      </w:pPr>
      <w:r>
        <w:rPr>
          <w:rFonts w:ascii="Arial" w:cs="Arial" w:eastAsia="Arial" w:hAnsi="Arial"/>
          <w:sz w:val="16"/>
          <w:szCs w:val="16"/>
          <w:color w:val="auto"/>
        </w:rPr>
        <w:t>22.4  Without limiting these Articles, the Board may in relation to uncertificated shares:</w:t>
      </w:r>
    </w:p>
    <w:p>
      <w:pPr>
        <w:spacing w:after="0" w:line="86" w:lineRule="exact"/>
        <w:rPr>
          <w:sz w:val="20"/>
          <w:szCs w:val="20"/>
          <w:color w:val="auto"/>
        </w:rPr>
      </w:pPr>
    </w:p>
    <w:p>
      <w:pPr>
        <w:ind w:left="1620" w:right="900" w:hanging="424"/>
        <w:spacing w:after="0" w:line="249" w:lineRule="auto"/>
        <w:tabs>
          <w:tab w:leader="none" w:pos="1620" w:val="left"/>
        </w:tabs>
        <w:numPr>
          <w:ilvl w:val="0"/>
          <w:numId w:val="145"/>
        </w:numPr>
        <w:rPr>
          <w:rFonts w:ascii="Arial" w:cs="Arial" w:eastAsia="Arial" w:hAnsi="Arial"/>
          <w:sz w:val="16"/>
          <w:szCs w:val="16"/>
          <w:color w:val="auto"/>
        </w:rPr>
      </w:pPr>
      <w:r>
        <w:rPr>
          <w:rFonts w:ascii="Arial" w:cs="Arial" w:eastAsia="Arial" w:hAnsi="Arial"/>
          <w:sz w:val="16"/>
          <w:szCs w:val="16"/>
          <w:color w:val="auto"/>
        </w:rPr>
        <w:t xml:space="preserve">approve the appointment of a proxy by means of an electronic communication in the form of an “uncertificated proxy instruction” (a properly </w:t>
      </w:r>
      <w:r>
        <w:rPr>
          <w:rFonts w:ascii="Arial" w:cs="Arial" w:eastAsia="Arial" w:hAnsi="Arial"/>
          <w:sz w:val="16"/>
          <w:szCs w:val="16"/>
          <w:color w:val="auto"/>
          <w:strike w:val="1"/>
        </w:rPr>
        <w:t>authorised</w:t>
      </w:r>
      <w:r>
        <w:rPr>
          <w:rFonts w:ascii="Arial" w:cs="Arial" w:eastAsia="Arial" w:hAnsi="Arial"/>
          <w:sz w:val="16"/>
          <w:szCs w:val="16"/>
          <w:u w:val="single" w:color="auto"/>
          <w:color w:val="auto"/>
        </w:rPr>
        <w:t>authenticated</w:t>
      </w:r>
      <w:r>
        <w:rPr>
          <w:rFonts w:ascii="Arial" w:cs="Arial" w:eastAsia="Arial" w:hAnsi="Arial"/>
          <w:sz w:val="16"/>
          <w:szCs w:val="16"/>
          <w:color w:val="auto"/>
        </w:rPr>
        <w:t xml:space="preserve"> dematerialised instruction </w:t>
      </w:r>
      <w:r>
        <w:rPr>
          <w:rFonts w:ascii="Arial" w:cs="Arial" w:eastAsia="Arial" w:hAnsi="Arial"/>
          <w:sz w:val="16"/>
          <w:szCs w:val="16"/>
          <w:u w:val="single" w:color="auto"/>
          <w:color w:val="auto"/>
        </w:rPr>
        <w:t>determined in accordance with the</w:t>
      </w:r>
      <w:r>
        <w:rPr>
          <w:rFonts w:ascii="Arial" w:cs="Arial" w:eastAsia="Arial" w:hAnsi="Arial"/>
          <w:sz w:val="16"/>
          <w:szCs w:val="16"/>
          <w:color w:val="auto"/>
        </w:rPr>
        <w:t xml:space="preserve"> </w:t>
      </w:r>
      <w:r>
        <w:rPr>
          <w:rFonts w:ascii="Arial" w:cs="Arial" w:eastAsia="Arial" w:hAnsi="Arial"/>
          <w:sz w:val="16"/>
          <w:szCs w:val="16"/>
          <w:u w:val="single" w:color="auto"/>
          <w:color w:val="auto"/>
        </w:rPr>
        <w:t>Uncertificated Securities Rules</w:t>
      </w:r>
      <w:r>
        <w:rPr>
          <w:rFonts w:ascii="Arial" w:cs="Arial" w:eastAsia="Arial" w:hAnsi="Arial"/>
          <w:sz w:val="16"/>
          <w:szCs w:val="16"/>
          <w:color w:val="auto"/>
        </w:rPr>
        <w:t xml:space="preserve"> and/or other instruction or notification, which is sent by means of the relevant system and received by such participant in that system acting on behalf of the Company as the Board may prescribe, in such form and subject to such terms and conditions as the Board may prescribe (subject always to the facilities and requirements of the relevant system));</w:t>
      </w:r>
    </w:p>
    <w:p>
      <w:pPr>
        <w:spacing w:after="0" w:line="289" w:lineRule="exact"/>
        <w:rPr>
          <w:sz w:val="20"/>
          <w:szCs w:val="20"/>
          <w:color w:val="auto"/>
        </w:rPr>
      </w:pPr>
    </w:p>
    <w:tbl>
      <w:tblPr>
        <w:tblLayout w:type="fixed"/>
        <w:tblInd w:w="0" w:type="dxa"/>
        <w:tblCellMar>
          <w:top w:w="0" w:type="dxa"/>
          <w:left w:w="0" w:type="dxa"/>
          <w:bottom w:w="0" w:type="dxa"/>
          <w:right w:w="0" w:type="dxa"/>
        </w:tblCellMar>
      </w:tblPr>
      <w:tr>
        <w:trPr>
          <w:trHeight w:val="130"/>
        </w:trPr>
        <w:tc>
          <w:tcPr>
            <w:tcW w:w="800" w:type="dxa"/>
            <w:vAlign w:val="bottom"/>
            <w:vMerge w:val="restart"/>
          </w:tcPr>
          <w:p>
            <w:pPr>
              <w:spacing w:after="0"/>
              <w:rPr>
                <w:sz w:val="11"/>
                <w:szCs w:val="11"/>
                <w:color w:val="auto"/>
              </w:rPr>
            </w:pPr>
          </w:p>
        </w:tc>
        <w:tc>
          <w:tcPr>
            <w:tcW w:w="3060" w:type="dxa"/>
            <w:vAlign w:val="bottom"/>
            <w:tcBorders>
              <w:bottom w:val="single" w:sz="8" w:color="auto"/>
            </w:tcBorders>
          </w:tcPr>
          <w:p>
            <w:pPr>
              <w:spacing w:after="0"/>
              <w:rPr>
                <w:sz w:val="11"/>
                <w:szCs w:val="11"/>
                <w:color w:val="auto"/>
              </w:rPr>
            </w:pPr>
          </w:p>
        </w:tc>
        <w:tc>
          <w:tcPr>
            <w:tcW w:w="2740" w:type="dxa"/>
            <w:vAlign w:val="bottom"/>
            <w:vMerge w:val="restart"/>
          </w:tcPr>
          <w:p>
            <w:pPr>
              <w:ind w:left="380"/>
              <w:spacing w:after="0"/>
              <w:rPr>
                <w:sz w:val="20"/>
                <w:szCs w:val="20"/>
                <w:color w:val="auto"/>
              </w:rPr>
            </w:pPr>
            <w:r>
              <w:rPr>
                <w:rFonts w:ascii="Arial" w:cs="Arial" w:eastAsia="Arial" w:hAnsi="Arial"/>
                <w:sz w:val="13"/>
                <w:szCs w:val="13"/>
                <w:b w:val="1"/>
                <w:bCs w:val="1"/>
                <w:color w:val="4800E6"/>
              </w:rPr>
              <w:t xml:space="preserve">LIVANOVA </w:t>
            </w:r>
            <w:r>
              <w:rPr>
                <w:rFonts w:ascii="Arial" w:cs="Arial" w:eastAsia="Arial" w:hAnsi="Arial"/>
                <w:sz w:val="13"/>
                <w:szCs w:val="13"/>
                <w:color w:val="000000"/>
              </w:rPr>
              <w:t>|</w:t>
            </w:r>
            <w:r>
              <w:rPr>
                <w:rFonts w:ascii="Arial" w:cs="Arial" w:eastAsia="Arial" w:hAnsi="Arial"/>
                <w:sz w:val="13"/>
                <w:szCs w:val="13"/>
                <w:b w:val="1"/>
                <w:bCs w:val="1"/>
                <w:color w:val="4800E6"/>
              </w:rPr>
              <w:t xml:space="preserve"> </w:t>
            </w:r>
            <w:r>
              <w:rPr>
                <w:rFonts w:ascii="Arial" w:cs="Arial" w:eastAsia="Arial" w:hAnsi="Arial"/>
                <w:sz w:val="13"/>
                <w:szCs w:val="13"/>
                <w:color w:val="4800E6"/>
              </w:rPr>
              <w:t>2020</w:t>
            </w:r>
            <w:r>
              <w:rPr>
                <w:rFonts w:ascii="Arial" w:cs="Arial" w:eastAsia="Arial" w:hAnsi="Arial"/>
                <w:sz w:val="13"/>
                <w:szCs w:val="13"/>
                <w:b w:val="1"/>
                <w:bCs w:val="1"/>
                <w:color w:val="4800E6"/>
              </w:rPr>
              <w:t xml:space="preserve"> </w:t>
            </w:r>
            <w:r>
              <w:rPr>
                <w:rFonts w:ascii="Arial" w:cs="Arial" w:eastAsia="Arial" w:hAnsi="Arial"/>
                <w:sz w:val="13"/>
                <w:szCs w:val="13"/>
                <w:color w:val="000000"/>
              </w:rPr>
              <w:t>Proxy Statement</w:t>
            </w:r>
          </w:p>
        </w:tc>
        <w:tc>
          <w:tcPr>
            <w:tcW w:w="3080" w:type="dxa"/>
            <w:vAlign w:val="bottom"/>
            <w:tcBorders>
              <w:bottom w:val="single" w:sz="8" w:color="auto"/>
            </w:tcBorders>
          </w:tcPr>
          <w:p>
            <w:pPr>
              <w:spacing w:after="0"/>
              <w:rPr>
                <w:sz w:val="11"/>
                <w:szCs w:val="11"/>
                <w:color w:val="auto"/>
              </w:rPr>
            </w:pPr>
          </w:p>
        </w:tc>
        <w:tc>
          <w:tcPr>
            <w:tcW w:w="1040" w:type="dxa"/>
            <w:vAlign w:val="bottom"/>
            <w:vMerge w:val="restart"/>
          </w:tcPr>
          <w:p>
            <w:pPr>
              <w:ind w:left="200"/>
              <w:spacing w:after="0"/>
              <w:rPr>
                <w:sz w:val="20"/>
                <w:szCs w:val="20"/>
                <w:color w:val="auto"/>
              </w:rPr>
            </w:pPr>
            <w:r>
              <w:rPr>
                <w:rFonts w:ascii="Arial" w:cs="Arial" w:eastAsia="Arial" w:hAnsi="Arial"/>
                <w:sz w:val="14"/>
                <w:szCs w:val="14"/>
                <w:b w:val="1"/>
                <w:bCs w:val="1"/>
                <w:color w:val="auto"/>
              </w:rPr>
              <w:t>A-19</w:t>
            </w:r>
          </w:p>
        </w:tc>
        <w:tc>
          <w:tcPr>
            <w:tcW w:w="0" w:type="dxa"/>
            <w:vAlign w:val="bottom"/>
          </w:tcPr>
          <w:p>
            <w:pPr>
              <w:spacing w:after="0"/>
              <w:rPr>
                <w:sz w:val="1"/>
                <w:szCs w:val="1"/>
                <w:color w:val="auto"/>
              </w:rPr>
            </w:pPr>
          </w:p>
        </w:tc>
      </w:tr>
      <w:tr>
        <w:trPr>
          <w:trHeight w:val="49"/>
        </w:trPr>
        <w:tc>
          <w:tcPr>
            <w:tcW w:w="800" w:type="dxa"/>
            <w:vAlign w:val="bottom"/>
            <w:vMerge w:val="continue"/>
          </w:tcPr>
          <w:p>
            <w:pPr>
              <w:spacing w:after="0"/>
              <w:rPr>
                <w:sz w:val="4"/>
                <w:szCs w:val="4"/>
                <w:color w:val="auto"/>
              </w:rPr>
            </w:pPr>
          </w:p>
        </w:tc>
        <w:tc>
          <w:tcPr>
            <w:tcW w:w="3060" w:type="dxa"/>
            <w:vAlign w:val="bottom"/>
          </w:tcPr>
          <w:p>
            <w:pPr>
              <w:spacing w:after="0"/>
              <w:rPr>
                <w:sz w:val="4"/>
                <w:szCs w:val="4"/>
                <w:color w:val="auto"/>
              </w:rPr>
            </w:pPr>
          </w:p>
        </w:tc>
        <w:tc>
          <w:tcPr>
            <w:tcW w:w="2740" w:type="dxa"/>
            <w:vAlign w:val="bottom"/>
            <w:vMerge w:val="continue"/>
          </w:tcPr>
          <w:p>
            <w:pPr>
              <w:spacing w:after="0"/>
              <w:rPr>
                <w:sz w:val="4"/>
                <w:szCs w:val="4"/>
                <w:color w:val="auto"/>
              </w:rPr>
            </w:pPr>
          </w:p>
        </w:tc>
        <w:tc>
          <w:tcPr>
            <w:tcW w:w="3080" w:type="dxa"/>
            <w:vAlign w:val="bottom"/>
          </w:tcPr>
          <w:p>
            <w:pPr>
              <w:spacing w:after="0"/>
              <w:rPr>
                <w:sz w:val="4"/>
                <w:szCs w:val="4"/>
                <w:color w:val="auto"/>
              </w:rPr>
            </w:pPr>
          </w:p>
        </w:tc>
        <w:tc>
          <w:tcPr>
            <w:tcW w:w="104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40"/>
        </w:trPr>
        <w:tc>
          <w:tcPr>
            <w:tcW w:w="800" w:type="dxa"/>
            <w:vAlign w:val="bottom"/>
            <w:tcBorders>
              <w:bottom w:val="single" w:sz="8" w:color="9A9A9A"/>
            </w:tcBorders>
          </w:tcPr>
          <w:p>
            <w:pPr>
              <w:spacing w:after="0"/>
              <w:rPr>
                <w:sz w:val="12"/>
                <w:szCs w:val="12"/>
                <w:color w:val="auto"/>
              </w:rPr>
            </w:pPr>
          </w:p>
        </w:tc>
        <w:tc>
          <w:tcPr>
            <w:tcW w:w="3060" w:type="dxa"/>
            <w:vAlign w:val="bottom"/>
            <w:tcBorders>
              <w:bottom w:val="single" w:sz="8" w:color="9A9A9A"/>
            </w:tcBorders>
          </w:tcPr>
          <w:p>
            <w:pPr>
              <w:spacing w:after="0"/>
              <w:rPr>
                <w:sz w:val="12"/>
                <w:szCs w:val="12"/>
                <w:color w:val="auto"/>
              </w:rPr>
            </w:pPr>
          </w:p>
        </w:tc>
        <w:tc>
          <w:tcPr>
            <w:tcW w:w="2740" w:type="dxa"/>
            <w:vAlign w:val="bottom"/>
            <w:tcBorders>
              <w:bottom w:val="single" w:sz="8" w:color="9A9A9A"/>
            </w:tcBorders>
          </w:tcPr>
          <w:p>
            <w:pPr>
              <w:spacing w:after="0"/>
              <w:rPr>
                <w:sz w:val="12"/>
                <w:szCs w:val="12"/>
                <w:color w:val="auto"/>
              </w:rPr>
            </w:pPr>
          </w:p>
        </w:tc>
        <w:tc>
          <w:tcPr>
            <w:tcW w:w="3080" w:type="dxa"/>
            <w:vAlign w:val="bottom"/>
            <w:tcBorders>
              <w:bottom w:val="single" w:sz="8" w:color="9A9A9A"/>
            </w:tcBorders>
          </w:tcPr>
          <w:p>
            <w:pPr>
              <w:spacing w:after="0"/>
              <w:rPr>
                <w:sz w:val="12"/>
                <w:szCs w:val="12"/>
                <w:color w:val="auto"/>
              </w:rPr>
            </w:pPr>
          </w:p>
        </w:tc>
        <w:tc>
          <w:tcPr>
            <w:tcW w:w="1040" w:type="dxa"/>
            <w:vAlign w:val="bottom"/>
            <w:tcBorders>
              <w:bottom w:val="single" w:sz="8" w:color="9A9A9A"/>
            </w:tcBorders>
          </w:tcPr>
          <w:p>
            <w:pPr>
              <w:spacing w:after="0"/>
              <w:rPr>
                <w:sz w:val="12"/>
                <w:szCs w:val="12"/>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6802755</wp:posOffset>
            </wp:positionH>
            <wp:positionV relativeFrom="paragraph">
              <wp:posOffset>-7620</wp:posOffset>
            </wp:positionV>
            <wp:extent cx="8255" cy="8255"/>
            <wp:wrapNone/>
            <wp:docPr id="427" name="Picture 4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7"/>
                    <pic:cNvPicPr>
                      <a:picLocks noChangeAspect="1" noChangeArrowheads="1"/>
                    </pic:cNvPicPr>
                  </pic:nvPicPr>
                  <pic:blipFill>
                    <a:blip r:embed="rId43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wp:posOffset>
            </wp:positionV>
            <wp:extent cx="8890" cy="17145"/>
            <wp:wrapNone/>
            <wp:docPr id="428" name="Picture 4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8"/>
                    <pic:cNvPicPr>
                      <a:picLocks noChangeAspect="1" noChangeArrowheads="1"/>
                    </pic:cNvPicPr>
                  </pic:nvPicPr>
                  <pic:blipFill>
                    <a:blip r:embed="rId435">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sectPr>
          <w:pgSz w:w="11900" w:h="16838" w:orient="portrait"/>
          <w:cols w:equalWidth="0" w:num="1">
            <w:col w:w="10720"/>
          </w:cols>
          <w:pgMar w:left="320" w:top="131" w:right="859" w:bottom="1440" w:gutter="0" w:footer="0" w:header="0"/>
        </w:sectPr>
      </w:pPr>
    </w:p>
    <w:bookmarkStart w:id="98" w:name="page99"/>
    <w:bookmarkEnd w:id="98"/>
    <w:p>
      <w:pPr>
        <w:spacing w:after="0"/>
        <w:rPr>
          <w:rFonts w:ascii="Arial" w:cs="Arial" w:eastAsia="Arial" w:hAnsi="Arial"/>
          <w:sz w:val="14"/>
          <w:szCs w:val="14"/>
          <w:color w:val="003366"/>
        </w:rPr>
      </w:pPr>
      <w:hyperlink w:anchor="page77">
        <w:r>
          <w:rPr>
            <w:rFonts w:ascii="Arial" w:cs="Arial" w:eastAsia="Arial" w:hAnsi="Arial"/>
            <w:sz w:val="14"/>
            <w:szCs w:val="14"/>
            <w:color w:val="003366"/>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485140</wp:posOffset>
            </wp:positionH>
            <wp:positionV relativeFrom="paragraph">
              <wp:posOffset>357505</wp:posOffset>
            </wp:positionV>
            <wp:extent cx="5829300" cy="8255"/>
            <wp:wrapNone/>
            <wp:docPr id="429" name="Picture 4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9"/>
                    <pic:cNvPicPr>
                      <a:picLocks noChangeAspect="1" noChangeArrowheads="1"/>
                    </pic:cNvPicPr>
                  </pic:nvPicPr>
                  <pic:blipFill>
                    <a:blip r:embed="rId436">
                      <a:extLst>
                        <a:ext uri="{28A0092B-C50C-407E-A947-70E740481C1C}"/>
                      </a:extLst>
                    </a:blip>
                    <a:srcRect/>
                    <a:stretch>
                      <a:fillRect/>
                    </a:stretch>
                  </pic:blipFill>
                  <pic:spPr bwMode="auto">
                    <a:xfrm>
                      <a:off x="0" y="0"/>
                      <a:ext cx="5829300" cy="8255"/>
                    </a:xfrm>
                    <a:prstGeom prst="rect">
                      <a:avLst/>
                    </a:prstGeom>
                    <a:noFill/>
                  </pic:spPr>
                </pic:pic>
              </a:graphicData>
            </a:graphic>
          </wp:anchor>
        </w:drawing>
      </w:r>
    </w:p>
    <w:p>
      <w:pPr>
        <w:sectPr>
          <w:pgSz w:w="11900" w:h="16838" w:orient="portrait"/>
          <w:cols w:equalWidth="0" w:num="1">
            <w:col w:w="10139"/>
          </w:cols>
          <w:pgMar w:left="320" w:top="131"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p>
      <w:pPr>
        <w:ind w:left="1620" w:right="599" w:hanging="424"/>
        <w:spacing w:after="0" w:line="260" w:lineRule="auto"/>
        <w:tabs>
          <w:tab w:leader="none" w:pos="1620" w:val="left"/>
        </w:tabs>
        <w:numPr>
          <w:ilvl w:val="0"/>
          <w:numId w:val="146"/>
        </w:numPr>
        <w:rPr>
          <w:rFonts w:ascii="Arial" w:cs="Arial" w:eastAsia="Arial" w:hAnsi="Arial"/>
          <w:sz w:val="16"/>
          <w:szCs w:val="16"/>
          <w:color w:val="auto"/>
        </w:rPr>
      </w:pPr>
      <w:r>
        <w:rPr>
          <w:rFonts w:ascii="Arial" w:cs="Arial" w:eastAsia="Arial" w:hAnsi="Arial"/>
          <w:sz w:val="16"/>
          <w:szCs w:val="16"/>
          <w:color w:val="auto"/>
        </w:rPr>
        <w:t>approve supplements to, or amendments or revocations of, any such uncertificated proxy instruction by the same means; and</w:t>
      </w:r>
    </w:p>
    <w:p>
      <w:pPr>
        <w:spacing w:after="0" w:line="73" w:lineRule="exact"/>
        <w:rPr>
          <w:rFonts w:ascii="Arial" w:cs="Arial" w:eastAsia="Arial" w:hAnsi="Arial"/>
          <w:sz w:val="16"/>
          <w:szCs w:val="16"/>
          <w:color w:val="auto"/>
        </w:rPr>
      </w:pPr>
    </w:p>
    <w:p>
      <w:pPr>
        <w:ind w:left="1620" w:right="259" w:hanging="424"/>
        <w:spacing w:after="0" w:line="251" w:lineRule="auto"/>
        <w:tabs>
          <w:tab w:leader="none" w:pos="1620" w:val="left"/>
        </w:tabs>
        <w:numPr>
          <w:ilvl w:val="0"/>
          <w:numId w:val="146"/>
        </w:numPr>
        <w:rPr>
          <w:rFonts w:ascii="Arial" w:cs="Arial" w:eastAsia="Arial" w:hAnsi="Arial"/>
          <w:sz w:val="16"/>
          <w:szCs w:val="16"/>
          <w:color w:val="auto"/>
        </w:rPr>
      </w:pPr>
      <w:r>
        <w:rPr>
          <w:rFonts w:ascii="Arial" w:cs="Arial" w:eastAsia="Arial" w:hAnsi="Arial"/>
          <w:sz w:val="16"/>
          <w:szCs w:val="16"/>
          <w:color w:val="auto"/>
        </w:rPr>
        <w:t>prescribe the method of determining the time at which any such uncertificated proxy instruction is to be treated as received by the Company or such participant and may treat any such uncertificated proxy instruction which purports to be or is expressed to be sent on behalf of the holder of a share as sufficient evidence of the authority of the person sending that instruction to send it on behalf of that holder.</w:t>
      </w:r>
    </w:p>
    <w:p>
      <w:pPr>
        <w:spacing w:after="0" w:line="61" w:lineRule="exact"/>
        <w:rPr>
          <w:sz w:val="20"/>
          <w:szCs w:val="20"/>
          <w:color w:val="auto"/>
        </w:rPr>
      </w:pPr>
    </w:p>
    <w:p>
      <w:pPr>
        <w:ind w:left="1200" w:right="899"/>
        <w:spacing w:after="0" w:line="286" w:lineRule="auto"/>
        <w:rPr>
          <w:sz w:val="20"/>
          <w:szCs w:val="20"/>
          <w:color w:val="auto"/>
        </w:rPr>
      </w:pPr>
      <w:r>
        <w:rPr>
          <w:rFonts w:ascii="Arial" w:cs="Arial" w:eastAsia="Arial" w:hAnsi="Arial"/>
          <w:sz w:val="16"/>
          <w:szCs w:val="16"/>
          <w:color w:val="auto"/>
          <w:strike w:val="1"/>
        </w:rPr>
        <w:t>The term</w:t>
      </w:r>
      <w:r>
        <w:rPr>
          <w:rFonts w:ascii="Arial" w:cs="Arial" w:eastAsia="Arial" w:hAnsi="Arial"/>
          <w:sz w:val="16"/>
          <w:szCs w:val="16"/>
          <w:color w:val="auto"/>
        </w:rPr>
        <w:t xml:space="preserve"> “</w:t>
      </w:r>
      <w:r>
        <w:rPr>
          <w:rFonts w:ascii="Arial" w:cs="Arial" w:eastAsia="Arial" w:hAnsi="Arial"/>
          <w:sz w:val="16"/>
          <w:szCs w:val="16"/>
          <w:b w:val="1"/>
          <w:bCs w:val="1"/>
          <w:color w:val="auto"/>
          <w:strike w:val="1"/>
        </w:rPr>
        <w:t>properly authenticated dematerialised instruction</w:t>
      </w:r>
      <w:r>
        <w:rPr>
          <w:rFonts w:ascii="Arial" w:cs="Arial" w:eastAsia="Arial" w:hAnsi="Arial"/>
          <w:sz w:val="16"/>
          <w:szCs w:val="16"/>
          <w:color w:val="auto"/>
        </w:rPr>
        <w:t xml:space="preserve">” </w:t>
      </w:r>
      <w:r>
        <w:rPr>
          <w:rFonts w:ascii="Arial" w:cs="Arial" w:eastAsia="Arial" w:hAnsi="Arial"/>
          <w:sz w:val="16"/>
          <w:szCs w:val="16"/>
          <w:color w:val="auto"/>
          <w:strike w:val="1"/>
        </w:rPr>
        <w:t>shall have the meaning given in the Uncertificated</w:t>
      </w:r>
      <w:r>
        <w:rPr>
          <w:rFonts w:ascii="Arial" w:cs="Arial" w:eastAsia="Arial" w:hAnsi="Arial"/>
          <w:sz w:val="16"/>
          <w:szCs w:val="16"/>
          <w:color w:val="auto"/>
        </w:rPr>
        <w:t xml:space="preserve"> </w:t>
      </w:r>
      <w:r>
        <w:rPr>
          <w:rFonts w:ascii="Arial" w:cs="Arial" w:eastAsia="Arial" w:hAnsi="Arial"/>
          <w:sz w:val="16"/>
          <w:szCs w:val="16"/>
          <w:color w:val="auto"/>
          <w:strike w:val="1"/>
        </w:rPr>
        <w:t>Securities Rules.</w:t>
      </w:r>
    </w:p>
    <w:p>
      <w:pPr>
        <w:spacing w:after="0" w:line="41" w:lineRule="exact"/>
        <w:rPr>
          <w:sz w:val="20"/>
          <w:szCs w:val="20"/>
          <w:color w:val="auto"/>
        </w:rPr>
      </w:pPr>
    </w:p>
    <w:p>
      <w:pPr>
        <w:ind w:left="1200" w:right="219" w:hanging="431"/>
        <w:spacing w:after="0" w:line="248" w:lineRule="auto"/>
        <w:rPr>
          <w:sz w:val="20"/>
          <w:szCs w:val="20"/>
          <w:color w:val="auto"/>
        </w:rPr>
      </w:pPr>
      <w:r>
        <w:rPr>
          <w:rFonts w:ascii="Arial" w:cs="Arial" w:eastAsia="Arial" w:hAnsi="Arial"/>
          <w:sz w:val="16"/>
          <w:szCs w:val="16"/>
          <w:color w:val="auto"/>
        </w:rPr>
        <w:t>22.5 The Board may, if it thinks fit, but subject to the provisions of the Companies Act, at the Company’s expense (with or without provision for their return prepaid) send hard copy forms of proxy for use at the meeting, or at any separate meeting of the holders of any class of shares, and issue invitations in electronic form to appoint a proxy in relation to the meeting in such form as may be approved by the Board. If, for the purpose of any meeting appointments of proxy or invitations to appoint as proxy a person or one of a number of persons specified in the invitations are issued at the Company’s expense, they shall be issued to all (and not to some only) of the members entitled to be sent a notice of the meeting and to vote at it. The accidental omission or the failure due to circumstances beyond the Company’s control, to send or make available such an appointment of proxy or give such an invitation to, or the non-receipt thereof by, any member entitled to attend and vote, at a meeting shall not invalidate the proceedings at that meeting.</w:t>
      </w:r>
    </w:p>
    <w:p>
      <w:pPr>
        <w:spacing w:after="0" w:line="84" w:lineRule="exact"/>
        <w:rPr>
          <w:sz w:val="20"/>
          <w:szCs w:val="20"/>
          <w:color w:val="auto"/>
        </w:rPr>
      </w:pPr>
    </w:p>
    <w:p>
      <w:pPr>
        <w:ind w:left="1200" w:right="319" w:hanging="431"/>
        <w:spacing w:after="0" w:line="251" w:lineRule="auto"/>
        <w:rPr>
          <w:sz w:val="20"/>
          <w:szCs w:val="20"/>
          <w:color w:val="auto"/>
        </w:rPr>
      </w:pPr>
      <w:r>
        <w:rPr>
          <w:rFonts w:ascii="Arial" w:cs="Arial" w:eastAsia="Arial" w:hAnsi="Arial"/>
          <w:sz w:val="16"/>
          <w:szCs w:val="16"/>
          <w:color w:val="auto"/>
        </w:rPr>
        <w:t>22.6 The appointment of a proxy shall not preclude a member from attending and voting in person at the meeting or poll concerned. A member may appoint more than one proxy to attend on the same occasion, provided that each such proxy is appointed to exercise the rights attached to a different share or shares held by that member. References in these Articles to an appointment of proxy include references to an appointment of multiple proxies.</w:t>
      </w:r>
    </w:p>
    <w:p>
      <w:pPr>
        <w:spacing w:after="0" w:line="67" w:lineRule="exact"/>
        <w:rPr>
          <w:sz w:val="20"/>
          <w:szCs w:val="20"/>
          <w:color w:val="auto"/>
        </w:rPr>
      </w:pPr>
    </w:p>
    <w:p>
      <w:pPr>
        <w:ind w:left="760"/>
        <w:spacing w:after="0"/>
        <w:rPr>
          <w:sz w:val="20"/>
          <w:szCs w:val="20"/>
          <w:color w:val="auto"/>
        </w:rPr>
      </w:pPr>
      <w:r>
        <w:rPr>
          <w:rFonts w:ascii="Arial" w:cs="Arial" w:eastAsia="Arial" w:hAnsi="Arial"/>
          <w:sz w:val="16"/>
          <w:szCs w:val="16"/>
          <w:color w:val="auto"/>
        </w:rPr>
        <w:t>22.7  Without prejudice to Article 18.14(b) or the second sentence of Article 18.18, the appointment of a proxy shall:</w:t>
      </w:r>
    </w:p>
    <w:p>
      <w:pPr>
        <w:spacing w:after="0" w:line="100" w:lineRule="exact"/>
        <w:rPr>
          <w:sz w:val="20"/>
          <w:szCs w:val="20"/>
          <w:color w:val="auto"/>
        </w:rPr>
      </w:pPr>
    </w:p>
    <w:p>
      <w:pPr>
        <w:ind w:left="1620" w:right="479" w:hanging="424"/>
        <w:spacing w:after="0" w:line="260" w:lineRule="auto"/>
        <w:tabs>
          <w:tab w:leader="none" w:pos="1620" w:val="left"/>
        </w:tabs>
        <w:numPr>
          <w:ilvl w:val="0"/>
          <w:numId w:val="147"/>
        </w:numPr>
        <w:rPr>
          <w:rFonts w:ascii="Arial" w:cs="Arial" w:eastAsia="Arial" w:hAnsi="Arial"/>
          <w:sz w:val="16"/>
          <w:szCs w:val="16"/>
          <w:color w:val="auto"/>
        </w:rPr>
      </w:pPr>
      <w:r>
        <w:rPr>
          <w:rFonts w:ascii="Arial" w:cs="Arial" w:eastAsia="Arial" w:hAnsi="Arial"/>
          <w:sz w:val="16"/>
          <w:szCs w:val="16"/>
          <w:color w:val="auto"/>
        </w:rPr>
        <w:t>if in hard copy form, be delivered by hand or by post to the Office or such other place within the United Kingdom as may be specified by or on behalf of the Company for that purpose:</w:t>
      </w:r>
    </w:p>
    <w:p>
      <w:pPr>
        <w:spacing w:after="0" w:line="60" w:lineRule="exact"/>
        <w:rPr>
          <w:rFonts w:ascii="Arial" w:cs="Arial" w:eastAsia="Arial" w:hAnsi="Arial"/>
          <w:sz w:val="16"/>
          <w:szCs w:val="16"/>
          <w:color w:val="auto"/>
        </w:rPr>
      </w:pPr>
    </w:p>
    <w:p>
      <w:pPr>
        <w:ind w:left="2060" w:hanging="432"/>
        <w:spacing w:after="0"/>
        <w:tabs>
          <w:tab w:leader="none" w:pos="2060" w:val="left"/>
        </w:tabs>
        <w:numPr>
          <w:ilvl w:val="1"/>
          <w:numId w:val="147"/>
        </w:numPr>
        <w:rPr>
          <w:rFonts w:ascii="Arial" w:cs="Arial" w:eastAsia="Arial" w:hAnsi="Arial"/>
          <w:sz w:val="16"/>
          <w:szCs w:val="16"/>
          <w:color w:val="auto"/>
        </w:rPr>
      </w:pPr>
      <w:r>
        <w:rPr>
          <w:rFonts w:ascii="Arial" w:cs="Arial" w:eastAsia="Arial" w:hAnsi="Arial"/>
          <w:sz w:val="16"/>
          <w:szCs w:val="16"/>
          <w:color w:val="auto"/>
        </w:rPr>
        <w:t>in the notice convening the meeting; or</w:t>
      </w:r>
    </w:p>
    <w:p>
      <w:pPr>
        <w:spacing w:after="0" w:line="99" w:lineRule="exact"/>
        <w:rPr>
          <w:rFonts w:ascii="Arial" w:cs="Arial" w:eastAsia="Arial" w:hAnsi="Arial"/>
          <w:sz w:val="16"/>
          <w:szCs w:val="16"/>
          <w:color w:val="auto"/>
        </w:rPr>
      </w:pPr>
    </w:p>
    <w:p>
      <w:pPr>
        <w:ind w:left="2060" w:hanging="432"/>
        <w:spacing w:after="0"/>
        <w:tabs>
          <w:tab w:leader="none" w:pos="2060" w:val="left"/>
        </w:tabs>
        <w:numPr>
          <w:ilvl w:val="1"/>
          <w:numId w:val="147"/>
        </w:numPr>
        <w:rPr>
          <w:rFonts w:ascii="Arial" w:cs="Arial" w:eastAsia="Arial" w:hAnsi="Arial"/>
          <w:sz w:val="16"/>
          <w:szCs w:val="16"/>
          <w:color w:val="auto"/>
        </w:rPr>
      </w:pPr>
      <w:r>
        <w:rPr>
          <w:rFonts w:ascii="Arial" w:cs="Arial" w:eastAsia="Arial" w:hAnsi="Arial"/>
          <w:sz w:val="16"/>
          <w:szCs w:val="16"/>
          <w:color w:val="auto"/>
        </w:rPr>
        <w:t>in any form of proxy sent by or on behalf of the Company in relation to the meeting,</w:t>
      </w:r>
    </w:p>
    <w:p>
      <w:pPr>
        <w:spacing w:after="0" w:line="86" w:lineRule="exact"/>
        <w:rPr>
          <w:sz w:val="20"/>
          <w:szCs w:val="20"/>
          <w:color w:val="auto"/>
        </w:rPr>
      </w:pPr>
    </w:p>
    <w:p>
      <w:pPr>
        <w:ind w:left="1840" w:right="979"/>
        <w:spacing w:after="0" w:line="260" w:lineRule="auto"/>
        <w:rPr>
          <w:sz w:val="20"/>
          <w:szCs w:val="20"/>
          <w:color w:val="auto"/>
        </w:rPr>
      </w:pPr>
      <w:r>
        <w:rPr>
          <w:rFonts w:ascii="Arial" w:cs="Arial" w:eastAsia="Arial" w:hAnsi="Arial"/>
          <w:sz w:val="16"/>
          <w:szCs w:val="16"/>
          <w:color w:val="auto"/>
        </w:rPr>
        <w:t>by the time specified by the Board (as the Board may determine, in compliance with the provisions of the Companies Act) in any such notice or form of proxy; and</w:t>
      </w:r>
    </w:p>
    <w:p>
      <w:pPr>
        <w:spacing w:after="0" w:line="74" w:lineRule="exact"/>
        <w:rPr>
          <w:sz w:val="20"/>
          <w:szCs w:val="20"/>
          <w:color w:val="auto"/>
        </w:rPr>
      </w:pPr>
    </w:p>
    <w:p>
      <w:pPr>
        <w:ind w:left="1200" w:right="439" w:hanging="436"/>
        <w:spacing w:after="0" w:line="253" w:lineRule="auto"/>
        <w:tabs>
          <w:tab w:leader="none" w:pos="1200" w:val="left"/>
        </w:tabs>
        <w:numPr>
          <w:ilvl w:val="0"/>
          <w:numId w:val="148"/>
        </w:numPr>
        <w:rPr>
          <w:rFonts w:ascii="Arial" w:cs="Arial" w:eastAsia="Arial" w:hAnsi="Arial"/>
          <w:sz w:val="16"/>
          <w:szCs w:val="16"/>
          <w:color w:val="auto"/>
        </w:rPr>
      </w:pPr>
      <w:r>
        <w:rPr>
          <w:rFonts w:ascii="Arial" w:cs="Arial" w:eastAsia="Arial" w:hAnsi="Arial"/>
          <w:sz w:val="16"/>
          <w:szCs w:val="16"/>
          <w:color w:val="auto"/>
        </w:rPr>
        <w:t>if in electronic form, be received at the electronic address to which the appointment of a proxy may be sent by electronic means pursuant to a provision of the Companies Act or to any other address specified by or on behalf of the Company for the purpose of receiving the appointment of a proxy in electronic form:</w:t>
      </w:r>
    </w:p>
    <w:p>
      <w:pPr>
        <w:spacing w:after="0" w:line="79" w:lineRule="exact"/>
        <w:rPr>
          <w:rFonts w:ascii="Arial" w:cs="Arial" w:eastAsia="Arial" w:hAnsi="Arial"/>
          <w:sz w:val="16"/>
          <w:szCs w:val="16"/>
          <w:color w:val="auto"/>
        </w:rPr>
      </w:pPr>
    </w:p>
    <w:p>
      <w:pPr>
        <w:ind w:left="2060" w:hanging="432"/>
        <w:spacing w:after="0"/>
        <w:tabs>
          <w:tab w:leader="none" w:pos="2060" w:val="left"/>
        </w:tabs>
        <w:numPr>
          <w:ilvl w:val="1"/>
          <w:numId w:val="148"/>
        </w:numPr>
        <w:rPr>
          <w:rFonts w:ascii="Arial" w:cs="Arial" w:eastAsia="Arial" w:hAnsi="Arial"/>
          <w:sz w:val="16"/>
          <w:szCs w:val="16"/>
          <w:color w:val="auto"/>
        </w:rPr>
      </w:pPr>
      <w:r>
        <w:rPr>
          <w:rFonts w:ascii="Arial" w:cs="Arial" w:eastAsia="Arial" w:hAnsi="Arial"/>
          <w:sz w:val="16"/>
          <w:szCs w:val="16"/>
          <w:color w:val="auto"/>
        </w:rPr>
        <w:t>in the notice convening the meeting;</w:t>
      </w:r>
    </w:p>
    <w:p>
      <w:pPr>
        <w:spacing w:after="0" w:line="86" w:lineRule="exact"/>
        <w:rPr>
          <w:rFonts w:ascii="Arial" w:cs="Arial" w:eastAsia="Arial" w:hAnsi="Arial"/>
          <w:sz w:val="16"/>
          <w:szCs w:val="16"/>
          <w:color w:val="auto"/>
        </w:rPr>
      </w:pPr>
    </w:p>
    <w:p>
      <w:pPr>
        <w:ind w:left="2060" w:hanging="432"/>
        <w:spacing w:after="0"/>
        <w:tabs>
          <w:tab w:leader="none" w:pos="2060" w:val="left"/>
        </w:tabs>
        <w:numPr>
          <w:ilvl w:val="1"/>
          <w:numId w:val="148"/>
        </w:numPr>
        <w:rPr>
          <w:rFonts w:ascii="Arial" w:cs="Arial" w:eastAsia="Arial" w:hAnsi="Arial"/>
          <w:sz w:val="16"/>
          <w:szCs w:val="16"/>
          <w:color w:val="auto"/>
        </w:rPr>
      </w:pPr>
      <w:r>
        <w:rPr>
          <w:rFonts w:ascii="Arial" w:cs="Arial" w:eastAsia="Arial" w:hAnsi="Arial"/>
          <w:sz w:val="16"/>
          <w:szCs w:val="16"/>
          <w:color w:val="auto"/>
        </w:rPr>
        <w:t>in any form of proxy sent by or on behalf of the Company in relation to the meeting;</w:t>
      </w:r>
    </w:p>
    <w:p>
      <w:pPr>
        <w:spacing w:after="0" w:line="99" w:lineRule="exact"/>
        <w:rPr>
          <w:rFonts w:ascii="Arial" w:cs="Arial" w:eastAsia="Arial" w:hAnsi="Arial"/>
          <w:sz w:val="16"/>
          <w:szCs w:val="16"/>
          <w:color w:val="auto"/>
        </w:rPr>
      </w:pPr>
    </w:p>
    <w:p>
      <w:pPr>
        <w:ind w:left="2060" w:hanging="432"/>
        <w:spacing w:after="0"/>
        <w:tabs>
          <w:tab w:leader="none" w:pos="2060" w:val="left"/>
        </w:tabs>
        <w:numPr>
          <w:ilvl w:val="1"/>
          <w:numId w:val="148"/>
        </w:numPr>
        <w:rPr>
          <w:rFonts w:ascii="Arial" w:cs="Arial" w:eastAsia="Arial" w:hAnsi="Arial"/>
          <w:sz w:val="16"/>
          <w:szCs w:val="16"/>
          <w:color w:val="auto"/>
        </w:rPr>
      </w:pPr>
      <w:r>
        <w:rPr>
          <w:rFonts w:ascii="Arial" w:cs="Arial" w:eastAsia="Arial" w:hAnsi="Arial"/>
          <w:sz w:val="16"/>
          <w:szCs w:val="16"/>
          <w:color w:val="auto"/>
        </w:rPr>
        <w:t>in any invitation to appoint a proxy issued by the Company in relation to the meeting; or</w:t>
      </w:r>
    </w:p>
    <w:p>
      <w:pPr>
        <w:spacing w:after="0" w:line="99" w:lineRule="exact"/>
        <w:rPr>
          <w:rFonts w:ascii="Arial" w:cs="Arial" w:eastAsia="Arial" w:hAnsi="Arial"/>
          <w:sz w:val="16"/>
          <w:szCs w:val="16"/>
          <w:color w:val="auto"/>
        </w:rPr>
      </w:pPr>
    </w:p>
    <w:p>
      <w:pPr>
        <w:ind w:left="2060" w:hanging="432"/>
        <w:spacing w:after="0"/>
        <w:tabs>
          <w:tab w:leader="none" w:pos="2060" w:val="left"/>
        </w:tabs>
        <w:numPr>
          <w:ilvl w:val="1"/>
          <w:numId w:val="148"/>
        </w:numPr>
        <w:rPr>
          <w:rFonts w:ascii="Arial" w:cs="Arial" w:eastAsia="Arial" w:hAnsi="Arial"/>
          <w:sz w:val="16"/>
          <w:szCs w:val="16"/>
          <w:color w:val="auto"/>
        </w:rPr>
      </w:pPr>
      <w:r>
        <w:rPr>
          <w:rFonts w:ascii="Arial" w:cs="Arial" w:eastAsia="Arial" w:hAnsi="Arial"/>
          <w:sz w:val="16"/>
          <w:szCs w:val="16"/>
          <w:color w:val="auto"/>
        </w:rPr>
        <w:t>on a website that is maintained by or on behalf of the Company and identifies the Company,</w:t>
      </w:r>
    </w:p>
    <w:p>
      <w:pPr>
        <w:spacing w:after="0" w:line="86" w:lineRule="exact"/>
        <w:rPr>
          <w:sz w:val="20"/>
          <w:szCs w:val="20"/>
          <w:color w:val="auto"/>
        </w:rPr>
      </w:pPr>
    </w:p>
    <w:p>
      <w:pPr>
        <w:ind w:left="1620" w:right="339"/>
        <w:spacing w:after="0" w:line="260" w:lineRule="auto"/>
        <w:rPr>
          <w:sz w:val="20"/>
          <w:szCs w:val="20"/>
          <w:color w:val="auto"/>
        </w:rPr>
      </w:pPr>
      <w:r>
        <w:rPr>
          <w:rFonts w:ascii="Arial" w:cs="Arial" w:eastAsia="Arial" w:hAnsi="Arial"/>
          <w:sz w:val="16"/>
          <w:szCs w:val="16"/>
          <w:color w:val="auto"/>
        </w:rPr>
        <w:t>by the time specified by the Board (as the Board may determine, in compliance with the provisions of the Companies Act) in any such method of notification.</w:t>
      </w:r>
    </w:p>
    <w:p>
      <w:pPr>
        <w:spacing w:after="0" w:line="74" w:lineRule="exact"/>
        <w:rPr>
          <w:sz w:val="20"/>
          <w:szCs w:val="20"/>
          <w:color w:val="auto"/>
        </w:rPr>
      </w:pPr>
    </w:p>
    <w:p>
      <w:pPr>
        <w:ind w:left="1620" w:right="239"/>
        <w:spacing w:after="0" w:line="260" w:lineRule="auto"/>
        <w:rPr>
          <w:sz w:val="20"/>
          <w:szCs w:val="20"/>
          <w:color w:val="auto"/>
        </w:rPr>
      </w:pPr>
      <w:r>
        <w:rPr>
          <w:rFonts w:ascii="Arial" w:cs="Arial" w:eastAsia="Arial" w:hAnsi="Arial"/>
          <w:sz w:val="16"/>
          <w:szCs w:val="16"/>
          <w:color w:val="auto"/>
        </w:rPr>
        <w:t>The Board may specify, when determining the dates by which proxies are to be lodged, that no account need be taken of any part of a day that is not a working day.</w:t>
      </w:r>
    </w:p>
    <w:p>
      <w:pPr>
        <w:spacing w:after="0" w:line="60" w:lineRule="exact"/>
        <w:rPr>
          <w:sz w:val="20"/>
          <w:szCs w:val="20"/>
          <w:color w:val="auto"/>
        </w:rPr>
      </w:pPr>
    </w:p>
    <w:p>
      <w:pPr>
        <w:ind w:left="1200" w:right="339" w:hanging="431"/>
        <w:spacing w:after="0" w:line="260" w:lineRule="auto"/>
        <w:rPr>
          <w:sz w:val="20"/>
          <w:szCs w:val="20"/>
          <w:color w:val="auto"/>
        </w:rPr>
      </w:pPr>
      <w:r>
        <w:rPr>
          <w:rFonts w:ascii="Arial" w:cs="Arial" w:eastAsia="Arial" w:hAnsi="Arial"/>
          <w:sz w:val="16"/>
          <w:szCs w:val="16"/>
          <w:color w:val="auto"/>
        </w:rPr>
        <w:t>22.8 Subject to the provisions of the Companies Act, where the appointment of a proxy is expressed to have been or purports to have been sent or supplied by a person on behalf of a holder:</w:t>
      </w:r>
    </w:p>
    <w:p>
      <w:pPr>
        <w:spacing w:after="0" w:line="74" w:lineRule="exact"/>
        <w:rPr>
          <w:sz w:val="20"/>
          <w:szCs w:val="20"/>
          <w:color w:val="auto"/>
        </w:rPr>
      </w:pPr>
    </w:p>
    <w:p>
      <w:pPr>
        <w:ind w:left="1620" w:right="219" w:hanging="424"/>
        <w:spacing w:after="0" w:line="260" w:lineRule="auto"/>
        <w:tabs>
          <w:tab w:leader="none" w:pos="1620" w:val="left"/>
        </w:tabs>
        <w:numPr>
          <w:ilvl w:val="0"/>
          <w:numId w:val="149"/>
        </w:numPr>
        <w:rPr>
          <w:rFonts w:ascii="Arial" w:cs="Arial" w:eastAsia="Arial" w:hAnsi="Arial"/>
          <w:sz w:val="16"/>
          <w:szCs w:val="16"/>
          <w:color w:val="auto"/>
        </w:rPr>
      </w:pPr>
      <w:r>
        <w:rPr>
          <w:rFonts w:ascii="Arial" w:cs="Arial" w:eastAsia="Arial" w:hAnsi="Arial"/>
          <w:sz w:val="16"/>
          <w:szCs w:val="16"/>
          <w:color w:val="auto"/>
        </w:rPr>
        <w:t>the Company may treat the appointment as sufficient evidence of that person’s authority to execute the appointment of proxy on behalf of that member; and</w:t>
      </w:r>
    </w:p>
    <w:p>
      <w:pPr>
        <w:spacing w:after="0" w:line="73" w:lineRule="exact"/>
        <w:rPr>
          <w:rFonts w:ascii="Arial" w:cs="Arial" w:eastAsia="Arial" w:hAnsi="Arial"/>
          <w:sz w:val="16"/>
          <w:szCs w:val="16"/>
          <w:color w:val="auto"/>
        </w:rPr>
      </w:pPr>
    </w:p>
    <w:p>
      <w:pPr>
        <w:ind w:left="1620" w:right="279" w:hanging="424"/>
        <w:spacing w:after="0" w:line="250" w:lineRule="auto"/>
        <w:tabs>
          <w:tab w:leader="none" w:pos="1620" w:val="left"/>
        </w:tabs>
        <w:numPr>
          <w:ilvl w:val="0"/>
          <w:numId w:val="149"/>
        </w:numPr>
        <w:rPr>
          <w:rFonts w:ascii="Arial" w:cs="Arial" w:eastAsia="Arial" w:hAnsi="Arial"/>
          <w:sz w:val="16"/>
          <w:szCs w:val="16"/>
          <w:color w:val="auto"/>
        </w:rPr>
      </w:pPr>
      <w:r>
        <w:rPr>
          <w:rFonts w:ascii="Arial" w:cs="Arial" w:eastAsia="Arial" w:hAnsi="Arial"/>
          <w:sz w:val="16"/>
          <w:szCs w:val="16"/>
          <w:color w:val="auto"/>
        </w:rPr>
        <w:t>the holder shall, if requested by or on behalf of the Company at any time, send or procure the sending of reasonable evidence of the authority under which the appointment of proxy has been made, sent or supplied (which may include, without limitation, a copy of such authority certified notarially or in some other way approved by the Board), to such address and by such time as may be specified in in the request and, if the request is not complied with in any respect, the appointment of proxy may be treated as invalid.</w:t>
      </w:r>
    </w:p>
    <w:p>
      <w:pPr>
        <w:spacing w:after="0" w:line="68" w:lineRule="exact"/>
        <w:rPr>
          <w:sz w:val="20"/>
          <w:szCs w:val="20"/>
          <w:color w:val="auto"/>
        </w:rPr>
      </w:pPr>
    </w:p>
    <w:p>
      <w:pPr>
        <w:ind w:left="1200" w:right="539" w:hanging="431"/>
        <w:spacing w:after="0" w:line="293" w:lineRule="auto"/>
        <w:rPr>
          <w:sz w:val="20"/>
          <w:szCs w:val="20"/>
          <w:color w:val="auto"/>
        </w:rPr>
      </w:pPr>
      <w:r>
        <w:rPr>
          <w:rFonts w:ascii="Arial" w:cs="Arial" w:eastAsia="Arial" w:hAnsi="Arial"/>
          <w:sz w:val="15"/>
          <w:szCs w:val="15"/>
          <w:color w:val="auto"/>
        </w:rPr>
        <w:t>22.9 Subject to Article 22.8, a proxy appointment which is not delivered or received in accordance with Article 22.7 shall be invalid. Where two or more valid appointments of proxy are delivered or received in respect of the same share in relation</w:t>
      </w:r>
    </w:p>
    <w:p>
      <w:pPr>
        <w:spacing w:after="0" w:line="70" w:lineRule="exact"/>
        <w:rPr>
          <w:sz w:val="20"/>
          <w:szCs w:val="20"/>
          <w:color w:val="auto"/>
        </w:rPr>
      </w:pPr>
    </w:p>
    <w:p>
      <w:pPr>
        <w:ind w:left="480"/>
        <w:spacing w:after="0"/>
        <w:tabs>
          <w:tab w:leader="none" w:pos="4420" w:val="left"/>
          <w:tab w:leader="none" w:pos="8760" w:val="left"/>
        </w:tabs>
        <w:rPr>
          <w:sz w:val="20"/>
          <w:szCs w:val="20"/>
          <w:color w:val="auto"/>
        </w:rPr>
      </w:pPr>
      <w:r>
        <w:rPr>
          <w:rFonts w:ascii="Arial" w:cs="Arial" w:eastAsia="Arial" w:hAnsi="Arial"/>
          <w:sz w:val="28"/>
          <w:szCs w:val="28"/>
          <w:b w:val="1"/>
          <w:bCs w:val="1"/>
          <w:color w:val="000000"/>
          <w:vertAlign w:val="subscript"/>
        </w:rPr>
        <w:t>A-20</w:t>
      </w:r>
      <w:r>
        <w:rPr>
          <w:sz w:val="20"/>
          <w:szCs w:val="20"/>
          <w:color w:val="auto"/>
        </w:rPr>
        <w:tab/>
      </w:r>
      <w:r>
        <w:rPr>
          <w:rFonts w:ascii="Arial" w:cs="Arial" w:eastAsia="Arial" w:hAnsi="Arial"/>
          <w:sz w:val="13"/>
          <w:szCs w:val="13"/>
          <w:b w:val="1"/>
          <w:bCs w:val="1"/>
          <w:color w:val="4800E6"/>
        </w:rPr>
        <w:t xml:space="preserve">LIVANOVA </w:t>
      </w:r>
      <w:r>
        <w:rPr>
          <w:rFonts w:ascii="Arial" w:cs="Arial" w:eastAsia="Arial" w:hAnsi="Arial"/>
          <w:sz w:val="13"/>
          <w:szCs w:val="13"/>
          <w:color w:val="000000"/>
        </w:rPr>
        <w:t>|</w:t>
      </w:r>
      <w:r>
        <w:rPr>
          <w:rFonts w:ascii="Arial" w:cs="Arial" w:eastAsia="Arial" w:hAnsi="Arial"/>
          <w:sz w:val="13"/>
          <w:szCs w:val="13"/>
          <w:b w:val="1"/>
          <w:bCs w:val="1"/>
          <w:color w:val="4800E6"/>
        </w:rPr>
        <w:t xml:space="preserve"> </w:t>
      </w:r>
      <w:r>
        <w:rPr>
          <w:rFonts w:ascii="Arial" w:cs="Arial" w:eastAsia="Arial" w:hAnsi="Arial"/>
          <w:sz w:val="13"/>
          <w:szCs w:val="13"/>
          <w:color w:val="4800E6"/>
        </w:rPr>
        <w:t>2020</w:t>
      </w:r>
      <w:r>
        <w:rPr>
          <w:rFonts w:ascii="Arial" w:cs="Arial" w:eastAsia="Arial" w:hAnsi="Arial"/>
          <w:sz w:val="13"/>
          <w:szCs w:val="13"/>
          <w:b w:val="1"/>
          <w:bCs w:val="1"/>
          <w:color w:val="4800E6"/>
        </w:rPr>
        <w:t xml:space="preserve"> </w:t>
      </w:r>
      <w:r>
        <w:rPr>
          <w:rFonts w:ascii="Arial" w:cs="Arial" w:eastAsia="Arial" w:hAnsi="Arial"/>
          <w:sz w:val="13"/>
          <w:szCs w:val="13"/>
          <w:color w:val="000000"/>
        </w:rPr>
        <w:t>Proxy Statement</w:t>
      </w:r>
      <w:r>
        <w:rPr>
          <w:sz w:val="20"/>
          <w:szCs w:val="20"/>
          <w:color w:val="auto"/>
        </w:rPr>
        <w:tab/>
      </w:r>
      <w:r>
        <w:rPr>
          <w:rFonts w:ascii="Arial" w:cs="Arial" w:eastAsia="Arial" w:hAnsi="Arial"/>
          <w:sz w:val="12"/>
          <w:szCs w:val="12"/>
          <w:b w:val="1"/>
          <w:bCs w:val="1"/>
          <w:color w:val="4800E6"/>
        </w:rPr>
        <w:t>www.livanova.com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639445</wp:posOffset>
            </wp:positionH>
            <wp:positionV relativeFrom="paragraph">
              <wp:posOffset>-2540</wp:posOffset>
            </wp:positionV>
            <wp:extent cx="1954530" cy="8890"/>
            <wp:wrapNone/>
            <wp:docPr id="430" name="Picture 4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0"/>
                    <pic:cNvPicPr>
                      <a:picLocks noChangeAspect="1" noChangeArrowheads="1"/>
                    </pic:cNvPicPr>
                  </pic:nvPicPr>
                  <pic:blipFill>
                    <a:blip r:embed="rId437">
                      <a:extLst>
                        <a:ext uri="{28A0092B-C50C-407E-A947-70E740481C1C}"/>
                      </a:extLst>
                    </a:blip>
                    <a:srcRect/>
                    <a:stretch>
                      <a:fillRect/>
                    </a:stretch>
                  </pic:blipFill>
                  <pic:spPr bwMode="auto">
                    <a:xfrm>
                      <a:off x="0" y="0"/>
                      <a:ext cx="1954530" cy="8890"/>
                    </a:xfrm>
                    <a:prstGeom prst="rect">
                      <a:avLst/>
                    </a:prstGeom>
                    <a:noFill/>
                  </pic:spPr>
                </pic:pic>
              </a:graphicData>
            </a:graphic>
          </wp:anchor>
        </w:drawing>
        <w:drawing>
          <wp:anchor simplePos="0" relativeHeight="251657728" behindDoc="1" locked="0" layoutInCell="0" allowOverlap="1">
            <wp:simplePos x="0" y="0"/>
            <wp:positionH relativeFrom="column">
              <wp:posOffset>4316730</wp:posOffset>
            </wp:positionH>
            <wp:positionV relativeFrom="paragraph">
              <wp:posOffset>-2540</wp:posOffset>
            </wp:positionV>
            <wp:extent cx="1028700" cy="8890"/>
            <wp:wrapNone/>
            <wp:docPr id="431" name="Picture 4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1"/>
                    <pic:cNvPicPr>
                      <a:picLocks noChangeAspect="1" noChangeArrowheads="1"/>
                    </pic:cNvPicPr>
                  </pic:nvPicPr>
                  <pic:blipFill>
                    <a:blip r:embed="rId438">
                      <a:extLst>
                        <a:ext uri="{28A0092B-C50C-407E-A947-70E740481C1C}"/>
                      </a:extLst>
                    </a:blip>
                    <a:srcRect/>
                    <a:stretch>
                      <a:fillRect/>
                    </a:stretch>
                  </pic:blipFill>
                  <pic:spPr bwMode="auto">
                    <a:xfrm>
                      <a:off x="0" y="0"/>
                      <a:ext cx="102870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133985</wp:posOffset>
            </wp:positionV>
            <wp:extent cx="6806565" cy="17145"/>
            <wp:wrapNone/>
            <wp:docPr id="432" name="Picture 4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2"/>
                    <pic:cNvPicPr>
                      <a:picLocks noChangeAspect="1" noChangeArrowheads="1"/>
                    </pic:cNvPicPr>
                  </pic:nvPicPr>
                  <pic:blipFill>
                    <a:blip r:embed="rId439">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10139"/>
          </w:cols>
          <w:pgMar w:left="320" w:top="131" w:right="1440" w:bottom="1440" w:gutter="0" w:footer="0" w:header="0"/>
          <w:type w:val="continuous"/>
        </w:sectPr>
      </w:pPr>
    </w:p>
    <w:bookmarkStart w:id="99" w:name="page100"/>
    <w:bookmarkEnd w:id="99"/>
    <w:p>
      <w:pPr>
        <w:spacing w:after="0"/>
        <w:rPr>
          <w:rFonts w:ascii="Arial" w:cs="Arial" w:eastAsia="Arial" w:hAnsi="Arial"/>
          <w:sz w:val="14"/>
          <w:szCs w:val="14"/>
          <w:color w:val="003366"/>
        </w:rPr>
      </w:pPr>
      <w:hyperlink w:anchor="page77">
        <w:r>
          <w:rPr>
            <w:rFonts w:ascii="Arial" w:cs="Arial" w:eastAsia="Arial" w:hAnsi="Arial"/>
            <w:sz w:val="14"/>
            <w:szCs w:val="14"/>
            <w:color w:val="003366"/>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485140</wp:posOffset>
            </wp:positionH>
            <wp:positionV relativeFrom="paragraph">
              <wp:posOffset>357505</wp:posOffset>
            </wp:positionV>
            <wp:extent cx="5829300" cy="8255"/>
            <wp:wrapNone/>
            <wp:docPr id="433" name="Picture 4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3"/>
                    <pic:cNvPicPr>
                      <a:picLocks noChangeAspect="1" noChangeArrowheads="1"/>
                    </pic:cNvPicPr>
                  </pic:nvPicPr>
                  <pic:blipFill>
                    <a:blip r:embed="rId440">
                      <a:extLst>
                        <a:ext uri="{28A0092B-C50C-407E-A947-70E740481C1C}"/>
                      </a:extLst>
                    </a:blip>
                    <a:srcRect/>
                    <a:stretch>
                      <a:fillRect/>
                    </a:stretch>
                  </pic:blipFill>
                  <pic:spPr bwMode="auto">
                    <a:xfrm>
                      <a:off x="0" y="0"/>
                      <a:ext cx="582930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ind w:left="1200" w:right="800"/>
        <w:spacing w:after="0" w:line="249" w:lineRule="auto"/>
        <w:rPr>
          <w:sz w:val="20"/>
          <w:szCs w:val="20"/>
          <w:color w:val="auto"/>
        </w:rPr>
      </w:pPr>
      <w:r>
        <w:rPr>
          <w:rFonts w:ascii="Arial" w:cs="Arial" w:eastAsia="Arial" w:hAnsi="Arial"/>
          <w:sz w:val="16"/>
          <w:szCs w:val="16"/>
          <w:color w:val="auto"/>
        </w:rPr>
        <w:t xml:space="preserve">to the same meeting, the one which was last delivered or received shall, unless otherwise specified in the notice convening the meeting, be treated as replacing and revoking the other or others as regards that share. If the Company is unable to determine which is last delivered or received, or if the Company determines that it has insufficient evidence to decide whether or not a proxy appointment is in respect of the same share, it shall be entitled </w:t>
      </w:r>
      <w:r>
        <w:rPr>
          <w:rFonts w:ascii="Arial" w:cs="Arial" w:eastAsia="Arial" w:hAnsi="Arial"/>
          <w:sz w:val="16"/>
          <w:szCs w:val="16"/>
          <w:u w:val="single" w:color="auto"/>
          <w:color w:val="auto"/>
        </w:rPr>
        <w:t>to</w:t>
      </w:r>
      <w:r>
        <w:rPr>
          <w:rFonts w:ascii="Arial" w:cs="Arial" w:eastAsia="Arial" w:hAnsi="Arial"/>
          <w:sz w:val="16"/>
          <w:szCs w:val="16"/>
          <w:color w:val="auto"/>
        </w:rPr>
        <w:t xml:space="preserve"> determine which proxy appointment (if any) is to be treated as valid. Subject to the Companies Act, the Company may determine at its discretion when a proxy appointment shall be treated as delivered or received for the purposes of these Articles.</w:t>
      </w:r>
    </w:p>
    <w:p>
      <w:pPr>
        <w:spacing w:after="0" w:line="70" w:lineRule="exact"/>
        <w:rPr>
          <w:sz w:val="20"/>
          <w:szCs w:val="20"/>
          <w:color w:val="auto"/>
        </w:rPr>
      </w:pPr>
    </w:p>
    <w:p>
      <w:pPr>
        <w:ind w:left="1200" w:right="780" w:hanging="431"/>
        <w:spacing w:after="0" w:line="250" w:lineRule="auto"/>
        <w:rPr>
          <w:sz w:val="20"/>
          <w:szCs w:val="20"/>
          <w:color w:val="auto"/>
        </w:rPr>
      </w:pPr>
      <w:r>
        <w:rPr>
          <w:rFonts w:ascii="Arial" w:cs="Arial" w:eastAsia="Arial" w:hAnsi="Arial"/>
          <w:sz w:val="16"/>
          <w:szCs w:val="16"/>
          <w:color w:val="auto"/>
        </w:rPr>
        <w:t xml:space="preserve">22.10 The Company shall not be </w:t>
      </w:r>
      <w:r>
        <w:rPr>
          <w:rFonts w:ascii="Arial" w:cs="Arial" w:eastAsia="Arial" w:hAnsi="Arial"/>
          <w:sz w:val="16"/>
          <w:szCs w:val="16"/>
          <w:color w:val="auto"/>
          <w:strike w:val="1"/>
        </w:rPr>
        <w:t>required</w:t>
      </w:r>
      <w:r>
        <w:rPr>
          <w:rFonts w:ascii="Arial" w:cs="Arial" w:eastAsia="Arial" w:hAnsi="Arial"/>
          <w:sz w:val="16"/>
          <w:szCs w:val="16"/>
          <w:u w:val="single" w:color="auto"/>
          <w:color w:val="auto"/>
        </w:rPr>
        <w:t>bound</w:t>
      </w:r>
      <w:r>
        <w:rPr>
          <w:rFonts w:ascii="Arial" w:cs="Arial" w:eastAsia="Arial" w:hAnsi="Arial"/>
          <w:sz w:val="16"/>
          <w:szCs w:val="16"/>
          <w:color w:val="auto"/>
        </w:rPr>
        <w:t xml:space="preserve"> to </w:t>
      </w:r>
      <w:r>
        <w:rPr>
          <w:rFonts w:ascii="Arial" w:cs="Arial" w:eastAsia="Arial" w:hAnsi="Arial"/>
          <w:sz w:val="16"/>
          <w:szCs w:val="16"/>
          <w:color w:val="auto"/>
          <w:strike w:val="1"/>
        </w:rPr>
        <w:t>check that</w:t>
      </w:r>
      <w:r>
        <w:rPr>
          <w:rFonts w:ascii="Arial" w:cs="Arial" w:eastAsia="Arial" w:hAnsi="Arial"/>
          <w:sz w:val="16"/>
          <w:szCs w:val="16"/>
          <w:u w:val="single" w:color="auto"/>
          <w:color w:val="auto"/>
        </w:rPr>
        <w:t>enquire whether any proxy or corporate representative votes in</w:t>
      </w:r>
      <w:r>
        <w:rPr>
          <w:rFonts w:ascii="Arial" w:cs="Arial" w:eastAsia="Arial" w:hAnsi="Arial"/>
          <w:sz w:val="16"/>
          <w:szCs w:val="16"/>
          <w:color w:val="auto"/>
        </w:rPr>
        <w:t xml:space="preserve"> </w:t>
      </w:r>
      <w:r>
        <w:rPr>
          <w:rFonts w:ascii="Arial" w:cs="Arial" w:eastAsia="Arial" w:hAnsi="Arial"/>
          <w:sz w:val="16"/>
          <w:szCs w:val="16"/>
          <w:u w:val="single" w:color="auto"/>
          <w:color w:val="auto"/>
        </w:rPr>
        <w:t>accordance with the instructions given to them by the member they represent and if</w:t>
      </w:r>
      <w:r>
        <w:rPr>
          <w:rFonts w:ascii="Arial" w:cs="Arial" w:eastAsia="Arial" w:hAnsi="Arial"/>
          <w:sz w:val="16"/>
          <w:szCs w:val="16"/>
          <w:color w:val="auto"/>
        </w:rPr>
        <w:t xml:space="preserve"> a proxy or corporate representative </w:t>
      </w:r>
      <w:r>
        <w:rPr>
          <w:rFonts w:ascii="Arial" w:cs="Arial" w:eastAsia="Arial" w:hAnsi="Arial"/>
          <w:sz w:val="16"/>
          <w:szCs w:val="16"/>
          <w:color w:val="auto"/>
          <w:strike w:val="1"/>
        </w:rPr>
        <w:t>votes</w:t>
      </w:r>
      <w:r>
        <w:rPr>
          <w:rFonts w:ascii="Arial" w:cs="Arial" w:eastAsia="Arial" w:hAnsi="Arial"/>
          <w:sz w:val="16"/>
          <w:szCs w:val="16"/>
          <w:u w:val="single" w:color="auto"/>
          <w:color w:val="auto"/>
        </w:rPr>
        <w:t>does not vote</w:t>
      </w:r>
      <w:r>
        <w:rPr>
          <w:rFonts w:ascii="Arial" w:cs="Arial" w:eastAsia="Arial" w:hAnsi="Arial"/>
          <w:sz w:val="16"/>
          <w:szCs w:val="16"/>
          <w:color w:val="auto"/>
        </w:rPr>
        <w:t xml:space="preserve"> in accordance with any instructions given by the member by whom </w:t>
      </w:r>
      <w:r>
        <w:rPr>
          <w:rFonts w:ascii="Arial" w:cs="Arial" w:eastAsia="Arial" w:hAnsi="Arial"/>
          <w:sz w:val="16"/>
          <w:szCs w:val="16"/>
          <w:color w:val="auto"/>
          <w:strike w:val="1"/>
        </w:rPr>
        <w:t>he is</w:t>
      </w:r>
      <w:r>
        <w:rPr>
          <w:rFonts w:ascii="Arial" w:cs="Arial" w:eastAsia="Arial" w:hAnsi="Arial"/>
          <w:sz w:val="16"/>
          <w:szCs w:val="16"/>
          <w:u w:val="single" w:color="auto"/>
          <w:color w:val="auto"/>
        </w:rPr>
        <w:t>they are</w:t>
      </w:r>
      <w:r>
        <w:rPr>
          <w:rFonts w:ascii="Arial" w:cs="Arial" w:eastAsia="Arial" w:hAnsi="Arial"/>
          <w:sz w:val="16"/>
          <w:szCs w:val="16"/>
          <w:color w:val="auto"/>
        </w:rPr>
        <w:t xml:space="preserve"> appointed</w:t>
      </w:r>
      <w:r>
        <w:rPr>
          <w:rFonts w:ascii="Arial" w:cs="Arial" w:eastAsia="Arial" w:hAnsi="Arial"/>
          <w:sz w:val="16"/>
          <w:szCs w:val="16"/>
          <w:color w:val="auto"/>
          <w:strike w:val="1"/>
        </w:rPr>
        <w:t>. Any failure to</w:t>
      </w:r>
      <w:r>
        <w:rPr>
          <w:rFonts w:ascii="Arial" w:cs="Arial" w:eastAsia="Arial" w:hAnsi="Arial"/>
          <w:sz w:val="16"/>
          <w:szCs w:val="16"/>
          <w:color w:val="auto"/>
        </w:rPr>
        <w:t xml:space="preserve"> </w:t>
      </w:r>
      <w:r>
        <w:rPr>
          <w:rFonts w:ascii="Arial" w:cs="Arial" w:eastAsia="Arial" w:hAnsi="Arial"/>
          <w:sz w:val="16"/>
          <w:szCs w:val="16"/>
          <w:color w:val="auto"/>
          <w:strike w:val="1"/>
        </w:rPr>
        <w:t>vote as instructed</w:t>
      </w:r>
      <w:r>
        <w:rPr>
          <w:rFonts w:ascii="Arial" w:cs="Arial" w:eastAsia="Arial" w:hAnsi="Arial"/>
          <w:sz w:val="16"/>
          <w:szCs w:val="16"/>
          <w:u w:val="single" w:color="auto"/>
          <w:color w:val="auto"/>
        </w:rPr>
        <w:t>, this</w:t>
      </w:r>
      <w:r>
        <w:rPr>
          <w:rFonts w:ascii="Arial" w:cs="Arial" w:eastAsia="Arial" w:hAnsi="Arial"/>
          <w:sz w:val="16"/>
          <w:szCs w:val="16"/>
          <w:color w:val="auto"/>
        </w:rPr>
        <w:t xml:space="preserve"> shall not invalidate the proceedings on the resolution </w:t>
      </w:r>
      <w:r>
        <w:rPr>
          <w:rFonts w:ascii="Arial" w:cs="Arial" w:eastAsia="Arial" w:hAnsi="Arial"/>
          <w:sz w:val="16"/>
          <w:szCs w:val="16"/>
          <w:u w:val="single" w:color="auto"/>
          <w:color w:val="auto"/>
        </w:rPr>
        <w:t>and the vote or votes cast shall nevertheless be</w:t>
      </w:r>
      <w:r>
        <w:rPr>
          <w:rFonts w:ascii="Arial" w:cs="Arial" w:eastAsia="Arial" w:hAnsi="Arial"/>
          <w:sz w:val="16"/>
          <w:szCs w:val="16"/>
          <w:color w:val="auto"/>
        </w:rPr>
        <w:t xml:space="preserve"> </w:t>
      </w:r>
      <w:r>
        <w:rPr>
          <w:rFonts w:ascii="Arial" w:cs="Arial" w:eastAsia="Arial" w:hAnsi="Arial"/>
          <w:sz w:val="16"/>
          <w:szCs w:val="16"/>
          <w:u w:val="single" w:color="auto"/>
          <w:color w:val="auto"/>
        </w:rPr>
        <w:t>valid for all purposes</w:t>
      </w:r>
      <w:r>
        <w:rPr>
          <w:rFonts w:ascii="Arial" w:cs="Arial" w:eastAsia="Arial" w:hAnsi="Arial"/>
          <w:sz w:val="16"/>
          <w:szCs w:val="16"/>
          <w:color w:val="auto"/>
        </w:rPr>
        <w:t>.</w:t>
      </w:r>
    </w:p>
    <w:p>
      <w:pPr>
        <w:spacing w:after="0" w:line="48" w:lineRule="exact"/>
        <w:rPr>
          <w:sz w:val="20"/>
          <w:szCs w:val="20"/>
          <w:color w:val="auto"/>
        </w:rPr>
      </w:pPr>
    </w:p>
    <w:p>
      <w:pPr>
        <w:ind w:left="1200" w:right="840" w:hanging="431"/>
        <w:spacing w:after="0" w:line="252" w:lineRule="auto"/>
        <w:rPr>
          <w:sz w:val="20"/>
          <w:szCs w:val="20"/>
          <w:color w:val="auto"/>
        </w:rPr>
      </w:pPr>
      <w:r>
        <w:rPr>
          <w:rFonts w:ascii="Arial" w:cs="Arial" w:eastAsia="Arial" w:hAnsi="Arial"/>
          <w:sz w:val="16"/>
          <w:szCs w:val="16"/>
          <w:color w:val="auto"/>
        </w:rPr>
        <w:t>22.11 Any corporation which is a member of the Company (the “</w:t>
      </w:r>
      <w:r>
        <w:rPr>
          <w:rFonts w:ascii="Arial" w:cs="Arial" w:eastAsia="Arial" w:hAnsi="Arial"/>
          <w:sz w:val="16"/>
          <w:szCs w:val="16"/>
          <w:b w:val="1"/>
          <w:bCs w:val="1"/>
          <w:color w:val="auto"/>
        </w:rPr>
        <w:t>grantor</w:t>
      </w:r>
      <w:r>
        <w:rPr>
          <w:rFonts w:ascii="Arial" w:cs="Arial" w:eastAsia="Arial" w:hAnsi="Arial"/>
          <w:sz w:val="16"/>
          <w:szCs w:val="16"/>
          <w:color w:val="auto"/>
        </w:rPr>
        <w:t xml:space="preserve">”) may, by resolution of its directors or other governing body, authorise such person or persons as it thinks fit to act as its representative or representatives at any meeting of the Company or at any separate meeting of the holders of any class of shares. A Director, the secretary or other person authorised for the purpose by the secretary may require all or any of such persons to produce a certified copy of the resolution of authorisation before permitting </w:t>
      </w:r>
      <w:r>
        <w:rPr>
          <w:rFonts w:ascii="Arial" w:cs="Arial" w:eastAsia="Arial" w:hAnsi="Arial"/>
          <w:sz w:val="16"/>
          <w:szCs w:val="16"/>
          <w:color w:val="auto"/>
          <w:strike w:val="1"/>
        </w:rPr>
        <w:t>him</w:t>
      </w:r>
      <w:r>
        <w:rPr>
          <w:rFonts w:ascii="Arial" w:cs="Arial" w:eastAsia="Arial" w:hAnsi="Arial"/>
          <w:sz w:val="16"/>
          <w:szCs w:val="16"/>
          <w:u w:val="single" w:color="auto"/>
          <w:color w:val="auto"/>
        </w:rPr>
        <w:t>them</w:t>
      </w:r>
      <w:r>
        <w:rPr>
          <w:rFonts w:ascii="Arial" w:cs="Arial" w:eastAsia="Arial" w:hAnsi="Arial"/>
          <w:sz w:val="16"/>
          <w:szCs w:val="16"/>
          <w:color w:val="auto"/>
        </w:rPr>
        <w:t xml:space="preserve"> to exercise </w:t>
      </w:r>
      <w:r>
        <w:rPr>
          <w:rFonts w:ascii="Arial" w:cs="Arial" w:eastAsia="Arial" w:hAnsi="Arial"/>
          <w:sz w:val="16"/>
          <w:szCs w:val="16"/>
          <w:color w:val="auto"/>
          <w:strike w:val="1"/>
        </w:rPr>
        <w:t>his</w:t>
      </w:r>
      <w:r>
        <w:rPr>
          <w:rFonts w:ascii="Arial" w:cs="Arial" w:eastAsia="Arial" w:hAnsi="Arial"/>
          <w:sz w:val="16"/>
          <w:szCs w:val="16"/>
          <w:u w:val="single" w:color="auto"/>
          <w:color w:val="auto"/>
        </w:rPr>
        <w:t>their</w:t>
      </w:r>
      <w:r>
        <w:rPr>
          <w:rFonts w:ascii="Arial" w:cs="Arial" w:eastAsia="Arial" w:hAnsi="Arial"/>
          <w:sz w:val="16"/>
          <w:szCs w:val="16"/>
          <w:color w:val="auto"/>
        </w:rPr>
        <w:t xml:space="preserve"> powers. Such person is entitled to exercise (on behalf of the grantor) the same powers as the grantor could exercise if it were an individual member of the Company. Where a grantor authorises more than one person and more than one authorised person purports to exercise a power in respect of the same shares:</w:t>
      </w:r>
    </w:p>
    <w:p>
      <w:pPr>
        <w:spacing w:after="0" w:line="68" w:lineRule="exact"/>
        <w:rPr>
          <w:sz w:val="20"/>
          <w:szCs w:val="20"/>
          <w:color w:val="auto"/>
        </w:rPr>
      </w:pPr>
    </w:p>
    <w:p>
      <w:pPr>
        <w:ind w:left="1620" w:hanging="424"/>
        <w:spacing w:after="0"/>
        <w:tabs>
          <w:tab w:leader="none" w:pos="1620" w:val="left"/>
        </w:tabs>
        <w:numPr>
          <w:ilvl w:val="0"/>
          <w:numId w:val="150"/>
        </w:numPr>
        <w:rPr>
          <w:rFonts w:ascii="Arial" w:cs="Arial" w:eastAsia="Arial" w:hAnsi="Arial"/>
          <w:sz w:val="16"/>
          <w:szCs w:val="16"/>
          <w:color w:val="auto"/>
        </w:rPr>
      </w:pPr>
      <w:r>
        <w:rPr>
          <w:rFonts w:ascii="Arial" w:cs="Arial" w:eastAsia="Arial" w:hAnsi="Arial"/>
          <w:sz w:val="16"/>
          <w:szCs w:val="16"/>
          <w:color w:val="auto"/>
        </w:rPr>
        <w:t>if they purport to exercise the power in the same way as each other, the power is treated as exercised in that way; and</w:t>
      </w:r>
    </w:p>
    <w:p>
      <w:pPr>
        <w:spacing w:after="0" w:line="86" w:lineRule="exact"/>
        <w:rPr>
          <w:rFonts w:ascii="Arial" w:cs="Arial" w:eastAsia="Arial" w:hAnsi="Arial"/>
          <w:sz w:val="16"/>
          <w:szCs w:val="16"/>
          <w:color w:val="auto"/>
        </w:rPr>
      </w:pPr>
    </w:p>
    <w:p>
      <w:pPr>
        <w:ind w:left="1620" w:hanging="424"/>
        <w:spacing w:after="0"/>
        <w:tabs>
          <w:tab w:leader="none" w:pos="1620" w:val="left"/>
        </w:tabs>
        <w:numPr>
          <w:ilvl w:val="0"/>
          <w:numId w:val="150"/>
        </w:numPr>
        <w:rPr>
          <w:rFonts w:ascii="Arial" w:cs="Arial" w:eastAsia="Arial" w:hAnsi="Arial"/>
          <w:sz w:val="16"/>
          <w:szCs w:val="16"/>
          <w:color w:val="auto"/>
        </w:rPr>
      </w:pPr>
      <w:r>
        <w:rPr>
          <w:rFonts w:ascii="Arial" w:cs="Arial" w:eastAsia="Arial" w:hAnsi="Arial"/>
          <w:sz w:val="16"/>
          <w:szCs w:val="16"/>
          <w:color w:val="auto"/>
        </w:rPr>
        <w:t>if they do not purport to exercise the power in the same way as each other, the power is treated as not exercised.</w:t>
      </w:r>
    </w:p>
    <w:p>
      <w:pPr>
        <w:spacing w:after="0" w:line="86" w:lineRule="exact"/>
        <w:rPr>
          <w:sz w:val="20"/>
          <w:szCs w:val="20"/>
          <w:color w:val="auto"/>
        </w:rPr>
      </w:pPr>
    </w:p>
    <w:p>
      <w:pPr>
        <w:ind w:left="1200" w:right="1140" w:hanging="431"/>
        <w:spacing w:after="0" w:line="260" w:lineRule="auto"/>
        <w:rPr>
          <w:sz w:val="20"/>
          <w:szCs w:val="20"/>
          <w:color w:val="auto"/>
        </w:rPr>
      </w:pPr>
      <w:r>
        <w:rPr>
          <w:rFonts w:ascii="Arial" w:cs="Arial" w:eastAsia="Arial" w:hAnsi="Arial"/>
          <w:sz w:val="16"/>
          <w:szCs w:val="16"/>
          <w:color w:val="auto"/>
        </w:rPr>
        <w:t>22.12 The termination of the authority of a person to act as a proxy or duly authorised representative of a corporation does not affect:</w:t>
      </w:r>
    </w:p>
    <w:p>
      <w:pPr>
        <w:spacing w:after="0" w:line="60" w:lineRule="exact"/>
        <w:rPr>
          <w:sz w:val="20"/>
          <w:szCs w:val="20"/>
          <w:color w:val="auto"/>
        </w:rPr>
      </w:pPr>
    </w:p>
    <w:p>
      <w:pPr>
        <w:ind w:left="1620" w:hanging="424"/>
        <w:spacing w:after="0"/>
        <w:tabs>
          <w:tab w:leader="none" w:pos="1620" w:val="left"/>
        </w:tabs>
        <w:numPr>
          <w:ilvl w:val="0"/>
          <w:numId w:val="151"/>
        </w:numPr>
        <w:rPr>
          <w:rFonts w:ascii="Arial" w:cs="Arial" w:eastAsia="Arial" w:hAnsi="Arial"/>
          <w:sz w:val="16"/>
          <w:szCs w:val="16"/>
          <w:color w:val="auto"/>
        </w:rPr>
      </w:pPr>
      <w:r>
        <w:rPr>
          <w:rFonts w:ascii="Arial" w:cs="Arial" w:eastAsia="Arial" w:hAnsi="Arial"/>
          <w:sz w:val="16"/>
          <w:szCs w:val="16"/>
          <w:color w:val="auto"/>
        </w:rPr>
        <w:t xml:space="preserve">whether </w:t>
      </w:r>
      <w:r>
        <w:rPr>
          <w:rFonts w:ascii="Arial" w:cs="Arial" w:eastAsia="Arial" w:hAnsi="Arial"/>
          <w:sz w:val="16"/>
          <w:szCs w:val="16"/>
          <w:color w:val="auto"/>
          <w:strike w:val="1"/>
        </w:rPr>
        <w:t>he counts</w:t>
      </w:r>
      <w:r>
        <w:rPr>
          <w:rFonts w:ascii="Arial" w:cs="Arial" w:eastAsia="Arial" w:hAnsi="Arial"/>
          <w:sz w:val="16"/>
          <w:szCs w:val="16"/>
          <w:u w:val="single" w:color="auto"/>
          <w:color w:val="auto"/>
        </w:rPr>
        <w:t>they count</w:t>
      </w:r>
      <w:r>
        <w:rPr>
          <w:rFonts w:ascii="Arial" w:cs="Arial" w:eastAsia="Arial" w:hAnsi="Arial"/>
          <w:sz w:val="16"/>
          <w:szCs w:val="16"/>
          <w:color w:val="auto"/>
        </w:rPr>
        <w:t xml:space="preserve"> in deciding whether there is a quorum at a meeting;</w:t>
      </w:r>
    </w:p>
    <w:p>
      <w:pPr>
        <w:spacing w:after="0" w:line="86" w:lineRule="exact"/>
        <w:rPr>
          <w:rFonts w:ascii="Arial" w:cs="Arial" w:eastAsia="Arial" w:hAnsi="Arial"/>
          <w:sz w:val="16"/>
          <w:szCs w:val="16"/>
          <w:color w:val="auto"/>
        </w:rPr>
      </w:pPr>
    </w:p>
    <w:p>
      <w:pPr>
        <w:ind w:left="1620" w:hanging="424"/>
        <w:spacing w:after="0"/>
        <w:tabs>
          <w:tab w:leader="none" w:pos="1620" w:val="left"/>
        </w:tabs>
        <w:numPr>
          <w:ilvl w:val="0"/>
          <w:numId w:val="151"/>
        </w:numPr>
        <w:rPr>
          <w:rFonts w:ascii="Arial" w:cs="Arial" w:eastAsia="Arial" w:hAnsi="Arial"/>
          <w:sz w:val="16"/>
          <w:szCs w:val="16"/>
          <w:color w:val="auto"/>
        </w:rPr>
      </w:pPr>
      <w:r>
        <w:rPr>
          <w:rFonts w:ascii="Arial" w:cs="Arial" w:eastAsia="Arial" w:hAnsi="Arial"/>
          <w:sz w:val="16"/>
          <w:szCs w:val="16"/>
          <w:color w:val="auto"/>
        </w:rPr>
        <w:t xml:space="preserve">the validity of anything </w:t>
      </w:r>
      <w:r>
        <w:rPr>
          <w:rFonts w:ascii="Arial" w:cs="Arial" w:eastAsia="Arial" w:hAnsi="Arial"/>
          <w:sz w:val="16"/>
          <w:szCs w:val="16"/>
          <w:color w:val="auto"/>
          <w:strike w:val="1"/>
        </w:rPr>
        <w:t>he does</w:t>
      </w:r>
      <w:r>
        <w:rPr>
          <w:rFonts w:ascii="Arial" w:cs="Arial" w:eastAsia="Arial" w:hAnsi="Arial"/>
          <w:sz w:val="16"/>
          <w:szCs w:val="16"/>
          <w:u w:val="single" w:color="auto"/>
          <w:color w:val="auto"/>
        </w:rPr>
        <w:t>they do</w:t>
      </w:r>
      <w:r>
        <w:rPr>
          <w:rFonts w:ascii="Arial" w:cs="Arial" w:eastAsia="Arial" w:hAnsi="Arial"/>
          <w:sz w:val="16"/>
          <w:szCs w:val="16"/>
          <w:color w:val="auto"/>
        </w:rPr>
        <w:t xml:space="preserve"> as </w:t>
      </w:r>
      <w:r>
        <w:rPr>
          <w:rFonts w:ascii="Arial" w:cs="Arial" w:eastAsia="Arial" w:hAnsi="Arial"/>
          <w:sz w:val="16"/>
          <w:szCs w:val="16"/>
          <w:color w:val="auto"/>
          <w:strike w:val="1"/>
        </w:rPr>
        <w:t>chairman</w:t>
      </w:r>
      <w:r>
        <w:rPr>
          <w:rFonts w:ascii="Arial" w:cs="Arial" w:eastAsia="Arial" w:hAnsi="Arial"/>
          <w:sz w:val="16"/>
          <w:szCs w:val="16"/>
          <w:u w:val="single" w:color="auto"/>
          <w:color w:val="auto"/>
        </w:rPr>
        <w:t>chairperson</w:t>
      </w:r>
      <w:r>
        <w:rPr>
          <w:rFonts w:ascii="Arial" w:cs="Arial" w:eastAsia="Arial" w:hAnsi="Arial"/>
          <w:sz w:val="16"/>
          <w:szCs w:val="16"/>
          <w:color w:val="auto"/>
        </w:rPr>
        <w:t xml:space="preserve"> of a meeting;</w:t>
      </w:r>
    </w:p>
    <w:p>
      <w:pPr>
        <w:spacing w:after="0" w:line="86" w:lineRule="exact"/>
        <w:rPr>
          <w:rFonts w:ascii="Arial" w:cs="Arial" w:eastAsia="Arial" w:hAnsi="Arial"/>
          <w:sz w:val="16"/>
          <w:szCs w:val="16"/>
          <w:color w:val="auto"/>
        </w:rPr>
      </w:pPr>
    </w:p>
    <w:p>
      <w:pPr>
        <w:ind w:left="1620" w:hanging="424"/>
        <w:spacing w:after="0"/>
        <w:tabs>
          <w:tab w:leader="none" w:pos="1620" w:val="left"/>
        </w:tabs>
        <w:numPr>
          <w:ilvl w:val="0"/>
          <w:numId w:val="151"/>
        </w:numPr>
        <w:rPr>
          <w:rFonts w:ascii="Arial" w:cs="Arial" w:eastAsia="Arial" w:hAnsi="Arial"/>
          <w:sz w:val="16"/>
          <w:szCs w:val="16"/>
          <w:color w:val="auto"/>
        </w:rPr>
      </w:pPr>
      <w:r>
        <w:rPr>
          <w:rFonts w:ascii="Arial" w:cs="Arial" w:eastAsia="Arial" w:hAnsi="Arial"/>
          <w:sz w:val="16"/>
          <w:szCs w:val="16"/>
          <w:color w:val="auto"/>
        </w:rPr>
        <w:t xml:space="preserve">the validity of a poll demanded by </w:t>
      </w:r>
      <w:r>
        <w:rPr>
          <w:rFonts w:ascii="Arial" w:cs="Arial" w:eastAsia="Arial" w:hAnsi="Arial"/>
          <w:sz w:val="16"/>
          <w:szCs w:val="16"/>
          <w:color w:val="auto"/>
          <w:strike w:val="1"/>
        </w:rPr>
        <w:t>him</w:t>
      </w:r>
      <w:r>
        <w:rPr>
          <w:rFonts w:ascii="Arial" w:cs="Arial" w:eastAsia="Arial" w:hAnsi="Arial"/>
          <w:sz w:val="16"/>
          <w:szCs w:val="16"/>
          <w:u w:val="single" w:color="auto"/>
          <w:color w:val="auto"/>
        </w:rPr>
        <w:t>them</w:t>
      </w:r>
      <w:r>
        <w:rPr>
          <w:rFonts w:ascii="Arial" w:cs="Arial" w:eastAsia="Arial" w:hAnsi="Arial"/>
          <w:sz w:val="16"/>
          <w:szCs w:val="16"/>
          <w:color w:val="auto"/>
        </w:rPr>
        <w:t xml:space="preserve"> at a meeting; or</w:t>
      </w:r>
    </w:p>
    <w:p>
      <w:pPr>
        <w:spacing w:after="0" w:line="86" w:lineRule="exact"/>
        <w:rPr>
          <w:rFonts w:ascii="Arial" w:cs="Arial" w:eastAsia="Arial" w:hAnsi="Arial"/>
          <w:sz w:val="16"/>
          <w:szCs w:val="16"/>
          <w:color w:val="auto"/>
        </w:rPr>
      </w:pPr>
    </w:p>
    <w:p>
      <w:pPr>
        <w:ind w:left="1620" w:hanging="424"/>
        <w:spacing w:after="0"/>
        <w:tabs>
          <w:tab w:leader="none" w:pos="1620" w:val="left"/>
        </w:tabs>
        <w:numPr>
          <w:ilvl w:val="0"/>
          <w:numId w:val="151"/>
        </w:numPr>
        <w:rPr>
          <w:rFonts w:ascii="Arial" w:cs="Arial" w:eastAsia="Arial" w:hAnsi="Arial"/>
          <w:sz w:val="16"/>
          <w:szCs w:val="16"/>
          <w:color w:val="auto"/>
        </w:rPr>
      </w:pPr>
      <w:r>
        <w:rPr>
          <w:rFonts w:ascii="Arial" w:cs="Arial" w:eastAsia="Arial" w:hAnsi="Arial"/>
          <w:sz w:val="16"/>
          <w:szCs w:val="16"/>
          <w:color w:val="auto"/>
        </w:rPr>
        <w:t>the validity of a vote given by that person,</w:t>
      </w:r>
    </w:p>
    <w:p>
      <w:pPr>
        <w:spacing w:after="0" w:line="100" w:lineRule="exact"/>
        <w:rPr>
          <w:sz w:val="20"/>
          <w:szCs w:val="20"/>
          <w:color w:val="auto"/>
        </w:rPr>
      </w:pPr>
    </w:p>
    <w:p>
      <w:pPr>
        <w:ind w:left="1200" w:right="900"/>
        <w:spacing w:after="0" w:line="248" w:lineRule="auto"/>
        <w:rPr>
          <w:sz w:val="20"/>
          <w:szCs w:val="20"/>
          <w:color w:val="auto"/>
        </w:rPr>
      </w:pPr>
      <w:r>
        <w:rPr>
          <w:rFonts w:ascii="Arial" w:cs="Arial" w:eastAsia="Arial" w:hAnsi="Arial"/>
          <w:sz w:val="16"/>
          <w:szCs w:val="16"/>
          <w:color w:val="auto"/>
        </w:rPr>
        <w:t>unless notice of the termination was either delivered or received as mentioned in the following sentence at least 24 hours before the start of the relevant meeting or adjourned meeting or (in the case of a poll taken otherwise than on the same day as the meeting or adjourned meeting) the time appointed for taking the poll. Such notice of termination shall be either by means of a document in hard copy form delivered to the Office or to such other place within the United Kingdom as may be specified by or on behalf of the Company in accordance with Article 22.7(a) or in electronic form received at the address specified by or on behalf of the Company in accordance with Article 22.7(b), regardless of whether any relevant proxy appointment was effected in hard copy form or in electronic form.</w:t>
      </w:r>
    </w:p>
    <w:p>
      <w:pPr>
        <w:spacing w:after="0" w:line="73" w:lineRule="exact"/>
        <w:rPr>
          <w:sz w:val="20"/>
          <w:szCs w:val="20"/>
          <w:color w:val="auto"/>
        </w:rPr>
      </w:pPr>
    </w:p>
    <w:p>
      <w:pPr>
        <w:ind w:left="1200" w:right="1120" w:hanging="431"/>
        <w:spacing w:after="0" w:line="253" w:lineRule="auto"/>
        <w:rPr>
          <w:sz w:val="20"/>
          <w:szCs w:val="20"/>
          <w:color w:val="auto"/>
        </w:rPr>
      </w:pPr>
      <w:r>
        <w:rPr>
          <w:rFonts w:ascii="Arial" w:cs="Arial" w:eastAsia="Arial" w:hAnsi="Arial"/>
          <w:sz w:val="16"/>
          <w:szCs w:val="16"/>
          <w:color w:val="auto"/>
        </w:rPr>
        <w:t>22.13 A proxy given in the form of a power of attorney or similar authorisation granting power to a person to vote on behalf of a member at forthcoming meetings in general shall not be treated as valid for a period of more than three years, unless a contrary intention is stated in it.</w:t>
      </w:r>
    </w:p>
    <w:p>
      <w:pPr>
        <w:spacing w:after="0" w:line="46" w:lineRule="exact"/>
        <w:rPr>
          <w:sz w:val="20"/>
          <w:szCs w:val="20"/>
          <w:color w:val="auto"/>
        </w:rPr>
      </w:pPr>
    </w:p>
    <w:p>
      <w:pPr>
        <w:ind w:left="1200" w:hanging="436"/>
        <w:spacing w:after="0"/>
        <w:tabs>
          <w:tab w:leader="none" w:pos="1200" w:val="left"/>
        </w:tabs>
        <w:numPr>
          <w:ilvl w:val="0"/>
          <w:numId w:val="152"/>
        </w:numPr>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NUMBER </w:t>
      </w:r>
      <w:r>
        <w:rPr>
          <w:rFonts w:ascii="Arial" w:cs="Arial" w:eastAsia="Arial" w:hAnsi="Arial"/>
          <w:sz w:val="16"/>
          <w:szCs w:val="16"/>
          <w:b w:val="1"/>
          <w:bCs w:val="1"/>
          <w:color w:val="auto"/>
          <w:strike w:val="1"/>
        </w:rPr>
        <w:t>AND CLASSIFICATION</w:t>
      </w:r>
      <w:r>
        <w:rPr>
          <w:rFonts w:ascii="Arial" w:cs="Arial" w:eastAsia="Arial" w:hAnsi="Arial"/>
          <w:sz w:val="16"/>
          <w:szCs w:val="16"/>
          <w:b w:val="1"/>
          <w:bCs w:val="1"/>
          <w:color w:val="auto"/>
        </w:rPr>
        <w:t xml:space="preserve"> OF DIRECTORS </w:t>
      </w:r>
      <w:r>
        <w:rPr>
          <w:rFonts w:ascii="Arial" w:cs="Arial" w:eastAsia="Arial" w:hAnsi="Arial"/>
          <w:sz w:val="16"/>
          <w:szCs w:val="16"/>
          <w:b w:val="1"/>
          <w:bCs w:val="1"/>
          <w:u w:val="single" w:color="auto"/>
          <w:color w:val="auto"/>
        </w:rPr>
        <w:t>AND COMPOSITION OF THE BOARD</w:t>
      </w:r>
    </w:p>
    <w:p>
      <w:pPr>
        <w:spacing w:after="0" w:line="93" w:lineRule="exact"/>
        <w:rPr>
          <w:sz w:val="20"/>
          <w:szCs w:val="20"/>
          <w:color w:val="auto"/>
        </w:rPr>
      </w:pPr>
    </w:p>
    <w:tbl>
      <w:tblPr>
        <w:tblLayout w:type="fixed"/>
        <w:tblInd w:w="760" w:type="dxa"/>
        <w:tblCellMar>
          <w:top w:w="0" w:type="dxa"/>
          <w:left w:w="0" w:type="dxa"/>
          <w:bottom w:w="0" w:type="dxa"/>
          <w:right w:w="0" w:type="dxa"/>
        </w:tblCellMar>
      </w:tblPr>
      <w:tr>
        <w:trPr>
          <w:trHeight w:val="189"/>
        </w:trPr>
        <w:tc>
          <w:tcPr>
            <w:tcW w:w="620" w:type="dxa"/>
            <w:vAlign w:val="bottom"/>
            <w:gridSpan w:val="2"/>
          </w:tcPr>
          <w:p>
            <w:pPr>
              <w:jc w:val="right"/>
              <w:ind w:right="219"/>
              <w:spacing w:after="0"/>
              <w:rPr>
                <w:sz w:val="20"/>
                <w:szCs w:val="20"/>
                <w:color w:val="auto"/>
              </w:rPr>
            </w:pPr>
            <w:r>
              <w:rPr>
                <w:rFonts w:ascii="Arial" w:cs="Arial" w:eastAsia="Arial" w:hAnsi="Arial"/>
                <w:sz w:val="16"/>
                <w:szCs w:val="16"/>
                <w:color w:val="auto"/>
                <w:w w:val="96"/>
              </w:rPr>
              <w:t>23.1</w:t>
            </w:r>
          </w:p>
        </w:tc>
        <w:tc>
          <w:tcPr>
            <w:tcW w:w="240" w:type="dxa"/>
            <w:vAlign w:val="bottom"/>
          </w:tcPr>
          <w:p>
            <w:pPr>
              <w:spacing w:after="0"/>
              <w:rPr>
                <w:sz w:val="16"/>
                <w:szCs w:val="16"/>
                <w:color w:val="auto"/>
              </w:rPr>
            </w:pPr>
          </w:p>
        </w:tc>
        <w:tc>
          <w:tcPr>
            <w:tcW w:w="2800" w:type="dxa"/>
            <w:vAlign w:val="bottom"/>
            <w:gridSpan w:val="7"/>
          </w:tcPr>
          <w:p>
            <w:pPr>
              <w:spacing w:after="0"/>
              <w:rPr>
                <w:sz w:val="20"/>
                <w:szCs w:val="20"/>
                <w:color w:val="auto"/>
              </w:rPr>
            </w:pPr>
            <w:r>
              <w:rPr>
                <w:rFonts w:ascii="Arial" w:cs="Arial" w:eastAsia="Arial" w:hAnsi="Arial"/>
                <w:sz w:val="16"/>
                <w:szCs w:val="16"/>
                <w:color w:val="auto"/>
              </w:rPr>
              <w:t>Unless otherwise decided by the Board</w:t>
            </w:r>
          </w:p>
        </w:tc>
        <w:tc>
          <w:tcPr>
            <w:tcW w:w="5520" w:type="dxa"/>
            <w:vAlign w:val="bottom"/>
            <w:gridSpan w:val="12"/>
          </w:tcPr>
          <w:p>
            <w:pPr>
              <w:spacing w:after="0"/>
              <w:rPr>
                <w:sz w:val="20"/>
                <w:szCs w:val="20"/>
                <w:color w:val="auto"/>
              </w:rPr>
            </w:pPr>
            <w:r>
              <w:rPr>
                <w:rFonts w:ascii="Arial" w:cs="Arial" w:eastAsia="Arial" w:hAnsi="Arial"/>
                <w:sz w:val="16"/>
                <w:szCs w:val="16"/>
                <w:color w:val="auto"/>
                <w:strike w:val="1"/>
              </w:rPr>
              <w:t>(where, for the period beginning on the date of the unconditional adoption of</w:t>
            </w:r>
          </w:p>
        </w:tc>
      </w:tr>
      <w:tr>
        <w:trPr>
          <w:trHeight w:val="189"/>
        </w:trPr>
        <w:tc>
          <w:tcPr>
            <w:tcW w:w="3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320" w:type="dxa"/>
            <w:vAlign w:val="bottom"/>
            <w:gridSpan w:val="19"/>
          </w:tcPr>
          <w:p>
            <w:pPr>
              <w:spacing w:after="0"/>
              <w:rPr>
                <w:sz w:val="20"/>
                <w:szCs w:val="20"/>
                <w:color w:val="auto"/>
              </w:rPr>
            </w:pPr>
            <w:r>
              <w:rPr>
                <w:rFonts w:ascii="Arial" w:cs="Arial" w:eastAsia="Arial" w:hAnsi="Arial"/>
                <w:sz w:val="16"/>
                <w:szCs w:val="16"/>
                <w:color w:val="auto"/>
                <w:strike w:val="1"/>
              </w:rPr>
              <w:t>these Articles and ending at the first annual meeting of members of the Company following the completion of the</w:t>
            </w:r>
          </w:p>
        </w:tc>
      </w:tr>
      <w:tr>
        <w:trPr>
          <w:trHeight w:val="160"/>
        </w:trPr>
        <w:tc>
          <w:tcPr>
            <w:tcW w:w="3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690" w:type="dxa"/>
            <w:vAlign w:val="bottom"/>
            <w:gridSpan w:val="5"/>
          </w:tcPr>
          <w:p>
            <w:pPr>
              <w:spacing w:after="0" w:line="160" w:lineRule="exact"/>
              <w:rPr>
                <w:sz w:val="20"/>
                <w:szCs w:val="20"/>
                <w:color w:val="auto"/>
              </w:rPr>
            </w:pPr>
            <w:r>
              <w:rPr>
                <w:rFonts w:ascii="Arial" w:cs="Arial" w:eastAsia="Arial" w:hAnsi="Arial"/>
                <w:sz w:val="16"/>
                <w:szCs w:val="16"/>
                <w:color w:val="auto"/>
                <w:strike w:val="1"/>
                <w:w w:val="99"/>
              </w:rPr>
              <w:t>Company</w:t>
            </w:r>
          </w:p>
        </w:tc>
        <w:tc>
          <w:tcPr>
            <w:tcW w:w="30" w:type="dxa"/>
            <w:vAlign w:val="bottom"/>
          </w:tcPr>
          <w:p>
            <w:pPr>
              <w:ind w:left="10"/>
              <w:spacing w:after="0"/>
              <w:rPr>
                <w:sz w:val="20"/>
                <w:szCs w:val="20"/>
                <w:color w:val="auto"/>
              </w:rPr>
            </w:pPr>
            <w:r>
              <w:rPr>
                <w:rFonts w:ascii="Arial" w:cs="Arial" w:eastAsia="Arial" w:hAnsi="Arial"/>
                <w:sz w:val="1"/>
                <w:szCs w:val="1"/>
                <w:color w:val="auto"/>
                <w:w w:val="4294967274"/>
              </w:rPr>
              <w:t>’</w:t>
            </w:r>
          </w:p>
        </w:tc>
        <w:tc>
          <w:tcPr>
            <w:tcW w:w="4740" w:type="dxa"/>
            <w:vAlign w:val="bottom"/>
            <w:gridSpan w:val="7"/>
          </w:tcPr>
          <w:p>
            <w:pPr>
              <w:spacing w:after="0" w:line="160" w:lineRule="exact"/>
              <w:rPr>
                <w:sz w:val="20"/>
                <w:szCs w:val="20"/>
                <w:color w:val="auto"/>
              </w:rPr>
            </w:pPr>
            <w:r>
              <w:rPr>
                <w:rFonts w:ascii="Arial" w:cs="Arial" w:eastAsia="Arial" w:hAnsi="Arial"/>
                <w:sz w:val="16"/>
                <w:szCs w:val="16"/>
                <w:color w:val="auto"/>
                <w:strike w:val="1"/>
                <w:w w:val="98"/>
              </w:rPr>
              <w:t>s second full fiscal year, such decision must be taken unanimously),</w:t>
            </w:r>
          </w:p>
        </w:tc>
        <w:tc>
          <w:tcPr>
            <w:tcW w:w="1120" w:type="dxa"/>
            <w:vAlign w:val="bottom"/>
            <w:gridSpan w:val="2"/>
          </w:tcPr>
          <w:p>
            <w:pPr>
              <w:spacing w:after="0" w:line="160" w:lineRule="exact"/>
              <w:rPr>
                <w:sz w:val="20"/>
                <w:szCs w:val="20"/>
                <w:color w:val="auto"/>
              </w:rPr>
            </w:pPr>
            <w:r>
              <w:rPr>
                <w:rFonts w:ascii="Arial" w:cs="Arial" w:eastAsia="Arial" w:hAnsi="Arial"/>
                <w:sz w:val="16"/>
                <w:szCs w:val="16"/>
                <w:u w:val="single" w:color="auto"/>
                <w:color w:val="auto"/>
              </w:rPr>
              <w:t>,</w:t>
            </w:r>
            <w:r>
              <w:rPr>
                <w:rFonts w:ascii="Arial" w:cs="Arial" w:eastAsia="Arial" w:hAnsi="Arial"/>
                <w:sz w:val="16"/>
                <w:szCs w:val="16"/>
                <w:color w:val="auto"/>
              </w:rPr>
              <w:t xml:space="preserve"> the number of</w:t>
            </w:r>
          </w:p>
        </w:tc>
        <w:tc>
          <w:tcPr>
            <w:tcW w:w="600" w:type="dxa"/>
            <w:vAlign w:val="bottom"/>
          </w:tcPr>
          <w:p>
            <w:pPr>
              <w:spacing w:after="0" w:line="160" w:lineRule="exact"/>
              <w:rPr>
                <w:sz w:val="20"/>
                <w:szCs w:val="20"/>
                <w:color w:val="auto"/>
              </w:rPr>
            </w:pPr>
            <w:r>
              <w:rPr>
                <w:rFonts w:ascii="Arial" w:cs="Arial" w:eastAsia="Arial" w:hAnsi="Arial"/>
                <w:sz w:val="16"/>
                <w:szCs w:val="16"/>
                <w:color w:val="auto"/>
                <w:strike w:val="1"/>
                <w:w w:val="94"/>
              </w:rPr>
              <w:t>directors</w:t>
            </w:r>
          </w:p>
        </w:tc>
        <w:tc>
          <w:tcPr>
            <w:tcW w:w="1140" w:type="dxa"/>
            <w:vAlign w:val="bottom"/>
            <w:gridSpan w:val="3"/>
          </w:tcPr>
          <w:p>
            <w:pPr>
              <w:spacing w:after="0" w:line="160" w:lineRule="exact"/>
              <w:rPr>
                <w:sz w:val="20"/>
                <w:szCs w:val="20"/>
                <w:color w:val="auto"/>
              </w:rPr>
            </w:pPr>
            <w:r>
              <w:rPr>
                <w:rFonts w:ascii="Arial" w:cs="Arial" w:eastAsia="Arial" w:hAnsi="Arial"/>
                <w:sz w:val="16"/>
                <w:szCs w:val="16"/>
                <w:color w:val="auto"/>
              </w:rPr>
              <w:t>Directors shall</w:t>
            </w:r>
          </w:p>
        </w:tc>
      </w:tr>
      <w:tr>
        <w:trPr>
          <w:trHeight w:val="169"/>
        </w:trPr>
        <w:tc>
          <w:tcPr>
            <w:tcW w:w="3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20" w:type="dxa"/>
            <w:vAlign w:val="bottom"/>
          </w:tcPr>
          <w:p>
            <w:pPr>
              <w:spacing w:after="0" w:line="169" w:lineRule="exact"/>
              <w:rPr>
                <w:sz w:val="20"/>
                <w:szCs w:val="20"/>
                <w:color w:val="auto"/>
              </w:rPr>
            </w:pPr>
            <w:r>
              <w:rPr>
                <w:rFonts w:ascii="Arial" w:cs="Arial" w:eastAsia="Arial" w:hAnsi="Arial"/>
                <w:sz w:val="16"/>
                <w:szCs w:val="16"/>
                <w:color w:val="auto"/>
              </w:rPr>
              <w:t>be</w:t>
            </w:r>
          </w:p>
        </w:tc>
        <w:tc>
          <w:tcPr>
            <w:tcW w:w="140" w:type="dxa"/>
            <w:vAlign w:val="bottom"/>
            <w:gridSpan w:val="2"/>
          </w:tcPr>
          <w:p>
            <w:pPr>
              <w:jc w:val="right"/>
              <w:spacing w:after="0" w:line="169" w:lineRule="exact"/>
              <w:rPr>
                <w:sz w:val="20"/>
                <w:szCs w:val="20"/>
                <w:color w:val="auto"/>
              </w:rPr>
            </w:pPr>
            <w:r>
              <w:rPr>
                <w:rFonts w:ascii="Arial" w:cs="Arial" w:eastAsia="Arial" w:hAnsi="Arial"/>
                <w:sz w:val="16"/>
                <w:szCs w:val="16"/>
                <w:color w:val="auto"/>
                <w:strike w:val="1"/>
                <w:w w:val="89"/>
              </w:rPr>
              <w:t>9.</w:t>
            </w:r>
          </w:p>
        </w:tc>
        <w:tc>
          <w:tcPr>
            <w:tcW w:w="40" w:type="dxa"/>
            <w:vAlign w:val="bottom"/>
          </w:tcPr>
          <w:p>
            <w:pPr>
              <w:spacing w:after="0"/>
              <w:rPr>
                <w:sz w:val="14"/>
                <w:szCs w:val="14"/>
                <w:color w:val="auto"/>
              </w:rPr>
            </w:pPr>
          </w:p>
        </w:tc>
        <w:tc>
          <w:tcPr>
            <w:tcW w:w="6780" w:type="dxa"/>
            <w:vAlign w:val="bottom"/>
            <w:gridSpan w:val="12"/>
          </w:tcPr>
          <w:p>
            <w:pPr>
              <w:spacing w:after="0" w:line="169" w:lineRule="exact"/>
              <w:rPr>
                <w:sz w:val="20"/>
                <w:szCs w:val="20"/>
                <w:color w:val="auto"/>
              </w:rPr>
            </w:pPr>
            <w:r>
              <w:rPr>
                <w:rFonts w:ascii="Arial" w:cs="Arial" w:eastAsia="Arial" w:hAnsi="Arial"/>
                <w:sz w:val="16"/>
                <w:szCs w:val="16"/>
                <w:color w:val="auto"/>
              </w:rPr>
              <w:t>[ten].</w:t>
            </w:r>
          </w:p>
        </w:tc>
        <w:tc>
          <w:tcPr>
            <w:tcW w:w="640" w:type="dxa"/>
            <w:vAlign w:val="bottom"/>
            <w:tcBorders>
              <w:top w:val="single" w:sz="8" w:color="auto"/>
            </w:tcBorders>
            <w:gridSpan w:val="2"/>
          </w:tcPr>
          <w:p>
            <w:pPr>
              <w:spacing w:after="0"/>
              <w:rPr>
                <w:sz w:val="14"/>
                <w:szCs w:val="14"/>
                <w:color w:val="auto"/>
              </w:rPr>
            </w:pPr>
          </w:p>
        </w:tc>
        <w:tc>
          <w:tcPr>
            <w:tcW w:w="500" w:type="dxa"/>
            <w:vAlign w:val="bottom"/>
          </w:tcPr>
          <w:p>
            <w:pPr>
              <w:spacing w:after="0"/>
              <w:rPr>
                <w:sz w:val="14"/>
                <w:szCs w:val="14"/>
                <w:color w:val="auto"/>
              </w:rPr>
            </w:pPr>
          </w:p>
        </w:tc>
      </w:tr>
      <w:tr>
        <w:trPr>
          <w:trHeight w:val="20"/>
        </w:trPr>
        <w:tc>
          <w:tcPr>
            <w:tcW w:w="320" w:type="dxa"/>
            <w:vAlign w:val="bottom"/>
          </w:tcPr>
          <w:p>
            <w:pPr>
              <w:spacing w:after="0" w:line="20" w:lineRule="exact"/>
              <w:rPr>
                <w:sz w:val="1"/>
                <w:szCs w:val="1"/>
                <w:color w:val="auto"/>
              </w:rPr>
            </w:pPr>
          </w:p>
        </w:tc>
        <w:tc>
          <w:tcPr>
            <w:tcW w:w="540" w:type="dxa"/>
            <w:vAlign w:val="bottom"/>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90" w:type="dxa"/>
            <w:vAlign w:val="bottom"/>
            <w:shd w:val="clear" w:color="auto" w:fill="000000"/>
          </w:tcPr>
          <w:p>
            <w:pPr>
              <w:spacing w:after="0" w:line="20" w:lineRule="exact"/>
              <w:rPr>
                <w:sz w:val="1"/>
                <w:szCs w:val="1"/>
                <w:color w:val="auto"/>
              </w:rPr>
            </w:pPr>
          </w:p>
        </w:tc>
        <w:tc>
          <w:tcPr>
            <w:tcW w:w="30" w:type="dxa"/>
            <w:vAlign w:val="bottom"/>
            <w:shd w:val="clear" w:color="auto" w:fill="000000"/>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180" w:type="dxa"/>
            <w:vAlign w:val="bottom"/>
            <w:gridSpan w:val="2"/>
          </w:tcPr>
          <w:p>
            <w:pPr>
              <w:spacing w:after="0" w:line="20" w:lineRule="exact"/>
              <w:rPr>
                <w:sz w:val="1"/>
                <w:szCs w:val="1"/>
                <w:color w:val="auto"/>
              </w:rPr>
            </w:pPr>
          </w:p>
        </w:tc>
        <w:tc>
          <w:tcPr>
            <w:tcW w:w="1380" w:type="dxa"/>
            <w:vAlign w:val="bottom"/>
            <w:gridSpan w:val="3"/>
          </w:tcPr>
          <w:p>
            <w:pPr>
              <w:spacing w:after="0" w:line="20" w:lineRule="exact"/>
              <w:rPr>
                <w:sz w:val="1"/>
                <w:szCs w:val="1"/>
                <w:color w:val="auto"/>
              </w:rPr>
            </w:pPr>
          </w:p>
        </w:tc>
        <w:tc>
          <w:tcPr>
            <w:tcW w:w="840" w:type="dxa"/>
            <w:vAlign w:val="bottom"/>
            <w:gridSpan w:val="2"/>
          </w:tcPr>
          <w:p>
            <w:pPr>
              <w:spacing w:after="0" w:line="20" w:lineRule="exact"/>
              <w:rPr>
                <w:sz w:val="1"/>
                <w:szCs w:val="1"/>
                <w:color w:val="auto"/>
              </w:rPr>
            </w:pPr>
          </w:p>
        </w:tc>
      </w:tr>
      <w:tr>
        <w:trPr>
          <w:trHeight w:val="250"/>
        </w:trPr>
        <w:tc>
          <w:tcPr>
            <w:tcW w:w="320" w:type="dxa"/>
            <w:vAlign w:val="bottom"/>
          </w:tcPr>
          <w:p>
            <w:pPr>
              <w:jc w:val="right"/>
              <w:spacing w:after="0"/>
              <w:rPr>
                <w:sz w:val="20"/>
                <w:szCs w:val="20"/>
                <w:color w:val="auto"/>
              </w:rPr>
            </w:pPr>
            <w:r>
              <w:rPr>
                <w:rFonts w:ascii="Arial" w:cs="Arial" w:eastAsia="Arial" w:hAnsi="Arial"/>
                <w:sz w:val="16"/>
                <w:szCs w:val="16"/>
                <w:color w:val="auto"/>
                <w:strike w:val="1"/>
                <w:w w:val="96"/>
              </w:rPr>
              <w:t>23.1</w:t>
            </w:r>
          </w:p>
        </w:tc>
        <w:tc>
          <w:tcPr>
            <w:tcW w:w="540" w:type="dxa"/>
            <w:vAlign w:val="bottom"/>
            <w:gridSpan w:val="2"/>
          </w:tcPr>
          <w:p>
            <w:pPr>
              <w:jc w:val="right"/>
              <w:ind w:right="240"/>
              <w:spacing w:after="0"/>
              <w:rPr>
                <w:sz w:val="20"/>
                <w:szCs w:val="20"/>
                <w:color w:val="auto"/>
              </w:rPr>
            </w:pPr>
            <w:r>
              <w:rPr>
                <w:rFonts w:ascii="Arial" w:cs="Arial" w:eastAsia="Arial" w:hAnsi="Arial"/>
                <w:sz w:val="16"/>
                <w:szCs w:val="16"/>
                <w:color w:val="auto"/>
                <w:w w:val="89"/>
              </w:rPr>
              <w:t>23.2</w:t>
            </w:r>
          </w:p>
        </w:tc>
        <w:tc>
          <w:tcPr>
            <w:tcW w:w="3840" w:type="dxa"/>
            <w:vAlign w:val="bottom"/>
            <w:gridSpan w:val="10"/>
          </w:tcPr>
          <w:p>
            <w:pPr>
              <w:spacing w:after="0"/>
              <w:rPr>
                <w:sz w:val="20"/>
                <w:szCs w:val="20"/>
                <w:color w:val="auto"/>
              </w:rPr>
            </w:pPr>
            <w:r>
              <w:rPr>
                <w:rFonts w:ascii="Arial" w:cs="Arial" w:eastAsia="Arial" w:hAnsi="Arial"/>
                <w:sz w:val="16"/>
                <w:szCs w:val="16"/>
                <w:color w:val="auto"/>
                <w:w w:val="99"/>
              </w:rPr>
              <w:t>The composition of the Board (and, if applicable, each</w:t>
            </w:r>
          </w:p>
        </w:tc>
        <w:tc>
          <w:tcPr>
            <w:tcW w:w="520" w:type="dxa"/>
            <w:vAlign w:val="bottom"/>
          </w:tcPr>
          <w:p>
            <w:pPr>
              <w:spacing w:after="0"/>
              <w:rPr>
                <w:sz w:val="20"/>
                <w:szCs w:val="20"/>
                <w:color w:val="auto"/>
              </w:rPr>
            </w:pPr>
            <w:r>
              <w:rPr>
                <w:rFonts w:ascii="Arial" w:cs="Arial" w:eastAsia="Arial" w:hAnsi="Arial"/>
                <w:sz w:val="16"/>
                <w:szCs w:val="16"/>
                <w:color w:val="auto"/>
                <w:strike w:val="1"/>
                <w:w w:val="93"/>
              </w:rPr>
              <w:t>director</w:t>
            </w:r>
          </w:p>
        </w:tc>
        <w:tc>
          <w:tcPr>
            <w:tcW w:w="3960" w:type="dxa"/>
            <w:vAlign w:val="bottom"/>
            <w:gridSpan w:val="8"/>
          </w:tcPr>
          <w:p>
            <w:pPr>
              <w:spacing w:after="0"/>
              <w:rPr>
                <w:sz w:val="20"/>
                <w:szCs w:val="20"/>
                <w:color w:val="auto"/>
              </w:rPr>
            </w:pPr>
            <w:r>
              <w:rPr>
                <w:rFonts w:ascii="Arial" w:cs="Arial" w:eastAsia="Arial" w:hAnsi="Arial"/>
                <w:sz w:val="16"/>
                <w:szCs w:val="16"/>
                <w:color w:val="auto"/>
              </w:rPr>
              <w:t>Director) will satisfy the requirements of applicable law</w:t>
            </w:r>
          </w:p>
        </w:tc>
      </w:tr>
      <w:tr>
        <w:trPr>
          <w:trHeight w:val="20"/>
        </w:trPr>
        <w:tc>
          <w:tcPr>
            <w:tcW w:w="32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90" w:type="dxa"/>
            <w:vAlign w:val="bottom"/>
          </w:tcPr>
          <w:p>
            <w:pPr>
              <w:spacing w:after="0" w:line="20" w:lineRule="exact"/>
              <w:rPr>
                <w:sz w:val="1"/>
                <w:szCs w:val="1"/>
                <w:color w:val="auto"/>
              </w:rPr>
            </w:pPr>
          </w:p>
        </w:tc>
        <w:tc>
          <w:tcPr>
            <w:tcW w:w="30" w:type="dxa"/>
            <w:vAlign w:val="bottom"/>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r>
      <w:tr>
        <w:trPr>
          <w:trHeight w:val="198"/>
        </w:trPr>
        <w:tc>
          <w:tcPr>
            <w:tcW w:w="3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320" w:type="dxa"/>
            <w:vAlign w:val="bottom"/>
            <w:gridSpan w:val="2"/>
          </w:tcPr>
          <w:p>
            <w:pPr>
              <w:spacing w:after="0"/>
              <w:rPr>
                <w:sz w:val="20"/>
                <w:szCs w:val="20"/>
                <w:color w:val="auto"/>
              </w:rPr>
            </w:pPr>
            <w:r>
              <w:rPr>
                <w:rFonts w:ascii="Arial" w:cs="Arial" w:eastAsia="Arial" w:hAnsi="Arial"/>
                <w:sz w:val="16"/>
                <w:szCs w:val="16"/>
                <w:color w:val="auto"/>
              </w:rPr>
              <w:t>and</w:t>
            </w:r>
          </w:p>
        </w:tc>
        <w:tc>
          <w:tcPr>
            <w:tcW w:w="3360" w:type="dxa"/>
            <w:vAlign w:val="bottom"/>
            <w:gridSpan w:val="6"/>
          </w:tcPr>
          <w:p>
            <w:pPr>
              <w:spacing w:after="0"/>
              <w:rPr>
                <w:sz w:val="20"/>
                <w:szCs w:val="20"/>
                <w:color w:val="auto"/>
              </w:rPr>
            </w:pPr>
            <w:r>
              <w:rPr>
                <w:rFonts w:ascii="Arial" w:cs="Arial" w:eastAsia="Arial" w:hAnsi="Arial"/>
                <w:sz w:val="16"/>
                <w:szCs w:val="16"/>
                <w:color w:val="auto"/>
                <w:strike w:val="1"/>
                <w:w w:val="98"/>
              </w:rPr>
              <w:t>any securities exchange on which the Company</w:t>
            </w:r>
          </w:p>
        </w:tc>
        <w:tc>
          <w:tcPr>
            <w:tcW w:w="40" w:type="dxa"/>
            <w:vAlign w:val="bottom"/>
          </w:tcPr>
          <w:p>
            <w:pPr>
              <w:spacing w:after="0"/>
              <w:rPr>
                <w:sz w:val="20"/>
                <w:szCs w:val="20"/>
                <w:color w:val="auto"/>
              </w:rPr>
            </w:pPr>
            <w:r>
              <w:rPr>
                <w:rFonts w:ascii="Arial" w:cs="Arial" w:eastAsia="Arial" w:hAnsi="Arial"/>
                <w:sz w:val="12"/>
                <w:szCs w:val="12"/>
                <w:color w:val="auto"/>
                <w:w w:val="73"/>
              </w:rPr>
              <w:t>’</w:t>
            </w:r>
          </w:p>
        </w:tc>
        <w:tc>
          <w:tcPr>
            <w:tcW w:w="4600" w:type="dxa"/>
            <w:vAlign w:val="bottom"/>
            <w:gridSpan w:val="10"/>
          </w:tcPr>
          <w:p>
            <w:pPr>
              <w:spacing w:after="0"/>
              <w:rPr>
                <w:sz w:val="20"/>
                <w:szCs w:val="20"/>
                <w:color w:val="auto"/>
              </w:rPr>
            </w:pPr>
            <w:r>
              <w:rPr>
                <w:rFonts w:ascii="Arial" w:cs="Arial" w:eastAsia="Arial" w:hAnsi="Arial"/>
                <w:sz w:val="16"/>
                <w:szCs w:val="16"/>
                <w:color w:val="auto"/>
                <w:strike w:val="1"/>
              </w:rPr>
              <w:t>s securities are listed. Each director shall be able to understand</w:t>
            </w:r>
          </w:p>
        </w:tc>
      </w:tr>
      <w:tr>
        <w:trPr>
          <w:trHeight w:val="160"/>
        </w:trPr>
        <w:tc>
          <w:tcPr>
            <w:tcW w:w="3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6100" w:type="dxa"/>
            <w:vAlign w:val="bottom"/>
            <w:gridSpan w:val="14"/>
          </w:tcPr>
          <w:p>
            <w:pPr>
              <w:spacing w:after="0" w:line="160" w:lineRule="exact"/>
              <w:rPr>
                <w:sz w:val="20"/>
                <w:szCs w:val="20"/>
                <w:color w:val="auto"/>
              </w:rPr>
            </w:pPr>
            <w:r>
              <w:rPr>
                <w:rFonts w:ascii="Arial" w:cs="Arial" w:eastAsia="Arial" w:hAnsi="Arial"/>
                <w:sz w:val="16"/>
                <w:szCs w:val="16"/>
                <w:color w:val="auto"/>
                <w:strike w:val="1"/>
                <w:w w:val="98"/>
              </w:rPr>
              <w:t>and speak English sufficiently to be able to participate fully in all meetings of the Board.</w:t>
            </w:r>
          </w:p>
        </w:tc>
        <w:tc>
          <w:tcPr>
            <w:tcW w:w="2220" w:type="dxa"/>
            <w:vAlign w:val="bottom"/>
            <w:gridSpan w:val="5"/>
          </w:tcPr>
          <w:p>
            <w:pPr>
              <w:spacing w:after="0" w:line="160" w:lineRule="exact"/>
              <w:rPr>
                <w:sz w:val="20"/>
                <w:szCs w:val="20"/>
                <w:color w:val="auto"/>
              </w:rPr>
            </w:pPr>
            <w:r>
              <w:rPr>
                <w:rFonts w:ascii="Arial" w:cs="Arial" w:eastAsia="Arial" w:hAnsi="Arial"/>
                <w:sz w:val="16"/>
                <w:szCs w:val="16"/>
                <w:color w:val="auto"/>
              </w:rPr>
              <w:t>the Relevant Rules.</w:t>
            </w:r>
          </w:p>
        </w:tc>
      </w:tr>
      <w:tr>
        <w:trPr>
          <w:trHeight w:val="20"/>
        </w:trPr>
        <w:tc>
          <w:tcPr>
            <w:tcW w:w="3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30" w:type="dxa"/>
            <w:vAlign w:val="bottom"/>
            <w:gridSpan w:val="2"/>
          </w:tcPr>
          <w:p>
            <w:pPr>
              <w:spacing w:after="0" w:line="20" w:lineRule="exact"/>
              <w:rPr>
                <w:sz w:val="1"/>
                <w:szCs w:val="1"/>
                <w:color w:val="auto"/>
              </w:rPr>
            </w:pPr>
          </w:p>
        </w:tc>
        <w:tc>
          <w:tcPr>
            <w:tcW w:w="2110" w:type="dxa"/>
            <w:vAlign w:val="bottom"/>
            <w:gridSpan w:val="2"/>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2420" w:type="dxa"/>
            <w:vAlign w:val="bottom"/>
            <w:gridSpan w:val="6"/>
          </w:tcPr>
          <w:p>
            <w:pPr>
              <w:spacing w:after="0" w:line="20" w:lineRule="exact"/>
              <w:rPr>
                <w:sz w:val="1"/>
                <w:szCs w:val="1"/>
                <w:color w:val="auto"/>
              </w:rPr>
            </w:pPr>
          </w:p>
        </w:tc>
        <w:tc>
          <w:tcPr>
            <w:tcW w:w="1380" w:type="dxa"/>
            <w:vAlign w:val="bottom"/>
            <w:gridSpan w:val="3"/>
            <w:shd w:val="clear" w:color="auto" w:fill="000000"/>
          </w:tcPr>
          <w:p>
            <w:pPr>
              <w:spacing w:after="0" w:line="20" w:lineRule="exact"/>
              <w:rPr>
                <w:sz w:val="1"/>
                <w:szCs w:val="1"/>
                <w:color w:val="auto"/>
              </w:rPr>
            </w:pPr>
          </w:p>
        </w:tc>
        <w:tc>
          <w:tcPr>
            <w:tcW w:w="840" w:type="dxa"/>
            <w:vAlign w:val="bottom"/>
            <w:gridSpan w:val="2"/>
          </w:tcPr>
          <w:p>
            <w:pPr>
              <w:spacing w:after="0" w:line="20" w:lineRule="exact"/>
              <w:rPr>
                <w:sz w:val="1"/>
                <w:szCs w:val="1"/>
                <w:color w:val="auto"/>
              </w:rPr>
            </w:pPr>
          </w:p>
        </w:tc>
      </w:tr>
      <w:tr>
        <w:trPr>
          <w:trHeight w:val="279"/>
        </w:trPr>
        <w:tc>
          <w:tcPr>
            <w:tcW w:w="320" w:type="dxa"/>
            <w:vAlign w:val="bottom"/>
          </w:tcPr>
          <w:p>
            <w:pPr>
              <w:jc w:val="right"/>
              <w:spacing w:after="0"/>
              <w:rPr>
                <w:sz w:val="20"/>
                <w:szCs w:val="20"/>
                <w:color w:val="auto"/>
              </w:rPr>
            </w:pPr>
            <w:r>
              <w:rPr>
                <w:rFonts w:ascii="Arial" w:cs="Arial" w:eastAsia="Arial" w:hAnsi="Arial"/>
                <w:sz w:val="16"/>
                <w:szCs w:val="16"/>
                <w:color w:val="auto"/>
                <w:strike w:val="1"/>
                <w:w w:val="96"/>
              </w:rPr>
              <w:t>23.2</w:t>
            </w:r>
          </w:p>
        </w:tc>
        <w:tc>
          <w:tcPr>
            <w:tcW w:w="3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320" w:type="dxa"/>
            <w:vAlign w:val="bottom"/>
            <w:gridSpan w:val="19"/>
          </w:tcPr>
          <w:p>
            <w:pPr>
              <w:spacing w:after="0"/>
              <w:rPr>
                <w:sz w:val="20"/>
                <w:szCs w:val="20"/>
                <w:color w:val="auto"/>
              </w:rPr>
            </w:pPr>
            <w:r>
              <w:rPr>
                <w:rFonts w:ascii="Arial" w:cs="Arial" w:eastAsia="Arial" w:hAnsi="Arial"/>
                <w:sz w:val="16"/>
                <w:szCs w:val="16"/>
                <w:color w:val="auto"/>
                <w:strike w:val="1"/>
                <w:w w:val="98"/>
              </w:rPr>
              <w:t>The continuing directors or sole continuing director may act notwithstanding any vacancies in their number, but, if there</w:t>
            </w:r>
          </w:p>
        </w:tc>
      </w:tr>
      <w:tr>
        <w:trPr>
          <w:trHeight w:val="189"/>
        </w:trPr>
        <w:tc>
          <w:tcPr>
            <w:tcW w:w="3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320" w:type="dxa"/>
            <w:vAlign w:val="bottom"/>
            <w:gridSpan w:val="19"/>
          </w:tcPr>
          <w:p>
            <w:pPr>
              <w:spacing w:after="0"/>
              <w:rPr>
                <w:sz w:val="20"/>
                <w:szCs w:val="20"/>
                <w:color w:val="auto"/>
              </w:rPr>
            </w:pPr>
            <w:r>
              <w:rPr>
                <w:rFonts w:ascii="Arial" w:cs="Arial" w:eastAsia="Arial" w:hAnsi="Arial"/>
                <w:sz w:val="16"/>
                <w:szCs w:val="16"/>
                <w:color w:val="auto"/>
                <w:strike w:val="1"/>
              </w:rPr>
              <w:t>is only one continuing director, the continuing director may act only for the purpose of filling vacancies or of calling a</w:t>
            </w:r>
          </w:p>
        </w:tc>
      </w:tr>
      <w:tr>
        <w:trPr>
          <w:trHeight w:val="195"/>
        </w:trPr>
        <w:tc>
          <w:tcPr>
            <w:tcW w:w="3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3680" w:type="dxa"/>
            <w:vAlign w:val="bottom"/>
            <w:gridSpan w:val="8"/>
          </w:tcPr>
          <w:p>
            <w:pPr>
              <w:spacing w:after="0"/>
              <w:rPr>
                <w:sz w:val="20"/>
                <w:szCs w:val="20"/>
                <w:color w:val="auto"/>
              </w:rPr>
            </w:pPr>
            <w:r>
              <w:rPr>
                <w:rFonts w:ascii="Arial" w:cs="Arial" w:eastAsia="Arial" w:hAnsi="Arial"/>
                <w:sz w:val="16"/>
                <w:szCs w:val="16"/>
                <w:color w:val="auto"/>
                <w:strike w:val="1"/>
              </w:rPr>
              <w:t>general meeting, but not for any other purpose.</w:t>
            </w:r>
          </w:p>
        </w:tc>
        <w:tc>
          <w:tcPr>
            <w:tcW w:w="4640" w:type="dxa"/>
            <w:vAlign w:val="bottom"/>
            <w:gridSpan w:val="11"/>
          </w:tcPr>
          <w:p>
            <w:pPr>
              <w:spacing w:after="0"/>
              <w:rPr>
                <w:sz w:val="16"/>
                <w:szCs w:val="16"/>
                <w:color w:val="auto"/>
              </w:rPr>
            </w:pPr>
          </w:p>
        </w:tc>
      </w:tr>
    </w:tbl>
    <w:p>
      <w:pPr>
        <w:spacing w:after="0" w:line="75" w:lineRule="exact"/>
        <w:rPr>
          <w:sz w:val="20"/>
          <w:szCs w:val="20"/>
          <w:color w:val="auto"/>
        </w:rPr>
      </w:pPr>
    </w:p>
    <w:p>
      <w:pPr>
        <w:ind w:left="1200" w:right="780" w:hanging="431"/>
        <w:spacing w:after="0" w:line="253" w:lineRule="auto"/>
        <w:rPr>
          <w:sz w:val="20"/>
          <w:szCs w:val="20"/>
          <w:color w:val="auto"/>
        </w:rPr>
      </w:pPr>
      <w:r>
        <w:rPr>
          <w:rFonts w:ascii="Arial" w:cs="Arial" w:eastAsia="Arial" w:hAnsi="Arial"/>
          <w:sz w:val="16"/>
          <w:szCs w:val="16"/>
          <w:color w:val="auto"/>
          <w:strike w:val="1"/>
        </w:rPr>
        <w:t>23.3 The directors in office immediately following the unconditional adoption of these Articles shall be appointed for a term that will expire at the first annual meeting of members of the Company following the completion of the Company’s second full fiscal year.</w:t>
      </w:r>
    </w:p>
    <w:p>
      <w:pPr>
        <w:spacing w:after="0" w:line="285" w:lineRule="exact"/>
        <w:rPr>
          <w:sz w:val="20"/>
          <w:szCs w:val="20"/>
          <w:color w:val="auto"/>
        </w:rPr>
      </w:pPr>
    </w:p>
    <w:tbl>
      <w:tblPr>
        <w:tblLayout w:type="fixed"/>
        <w:tblInd w:w="0" w:type="dxa"/>
        <w:tblCellMar>
          <w:top w:w="0" w:type="dxa"/>
          <w:left w:w="0" w:type="dxa"/>
          <w:bottom w:w="0" w:type="dxa"/>
          <w:right w:w="0" w:type="dxa"/>
        </w:tblCellMar>
      </w:tblPr>
      <w:tr>
        <w:trPr>
          <w:trHeight w:val="130"/>
        </w:trPr>
        <w:tc>
          <w:tcPr>
            <w:tcW w:w="800" w:type="dxa"/>
            <w:vAlign w:val="bottom"/>
            <w:vMerge w:val="restart"/>
          </w:tcPr>
          <w:p>
            <w:pPr>
              <w:spacing w:after="0"/>
              <w:rPr>
                <w:sz w:val="11"/>
                <w:szCs w:val="11"/>
                <w:color w:val="auto"/>
              </w:rPr>
            </w:pPr>
          </w:p>
        </w:tc>
        <w:tc>
          <w:tcPr>
            <w:tcW w:w="3060" w:type="dxa"/>
            <w:vAlign w:val="bottom"/>
            <w:tcBorders>
              <w:bottom w:val="single" w:sz="8" w:color="auto"/>
            </w:tcBorders>
          </w:tcPr>
          <w:p>
            <w:pPr>
              <w:spacing w:after="0"/>
              <w:rPr>
                <w:sz w:val="11"/>
                <w:szCs w:val="11"/>
                <w:color w:val="auto"/>
              </w:rPr>
            </w:pPr>
          </w:p>
        </w:tc>
        <w:tc>
          <w:tcPr>
            <w:tcW w:w="2740" w:type="dxa"/>
            <w:vAlign w:val="bottom"/>
            <w:vMerge w:val="restart"/>
          </w:tcPr>
          <w:p>
            <w:pPr>
              <w:ind w:left="380"/>
              <w:spacing w:after="0"/>
              <w:rPr>
                <w:sz w:val="20"/>
                <w:szCs w:val="20"/>
                <w:color w:val="auto"/>
              </w:rPr>
            </w:pPr>
            <w:r>
              <w:rPr>
                <w:rFonts w:ascii="Arial" w:cs="Arial" w:eastAsia="Arial" w:hAnsi="Arial"/>
                <w:sz w:val="13"/>
                <w:szCs w:val="13"/>
                <w:b w:val="1"/>
                <w:bCs w:val="1"/>
                <w:color w:val="4800E6"/>
              </w:rPr>
              <w:t xml:space="preserve">LIVANOVA </w:t>
            </w:r>
            <w:r>
              <w:rPr>
                <w:rFonts w:ascii="Arial" w:cs="Arial" w:eastAsia="Arial" w:hAnsi="Arial"/>
                <w:sz w:val="13"/>
                <w:szCs w:val="13"/>
                <w:color w:val="000000"/>
              </w:rPr>
              <w:t>|</w:t>
            </w:r>
            <w:r>
              <w:rPr>
                <w:rFonts w:ascii="Arial" w:cs="Arial" w:eastAsia="Arial" w:hAnsi="Arial"/>
                <w:sz w:val="13"/>
                <w:szCs w:val="13"/>
                <w:b w:val="1"/>
                <w:bCs w:val="1"/>
                <w:color w:val="4800E6"/>
              </w:rPr>
              <w:t xml:space="preserve"> </w:t>
            </w:r>
            <w:r>
              <w:rPr>
                <w:rFonts w:ascii="Arial" w:cs="Arial" w:eastAsia="Arial" w:hAnsi="Arial"/>
                <w:sz w:val="13"/>
                <w:szCs w:val="13"/>
                <w:color w:val="4800E6"/>
              </w:rPr>
              <w:t>2020</w:t>
            </w:r>
            <w:r>
              <w:rPr>
                <w:rFonts w:ascii="Arial" w:cs="Arial" w:eastAsia="Arial" w:hAnsi="Arial"/>
                <w:sz w:val="13"/>
                <w:szCs w:val="13"/>
                <w:b w:val="1"/>
                <w:bCs w:val="1"/>
                <w:color w:val="4800E6"/>
              </w:rPr>
              <w:t xml:space="preserve"> </w:t>
            </w:r>
            <w:r>
              <w:rPr>
                <w:rFonts w:ascii="Arial" w:cs="Arial" w:eastAsia="Arial" w:hAnsi="Arial"/>
                <w:sz w:val="13"/>
                <w:szCs w:val="13"/>
                <w:color w:val="000000"/>
              </w:rPr>
              <w:t>Proxy Statement</w:t>
            </w:r>
          </w:p>
        </w:tc>
        <w:tc>
          <w:tcPr>
            <w:tcW w:w="3080" w:type="dxa"/>
            <w:vAlign w:val="bottom"/>
            <w:tcBorders>
              <w:bottom w:val="single" w:sz="8" w:color="auto"/>
            </w:tcBorders>
          </w:tcPr>
          <w:p>
            <w:pPr>
              <w:spacing w:after="0"/>
              <w:rPr>
                <w:sz w:val="11"/>
                <w:szCs w:val="11"/>
                <w:color w:val="auto"/>
              </w:rPr>
            </w:pPr>
          </w:p>
        </w:tc>
        <w:tc>
          <w:tcPr>
            <w:tcW w:w="1040" w:type="dxa"/>
            <w:vAlign w:val="bottom"/>
            <w:vMerge w:val="restart"/>
          </w:tcPr>
          <w:p>
            <w:pPr>
              <w:ind w:left="200"/>
              <w:spacing w:after="0"/>
              <w:rPr>
                <w:sz w:val="20"/>
                <w:szCs w:val="20"/>
                <w:color w:val="auto"/>
              </w:rPr>
            </w:pPr>
            <w:r>
              <w:rPr>
                <w:rFonts w:ascii="Arial" w:cs="Arial" w:eastAsia="Arial" w:hAnsi="Arial"/>
                <w:sz w:val="14"/>
                <w:szCs w:val="14"/>
                <w:b w:val="1"/>
                <w:bCs w:val="1"/>
                <w:color w:val="auto"/>
              </w:rPr>
              <w:t>A-21</w:t>
            </w:r>
          </w:p>
        </w:tc>
        <w:tc>
          <w:tcPr>
            <w:tcW w:w="0" w:type="dxa"/>
            <w:vAlign w:val="bottom"/>
          </w:tcPr>
          <w:p>
            <w:pPr>
              <w:spacing w:after="0"/>
              <w:rPr>
                <w:sz w:val="1"/>
                <w:szCs w:val="1"/>
                <w:color w:val="auto"/>
              </w:rPr>
            </w:pPr>
          </w:p>
        </w:tc>
      </w:tr>
      <w:tr>
        <w:trPr>
          <w:trHeight w:val="49"/>
        </w:trPr>
        <w:tc>
          <w:tcPr>
            <w:tcW w:w="800" w:type="dxa"/>
            <w:vAlign w:val="bottom"/>
            <w:vMerge w:val="continue"/>
          </w:tcPr>
          <w:p>
            <w:pPr>
              <w:spacing w:after="0"/>
              <w:rPr>
                <w:sz w:val="4"/>
                <w:szCs w:val="4"/>
                <w:color w:val="auto"/>
              </w:rPr>
            </w:pPr>
          </w:p>
        </w:tc>
        <w:tc>
          <w:tcPr>
            <w:tcW w:w="3060" w:type="dxa"/>
            <w:vAlign w:val="bottom"/>
          </w:tcPr>
          <w:p>
            <w:pPr>
              <w:spacing w:after="0"/>
              <w:rPr>
                <w:sz w:val="4"/>
                <w:szCs w:val="4"/>
                <w:color w:val="auto"/>
              </w:rPr>
            </w:pPr>
          </w:p>
        </w:tc>
        <w:tc>
          <w:tcPr>
            <w:tcW w:w="2740" w:type="dxa"/>
            <w:vAlign w:val="bottom"/>
            <w:vMerge w:val="continue"/>
          </w:tcPr>
          <w:p>
            <w:pPr>
              <w:spacing w:after="0"/>
              <w:rPr>
                <w:sz w:val="4"/>
                <w:szCs w:val="4"/>
                <w:color w:val="auto"/>
              </w:rPr>
            </w:pPr>
          </w:p>
        </w:tc>
        <w:tc>
          <w:tcPr>
            <w:tcW w:w="3080" w:type="dxa"/>
            <w:vAlign w:val="bottom"/>
          </w:tcPr>
          <w:p>
            <w:pPr>
              <w:spacing w:after="0"/>
              <w:rPr>
                <w:sz w:val="4"/>
                <w:szCs w:val="4"/>
                <w:color w:val="auto"/>
              </w:rPr>
            </w:pPr>
          </w:p>
        </w:tc>
        <w:tc>
          <w:tcPr>
            <w:tcW w:w="104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40"/>
        </w:trPr>
        <w:tc>
          <w:tcPr>
            <w:tcW w:w="800" w:type="dxa"/>
            <w:vAlign w:val="bottom"/>
            <w:tcBorders>
              <w:bottom w:val="single" w:sz="8" w:color="9A9A9A"/>
            </w:tcBorders>
          </w:tcPr>
          <w:p>
            <w:pPr>
              <w:spacing w:after="0"/>
              <w:rPr>
                <w:sz w:val="12"/>
                <w:szCs w:val="12"/>
                <w:color w:val="auto"/>
              </w:rPr>
            </w:pPr>
          </w:p>
        </w:tc>
        <w:tc>
          <w:tcPr>
            <w:tcW w:w="3060" w:type="dxa"/>
            <w:vAlign w:val="bottom"/>
            <w:tcBorders>
              <w:bottom w:val="single" w:sz="8" w:color="9A9A9A"/>
            </w:tcBorders>
          </w:tcPr>
          <w:p>
            <w:pPr>
              <w:spacing w:after="0"/>
              <w:rPr>
                <w:sz w:val="12"/>
                <w:szCs w:val="12"/>
                <w:color w:val="auto"/>
              </w:rPr>
            </w:pPr>
          </w:p>
        </w:tc>
        <w:tc>
          <w:tcPr>
            <w:tcW w:w="2740" w:type="dxa"/>
            <w:vAlign w:val="bottom"/>
            <w:tcBorders>
              <w:bottom w:val="single" w:sz="8" w:color="9A9A9A"/>
            </w:tcBorders>
          </w:tcPr>
          <w:p>
            <w:pPr>
              <w:spacing w:after="0"/>
              <w:rPr>
                <w:sz w:val="12"/>
                <w:szCs w:val="12"/>
                <w:color w:val="auto"/>
              </w:rPr>
            </w:pPr>
          </w:p>
        </w:tc>
        <w:tc>
          <w:tcPr>
            <w:tcW w:w="3080" w:type="dxa"/>
            <w:vAlign w:val="bottom"/>
            <w:tcBorders>
              <w:bottom w:val="single" w:sz="8" w:color="9A9A9A"/>
            </w:tcBorders>
          </w:tcPr>
          <w:p>
            <w:pPr>
              <w:spacing w:after="0"/>
              <w:rPr>
                <w:sz w:val="12"/>
                <w:szCs w:val="12"/>
                <w:color w:val="auto"/>
              </w:rPr>
            </w:pPr>
          </w:p>
        </w:tc>
        <w:tc>
          <w:tcPr>
            <w:tcW w:w="1040" w:type="dxa"/>
            <w:vAlign w:val="bottom"/>
            <w:tcBorders>
              <w:bottom w:val="single" w:sz="8" w:color="9A9A9A"/>
            </w:tcBorders>
          </w:tcPr>
          <w:p>
            <w:pPr>
              <w:spacing w:after="0"/>
              <w:rPr>
                <w:sz w:val="12"/>
                <w:szCs w:val="12"/>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6802755</wp:posOffset>
            </wp:positionH>
            <wp:positionV relativeFrom="paragraph">
              <wp:posOffset>-8255</wp:posOffset>
            </wp:positionV>
            <wp:extent cx="8255" cy="8890"/>
            <wp:wrapNone/>
            <wp:docPr id="434" name="Picture 4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4"/>
                    <pic:cNvPicPr>
                      <a:picLocks noChangeAspect="1" noChangeArrowheads="1"/>
                    </pic:cNvPicPr>
                  </pic:nvPicPr>
                  <pic:blipFill>
                    <a:blip r:embed="rId441">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wp:posOffset>
            </wp:positionV>
            <wp:extent cx="8890" cy="17145"/>
            <wp:wrapNone/>
            <wp:docPr id="435" name="Picture 4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5"/>
                    <pic:cNvPicPr>
                      <a:picLocks noChangeAspect="1" noChangeArrowheads="1"/>
                    </pic:cNvPicPr>
                  </pic:nvPicPr>
                  <pic:blipFill>
                    <a:blip r:embed="rId442">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sectPr>
          <w:pgSz w:w="11900" w:h="16838" w:orient="portrait"/>
          <w:cols w:equalWidth="0" w:num="1">
            <w:col w:w="10720"/>
          </w:cols>
          <w:pgMar w:left="320" w:top="131" w:right="859" w:bottom="1440" w:gutter="0" w:footer="0" w:header="0"/>
        </w:sectPr>
      </w:pPr>
    </w:p>
    <w:bookmarkStart w:id="100" w:name="page101"/>
    <w:bookmarkEnd w:id="100"/>
    <w:p>
      <w:pPr>
        <w:spacing w:after="0"/>
        <w:rPr>
          <w:rFonts w:ascii="Arial" w:cs="Arial" w:eastAsia="Arial" w:hAnsi="Arial"/>
          <w:sz w:val="14"/>
          <w:szCs w:val="14"/>
          <w:color w:val="003366"/>
        </w:rPr>
      </w:pPr>
      <w:hyperlink w:anchor="page77">
        <w:r>
          <w:rPr>
            <w:rFonts w:ascii="Arial" w:cs="Arial" w:eastAsia="Arial" w:hAnsi="Arial"/>
            <w:sz w:val="14"/>
            <w:szCs w:val="14"/>
            <w:color w:val="003366"/>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485140</wp:posOffset>
            </wp:positionH>
            <wp:positionV relativeFrom="paragraph">
              <wp:posOffset>357505</wp:posOffset>
            </wp:positionV>
            <wp:extent cx="5829300" cy="8255"/>
            <wp:wrapNone/>
            <wp:docPr id="436" name="Picture 4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6"/>
                    <pic:cNvPicPr>
                      <a:picLocks noChangeAspect="1" noChangeArrowheads="1"/>
                    </pic:cNvPicPr>
                  </pic:nvPicPr>
                  <pic:blipFill>
                    <a:blip r:embed="rId443">
                      <a:extLst>
                        <a:ext uri="{28A0092B-C50C-407E-A947-70E740481C1C}"/>
                      </a:extLst>
                    </a:blip>
                    <a:srcRect/>
                    <a:stretch>
                      <a:fillRect/>
                    </a:stretch>
                  </pic:blipFill>
                  <pic:spPr bwMode="auto">
                    <a:xfrm>
                      <a:off x="0" y="0"/>
                      <a:ext cx="582930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ind w:left="1200" w:hanging="436"/>
        <w:spacing w:after="0"/>
        <w:tabs>
          <w:tab w:leader="none" w:pos="1200" w:val="left"/>
        </w:tabs>
        <w:numPr>
          <w:ilvl w:val="0"/>
          <w:numId w:val="153"/>
        </w:numPr>
        <w:rPr>
          <w:rFonts w:ascii="Arial" w:cs="Arial" w:eastAsia="Arial" w:hAnsi="Arial"/>
          <w:sz w:val="16"/>
          <w:szCs w:val="16"/>
          <w:b w:val="1"/>
          <w:bCs w:val="1"/>
          <w:color w:val="auto"/>
        </w:rPr>
      </w:pPr>
      <w:r>
        <w:rPr>
          <w:rFonts w:ascii="Arial" w:cs="Arial" w:eastAsia="Arial" w:hAnsi="Arial"/>
          <w:sz w:val="16"/>
          <w:szCs w:val="16"/>
          <w:b w:val="1"/>
          <w:bCs w:val="1"/>
          <w:u w:val="single" w:color="auto"/>
          <w:color w:val="auto"/>
        </w:rPr>
        <w:t>APPOINTMENT AND RE-</w:t>
      </w:r>
      <w:r>
        <w:rPr>
          <w:rFonts w:ascii="Arial" w:cs="Arial" w:eastAsia="Arial" w:hAnsi="Arial"/>
          <w:sz w:val="16"/>
          <w:szCs w:val="16"/>
          <w:b w:val="1"/>
          <w:bCs w:val="1"/>
          <w:color w:val="auto"/>
        </w:rPr>
        <w:t>APPOINTMENT OF DIRECTORS</w:t>
      </w:r>
    </w:p>
    <w:p>
      <w:pPr>
        <w:spacing w:after="0" w:line="120" w:lineRule="exact"/>
        <w:rPr>
          <w:sz w:val="20"/>
          <w:szCs w:val="20"/>
          <w:color w:val="auto"/>
        </w:rPr>
      </w:pPr>
    </w:p>
    <w:p>
      <w:pPr>
        <w:ind w:left="1200" w:right="299" w:hanging="431"/>
        <w:spacing w:after="0" w:line="260" w:lineRule="auto"/>
        <w:rPr>
          <w:sz w:val="20"/>
          <w:szCs w:val="20"/>
          <w:color w:val="auto"/>
        </w:rPr>
      </w:pPr>
      <w:r>
        <w:rPr>
          <w:rFonts w:ascii="Arial" w:cs="Arial" w:eastAsia="Arial" w:hAnsi="Arial"/>
          <w:sz w:val="16"/>
          <w:szCs w:val="16"/>
          <w:color w:val="auto"/>
        </w:rPr>
        <w:t xml:space="preserve">24.1 Subject to </w:t>
      </w:r>
      <w:r>
        <w:rPr>
          <w:rFonts w:ascii="Arial" w:cs="Arial" w:eastAsia="Arial" w:hAnsi="Arial"/>
          <w:sz w:val="16"/>
          <w:szCs w:val="16"/>
          <w:color w:val="auto"/>
          <w:strike w:val="1"/>
        </w:rPr>
        <w:t>the</w:t>
      </w:r>
      <w:r>
        <w:rPr>
          <w:rFonts w:ascii="Arial" w:cs="Arial" w:eastAsia="Arial" w:hAnsi="Arial"/>
          <w:sz w:val="16"/>
          <w:szCs w:val="16"/>
          <w:u w:val="single" w:color="auto"/>
          <w:color w:val="auto"/>
        </w:rPr>
        <w:t>these</w:t>
      </w:r>
      <w:r>
        <w:rPr>
          <w:rFonts w:ascii="Arial" w:cs="Arial" w:eastAsia="Arial" w:hAnsi="Arial"/>
          <w:sz w:val="16"/>
          <w:szCs w:val="16"/>
          <w:color w:val="auto"/>
        </w:rPr>
        <w:t xml:space="preserve"> Articles</w:t>
      </w:r>
      <w:r>
        <w:rPr>
          <w:rFonts w:ascii="Arial" w:cs="Arial" w:eastAsia="Arial" w:hAnsi="Arial"/>
          <w:sz w:val="16"/>
          <w:szCs w:val="16"/>
          <w:color w:val="auto"/>
          <w:strike w:val="1"/>
        </w:rPr>
        <w:t>,</w:t>
      </w:r>
      <w:r>
        <w:rPr>
          <w:rFonts w:ascii="Arial" w:cs="Arial" w:eastAsia="Arial" w:hAnsi="Arial"/>
          <w:sz w:val="16"/>
          <w:szCs w:val="16"/>
          <w:color w:val="auto"/>
        </w:rPr>
        <w:t xml:space="preserve"> </w:t>
      </w:r>
      <w:r>
        <w:rPr>
          <w:rFonts w:ascii="Arial" w:cs="Arial" w:eastAsia="Arial" w:hAnsi="Arial"/>
          <w:sz w:val="16"/>
          <w:szCs w:val="16"/>
          <w:u w:val="single" w:color="auto"/>
          <w:color w:val="auto"/>
        </w:rPr>
        <w:t>(including but not limited to below),</w:t>
      </w:r>
      <w:r>
        <w:rPr>
          <w:rFonts w:ascii="Arial" w:cs="Arial" w:eastAsia="Arial" w:hAnsi="Arial"/>
          <w:sz w:val="16"/>
          <w:szCs w:val="16"/>
          <w:color w:val="auto"/>
        </w:rPr>
        <w:t xml:space="preserve"> any person who is willing to act as a </w:t>
      </w:r>
      <w:r>
        <w:rPr>
          <w:rFonts w:ascii="Arial" w:cs="Arial" w:eastAsia="Arial" w:hAnsi="Arial"/>
          <w:sz w:val="16"/>
          <w:szCs w:val="16"/>
          <w:color w:val="auto"/>
          <w:strike w:val="1"/>
        </w:rPr>
        <w:t>director</w:t>
      </w:r>
      <w:r>
        <w:rPr>
          <w:rFonts w:ascii="Arial" w:cs="Arial" w:eastAsia="Arial" w:hAnsi="Arial"/>
          <w:sz w:val="16"/>
          <w:szCs w:val="16"/>
          <w:u w:val="single" w:color="auto"/>
          <w:color w:val="auto"/>
        </w:rPr>
        <w:t>Director</w:t>
      </w:r>
      <w:r>
        <w:rPr>
          <w:rFonts w:ascii="Arial" w:cs="Arial" w:eastAsia="Arial" w:hAnsi="Arial"/>
          <w:sz w:val="16"/>
          <w:szCs w:val="16"/>
          <w:color w:val="auto"/>
        </w:rPr>
        <w:t xml:space="preserve">, and is permitted by law to do so, may be appointed to be a </w:t>
      </w:r>
      <w:r>
        <w:rPr>
          <w:rFonts w:ascii="Arial" w:cs="Arial" w:eastAsia="Arial" w:hAnsi="Arial"/>
          <w:sz w:val="16"/>
          <w:szCs w:val="16"/>
          <w:color w:val="auto"/>
          <w:strike w:val="1"/>
        </w:rPr>
        <w:t>director:</w:t>
      </w:r>
    </w:p>
    <w:p>
      <w:pPr>
        <w:spacing w:after="0" w:line="60" w:lineRule="exact"/>
        <w:rPr>
          <w:sz w:val="20"/>
          <w:szCs w:val="20"/>
          <w:color w:val="auto"/>
        </w:rPr>
      </w:pPr>
    </w:p>
    <w:p>
      <w:pPr>
        <w:ind w:left="1620" w:right="399" w:hanging="424"/>
        <w:spacing w:after="0" w:line="260" w:lineRule="auto"/>
        <w:tabs>
          <w:tab w:leader="none" w:pos="1620" w:val="left"/>
        </w:tabs>
        <w:numPr>
          <w:ilvl w:val="0"/>
          <w:numId w:val="154"/>
        </w:numPr>
        <w:rPr>
          <w:rFonts w:ascii="Arial" w:cs="Arial" w:eastAsia="Arial" w:hAnsi="Arial"/>
          <w:sz w:val="16"/>
          <w:szCs w:val="16"/>
          <w:color w:val="auto"/>
          <w:strike w:val="1"/>
        </w:rPr>
      </w:pPr>
      <w:r>
        <w:rPr>
          <w:rFonts w:ascii="Arial" w:cs="Arial" w:eastAsia="Arial" w:hAnsi="Arial"/>
          <w:sz w:val="16"/>
          <w:szCs w:val="16"/>
          <w:color w:val="auto"/>
          <w:strike w:val="1"/>
        </w:rPr>
        <w:t xml:space="preserve">by ordinary </w:t>
      </w:r>
      <w:r>
        <w:rPr>
          <w:rFonts w:ascii="Arial" w:cs="Arial" w:eastAsia="Arial" w:hAnsi="Arial"/>
          <w:sz w:val="16"/>
          <w:szCs w:val="16"/>
          <w:u w:val="single" w:color="auto"/>
          <w:color w:val="auto"/>
          <w:strike w:val="1"/>
        </w:rPr>
        <w:t>Director (either to fill a vacancy or as an additional Director) pursuant to Article 24.6 below, provided that</w:t>
      </w:r>
      <w:r>
        <w:rPr>
          <w:rFonts w:ascii="Arial" w:cs="Arial" w:eastAsia="Arial" w:hAnsi="Arial"/>
          <w:sz w:val="16"/>
          <w:szCs w:val="16"/>
          <w:color w:val="auto"/>
          <w:strike w:val="1"/>
        </w:rPr>
        <w:t xml:space="preserve"> </w:t>
      </w:r>
      <w:r>
        <w:rPr>
          <w:rFonts w:ascii="Arial" w:cs="Arial" w:eastAsia="Arial" w:hAnsi="Arial"/>
          <w:sz w:val="16"/>
          <w:szCs w:val="16"/>
          <w:u w:val="single" w:color="auto"/>
          <w:color w:val="auto"/>
          <w:strike w:val="1"/>
        </w:rPr>
        <w:t>notice is given of the</w:t>
      </w:r>
      <w:r>
        <w:rPr>
          <w:rFonts w:ascii="Arial" w:cs="Arial" w:eastAsia="Arial" w:hAnsi="Arial"/>
          <w:sz w:val="16"/>
          <w:szCs w:val="16"/>
          <w:color w:val="auto"/>
          <w:strike w:val="1"/>
        </w:rPr>
        <w:t xml:space="preserve"> resolution;</w:t>
      </w:r>
    </w:p>
    <w:p>
      <w:pPr>
        <w:spacing w:after="0" w:line="73" w:lineRule="exact"/>
        <w:rPr>
          <w:rFonts w:ascii="Arial" w:cs="Arial" w:eastAsia="Arial" w:hAnsi="Arial"/>
          <w:sz w:val="16"/>
          <w:szCs w:val="16"/>
          <w:color w:val="auto"/>
          <w:strike w:val="1"/>
        </w:rPr>
      </w:pPr>
    </w:p>
    <w:p>
      <w:pPr>
        <w:ind w:left="1620" w:hanging="424"/>
        <w:spacing w:after="0"/>
        <w:tabs>
          <w:tab w:leader="none" w:pos="1620" w:val="left"/>
        </w:tabs>
        <w:numPr>
          <w:ilvl w:val="0"/>
          <w:numId w:val="154"/>
        </w:numPr>
        <w:rPr>
          <w:rFonts w:ascii="Arial" w:cs="Arial" w:eastAsia="Arial" w:hAnsi="Arial"/>
          <w:sz w:val="16"/>
          <w:szCs w:val="16"/>
          <w:color w:val="auto"/>
          <w:strike w:val="1"/>
        </w:rPr>
      </w:pPr>
      <w:r>
        <w:rPr>
          <w:rFonts w:ascii="Arial" w:cs="Arial" w:eastAsia="Arial" w:hAnsi="Arial"/>
          <w:sz w:val="16"/>
          <w:szCs w:val="16"/>
          <w:color w:val="auto"/>
          <w:strike w:val="1"/>
        </w:rPr>
        <w:t>at a general meeting called under article 16.4;</w:t>
      </w:r>
    </w:p>
    <w:p>
      <w:pPr>
        <w:spacing w:after="0" w:line="86" w:lineRule="exact"/>
        <w:rPr>
          <w:rFonts w:ascii="Arial" w:cs="Arial" w:eastAsia="Arial" w:hAnsi="Arial"/>
          <w:sz w:val="16"/>
          <w:szCs w:val="16"/>
          <w:color w:val="auto"/>
          <w:strike w:val="1"/>
        </w:rPr>
      </w:pPr>
    </w:p>
    <w:p>
      <w:pPr>
        <w:ind w:left="1620" w:hanging="424"/>
        <w:spacing w:after="0"/>
        <w:tabs>
          <w:tab w:leader="none" w:pos="1620" w:val="left"/>
        </w:tabs>
        <w:numPr>
          <w:ilvl w:val="0"/>
          <w:numId w:val="154"/>
        </w:numPr>
        <w:rPr>
          <w:rFonts w:ascii="Arial" w:cs="Arial" w:eastAsia="Arial" w:hAnsi="Arial"/>
          <w:sz w:val="16"/>
          <w:szCs w:val="16"/>
          <w:color w:val="auto"/>
          <w:strike w:val="1"/>
        </w:rPr>
      </w:pPr>
      <w:r>
        <w:rPr>
          <w:rFonts w:ascii="Arial" w:cs="Arial" w:eastAsia="Arial" w:hAnsi="Arial"/>
          <w:sz w:val="16"/>
          <w:szCs w:val="16"/>
          <w:color w:val="auto"/>
          <w:strike w:val="1"/>
        </w:rPr>
        <w:t>by a decision of</w:t>
      </w:r>
      <w:r>
        <w:rPr>
          <w:rFonts w:ascii="Arial" w:cs="Arial" w:eastAsia="Arial" w:hAnsi="Arial"/>
          <w:sz w:val="16"/>
          <w:szCs w:val="16"/>
          <w:u w:val="single" w:color="auto"/>
          <w:color w:val="auto"/>
        </w:rPr>
        <w:t>identifying</w:t>
      </w:r>
      <w:r>
        <w:rPr>
          <w:rFonts w:ascii="Arial" w:cs="Arial" w:eastAsia="Arial" w:hAnsi="Arial"/>
          <w:sz w:val="16"/>
          <w:szCs w:val="16"/>
          <w:color w:val="auto"/>
        </w:rPr>
        <w:t xml:space="preserve"> the </w:t>
      </w:r>
      <w:r>
        <w:rPr>
          <w:rFonts w:ascii="Arial" w:cs="Arial" w:eastAsia="Arial" w:hAnsi="Arial"/>
          <w:sz w:val="16"/>
          <w:szCs w:val="16"/>
          <w:color w:val="auto"/>
          <w:strike w:val="1"/>
        </w:rPr>
        <w:t>directors.</w:t>
      </w:r>
    </w:p>
    <w:p>
      <w:pPr>
        <w:spacing w:after="0" w:line="100" w:lineRule="exact"/>
        <w:rPr>
          <w:sz w:val="20"/>
          <w:szCs w:val="20"/>
          <w:color w:val="auto"/>
        </w:rPr>
      </w:pPr>
    </w:p>
    <w:p>
      <w:pPr>
        <w:ind w:left="1200" w:right="319" w:hanging="431"/>
        <w:spacing w:after="0" w:line="251" w:lineRule="auto"/>
        <w:rPr>
          <w:sz w:val="20"/>
          <w:szCs w:val="20"/>
          <w:color w:val="auto"/>
        </w:rPr>
      </w:pPr>
      <w:r>
        <w:rPr>
          <w:rFonts w:ascii="Arial" w:cs="Arial" w:eastAsia="Arial" w:hAnsi="Arial"/>
          <w:sz w:val="16"/>
          <w:szCs w:val="16"/>
          <w:color w:val="auto"/>
          <w:strike w:val="1"/>
        </w:rPr>
        <w:t>24.2 Subject to the Companies Act, the directors may enter into an agreement or arrangement with any director for the provision of any services outside the scope of the ordinary duties of a director. Any such agreement or arrangement may be made on such terms and conditions as (subject to the Act) the directors think fit and (without prejudice to any other provision of the articles) they may remunerate any such director for such services as they think fit.</w:t>
      </w:r>
    </w:p>
    <w:p>
      <w:pPr>
        <w:spacing w:after="0" w:line="81" w:lineRule="exact"/>
        <w:rPr>
          <w:sz w:val="20"/>
          <w:szCs w:val="20"/>
          <w:color w:val="auto"/>
        </w:rPr>
      </w:pPr>
    </w:p>
    <w:p>
      <w:pPr>
        <w:ind w:left="760"/>
        <w:spacing w:after="0"/>
        <w:rPr>
          <w:sz w:val="20"/>
          <w:szCs w:val="20"/>
          <w:color w:val="auto"/>
        </w:rPr>
      </w:pPr>
      <w:r>
        <w:rPr>
          <w:rFonts w:ascii="Arial" w:cs="Arial" w:eastAsia="Arial" w:hAnsi="Arial"/>
          <w:sz w:val="16"/>
          <w:szCs w:val="16"/>
          <w:color w:val="auto"/>
          <w:strike w:val="1"/>
        </w:rPr>
        <w:t>24.3  No</w:t>
      </w:r>
      <w:r>
        <w:rPr>
          <w:rFonts w:ascii="Arial" w:cs="Arial" w:eastAsia="Arial" w:hAnsi="Arial"/>
          <w:sz w:val="16"/>
          <w:szCs w:val="16"/>
          <w:color w:val="auto"/>
        </w:rPr>
        <w:t xml:space="preserve"> person </w:t>
      </w:r>
      <w:r>
        <w:rPr>
          <w:rFonts w:ascii="Arial" w:cs="Arial" w:eastAsia="Arial" w:hAnsi="Arial"/>
          <w:sz w:val="16"/>
          <w:szCs w:val="16"/>
          <w:color w:val="auto"/>
          <w:strike w:val="1"/>
        </w:rPr>
        <w:t>shall be appointed a Director at any annual general meeting unless:</w:t>
      </w:r>
      <w:r>
        <w:rPr>
          <w:rFonts w:ascii="Arial" w:cs="Arial" w:eastAsia="Arial" w:hAnsi="Arial"/>
          <w:sz w:val="16"/>
          <w:szCs w:val="16"/>
          <w:color w:val="auto"/>
        </w:rPr>
        <w:t xml:space="preserve"> </w:t>
      </w:r>
      <w:r>
        <w:rPr>
          <w:rFonts w:ascii="Arial" w:cs="Arial" w:eastAsia="Arial" w:hAnsi="Arial"/>
          <w:sz w:val="16"/>
          <w:szCs w:val="16"/>
          <w:u w:val="single" w:color="auto"/>
          <w:color w:val="auto"/>
        </w:rPr>
        <w:t>concerned by name and:</w:t>
      </w:r>
    </w:p>
    <w:p>
      <w:pPr>
        <w:spacing w:after="0" w:line="86" w:lineRule="exact"/>
        <w:rPr>
          <w:sz w:val="20"/>
          <w:szCs w:val="20"/>
          <w:color w:val="auto"/>
        </w:rPr>
      </w:pPr>
    </w:p>
    <w:p>
      <w:pPr>
        <w:ind w:left="1620" w:hanging="424"/>
        <w:spacing w:after="0"/>
        <w:tabs>
          <w:tab w:leader="none" w:pos="1620" w:val="left"/>
        </w:tabs>
        <w:numPr>
          <w:ilvl w:val="0"/>
          <w:numId w:val="155"/>
        </w:numPr>
        <w:rPr>
          <w:rFonts w:ascii="Arial" w:cs="Arial" w:eastAsia="Arial" w:hAnsi="Arial"/>
          <w:sz w:val="16"/>
          <w:szCs w:val="16"/>
          <w:color w:val="auto"/>
        </w:rPr>
      </w:pPr>
      <w:r>
        <w:rPr>
          <w:rFonts w:ascii="Arial" w:cs="Arial" w:eastAsia="Arial" w:hAnsi="Arial"/>
          <w:sz w:val="16"/>
          <w:szCs w:val="16"/>
          <w:color w:val="auto"/>
        </w:rPr>
        <w:t>he is nominated by the Board; or</w:t>
      </w:r>
    </w:p>
    <w:p>
      <w:pPr>
        <w:spacing w:after="0" w:line="99" w:lineRule="exact"/>
        <w:rPr>
          <w:rFonts w:ascii="Arial" w:cs="Arial" w:eastAsia="Arial" w:hAnsi="Arial"/>
          <w:sz w:val="16"/>
          <w:szCs w:val="16"/>
          <w:color w:val="auto"/>
        </w:rPr>
      </w:pPr>
    </w:p>
    <w:p>
      <w:pPr>
        <w:ind w:left="1620" w:right="259" w:hanging="424"/>
        <w:spacing w:after="0" w:line="250" w:lineRule="auto"/>
        <w:tabs>
          <w:tab w:leader="none" w:pos="1620" w:val="left"/>
        </w:tabs>
        <w:numPr>
          <w:ilvl w:val="0"/>
          <w:numId w:val="155"/>
        </w:numPr>
        <w:rPr>
          <w:rFonts w:ascii="Arial" w:cs="Arial" w:eastAsia="Arial" w:hAnsi="Arial"/>
          <w:sz w:val="16"/>
          <w:szCs w:val="16"/>
          <w:color w:val="auto"/>
        </w:rPr>
      </w:pPr>
      <w:r>
        <w:rPr>
          <w:rFonts w:ascii="Arial" w:cs="Arial" w:eastAsia="Arial" w:hAnsi="Arial"/>
          <w:sz w:val="16"/>
          <w:szCs w:val="16"/>
          <w:color w:val="auto"/>
        </w:rPr>
        <w:t xml:space="preserve">notice in respect of that person is given by a member qualified to vote at the meeting </w:t>
      </w:r>
      <w:r>
        <w:rPr>
          <w:rFonts w:ascii="Arial" w:cs="Arial" w:eastAsia="Arial" w:hAnsi="Arial"/>
          <w:sz w:val="16"/>
          <w:szCs w:val="16"/>
          <w:color w:val="auto"/>
          <w:strike w:val="1"/>
        </w:rPr>
        <w:t>(other than the person to be</w:t>
      </w:r>
      <w:r>
        <w:rPr>
          <w:rFonts w:ascii="Arial" w:cs="Arial" w:eastAsia="Arial" w:hAnsi="Arial"/>
          <w:sz w:val="16"/>
          <w:szCs w:val="16"/>
          <w:color w:val="auto"/>
        </w:rPr>
        <w:t xml:space="preserve"> </w:t>
      </w:r>
      <w:r>
        <w:rPr>
          <w:rFonts w:ascii="Arial" w:cs="Arial" w:eastAsia="Arial" w:hAnsi="Arial"/>
          <w:sz w:val="16"/>
          <w:szCs w:val="16"/>
          <w:color w:val="auto"/>
          <w:strike w:val="1"/>
        </w:rPr>
        <w:t>proposed) has been received by the Company</w:t>
      </w:r>
      <w:r>
        <w:rPr>
          <w:rFonts w:ascii="Arial" w:cs="Arial" w:eastAsia="Arial" w:hAnsi="Arial"/>
          <w:sz w:val="16"/>
          <w:szCs w:val="16"/>
          <w:color w:val="auto"/>
        </w:rPr>
        <w:t xml:space="preserve"> in accordance with Article </w:t>
      </w:r>
      <w:r>
        <w:rPr>
          <w:rFonts w:ascii="Arial" w:cs="Arial" w:eastAsia="Arial" w:hAnsi="Arial"/>
          <w:sz w:val="16"/>
          <w:szCs w:val="16"/>
          <w:color w:val="auto"/>
          <w:strike w:val="1"/>
        </w:rPr>
        <w:t>20.1</w:t>
      </w:r>
      <w:r>
        <w:rPr>
          <w:rFonts w:ascii="Arial" w:cs="Arial" w:eastAsia="Arial" w:hAnsi="Arial"/>
          <w:sz w:val="16"/>
          <w:szCs w:val="16"/>
          <w:u w:val="single" w:color="auto"/>
          <w:color w:val="auto"/>
        </w:rPr>
        <w:t>20.1</w:t>
      </w:r>
      <w:r>
        <w:rPr>
          <w:rFonts w:ascii="Arial" w:cs="Arial" w:eastAsia="Arial" w:hAnsi="Arial"/>
          <w:sz w:val="16"/>
          <w:szCs w:val="16"/>
          <w:color w:val="auto"/>
        </w:rPr>
        <w:t xml:space="preserve"> and Article </w:t>
      </w:r>
      <w:r>
        <w:rPr>
          <w:rFonts w:ascii="Arial" w:cs="Arial" w:eastAsia="Arial" w:hAnsi="Arial"/>
          <w:sz w:val="16"/>
          <w:szCs w:val="16"/>
          <w:color w:val="auto"/>
          <w:strike w:val="1"/>
        </w:rPr>
        <w:t>20.4</w:t>
      </w:r>
      <w:r>
        <w:rPr>
          <w:rFonts w:ascii="Arial" w:cs="Arial" w:eastAsia="Arial" w:hAnsi="Arial"/>
          <w:sz w:val="16"/>
          <w:szCs w:val="16"/>
          <w:u w:val="single" w:color="auto"/>
          <w:color w:val="auto"/>
        </w:rPr>
        <w:t>20.4</w:t>
      </w:r>
      <w:r>
        <w:rPr>
          <w:rFonts w:ascii="Arial" w:cs="Arial" w:eastAsia="Arial" w:hAnsi="Arial"/>
          <w:sz w:val="16"/>
          <w:szCs w:val="16"/>
          <w:color w:val="auto"/>
        </w:rPr>
        <w:t xml:space="preserve"> or section 338 of the Companies Act of the intention to nominate that person for appointment stating the particulars which would, if </w:t>
      </w:r>
      <w:r>
        <w:rPr>
          <w:rFonts w:ascii="Arial" w:cs="Arial" w:eastAsia="Arial" w:hAnsi="Arial"/>
          <w:sz w:val="16"/>
          <w:szCs w:val="16"/>
          <w:color w:val="auto"/>
          <w:strike w:val="1"/>
        </w:rPr>
        <w:t>he</w:t>
      </w:r>
      <w:r>
        <w:rPr>
          <w:rFonts w:ascii="Arial" w:cs="Arial" w:eastAsia="Arial" w:hAnsi="Arial"/>
          <w:sz w:val="16"/>
          <w:szCs w:val="16"/>
          <w:u w:val="single" w:color="auto"/>
          <w:color w:val="auto"/>
        </w:rPr>
        <w:t>they</w:t>
      </w:r>
      <w:r>
        <w:rPr>
          <w:rFonts w:ascii="Arial" w:cs="Arial" w:eastAsia="Arial" w:hAnsi="Arial"/>
          <w:sz w:val="16"/>
          <w:szCs w:val="16"/>
          <w:color w:val="auto"/>
        </w:rPr>
        <w:t xml:space="preserve"> were so appointed, be required to be included in the Company’s register of directors, together with notice by that person of </w:t>
      </w:r>
      <w:r>
        <w:rPr>
          <w:rFonts w:ascii="Arial" w:cs="Arial" w:eastAsia="Arial" w:hAnsi="Arial"/>
          <w:sz w:val="16"/>
          <w:szCs w:val="16"/>
          <w:color w:val="auto"/>
          <w:strike w:val="1"/>
        </w:rPr>
        <w:t>his</w:t>
      </w:r>
      <w:r>
        <w:rPr>
          <w:rFonts w:ascii="Arial" w:cs="Arial" w:eastAsia="Arial" w:hAnsi="Arial"/>
          <w:sz w:val="16"/>
          <w:szCs w:val="16"/>
          <w:u w:val="single" w:color="auto"/>
          <w:color w:val="auto"/>
        </w:rPr>
        <w:t>their</w:t>
      </w:r>
      <w:r>
        <w:rPr>
          <w:rFonts w:ascii="Arial" w:cs="Arial" w:eastAsia="Arial" w:hAnsi="Arial"/>
          <w:sz w:val="16"/>
          <w:szCs w:val="16"/>
          <w:color w:val="auto"/>
        </w:rPr>
        <w:t xml:space="preserve"> willingness to be appointed.</w:t>
      </w:r>
    </w:p>
    <w:p>
      <w:pPr>
        <w:spacing w:after="0" w:line="68" w:lineRule="exact"/>
        <w:rPr>
          <w:sz w:val="20"/>
          <w:szCs w:val="20"/>
          <w:color w:val="auto"/>
        </w:rPr>
      </w:pPr>
    </w:p>
    <w:p>
      <w:pPr>
        <w:ind w:left="1200" w:right="399" w:hanging="431"/>
        <w:spacing w:after="0" w:line="260" w:lineRule="auto"/>
        <w:rPr>
          <w:sz w:val="20"/>
          <w:szCs w:val="20"/>
          <w:color w:val="auto"/>
        </w:rPr>
      </w:pPr>
      <w:r>
        <w:rPr>
          <w:rFonts w:ascii="Arial" w:cs="Arial" w:eastAsia="Arial" w:hAnsi="Arial"/>
          <w:sz w:val="16"/>
          <w:szCs w:val="16"/>
          <w:color w:val="auto"/>
          <w:strike w:val="1"/>
        </w:rPr>
        <w:t>24.4 The directors may require that any notice of a proposed director by a member include additional disclosure regarding such proposed director, including such person’s interest in the Company.</w:t>
      </w:r>
    </w:p>
    <w:p>
      <w:pPr>
        <w:spacing w:after="0" w:line="74" w:lineRule="exact"/>
        <w:rPr>
          <w:sz w:val="20"/>
          <w:szCs w:val="20"/>
          <w:color w:val="auto"/>
        </w:rPr>
      </w:pPr>
    </w:p>
    <w:p>
      <w:pPr>
        <w:ind w:left="1200" w:right="959" w:hanging="431"/>
        <w:spacing w:after="0" w:line="260" w:lineRule="auto"/>
        <w:rPr>
          <w:sz w:val="20"/>
          <w:szCs w:val="20"/>
          <w:color w:val="auto"/>
        </w:rPr>
      </w:pPr>
      <w:r>
        <w:rPr>
          <w:rFonts w:ascii="Arial" w:cs="Arial" w:eastAsia="Arial" w:hAnsi="Arial"/>
          <w:sz w:val="16"/>
          <w:szCs w:val="16"/>
          <w:color w:val="auto"/>
        </w:rPr>
        <w:t xml:space="preserve">24.2 </w:t>
      </w:r>
      <w:r>
        <w:rPr>
          <w:rFonts w:ascii="Arial" w:cs="Arial" w:eastAsia="Arial" w:hAnsi="Arial"/>
          <w:sz w:val="16"/>
          <w:szCs w:val="16"/>
          <w:u w:val="single" w:color="auto"/>
          <w:color w:val="auto"/>
        </w:rPr>
        <w:t>Subject to these Articles and without prejudice to the power of the Company to appoint any person as a Director in</w:t>
      </w:r>
      <w:r>
        <w:rPr>
          <w:rFonts w:ascii="Arial" w:cs="Arial" w:eastAsia="Arial" w:hAnsi="Arial"/>
          <w:sz w:val="16"/>
          <w:szCs w:val="16"/>
          <w:color w:val="auto"/>
        </w:rPr>
        <w:t xml:space="preserve"> </w:t>
      </w:r>
      <w:r>
        <w:rPr>
          <w:rFonts w:ascii="Arial" w:cs="Arial" w:eastAsia="Arial" w:hAnsi="Arial"/>
          <w:sz w:val="16"/>
          <w:szCs w:val="16"/>
          <w:u w:val="single" w:color="auto"/>
          <w:color w:val="auto"/>
        </w:rPr>
        <w:t>accordance with Article 24.1, the board may appoint as a Director any person who is willing to act as such.</w:t>
      </w:r>
    </w:p>
    <w:p>
      <w:pPr>
        <w:spacing w:after="0" w:line="60" w:lineRule="exact"/>
        <w:rPr>
          <w:sz w:val="20"/>
          <w:szCs w:val="20"/>
          <w:color w:val="auto"/>
        </w:rPr>
      </w:pPr>
    </w:p>
    <w:p>
      <w:pPr>
        <w:ind w:left="1200" w:right="279" w:hanging="431"/>
        <w:spacing w:after="0" w:line="260" w:lineRule="auto"/>
        <w:rPr>
          <w:sz w:val="20"/>
          <w:szCs w:val="20"/>
          <w:color w:val="auto"/>
        </w:rPr>
      </w:pPr>
      <w:r>
        <w:rPr>
          <w:rFonts w:ascii="Arial" w:cs="Arial" w:eastAsia="Arial" w:hAnsi="Arial"/>
          <w:sz w:val="16"/>
          <w:szCs w:val="16"/>
          <w:color w:val="auto"/>
        </w:rPr>
        <w:t xml:space="preserve">24.3 </w:t>
      </w:r>
      <w:r>
        <w:rPr>
          <w:rFonts w:ascii="Arial" w:cs="Arial" w:eastAsia="Arial" w:hAnsi="Arial"/>
          <w:sz w:val="16"/>
          <w:szCs w:val="16"/>
          <w:u w:val="single" w:color="auto"/>
          <w:color w:val="auto"/>
        </w:rPr>
        <w:t>The Directors shall stand for appointment or re-appointment at each annual general meeting of the Company. Each Director</w:t>
      </w:r>
      <w:r>
        <w:rPr>
          <w:rFonts w:ascii="Arial" w:cs="Arial" w:eastAsia="Arial" w:hAnsi="Arial"/>
          <w:sz w:val="16"/>
          <w:szCs w:val="16"/>
          <w:color w:val="auto"/>
        </w:rPr>
        <w:t xml:space="preserve"> </w:t>
      </w:r>
      <w:r>
        <w:rPr>
          <w:rFonts w:ascii="Arial" w:cs="Arial" w:eastAsia="Arial" w:hAnsi="Arial"/>
          <w:sz w:val="16"/>
          <w:szCs w:val="16"/>
          <w:u w:val="single" w:color="auto"/>
          <w:color w:val="auto"/>
        </w:rPr>
        <w:t>shall hold office until the earlier of:</w:t>
      </w:r>
    </w:p>
    <w:p>
      <w:pPr>
        <w:spacing w:after="0" w:line="74" w:lineRule="exact"/>
        <w:rPr>
          <w:sz w:val="20"/>
          <w:szCs w:val="20"/>
          <w:color w:val="auto"/>
        </w:rPr>
      </w:pPr>
    </w:p>
    <w:p>
      <w:pPr>
        <w:ind w:left="1620" w:right="299" w:hanging="424"/>
        <w:spacing w:after="0" w:line="250" w:lineRule="auto"/>
        <w:tabs>
          <w:tab w:leader="none" w:pos="1620" w:val="left"/>
        </w:tabs>
        <w:numPr>
          <w:ilvl w:val="0"/>
          <w:numId w:val="156"/>
        </w:numPr>
        <w:rPr>
          <w:rFonts w:ascii="Arial" w:cs="Arial" w:eastAsia="Arial" w:hAnsi="Arial"/>
          <w:sz w:val="16"/>
          <w:szCs w:val="16"/>
          <w:u w:val="single" w:color="auto"/>
          <w:color w:val="auto"/>
        </w:rPr>
      </w:pPr>
      <w:r>
        <w:rPr>
          <w:rFonts w:ascii="Arial" w:cs="Arial" w:eastAsia="Arial" w:hAnsi="Arial"/>
          <w:sz w:val="16"/>
          <w:szCs w:val="16"/>
          <w:u w:val="single" w:color="auto"/>
          <w:color w:val="auto"/>
        </w:rPr>
        <w:t>the end of the date of a general meeting of the Company at which it is proposed to vote for the appointment or re-appointment of Directors if he or she fails to be appointed or re-appointed at such general meeting in accordance with Article 24.6, (unless, in the case of such a general meeting where the number of nominees does not exceed the number of Directors to be appointed or re-appointed, the Board resolves that such Director should remain a Director; provided that the Director in question does not participate in any consideration or vote on the matter); or</w:t>
      </w:r>
    </w:p>
    <w:p>
      <w:pPr>
        <w:spacing w:after="0" w:line="81" w:lineRule="exact"/>
        <w:rPr>
          <w:rFonts w:ascii="Arial" w:cs="Arial" w:eastAsia="Arial" w:hAnsi="Arial"/>
          <w:sz w:val="16"/>
          <w:szCs w:val="16"/>
          <w:u w:val="single" w:color="auto"/>
          <w:color w:val="auto"/>
        </w:rPr>
      </w:pPr>
    </w:p>
    <w:p>
      <w:pPr>
        <w:ind w:left="1620" w:hanging="424"/>
        <w:spacing w:after="0"/>
        <w:tabs>
          <w:tab w:leader="none" w:pos="1620" w:val="left"/>
        </w:tabs>
        <w:numPr>
          <w:ilvl w:val="0"/>
          <w:numId w:val="156"/>
        </w:numPr>
        <w:rPr>
          <w:rFonts w:ascii="Arial" w:cs="Arial" w:eastAsia="Arial" w:hAnsi="Arial"/>
          <w:sz w:val="16"/>
          <w:szCs w:val="16"/>
          <w:u w:val="single" w:color="auto"/>
          <w:color w:val="auto"/>
        </w:rPr>
      </w:pPr>
      <w:r>
        <w:rPr>
          <w:rFonts w:ascii="Arial" w:cs="Arial" w:eastAsia="Arial" w:hAnsi="Arial"/>
          <w:sz w:val="16"/>
          <w:szCs w:val="16"/>
          <w:u w:val="single" w:color="auto"/>
          <w:color w:val="auto"/>
        </w:rPr>
        <w:t>the date on which he or she ceases to be a Director in accordance with Article 30,</w:t>
      </w:r>
    </w:p>
    <w:p>
      <w:pPr>
        <w:spacing w:after="0" w:line="86" w:lineRule="exact"/>
        <w:rPr>
          <w:sz w:val="20"/>
          <w:szCs w:val="20"/>
          <w:color w:val="auto"/>
        </w:rPr>
      </w:pPr>
    </w:p>
    <w:p>
      <w:pPr>
        <w:ind w:left="1200"/>
        <w:spacing w:after="0"/>
        <w:rPr>
          <w:sz w:val="20"/>
          <w:szCs w:val="20"/>
          <w:color w:val="auto"/>
        </w:rPr>
      </w:pPr>
      <w:r>
        <w:rPr>
          <w:rFonts w:ascii="Arial" w:cs="Arial" w:eastAsia="Arial" w:hAnsi="Arial"/>
          <w:sz w:val="16"/>
          <w:szCs w:val="16"/>
          <w:u w:val="single" w:color="auto"/>
          <w:color w:val="auto"/>
        </w:rPr>
        <w:t>whereupon, in each case, such Director</w:t>
      </w:r>
      <w:r>
        <w:rPr>
          <w:rFonts w:ascii="Arial" w:cs="Arial" w:eastAsia="Arial" w:hAnsi="Arial"/>
          <w:sz w:val="16"/>
          <w:szCs w:val="16"/>
          <w:color w:val="auto"/>
        </w:rPr>
        <w:t>’</w:t>
      </w:r>
      <w:r>
        <w:rPr>
          <w:rFonts w:ascii="Arial" w:cs="Arial" w:eastAsia="Arial" w:hAnsi="Arial"/>
          <w:sz w:val="16"/>
          <w:szCs w:val="16"/>
          <w:u w:val="single" w:color="auto"/>
          <w:color w:val="auto"/>
        </w:rPr>
        <w:t>s appointment shall terminate.</w:t>
      </w:r>
    </w:p>
    <w:p>
      <w:pPr>
        <w:spacing w:after="0" w:line="100" w:lineRule="exact"/>
        <w:rPr>
          <w:sz w:val="20"/>
          <w:szCs w:val="20"/>
          <w:color w:val="auto"/>
        </w:rPr>
      </w:pPr>
    </w:p>
    <w:p>
      <w:pPr>
        <w:ind w:left="760"/>
        <w:spacing w:after="0"/>
        <w:rPr>
          <w:sz w:val="20"/>
          <w:szCs w:val="20"/>
          <w:color w:val="auto"/>
        </w:rPr>
      </w:pPr>
      <w:r>
        <w:rPr>
          <w:rFonts w:ascii="Arial" w:cs="Arial" w:eastAsia="Arial" w:hAnsi="Arial"/>
          <w:sz w:val="16"/>
          <w:szCs w:val="16"/>
          <w:u w:val="single" w:color="auto"/>
          <w:color w:val="auto"/>
        </w:rPr>
        <w:t>24.4  If at the end of an annual general meeting there would otherwise be no Directors, each person to whom Article</w:t>
      </w:r>
      <w:r>
        <w:rPr>
          <w:rFonts w:ascii="Arial" w:cs="Arial" w:eastAsia="Arial" w:hAnsi="Arial"/>
          <w:sz w:val="16"/>
          <w:szCs w:val="16"/>
          <w:color w:val="auto"/>
        </w:rPr>
        <w:t xml:space="preserve"> 24.3 applies:</w:t>
      </w:r>
    </w:p>
    <w:p>
      <w:pPr>
        <w:spacing w:after="0" w:line="100" w:lineRule="exact"/>
        <w:rPr>
          <w:sz w:val="20"/>
          <w:szCs w:val="20"/>
          <w:color w:val="auto"/>
        </w:rPr>
      </w:pPr>
    </w:p>
    <w:p>
      <w:pPr>
        <w:ind w:left="1620" w:right="239" w:hanging="424"/>
        <w:spacing w:after="0" w:line="260" w:lineRule="auto"/>
        <w:tabs>
          <w:tab w:leader="none" w:pos="1620" w:val="left"/>
        </w:tabs>
        <w:numPr>
          <w:ilvl w:val="0"/>
          <w:numId w:val="157"/>
        </w:numPr>
        <w:rPr>
          <w:rFonts w:ascii="Arial" w:cs="Arial" w:eastAsia="Arial" w:hAnsi="Arial"/>
          <w:sz w:val="16"/>
          <w:szCs w:val="16"/>
          <w:u w:val="single" w:color="auto"/>
          <w:color w:val="auto"/>
        </w:rPr>
      </w:pPr>
      <w:r>
        <w:rPr>
          <w:rFonts w:ascii="Arial" w:cs="Arial" w:eastAsia="Arial" w:hAnsi="Arial"/>
          <w:sz w:val="16"/>
          <w:szCs w:val="16"/>
          <w:u w:val="single" w:color="auto"/>
          <w:color w:val="auto"/>
        </w:rPr>
        <w:t>shall remain in office as a Director until someone else who was not a Director at the commencement of that meeting is appointed as a Director by the Company in general meeting, when they will cease to be a Director; and</w:t>
      </w:r>
    </w:p>
    <w:p>
      <w:pPr>
        <w:spacing w:after="0" w:line="60" w:lineRule="exact"/>
        <w:rPr>
          <w:rFonts w:ascii="Arial" w:cs="Arial" w:eastAsia="Arial" w:hAnsi="Arial"/>
          <w:sz w:val="16"/>
          <w:szCs w:val="16"/>
          <w:u w:val="single" w:color="auto"/>
          <w:color w:val="auto"/>
        </w:rPr>
      </w:pPr>
    </w:p>
    <w:p>
      <w:pPr>
        <w:ind w:left="1620" w:right="259" w:hanging="424"/>
        <w:spacing w:after="0" w:line="260" w:lineRule="auto"/>
        <w:tabs>
          <w:tab w:leader="none" w:pos="1620" w:val="left"/>
        </w:tabs>
        <w:numPr>
          <w:ilvl w:val="0"/>
          <w:numId w:val="157"/>
        </w:numPr>
        <w:rPr>
          <w:rFonts w:ascii="Arial" w:cs="Arial" w:eastAsia="Arial" w:hAnsi="Arial"/>
          <w:sz w:val="16"/>
          <w:szCs w:val="16"/>
          <w:u w:val="single" w:color="auto"/>
          <w:color w:val="auto"/>
        </w:rPr>
      </w:pPr>
      <w:r>
        <w:rPr>
          <w:rFonts w:ascii="Arial" w:cs="Arial" w:eastAsia="Arial" w:hAnsi="Arial"/>
          <w:sz w:val="16"/>
          <w:szCs w:val="16"/>
          <w:u w:val="single" w:color="auto"/>
          <w:color w:val="auto"/>
        </w:rPr>
        <w:t>may, in their capacity as a Director for so long as they remain in office in accordance with this paragraph, act (with any other persons to whom this paragraph applies as a board) only:</w:t>
      </w:r>
    </w:p>
    <w:p>
      <w:pPr>
        <w:spacing w:after="0" w:line="73" w:lineRule="exact"/>
        <w:rPr>
          <w:rFonts w:ascii="Arial" w:cs="Arial" w:eastAsia="Arial" w:hAnsi="Arial"/>
          <w:sz w:val="16"/>
          <w:szCs w:val="16"/>
          <w:u w:val="single" w:color="auto"/>
          <w:color w:val="auto"/>
        </w:rPr>
      </w:pPr>
    </w:p>
    <w:p>
      <w:pPr>
        <w:ind w:left="2060" w:hanging="432"/>
        <w:spacing w:after="0"/>
        <w:tabs>
          <w:tab w:leader="none" w:pos="2060" w:val="left"/>
        </w:tabs>
        <w:numPr>
          <w:ilvl w:val="1"/>
          <w:numId w:val="157"/>
        </w:numPr>
        <w:rPr>
          <w:rFonts w:ascii="Arial" w:cs="Arial" w:eastAsia="Arial" w:hAnsi="Arial"/>
          <w:sz w:val="16"/>
          <w:szCs w:val="16"/>
          <w:u w:val="single" w:color="auto"/>
          <w:color w:val="auto"/>
        </w:rPr>
      </w:pPr>
      <w:r>
        <w:rPr>
          <w:rFonts w:ascii="Arial" w:cs="Arial" w:eastAsia="Arial" w:hAnsi="Arial"/>
          <w:sz w:val="16"/>
          <w:szCs w:val="16"/>
          <w:u w:val="single" w:color="auto"/>
          <w:color w:val="auto"/>
        </w:rPr>
        <w:t>for the purposes of convening and holding a general meeting to appoint Directors; and</w:t>
      </w:r>
    </w:p>
    <w:p>
      <w:pPr>
        <w:spacing w:after="0" w:line="99" w:lineRule="exact"/>
        <w:rPr>
          <w:rFonts w:ascii="Arial" w:cs="Arial" w:eastAsia="Arial" w:hAnsi="Arial"/>
          <w:sz w:val="16"/>
          <w:szCs w:val="16"/>
          <w:u w:val="single" w:color="auto"/>
          <w:color w:val="auto"/>
        </w:rPr>
      </w:pPr>
    </w:p>
    <w:p>
      <w:pPr>
        <w:ind w:left="2060" w:right="239" w:hanging="432"/>
        <w:spacing w:after="0" w:line="260" w:lineRule="auto"/>
        <w:tabs>
          <w:tab w:leader="none" w:pos="2060" w:val="left"/>
        </w:tabs>
        <w:numPr>
          <w:ilvl w:val="1"/>
          <w:numId w:val="157"/>
        </w:numPr>
        <w:rPr>
          <w:rFonts w:ascii="Arial" w:cs="Arial" w:eastAsia="Arial" w:hAnsi="Arial"/>
          <w:sz w:val="16"/>
          <w:szCs w:val="16"/>
          <w:u w:val="single" w:color="auto"/>
          <w:color w:val="auto"/>
        </w:rPr>
      </w:pPr>
      <w:r>
        <w:rPr>
          <w:rFonts w:ascii="Arial" w:cs="Arial" w:eastAsia="Arial" w:hAnsi="Arial"/>
          <w:sz w:val="16"/>
          <w:szCs w:val="16"/>
          <w:u w:val="single" w:color="auto"/>
          <w:color w:val="auto"/>
        </w:rPr>
        <w:t>as they consider necessary or appropriate in order to comply with any legal or regulatory requirement applicable to the Company or the Directors or to them as a Director.</w:t>
      </w:r>
    </w:p>
    <w:p>
      <w:pPr>
        <w:spacing w:after="0" w:line="60" w:lineRule="exact"/>
        <w:rPr>
          <w:sz w:val="20"/>
          <w:szCs w:val="20"/>
          <w:color w:val="auto"/>
        </w:rPr>
      </w:pPr>
    </w:p>
    <w:p>
      <w:pPr>
        <w:ind w:left="1200" w:right="279" w:hanging="431"/>
        <w:spacing w:after="0" w:line="253" w:lineRule="auto"/>
        <w:rPr>
          <w:sz w:val="20"/>
          <w:szCs w:val="20"/>
          <w:color w:val="auto"/>
        </w:rPr>
      </w:pPr>
      <w:r>
        <w:rPr>
          <w:rFonts w:ascii="Arial" w:cs="Arial" w:eastAsia="Arial" w:hAnsi="Arial"/>
          <w:sz w:val="16"/>
          <w:szCs w:val="16"/>
          <w:color w:val="auto"/>
        </w:rPr>
        <w:t>24.5 Except as otherwise authorised by the Companies Act, a motion for the appointment of two or more persons as Directors by a single resolution shall not be made unless a resolution that it should be so made has first been agreed to by the meeting without any vote being given against it.</w:t>
      </w:r>
    </w:p>
    <w:p>
      <w:pPr>
        <w:spacing w:after="0" w:line="80" w:lineRule="exact"/>
        <w:rPr>
          <w:sz w:val="20"/>
          <w:szCs w:val="20"/>
          <w:color w:val="auto"/>
        </w:rPr>
      </w:pPr>
    </w:p>
    <w:p>
      <w:pPr>
        <w:jc w:val="both"/>
        <w:ind w:left="1200" w:right="199" w:hanging="431"/>
        <w:spacing w:after="0" w:line="253" w:lineRule="auto"/>
        <w:rPr>
          <w:sz w:val="20"/>
          <w:szCs w:val="20"/>
          <w:color w:val="auto"/>
        </w:rPr>
      </w:pPr>
      <w:r>
        <w:rPr>
          <w:rFonts w:ascii="Arial" w:cs="Arial" w:eastAsia="Arial" w:hAnsi="Arial"/>
          <w:sz w:val="16"/>
          <w:szCs w:val="16"/>
          <w:u w:val="single" w:color="auto"/>
          <w:color w:val="auto"/>
        </w:rPr>
        <w:t xml:space="preserve">24.6 </w:t>
      </w:r>
      <w:r>
        <w:rPr>
          <w:rFonts w:ascii="Arial" w:cs="Arial" w:eastAsia="Arial" w:hAnsi="Arial"/>
          <w:sz w:val="16"/>
          <w:szCs w:val="16"/>
          <w:color w:val="auto"/>
          <w:strike w:val="1"/>
        </w:rPr>
        <w:t>In the event that at a general meeting it is proposed to vote upon a number of the resolutions for the appointment of a person</w:t>
      </w:r>
      <w:r>
        <w:rPr>
          <w:rFonts w:ascii="Arial" w:cs="Arial" w:eastAsia="Arial" w:hAnsi="Arial"/>
          <w:sz w:val="16"/>
          <w:szCs w:val="16"/>
          <w:u w:val="single" w:color="auto"/>
          <w:color w:val="auto"/>
        </w:rPr>
        <w:t xml:space="preserve"> </w:t>
      </w:r>
      <w:r>
        <w:rPr>
          <w:rFonts w:ascii="Arial" w:cs="Arial" w:eastAsia="Arial" w:hAnsi="Arial"/>
          <w:sz w:val="16"/>
          <w:szCs w:val="16"/>
          <w:color w:val="auto"/>
          <w:strike w:val="1"/>
        </w:rPr>
        <w:t>as a Director (each a</w:t>
      </w:r>
      <w:r>
        <w:rPr>
          <w:rFonts w:ascii="Arial" w:cs="Arial" w:eastAsia="Arial" w:hAnsi="Arial"/>
          <w:sz w:val="16"/>
          <w:szCs w:val="16"/>
          <w:color w:val="auto"/>
        </w:rPr>
        <w:t xml:space="preserve"> “</w:t>
      </w:r>
      <w:r>
        <w:rPr>
          <w:rFonts w:ascii="Arial" w:cs="Arial" w:eastAsia="Arial" w:hAnsi="Arial"/>
          <w:sz w:val="16"/>
          <w:szCs w:val="16"/>
          <w:b w:val="1"/>
          <w:bCs w:val="1"/>
          <w:color w:val="auto"/>
          <w:strike w:val="1"/>
        </w:rPr>
        <w:t>Director Resolution</w:t>
      </w:r>
      <w:r>
        <w:rPr>
          <w:rFonts w:ascii="Arial" w:cs="Arial" w:eastAsia="Arial" w:hAnsi="Arial"/>
          <w:sz w:val="16"/>
          <w:szCs w:val="16"/>
          <w:color w:val="auto"/>
        </w:rPr>
        <w:t>”</w:t>
      </w:r>
      <w:r>
        <w:rPr>
          <w:rFonts w:ascii="Arial" w:cs="Arial" w:eastAsia="Arial" w:hAnsi="Arial"/>
          <w:sz w:val="16"/>
          <w:szCs w:val="16"/>
          <w:color w:val="auto"/>
          <w:strike w:val="1"/>
        </w:rPr>
        <w:t>) that exceeds the total number of Directors that are to be appointed to the Board</w:t>
      </w:r>
      <w:r>
        <w:rPr>
          <w:rFonts w:ascii="Arial" w:cs="Arial" w:eastAsia="Arial" w:hAnsi="Arial"/>
          <w:sz w:val="16"/>
          <w:szCs w:val="16"/>
          <w:color w:val="auto"/>
        </w:rPr>
        <w:t xml:space="preserve"> </w:t>
      </w:r>
      <w:r>
        <w:rPr>
          <w:rFonts w:ascii="Arial" w:cs="Arial" w:eastAsia="Arial" w:hAnsi="Arial"/>
          <w:sz w:val="16"/>
          <w:szCs w:val="16"/>
          <w:color w:val="auto"/>
          <w:strike w:val="1"/>
        </w:rPr>
        <w:t>at that meeting (the</w:t>
      </w:r>
      <w:r>
        <w:rPr>
          <w:rFonts w:ascii="Arial" w:cs="Arial" w:eastAsia="Arial" w:hAnsi="Arial"/>
          <w:sz w:val="16"/>
          <w:szCs w:val="16"/>
          <w:color w:val="auto"/>
        </w:rPr>
        <w:t xml:space="preserve"> “</w:t>
      </w:r>
      <w:r>
        <w:rPr>
          <w:rFonts w:ascii="Arial" w:cs="Arial" w:eastAsia="Arial" w:hAnsi="Arial"/>
          <w:sz w:val="16"/>
          <w:szCs w:val="16"/>
          <w:b w:val="1"/>
          <w:bCs w:val="1"/>
          <w:color w:val="auto"/>
          <w:strike w:val="1"/>
        </w:rPr>
        <w:t>Board Number</w:t>
      </w:r>
      <w:r>
        <w:rPr>
          <w:rFonts w:ascii="Arial" w:cs="Arial" w:eastAsia="Arial" w:hAnsi="Arial"/>
          <w:sz w:val="16"/>
          <w:szCs w:val="16"/>
          <w:color w:val="auto"/>
        </w:rPr>
        <w:t>”</w:t>
      </w:r>
      <w:r>
        <w:rPr>
          <w:rFonts w:ascii="Arial" w:cs="Arial" w:eastAsia="Arial" w:hAnsi="Arial"/>
          <w:sz w:val="16"/>
          <w:szCs w:val="16"/>
          <w:color w:val="auto"/>
          <w:strike w:val="1"/>
        </w:rPr>
        <w:t>), the persons that shall be appointed</w:t>
      </w:r>
    </w:p>
    <w:p>
      <w:pPr>
        <w:spacing w:after="0" w:line="80" w:lineRule="exact"/>
        <w:rPr>
          <w:sz w:val="20"/>
          <w:szCs w:val="20"/>
          <w:color w:val="auto"/>
        </w:rPr>
      </w:pPr>
    </w:p>
    <w:p>
      <w:pPr>
        <w:jc w:val="both"/>
        <w:ind w:left="1620" w:right="259" w:hanging="424"/>
        <w:spacing w:after="0" w:line="253" w:lineRule="auto"/>
        <w:tabs>
          <w:tab w:leader="none" w:pos="1620" w:val="left"/>
        </w:tabs>
        <w:numPr>
          <w:ilvl w:val="0"/>
          <w:numId w:val="158"/>
        </w:numPr>
        <w:rPr>
          <w:rFonts w:ascii="Arial" w:cs="Arial" w:eastAsia="Arial" w:hAnsi="Arial"/>
          <w:sz w:val="16"/>
          <w:szCs w:val="16"/>
          <w:u w:val="single" w:color="auto"/>
          <w:color w:val="auto"/>
        </w:rPr>
      </w:pPr>
      <w:r>
        <w:rPr>
          <w:rFonts w:ascii="Arial" w:cs="Arial" w:eastAsia="Arial" w:hAnsi="Arial"/>
          <w:sz w:val="16"/>
          <w:szCs w:val="16"/>
          <w:u w:val="single" w:color="auto"/>
          <w:color w:val="auto"/>
        </w:rPr>
        <w:t>At a general meeting of the Company where it is proposed to vote for the appointment or re-appointment of Directors, each Director shall be appointed or re-appointed by a vote of a majority of the votes cast with respect to that Director</w:t>
      </w:r>
      <w:r>
        <w:rPr>
          <w:rFonts w:ascii="Arial" w:cs="Arial" w:eastAsia="Arial" w:hAnsi="Arial"/>
          <w:sz w:val="16"/>
          <w:szCs w:val="16"/>
          <w:color w:val="auto"/>
        </w:rPr>
        <w:t>’</w:t>
      </w:r>
      <w:r>
        <w:rPr>
          <w:rFonts w:ascii="Arial" w:cs="Arial" w:eastAsia="Arial" w:hAnsi="Arial"/>
          <w:sz w:val="16"/>
          <w:szCs w:val="16"/>
          <w:u w:val="single" w:color="auto"/>
          <w:color w:val="auto"/>
        </w:rPr>
        <w:t>s</w:t>
      </w:r>
      <w:r>
        <w:rPr>
          <w:rFonts w:ascii="Arial" w:cs="Arial" w:eastAsia="Arial" w:hAnsi="Arial"/>
          <w:sz w:val="16"/>
          <w:szCs w:val="16"/>
          <w:color w:val="auto"/>
        </w:rPr>
        <w:t xml:space="preserve"> </w:t>
      </w:r>
      <w:r>
        <w:rPr>
          <w:rFonts w:ascii="Arial" w:cs="Arial" w:eastAsia="Arial" w:hAnsi="Arial"/>
          <w:sz w:val="16"/>
          <w:szCs w:val="16"/>
          <w:u w:val="single" w:color="auto"/>
          <w:color w:val="auto"/>
        </w:rPr>
        <w:t>appointment (in person or represented by proxy) and entitled to vote on the appointment of</w:t>
      </w:r>
    </w:p>
    <w:p>
      <w:pPr>
        <w:spacing w:after="0" w:line="99" w:lineRule="exact"/>
        <w:rPr>
          <w:sz w:val="20"/>
          <w:szCs w:val="20"/>
          <w:color w:val="auto"/>
        </w:rPr>
      </w:pPr>
    </w:p>
    <w:p>
      <w:pPr>
        <w:ind w:left="480"/>
        <w:spacing w:after="0"/>
        <w:tabs>
          <w:tab w:leader="none" w:pos="4420" w:val="left"/>
          <w:tab w:leader="none" w:pos="8760" w:val="left"/>
        </w:tabs>
        <w:rPr>
          <w:sz w:val="20"/>
          <w:szCs w:val="20"/>
          <w:color w:val="auto"/>
        </w:rPr>
      </w:pPr>
      <w:r>
        <w:rPr>
          <w:rFonts w:ascii="Arial" w:cs="Arial" w:eastAsia="Arial" w:hAnsi="Arial"/>
          <w:sz w:val="28"/>
          <w:szCs w:val="28"/>
          <w:b w:val="1"/>
          <w:bCs w:val="1"/>
          <w:color w:val="000000"/>
          <w:vertAlign w:val="subscript"/>
        </w:rPr>
        <w:t>A-22</w:t>
      </w:r>
      <w:r>
        <w:rPr>
          <w:sz w:val="20"/>
          <w:szCs w:val="20"/>
          <w:color w:val="auto"/>
        </w:rPr>
        <w:tab/>
      </w:r>
      <w:r>
        <w:rPr>
          <w:rFonts w:ascii="Arial" w:cs="Arial" w:eastAsia="Arial" w:hAnsi="Arial"/>
          <w:sz w:val="13"/>
          <w:szCs w:val="13"/>
          <w:b w:val="1"/>
          <w:bCs w:val="1"/>
          <w:color w:val="4800E6"/>
        </w:rPr>
        <w:t xml:space="preserve">LIVANOVA </w:t>
      </w:r>
      <w:r>
        <w:rPr>
          <w:rFonts w:ascii="Arial" w:cs="Arial" w:eastAsia="Arial" w:hAnsi="Arial"/>
          <w:sz w:val="13"/>
          <w:szCs w:val="13"/>
          <w:color w:val="000000"/>
        </w:rPr>
        <w:t>|</w:t>
      </w:r>
      <w:r>
        <w:rPr>
          <w:rFonts w:ascii="Arial" w:cs="Arial" w:eastAsia="Arial" w:hAnsi="Arial"/>
          <w:sz w:val="13"/>
          <w:szCs w:val="13"/>
          <w:b w:val="1"/>
          <w:bCs w:val="1"/>
          <w:color w:val="4800E6"/>
        </w:rPr>
        <w:t xml:space="preserve"> </w:t>
      </w:r>
      <w:r>
        <w:rPr>
          <w:rFonts w:ascii="Arial" w:cs="Arial" w:eastAsia="Arial" w:hAnsi="Arial"/>
          <w:sz w:val="13"/>
          <w:szCs w:val="13"/>
          <w:color w:val="4800E6"/>
        </w:rPr>
        <w:t>2020</w:t>
      </w:r>
      <w:r>
        <w:rPr>
          <w:rFonts w:ascii="Arial" w:cs="Arial" w:eastAsia="Arial" w:hAnsi="Arial"/>
          <w:sz w:val="13"/>
          <w:szCs w:val="13"/>
          <w:b w:val="1"/>
          <w:bCs w:val="1"/>
          <w:color w:val="4800E6"/>
        </w:rPr>
        <w:t xml:space="preserve"> </w:t>
      </w:r>
      <w:r>
        <w:rPr>
          <w:rFonts w:ascii="Arial" w:cs="Arial" w:eastAsia="Arial" w:hAnsi="Arial"/>
          <w:sz w:val="13"/>
          <w:szCs w:val="13"/>
          <w:color w:val="000000"/>
        </w:rPr>
        <w:t>Proxy Statement</w:t>
      </w:r>
      <w:r>
        <w:rPr>
          <w:sz w:val="20"/>
          <w:szCs w:val="20"/>
          <w:color w:val="auto"/>
        </w:rPr>
        <w:tab/>
      </w:r>
      <w:r>
        <w:rPr>
          <w:rFonts w:ascii="Arial" w:cs="Arial" w:eastAsia="Arial" w:hAnsi="Arial"/>
          <w:sz w:val="12"/>
          <w:szCs w:val="12"/>
          <w:b w:val="1"/>
          <w:bCs w:val="1"/>
          <w:color w:val="4800E6"/>
        </w:rPr>
        <w:t>www.livanova.com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639445</wp:posOffset>
            </wp:positionH>
            <wp:positionV relativeFrom="paragraph">
              <wp:posOffset>-11430</wp:posOffset>
            </wp:positionV>
            <wp:extent cx="1954530" cy="8890"/>
            <wp:wrapNone/>
            <wp:docPr id="437" name="Picture 4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7"/>
                    <pic:cNvPicPr>
                      <a:picLocks noChangeAspect="1" noChangeArrowheads="1"/>
                    </pic:cNvPicPr>
                  </pic:nvPicPr>
                  <pic:blipFill>
                    <a:blip r:embed="rId444">
                      <a:extLst>
                        <a:ext uri="{28A0092B-C50C-407E-A947-70E740481C1C}"/>
                      </a:extLst>
                    </a:blip>
                    <a:srcRect/>
                    <a:stretch>
                      <a:fillRect/>
                    </a:stretch>
                  </pic:blipFill>
                  <pic:spPr bwMode="auto">
                    <a:xfrm>
                      <a:off x="0" y="0"/>
                      <a:ext cx="1954530" cy="8890"/>
                    </a:xfrm>
                    <a:prstGeom prst="rect">
                      <a:avLst/>
                    </a:prstGeom>
                    <a:noFill/>
                  </pic:spPr>
                </pic:pic>
              </a:graphicData>
            </a:graphic>
          </wp:anchor>
        </w:drawing>
        <w:drawing>
          <wp:anchor simplePos="0" relativeHeight="251657728" behindDoc="1" locked="0" layoutInCell="0" allowOverlap="1">
            <wp:simplePos x="0" y="0"/>
            <wp:positionH relativeFrom="column">
              <wp:posOffset>4316730</wp:posOffset>
            </wp:positionH>
            <wp:positionV relativeFrom="paragraph">
              <wp:posOffset>-11430</wp:posOffset>
            </wp:positionV>
            <wp:extent cx="1028700" cy="8890"/>
            <wp:wrapNone/>
            <wp:docPr id="438" name="Picture 4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8"/>
                    <pic:cNvPicPr>
                      <a:picLocks noChangeAspect="1" noChangeArrowheads="1"/>
                    </pic:cNvPicPr>
                  </pic:nvPicPr>
                  <pic:blipFill>
                    <a:blip r:embed="rId445">
                      <a:extLst>
                        <a:ext uri="{28A0092B-C50C-407E-A947-70E740481C1C}"/>
                      </a:extLst>
                    </a:blip>
                    <a:srcRect/>
                    <a:stretch>
                      <a:fillRect/>
                    </a:stretch>
                  </pic:blipFill>
                  <pic:spPr bwMode="auto">
                    <a:xfrm>
                      <a:off x="0" y="0"/>
                      <a:ext cx="102870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125095</wp:posOffset>
            </wp:positionV>
            <wp:extent cx="6806565" cy="17145"/>
            <wp:wrapNone/>
            <wp:docPr id="439" name="Picture 4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9"/>
                    <pic:cNvPicPr>
                      <a:picLocks noChangeAspect="1" noChangeArrowheads="1"/>
                    </pic:cNvPicPr>
                  </pic:nvPicPr>
                  <pic:blipFill>
                    <a:blip r:embed="rId446">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10139"/>
          </w:cols>
          <w:pgMar w:left="320" w:top="131" w:right="1440" w:bottom="1440" w:gutter="0" w:footer="0" w:header="0"/>
        </w:sectPr>
      </w:pPr>
    </w:p>
    <w:bookmarkStart w:id="101" w:name="page102"/>
    <w:bookmarkEnd w:id="101"/>
    <w:p>
      <w:pPr>
        <w:spacing w:after="0"/>
        <w:rPr>
          <w:rFonts w:ascii="Arial" w:cs="Arial" w:eastAsia="Arial" w:hAnsi="Arial"/>
          <w:sz w:val="14"/>
          <w:szCs w:val="14"/>
          <w:color w:val="003366"/>
        </w:rPr>
      </w:pPr>
      <w:hyperlink w:anchor="page77">
        <w:r>
          <w:rPr>
            <w:rFonts w:ascii="Arial" w:cs="Arial" w:eastAsia="Arial" w:hAnsi="Arial"/>
            <w:sz w:val="14"/>
            <w:szCs w:val="14"/>
            <w:color w:val="003366"/>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485140</wp:posOffset>
            </wp:positionH>
            <wp:positionV relativeFrom="paragraph">
              <wp:posOffset>357505</wp:posOffset>
            </wp:positionV>
            <wp:extent cx="5829300" cy="8255"/>
            <wp:wrapNone/>
            <wp:docPr id="440" name="Picture 4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0"/>
                    <pic:cNvPicPr>
                      <a:picLocks noChangeAspect="1" noChangeArrowheads="1"/>
                    </pic:cNvPicPr>
                  </pic:nvPicPr>
                  <pic:blipFill>
                    <a:blip r:embed="rId447">
                      <a:extLst>
                        <a:ext uri="{28A0092B-C50C-407E-A947-70E740481C1C}"/>
                      </a:extLst>
                    </a:blip>
                    <a:srcRect/>
                    <a:stretch>
                      <a:fillRect/>
                    </a:stretch>
                  </pic:blipFill>
                  <pic:spPr bwMode="auto">
                    <a:xfrm>
                      <a:off x="0" y="0"/>
                      <a:ext cx="582930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ind w:left="1620" w:right="960"/>
        <w:spacing w:after="0" w:line="270" w:lineRule="auto"/>
        <w:rPr>
          <w:sz w:val="20"/>
          <w:szCs w:val="20"/>
          <w:color w:val="auto"/>
        </w:rPr>
      </w:pPr>
      <w:r>
        <w:rPr>
          <w:rFonts w:ascii="Arial" w:cs="Arial" w:eastAsia="Arial" w:hAnsi="Arial"/>
          <w:sz w:val="15"/>
          <w:szCs w:val="15"/>
          <w:u w:val="single" w:color="auto"/>
          <w:color w:val="auto"/>
        </w:rPr>
        <w:t>Directors. Notwithstanding the foregoing, if the number of nominees exceeds the total number of Directors to be appointed or re-appointed at such general meeting as of the date that is ten (10) days prior to the date the Company files its definitive proxy statement with the Securities and Exchange Commission (regardless of whether or not the proxy statement is thereafter revised or supplemented), then each Director shall be appointed or re-appointed by a plurality of the votes cast (in person or represented by proxy) and entitled to vote on the appointment of Directors.</w:t>
      </w:r>
    </w:p>
    <w:p>
      <w:pPr>
        <w:spacing w:after="0" w:line="69" w:lineRule="exact"/>
        <w:rPr>
          <w:sz w:val="20"/>
          <w:szCs w:val="20"/>
          <w:color w:val="auto"/>
        </w:rPr>
      </w:pPr>
    </w:p>
    <w:p>
      <w:pPr>
        <w:ind w:left="1620" w:hanging="424"/>
        <w:spacing w:after="0"/>
        <w:tabs>
          <w:tab w:leader="none" w:pos="1620" w:val="left"/>
        </w:tabs>
        <w:numPr>
          <w:ilvl w:val="0"/>
          <w:numId w:val="159"/>
        </w:numPr>
        <w:rPr>
          <w:rFonts w:ascii="Arial" w:cs="Arial" w:eastAsia="Arial" w:hAnsi="Arial"/>
          <w:sz w:val="16"/>
          <w:szCs w:val="16"/>
          <w:u w:val="single" w:color="auto"/>
          <w:color w:val="auto"/>
        </w:rPr>
      </w:pPr>
      <w:r>
        <w:rPr>
          <w:rFonts w:ascii="Arial" w:cs="Arial" w:eastAsia="Arial" w:hAnsi="Arial"/>
          <w:sz w:val="16"/>
          <w:szCs w:val="16"/>
          <w:u w:val="single" w:color="auto"/>
          <w:color w:val="auto"/>
        </w:rPr>
        <w:t>For purposes of this section:</w:t>
      </w:r>
    </w:p>
    <w:p>
      <w:pPr>
        <w:spacing w:after="0" w:line="100" w:lineRule="exact"/>
        <w:rPr>
          <w:sz w:val="20"/>
          <w:szCs w:val="20"/>
          <w:color w:val="auto"/>
        </w:rPr>
      </w:pPr>
    </w:p>
    <w:p>
      <w:pPr>
        <w:ind w:left="2280" w:right="840" w:hanging="652"/>
        <w:spacing w:after="0" w:line="253" w:lineRule="auto"/>
        <w:tabs>
          <w:tab w:leader="none" w:pos="2280" w:val="left"/>
        </w:tabs>
        <w:numPr>
          <w:ilvl w:val="0"/>
          <w:numId w:val="160"/>
        </w:numPr>
        <w:rPr>
          <w:rFonts w:ascii="Arial" w:cs="Arial" w:eastAsia="Arial" w:hAnsi="Arial"/>
          <w:sz w:val="16"/>
          <w:szCs w:val="16"/>
          <w:u w:val="single" w:color="auto"/>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majority of the votes cast” means that the number of shares voted “for” a Director exceeds the number of</w:t>
      </w:r>
      <w:r>
        <w:rPr>
          <w:rFonts w:ascii="Arial" w:cs="Arial" w:eastAsia="Arial" w:hAnsi="Arial"/>
          <w:sz w:val="16"/>
          <w:szCs w:val="16"/>
          <w:color w:val="auto"/>
        </w:rPr>
        <w:t xml:space="preserve"> </w:t>
      </w:r>
      <w:r>
        <w:rPr>
          <w:rFonts w:ascii="Arial" w:cs="Arial" w:eastAsia="Arial" w:hAnsi="Arial"/>
          <w:sz w:val="16"/>
          <w:szCs w:val="16"/>
          <w:u w:val="single" w:color="auto"/>
          <w:color w:val="auto"/>
        </w:rPr>
        <w:t>shares voted “against” a Director (with “abstentions” and “broker non-votes” not counted as a vote cast either “for” or “against” that Director’s appointment); and</w:t>
      </w:r>
    </w:p>
    <w:p>
      <w:pPr>
        <w:spacing w:after="0" w:line="80" w:lineRule="exact"/>
        <w:rPr>
          <w:sz w:val="20"/>
          <w:szCs w:val="20"/>
          <w:color w:val="auto"/>
        </w:rPr>
      </w:pPr>
    </w:p>
    <w:p>
      <w:pPr>
        <w:ind w:left="2280" w:right="780" w:hanging="647"/>
        <w:spacing w:after="0" w:line="249" w:lineRule="auto"/>
        <w:tabs>
          <w:tab w:leader="none" w:pos="2260" w:val="left"/>
        </w:tabs>
        <w:rPr>
          <w:sz w:val="20"/>
          <w:szCs w:val="20"/>
          <w:color w:val="auto"/>
        </w:rPr>
      </w:pPr>
      <w:r>
        <w:rPr>
          <w:rFonts w:ascii="Arial" w:cs="Arial" w:eastAsia="Arial" w:hAnsi="Arial"/>
          <w:sz w:val="16"/>
          <w:szCs w:val="16"/>
          <w:color w:val="auto"/>
          <w:strike w:val="1"/>
        </w:rPr>
        <w:t>24.6</w:t>
      </w:r>
      <w:r>
        <w:rPr>
          <w:rFonts w:ascii="Arial" w:cs="Arial" w:eastAsia="Arial" w:hAnsi="Arial"/>
          <w:sz w:val="16"/>
          <w:szCs w:val="16"/>
          <w:u w:val="single" w:color="auto"/>
          <w:color w:val="auto"/>
        </w:rPr>
        <w:t>(ii)</w:t>
      </w:r>
      <w:r>
        <w:rPr>
          <w:sz w:val="20"/>
          <w:szCs w:val="20"/>
          <w:color w:val="auto"/>
        </w:rPr>
        <w:tab/>
      </w:r>
      <w:r>
        <w:rPr>
          <w:rFonts w:ascii="Arial" w:cs="Arial" w:eastAsia="Arial" w:hAnsi="Arial"/>
          <w:sz w:val="16"/>
          <w:szCs w:val="16"/>
          <w:color w:val="auto"/>
        </w:rPr>
        <w:t>“</w:t>
      </w:r>
      <w:r>
        <w:rPr>
          <w:rFonts w:ascii="Arial" w:cs="Arial" w:eastAsia="Arial" w:hAnsi="Arial"/>
          <w:sz w:val="16"/>
          <w:szCs w:val="16"/>
          <w:u w:val="single" w:color="auto"/>
          <w:color w:val="auto"/>
        </w:rPr>
        <w:t>plurality of the votes cast” means that the persons who shall be appointed as</w:t>
      </w:r>
      <w:r>
        <w:rPr>
          <w:rFonts w:ascii="Arial" w:cs="Arial" w:eastAsia="Arial" w:hAnsi="Arial"/>
          <w:sz w:val="16"/>
          <w:szCs w:val="16"/>
          <w:color w:val="auto"/>
        </w:rPr>
        <w:t xml:space="preserve"> Directors shall first be the person who receives the greatest number of “for” votes (whether or not a majority of those </w:t>
      </w:r>
      <w:r>
        <w:rPr>
          <w:rFonts w:ascii="Arial" w:cs="Arial" w:eastAsia="Arial" w:hAnsi="Arial"/>
          <w:sz w:val="16"/>
          <w:szCs w:val="16"/>
          <w:u w:val="single" w:color="auto"/>
          <w:color w:val="auto"/>
        </w:rPr>
        <w:t>are</w:t>
      </w:r>
      <w:r>
        <w:rPr>
          <w:rFonts w:ascii="Arial" w:cs="Arial" w:eastAsia="Arial" w:hAnsi="Arial"/>
          <w:sz w:val="16"/>
          <w:szCs w:val="16"/>
          <w:color w:val="auto"/>
        </w:rPr>
        <w:t xml:space="preserve"> votes cast </w:t>
      </w:r>
      <w:r>
        <w:rPr>
          <w:rFonts w:ascii="Arial" w:cs="Arial" w:eastAsia="Arial" w:hAnsi="Arial"/>
          <w:sz w:val="16"/>
          <w:szCs w:val="16"/>
          <w:color w:val="auto"/>
          <w:strike w:val="1"/>
        </w:rPr>
        <w:t>in</w:t>
      </w:r>
      <w:r>
        <w:rPr>
          <w:rFonts w:ascii="Arial" w:cs="Arial" w:eastAsia="Arial" w:hAnsi="Arial"/>
          <w:sz w:val="16"/>
          <w:szCs w:val="16"/>
          <w:color w:val="auto"/>
        </w:rPr>
        <w:t xml:space="preserve"> </w:t>
      </w:r>
      <w:r>
        <w:rPr>
          <w:rFonts w:ascii="Arial" w:cs="Arial" w:eastAsia="Arial" w:hAnsi="Arial"/>
          <w:sz w:val="16"/>
          <w:szCs w:val="16"/>
          <w:color w:val="auto"/>
          <w:strike w:val="1"/>
        </w:rPr>
        <w:t>respect of</w:t>
      </w:r>
      <w:r>
        <w:rPr>
          <w:rFonts w:ascii="Arial" w:cs="Arial" w:eastAsia="Arial" w:hAnsi="Arial"/>
          <w:sz w:val="16"/>
          <w:szCs w:val="16"/>
          <w:color w:val="auto"/>
        </w:rPr>
        <w:t>“</w:t>
      </w:r>
      <w:r>
        <w:rPr>
          <w:rFonts w:ascii="Arial" w:cs="Arial" w:eastAsia="Arial" w:hAnsi="Arial"/>
          <w:sz w:val="16"/>
          <w:szCs w:val="16"/>
          <w:u w:val="single" w:color="auto"/>
          <w:color w:val="auto"/>
        </w:rPr>
        <w:t>for</w:t>
      </w:r>
      <w:r>
        <w:rPr>
          <w:rFonts w:ascii="Arial" w:cs="Arial" w:eastAsia="Arial" w:hAnsi="Arial"/>
          <w:sz w:val="16"/>
          <w:szCs w:val="16"/>
          <w:color w:val="auto"/>
        </w:rPr>
        <w:t>” that Director</w:t>
      </w:r>
      <w:r>
        <w:rPr>
          <w:rFonts w:ascii="Arial" w:cs="Arial" w:eastAsia="Arial" w:hAnsi="Arial"/>
          <w:sz w:val="16"/>
          <w:szCs w:val="16"/>
          <w:color w:val="auto"/>
          <w:strike w:val="1"/>
        </w:rPr>
        <w:t>Resolution), and</w:t>
      </w:r>
      <w:r>
        <w:rPr>
          <w:rFonts w:ascii="Arial" w:cs="Arial" w:eastAsia="Arial" w:hAnsi="Arial"/>
          <w:sz w:val="16"/>
          <w:szCs w:val="16"/>
          <w:u w:val="single" w:color="auto"/>
          <w:color w:val="auto"/>
        </w:rPr>
        <w:t>),</w:t>
      </w:r>
      <w:r>
        <w:rPr>
          <w:rFonts w:ascii="Arial" w:cs="Arial" w:eastAsia="Arial" w:hAnsi="Arial"/>
          <w:sz w:val="16"/>
          <w:szCs w:val="16"/>
          <w:color w:val="auto"/>
        </w:rPr>
        <w:t xml:space="preserve"> then </w:t>
      </w:r>
      <w:r>
        <w:rPr>
          <w:rFonts w:ascii="Arial" w:cs="Arial" w:eastAsia="Arial" w:hAnsi="Arial"/>
          <w:sz w:val="16"/>
          <w:szCs w:val="16"/>
          <w:color w:val="auto"/>
          <w:strike w:val="1"/>
        </w:rPr>
        <w:t>shall</w:t>
      </w:r>
      <w:r>
        <w:rPr>
          <w:rFonts w:ascii="Arial" w:cs="Arial" w:eastAsia="Arial" w:hAnsi="Arial"/>
          <w:sz w:val="16"/>
          <w:szCs w:val="16"/>
          <w:color w:val="auto"/>
        </w:rPr>
        <w:t xml:space="preserve"> second </w:t>
      </w:r>
      <w:r>
        <w:rPr>
          <w:rFonts w:ascii="Arial" w:cs="Arial" w:eastAsia="Arial" w:hAnsi="Arial"/>
          <w:sz w:val="16"/>
          <w:szCs w:val="16"/>
          <w:u w:val="single" w:color="auto"/>
          <w:color w:val="auto"/>
        </w:rPr>
        <w:t>shall</w:t>
      </w:r>
      <w:r>
        <w:rPr>
          <w:rFonts w:ascii="Arial" w:cs="Arial" w:eastAsia="Arial" w:hAnsi="Arial"/>
          <w:sz w:val="16"/>
          <w:szCs w:val="16"/>
          <w:color w:val="auto"/>
        </w:rPr>
        <w:t xml:space="preserve"> be the person who receives the second greatest number of “for” votes (whether or not a majority of those votes </w:t>
      </w:r>
      <w:r>
        <w:rPr>
          <w:rFonts w:ascii="Arial" w:cs="Arial" w:eastAsia="Arial" w:hAnsi="Arial"/>
          <w:sz w:val="16"/>
          <w:szCs w:val="16"/>
          <w:u w:val="single" w:color="auto"/>
          <w:color w:val="auto"/>
        </w:rPr>
        <w:t>are</w:t>
      </w:r>
      <w:r>
        <w:rPr>
          <w:rFonts w:ascii="Arial" w:cs="Arial" w:eastAsia="Arial" w:hAnsi="Arial"/>
          <w:sz w:val="16"/>
          <w:szCs w:val="16"/>
          <w:color w:val="auto"/>
        </w:rPr>
        <w:t xml:space="preserve"> cast </w:t>
      </w:r>
      <w:r>
        <w:rPr>
          <w:rFonts w:ascii="Arial" w:cs="Arial" w:eastAsia="Arial" w:hAnsi="Arial"/>
          <w:sz w:val="16"/>
          <w:szCs w:val="16"/>
          <w:color w:val="auto"/>
          <w:strike w:val="1"/>
        </w:rPr>
        <w:t>in respect of</w:t>
      </w:r>
      <w:r>
        <w:rPr>
          <w:rFonts w:ascii="Arial" w:cs="Arial" w:eastAsia="Arial" w:hAnsi="Arial"/>
          <w:sz w:val="16"/>
          <w:szCs w:val="16"/>
          <w:color w:val="auto"/>
        </w:rPr>
        <w:t>”</w:t>
      </w:r>
      <w:r>
        <w:rPr>
          <w:rFonts w:ascii="Arial" w:cs="Arial" w:eastAsia="Arial" w:hAnsi="Arial"/>
          <w:sz w:val="16"/>
          <w:szCs w:val="16"/>
          <w:u w:val="single" w:color="auto"/>
          <w:color w:val="auto"/>
        </w:rPr>
        <w:t>for</w:t>
      </w:r>
      <w:r>
        <w:rPr>
          <w:rFonts w:ascii="Arial" w:cs="Arial" w:eastAsia="Arial" w:hAnsi="Arial"/>
          <w:sz w:val="16"/>
          <w:szCs w:val="16"/>
          <w:color w:val="auto"/>
        </w:rPr>
        <w:t xml:space="preserve">” that Director </w:t>
      </w:r>
      <w:r>
        <w:rPr>
          <w:rFonts w:ascii="Arial" w:cs="Arial" w:eastAsia="Arial" w:hAnsi="Arial"/>
          <w:sz w:val="16"/>
          <w:szCs w:val="16"/>
          <w:color w:val="auto"/>
          <w:strike w:val="1"/>
        </w:rPr>
        <w:t>Resolution</w:t>
      </w:r>
      <w:r>
        <w:rPr>
          <w:rFonts w:ascii="Arial" w:cs="Arial" w:eastAsia="Arial" w:hAnsi="Arial"/>
          <w:sz w:val="16"/>
          <w:szCs w:val="16"/>
          <w:color w:val="auto"/>
        </w:rPr>
        <w:t xml:space="preserve">), and so on, until the number of </w:t>
      </w:r>
      <w:r>
        <w:rPr>
          <w:rFonts w:ascii="Arial" w:cs="Arial" w:eastAsia="Arial" w:hAnsi="Arial"/>
          <w:sz w:val="16"/>
          <w:szCs w:val="16"/>
          <w:color w:val="auto"/>
          <w:strike w:val="1"/>
        </w:rPr>
        <w:t>Directors</w:t>
      </w:r>
      <w:r>
        <w:rPr>
          <w:rFonts w:ascii="Arial" w:cs="Arial" w:eastAsia="Arial" w:hAnsi="Arial"/>
          <w:sz w:val="16"/>
          <w:szCs w:val="16"/>
          <w:u w:val="single" w:color="auto"/>
          <w:color w:val="auto"/>
        </w:rPr>
        <w:t>directors</w:t>
      </w:r>
      <w:r>
        <w:rPr>
          <w:rFonts w:ascii="Arial" w:cs="Arial" w:eastAsia="Arial" w:hAnsi="Arial"/>
          <w:sz w:val="16"/>
          <w:szCs w:val="16"/>
          <w:color w:val="auto"/>
        </w:rPr>
        <w:t xml:space="preserve"> so appointed equals the </w:t>
      </w:r>
      <w:r>
        <w:rPr>
          <w:rFonts w:ascii="Arial" w:cs="Arial" w:eastAsia="Arial" w:hAnsi="Arial"/>
          <w:sz w:val="16"/>
          <w:szCs w:val="16"/>
          <w:color w:val="auto"/>
          <w:strike w:val="1"/>
        </w:rPr>
        <w:t>Board Number</w:t>
      </w:r>
      <w:r>
        <w:rPr>
          <w:rFonts w:ascii="Arial" w:cs="Arial" w:eastAsia="Arial" w:hAnsi="Arial"/>
          <w:sz w:val="16"/>
          <w:szCs w:val="16"/>
          <w:u w:val="single" w:color="auto"/>
          <w:color w:val="auto"/>
        </w:rPr>
        <w:t>total</w:t>
      </w:r>
      <w:r>
        <w:rPr>
          <w:rFonts w:ascii="Arial" w:cs="Arial" w:eastAsia="Arial" w:hAnsi="Arial"/>
          <w:sz w:val="16"/>
          <w:szCs w:val="16"/>
          <w:color w:val="auto"/>
        </w:rPr>
        <w:t xml:space="preserve"> </w:t>
      </w:r>
      <w:r>
        <w:rPr>
          <w:rFonts w:ascii="Arial" w:cs="Arial" w:eastAsia="Arial" w:hAnsi="Arial"/>
          <w:sz w:val="16"/>
          <w:szCs w:val="16"/>
          <w:u w:val="single" w:color="auto"/>
          <w:color w:val="auto"/>
        </w:rPr>
        <w:t>number of Directors to be appointed or re-appointed at that general meeting</w:t>
      </w:r>
      <w:r>
        <w:rPr>
          <w:rFonts w:ascii="Arial" w:cs="Arial" w:eastAsia="Arial" w:hAnsi="Arial"/>
          <w:sz w:val="16"/>
          <w:szCs w:val="16"/>
          <w:color w:val="auto"/>
        </w:rPr>
        <w:t>.</w:t>
      </w:r>
    </w:p>
    <w:p>
      <w:pPr>
        <w:spacing w:after="0" w:line="70" w:lineRule="exact"/>
        <w:rPr>
          <w:sz w:val="20"/>
          <w:szCs w:val="20"/>
          <w:color w:val="auto"/>
        </w:rPr>
      </w:pPr>
    </w:p>
    <w:p>
      <w:pPr>
        <w:ind w:left="1200" w:right="800" w:hanging="431"/>
        <w:spacing w:after="0" w:line="250" w:lineRule="auto"/>
        <w:rPr>
          <w:sz w:val="20"/>
          <w:szCs w:val="20"/>
          <w:color w:val="auto"/>
        </w:rPr>
      </w:pPr>
      <w:r>
        <w:rPr>
          <w:rFonts w:ascii="Arial" w:cs="Arial" w:eastAsia="Arial" w:hAnsi="Arial"/>
          <w:sz w:val="16"/>
          <w:szCs w:val="16"/>
          <w:color w:val="auto"/>
          <w:strike w:val="1"/>
        </w:rPr>
        <w:t>24.7 Subject to the provisions of these Articles, the Company may by ordinary resolution appoint a person who is willing to act as a Director, and is permitted by law to do so, to be a Director, either to fill a vacancy or as an additional Director. Any Director elected in accordance with this Article 24.7 shall hold office for the remainder of the full term of the class of Directors in which the vacancy occurred or to which the new Director is appointed, until his successor is appointed or until his earlier resignation or removal in accordance with Article 30.1.</w:t>
      </w:r>
    </w:p>
    <w:p>
      <w:pPr>
        <w:spacing w:after="0" w:line="81" w:lineRule="exact"/>
        <w:rPr>
          <w:sz w:val="20"/>
          <w:szCs w:val="20"/>
          <w:color w:val="auto"/>
        </w:rPr>
      </w:pPr>
    </w:p>
    <w:p>
      <w:pPr>
        <w:ind w:left="1200" w:right="820" w:hanging="431"/>
        <w:spacing w:after="0" w:line="251" w:lineRule="auto"/>
        <w:rPr>
          <w:sz w:val="20"/>
          <w:szCs w:val="20"/>
          <w:color w:val="auto"/>
        </w:rPr>
      </w:pPr>
      <w:r>
        <w:rPr>
          <w:rFonts w:ascii="Arial" w:cs="Arial" w:eastAsia="Arial" w:hAnsi="Arial"/>
          <w:sz w:val="16"/>
          <w:szCs w:val="16"/>
          <w:color w:val="auto"/>
          <w:strike w:val="1"/>
        </w:rPr>
        <w:t>24.8 The Board may appoint a person who is willing to act as a Director and is permitted by law to do so, either to fill a vacancy or as an additional Director. Any Director elected in accordance with this Article 24.8 shall hold office for the remainder of the full term of the class of Directors in which the vacancy occurred or to which the new Director is appointed, until his successor is appointed or until his earlier resignation or removal in accordance with Article 30.1.</w:t>
      </w:r>
    </w:p>
    <w:p>
      <w:pPr>
        <w:spacing w:after="0" w:line="81" w:lineRule="exact"/>
        <w:rPr>
          <w:sz w:val="20"/>
          <w:szCs w:val="20"/>
          <w:color w:val="auto"/>
        </w:rPr>
      </w:pPr>
    </w:p>
    <w:p>
      <w:pPr>
        <w:ind w:left="1620" w:right="840" w:hanging="424"/>
        <w:spacing w:after="0" w:line="250" w:lineRule="auto"/>
        <w:tabs>
          <w:tab w:leader="none" w:pos="1620" w:val="left"/>
        </w:tabs>
        <w:numPr>
          <w:ilvl w:val="0"/>
          <w:numId w:val="161"/>
        </w:numPr>
        <w:rPr>
          <w:rFonts w:ascii="Arial" w:cs="Arial" w:eastAsia="Arial" w:hAnsi="Arial"/>
          <w:sz w:val="16"/>
          <w:szCs w:val="16"/>
          <w:u w:val="single" w:color="auto"/>
          <w:color w:val="auto"/>
        </w:rPr>
      </w:pPr>
      <w:r>
        <w:rPr>
          <w:rFonts w:ascii="Arial" w:cs="Arial" w:eastAsia="Arial" w:hAnsi="Arial"/>
          <w:sz w:val="16"/>
          <w:szCs w:val="16"/>
          <w:u w:val="single" w:color="auto"/>
          <w:color w:val="auto"/>
        </w:rPr>
        <w:t>If, at a general meeting where the number of nominees does not exceed the total number of Directors to be appointed or re-appointed at that general meeting, (a) an incumbent Director fails to be appointed pursuant to this Article 24.6 and the Board does not resolve that such Director should remain a Director in accordance with Article 24.3, or (b) a nominee for Director is not appointed and the nominee is not an incumbent Director, then, in each case, the remaining members of the Board may fill the resulting vacancy pursuant to Article</w:t>
      </w:r>
      <w:r>
        <w:rPr>
          <w:rFonts w:ascii="Arial" w:cs="Arial" w:eastAsia="Arial" w:hAnsi="Arial"/>
          <w:sz w:val="16"/>
          <w:szCs w:val="16"/>
          <w:color w:val="auto"/>
        </w:rPr>
        <w:t xml:space="preserve"> 24.2 </w:t>
      </w:r>
      <w:r>
        <w:rPr>
          <w:rFonts w:ascii="Arial" w:cs="Arial" w:eastAsia="Arial" w:hAnsi="Arial"/>
          <w:sz w:val="16"/>
          <w:szCs w:val="16"/>
          <w:u w:val="single" w:color="auto"/>
          <w:color w:val="auto"/>
        </w:rPr>
        <w:t>above.</w:t>
      </w:r>
    </w:p>
    <w:p>
      <w:pPr>
        <w:spacing w:after="0" w:line="68" w:lineRule="exact"/>
        <w:rPr>
          <w:sz w:val="20"/>
          <w:szCs w:val="20"/>
          <w:color w:val="auto"/>
        </w:rPr>
      </w:pPr>
    </w:p>
    <w:p>
      <w:pPr>
        <w:ind w:left="760"/>
        <w:spacing w:after="0"/>
        <w:tabs>
          <w:tab w:leader="none" w:pos="1820" w:val="left"/>
        </w:tabs>
        <w:rPr>
          <w:sz w:val="20"/>
          <w:szCs w:val="20"/>
          <w:color w:val="auto"/>
        </w:rPr>
      </w:pPr>
      <w:r>
        <w:rPr>
          <w:rFonts w:ascii="Arial" w:cs="Arial" w:eastAsia="Arial" w:hAnsi="Arial"/>
          <w:sz w:val="16"/>
          <w:szCs w:val="16"/>
          <w:color w:val="auto"/>
          <w:strike w:val="1"/>
        </w:rPr>
        <w:t>24.9</w:t>
      </w:r>
      <w:r>
        <w:rPr>
          <w:rFonts w:ascii="Arial" w:cs="Arial" w:eastAsia="Arial" w:hAnsi="Arial"/>
          <w:sz w:val="16"/>
          <w:szCs w:val="16"/>
          <w:u w:val="single" w:color="auto"/>
          <w:color w:val="auto"/>
        </w:rPr>
        <w:t>24.7</w:t>
      </w:r>
      <w:r>
        <w:rPr>
          <w:sz w:val="20"/>
          <w:szCs w:val="20"/>
          <w:color w:val="auto"/>
        </w:rPr>
        <w:tab/>
      </w:r>
      <w:r>
        <w:rPr>
          <w:rFonts w:ascii="Arial" w:cs="Arial" w:eastAsia="Arial" w:hAnsi="Arial"/>
          <w:sz w:val="15"/>
          <w:szCs w:val="15"/>
          <w:color w:val="auto"/>
        </w:rPr>
        <w:t>A Director shall not be required to hold any shares in the capital of the Company by way of qualification.</w:t>
      </w:r>
    </w:p>
    <w:p>
      <w:pPr>
        <w:spacing w:after="0" w:line="100" w:lineRule="exact"/>
        <w:rPr>
          <w:sz w:val="20"/>
          <w:szCs w:val="20"/>
          <w:color w:val="auto"/>
        </w:rPr>
      </w:pPr>
    </w:p>
    <w:p>
      <w:pPr>
        <w:ind w:left="760"/>
        <w:spacing w:after="0"/>
        <w:tabs>
          <w:tab w:leader="none" w:pos="1820" w:val="left"/>
        </w:tabs>
        <w:rPr>
          <w:sz w:val="20"/>
          <w:szCs w:val="20"/>
          <w:color w:val="auto"/>
        </w:rPr>
      </w:pPr>
      <w:r>
        <w:rPr>
          <w:rFonts w:ascii="Arial" w:cs="Arial" w:eastAsia="Arial" w:hAnsi="Arial"/>
          <w:sz w:val="16"/>
          <w:szCs w:val="16"/>
          <w:color w:val="auto"/>
          <w:strike w:val="1"/>
        </w:rPr>
        <w:t>24.10</w:t>
      </w:r>
      <w:r>
        <w:rPr>
          <w:rFonts w:ascii="Arial" w:cs="Arial" w:eastAsia="Arial" w:hAnsi="Arial"/>
          <w:sz w:val="16"/>
          <w:szCs w:val="16"/>
          <w:u w:val="single" w:color="auto"/>
          <w:color w:val="auto"/>
        </w:rPr>
        <w:t>24.8</w:t>
      </w:r>
      <w:r>
        <w:rPr>
          <w:sz w:val="20"/>
          <w:szCs w:val="20"/>
          <w:color w:val="auto"/>
        </w:rPr>
        <w:tab/>
      </w:r>
      <w:r>
        <w:rPr>
          <w:rFonts w:ascii="Arial" w:cs="Arial" w:eastAsia="Arial" w:hAnsi="Arial"/>
          <w:sz w:val="15"/>
          <w:szCs w:val="15"/>
          <w:color w:val="auto"/>
        </w:rPr>
        <w:t>All acts done by:</w:t>
      </w:r>
    </w:p>
    <w:p>
      <w:pPr>
        <w:spacing w:after="0" w:line="100" w:lineRule="exact"/>
        <w:rPr>
          <w:sz w:val="20"/>
          <w:szCs w:val="20"/>
          <w:color w:val="auto"/>
        </w:rPr>
      </w:pPr>
    </w:p>
    <w:p>
      <w:pPr>
        <w:ind w:left="1620" w:hanging="424"/>
        <w:spacing w:after="0"/>
        <w:tabs>
          <w:tab w:leader="none" w:pos="1620" w:val="left"/>
        </w:tabs>
        <w:numPr>
          <w:ilvl w:val="0"/>
          <w:numId w:val="162"/>
        </w:numPr>
        <w:rPr>
          <w:rFonts w:ascii="Arial" w:cs="Arial" w:eastAsia="Arial" w:hAnsi="Arial"/>
          <w:sz w:val="16"/>
          <w:szCs w:val="16"/>
          <w:color w:val="auto"/>
        </w:rPr>
      </w:pPr>
      <w:r>
        <w:rPr>
          <w:rFonts w:ascii="Arial" w:cs="Arial" w:eastAsia="Arial" w:hAnsi="Arial"/>
          <w:sz w:val="16"/>
          <w:szCs w:val="16"/>
          <w:color w:val="auto"/>
        </w:rPr>
        <w:t xml:space="preserve">a meeting of the </w:t>
      </w:r>
      <w:r>
        <w:rPr>
          <w:rFonts w:ascii="Arial" w:cs="Arial" w:eastAsia="Arial" w:hAnsi="Arial"/>
          <w:sz w:val="16"/>
          <w:szCs w:val="16"/>
          <w:color w:val="auto"/>
          <w:strike w:val="1"/>
        </w:rPr>
        <w:t>directors</w:t>
      </w:r>
      <w:r>
        <w:rPr>
          <w:rFonts w:ascii="Arial" w:cs="Arial" w:eastAsia="Arial" w:hAnsi="Arial"/>
          <w:sz w:val="16"/>
          <w:szCs w:val="16"/>
          <w:u w:val="single" w:color="auto"/>
          <w:color w:val="auto"/>
        </w:rPr>
        <w:t>Board</w:t>
      </w:r>
      <w:r>
        <w:rPr>
          <w:rFonts w:ascii="Arial" w:cs="Arial" w:eastAsia="Arial" w:hAnsi="Arial"/>
          <w:sz w:val="16"/>
          <w:szCs w:val="16"/>
          <w:color w:val="auto"/>
        </w:rPr>
        <w:t>;</w:t>
      </w:r>
    </w:p>
    <w:p>
      <w:pPr>
        <w:spacing w:after="0" w:line="86" w:lineRule="exact"/>
        <w:rPr>
          <w:rFonts w:ascii="Arial" w:cs="Arial" w:eastAsia="Arial" w:hAnsi="Arial"/>
          <w:sz w:val="16"/>
          <w:szCs w:val="16"/>
          <w:color w:val="auto"/>
        </w:rPr>
      </w:pPr>
    </w:p>
    <w:p>
      <w:pPr>
        <w:ind w:left="1620" w:hanging="424"/>
        <w:spacing w:after="0"/>
        <w:tabs>
          <w:tab w:leader="none" w:pos="1620" w:val="left"/>
        </w:tabs>
        <w:numPr>
          <w:ilvl w:val="0"/>
          <w:numId w:val="162"/>
        </w:numPr>
        <w:rPr>
          <w:rFonts w:ascii="Arial" w:cs="Arial" w:eastAsia="Arial" w:hAnsi="Arial"/>
          <w:sz w:val="16"/>
          <w:szCs w:val="16"/>
          <w:color w:val="auto"/>
        </w:rPr>
      </w:pPr>
      <w:r>
        <w:rPr>
          <w:rFonts w:ascii="Arial" w:cs="Arial" w:eastAsia="Arial" w:hAnsi="Arial"/>
          <w:sz w:val="16"/>
          <w:szCs w:val="16"/>
          <w:color w:val="auto"/>
        </w:rPr>
        <w:t xml:space="preserve">a meeting of a committee of the </w:t>
      </w:r>
      <w:r>
        <w:rPr>
          <w:rFonts w:ascii="Arial" w:cs="Arial" w:eastAsia="Arial" w:hAnsi="Arial"/>
          <w:sz w:val="16"/>
          <w:szCs w:val="16"/>
          <w:color w:val="auto"/>
          <w:strike w:val="1"/>
        </w:rPr>
        <w:t>directors</w:t>
      </w:r>
      <w:r>
        <w:rPr>
          <w:rFonts w:ascii="Arial" w:cs="Arial" w:eastAsia="Arial" w:hAnsi="Arial"/>
          <w:sz w:val="16"/>
          <w:szCs w:val="16"/>
          <w:u w:val="single" w:color="auto"/>
          <w:color w:val="auto"/>
        </w:rPr>
        <w:t>Board</w:t>
      </w:r>
      <w:r>
        <w:rPr>
          <w:rFonts w:ascii="Arial" w:cs="Arial" w:eastAsia="Arial" w:hAnsi="Arial"/>
          <w:sz w:val="16"/>
          <w:szCs w:val="16"/>
          <w:color w:val="auto"/>
        </w:rPr>
        <w:t>;</w:t>
      </w:r>
    </w:p>
    <w:p>
      <w:pPr>
        <w:spacing w:after="0" w:line="99" w:lineRule="exact"/>
        <w:rPr>
          <w:rFonts w:ascii="Arial" w:cs="Arial" w:eastAsia="Arial" w:hAnsi="Arial"/>
          <w:sz w:val="16"/>
          <w:szCs w:val="16"/>
          <w:color w:val="auto"/>
        </w:rPr>
      </w:pPr>
    </w:p>
    <w:p>
      <w:pPr>
        <w:ind w:left="1620" w:hanging="424"/>
        <w:spacing w:after="0"/>
        <w:tabs>
          <w:tab w:leader="none" w:pos="1620" w:val="left"/>
        </w:tabs>
        <w:numPr>
          <w:ilvl w:val="0"/>
          <w:numId w:val="162"/>
        </w:numPr>
        <w:rPr>
          <w:rFonts w:ascii="Arial" w:cs="Arial" w:eastAsia="Arial" w:hAnsi="Arial"/>
          <w:sz w:val="16"/>
          <w:szCs w:val="16"/>
          <w:color w:val="auto"/>
        </w:rPr>
      </w:pPr>
      <w:r>
        <w:rPr>
          <w:rFonts w:ascii="Arial" w:cs="Arial" w:eastAsia="Arial" w:hAnsi="Arial"/>
          <w:sz w:val="16"/>
          <w:szCs w:val="16"/>
          <w:color w:val="auto"/>
        </w:rPr>
        <w:t xml:space="preserve">written resolution of the </w:t>
      </w:r>
      <w:r>
        <w:rPr>
          <w:rFonts w:ascii="Arial" w:cs="Arial" w:eastAsia="Arial" w:hAnsi="Arial"/>
          <w:sz w:val="16"/>
          <w:szCs w:val="16"/>
          <w:color w:val="auto"/>
          <w:strike w:val="1"/>
        </w:rPr>
        <w:t>directors</w:t>
      </w:r>
      <w:r>
        <w:rPr>
          <w:rFonts w:ascii="Arial" w:cs="Arial" w:eastAsia="Arial" w:hAnsi="Arial"/>
          <w:sz w:val="16"/>
          <w:szCs w:val="16"/>
          <w:u w:val="single" w:color="auto"/>
          <w:color w:val="auto"/>
        </w:rPr>
        <w:t>Directors</w:t>
      </w:r>
      <w:r>
        <w:rPr>
          <w:rFonts w:ascii="Arial" w:cs="Arial" w:eastAsia="Arial" w:hAnsi="Arial"/>
          <w:sz w:val="16"/>
          <w:szCs w:val="16"/>
          <w:color w:val="auto"/>
        </w:rPr>
        <w:t>; or</w:t>
      </w:r>
    </w:p>
    <w:p>
      <w:pPr>
        <w:spacing w:after="0" w:line="99" w:lineRule="exact"/>
        <w:rPr>
          <w:rFonts w:ascii="Arial" w:cs="Arial" w:eastAsia="Arial" w:hAnsi="Arial"/>
          <w:sz w:val="16"/>
          <w:szCs w:val="16"/>
          <w:color w:val="auto"/>
        </w:rPr>
      </w:pPr>
    </w:p>
    <w:p>
      <w:pPr>
        <w:ind w:left="1620" w:hanging="424"/>
        <w:spacing w:after="0"/>
        <w:tabs>
          <w:tab w:leader="none" w:pos="1620" w:val="left"/>
        </w:tabs>
        <w:numPr>
          <w:ilvl w:val="0"/>
          <w:numId w:val="162"/>
        </w:numPr>
        <w:rPr>
          <w:rFonts w:ascii="Arial" w:cs="Arial" w:eastAsia="Arial" w:hAnsi="Arial"/>
          <w:sz w:val="16"/>
          <w:szCs w:val="16"/>
          <w:color w:val="auto"/>
        </w:rPr>
      </w:pPr>
      <w:r>
        <w:rPr>
          <w:rFonts w:ascii="Arial" w:cs="Arial" w:eastAsia="Arial" w:hAnsi="Arial"/>
          <w:sz w:val="16"/>
          <w:szCs w:val="16"/>
          <w:color w:val="auto"/>
        </w:rPr>
        <w:t xml:space="preserve">a person acting as a </w:t>
      </w:r>
      <w:r>
        <w:rPr>
          <w:rFonts w:ascii="Arial" w:cs="Arial" w:eastAsia="Arial" w:hAnsi="Arial"/>
          <w:sz w:val="16"/>
          <w:szCs w:val="16"/>
          <w:color w:val="auto"/>
          <w:strike w:val="1"/>
        </w:rPr>
        <w:t>director</w:t>
      </w:r>
      <w:r>
        <w:rPr>
          <w:rFonts w:ascii="Arial" w:cs="Arial" w:eastAsia="Arial" w:hAnsi="Arial"/>
          <w:sz w:val="16"/>
          <w:szCs w:val="16"/>
          <w:u w:val="single" w:color="auto"/>
          <w:color w:val="auto"/>
        </w:rPr>
        <w:t>Director</w:t>
      </w:r>
      <w:r>
        <w:rPr>
          <w:rFonts w:ascii="Arial" w:cs="Arial" w:eastAsia="Arial" w:hAnsi="Arial"/>
          <w:sz w:val="16"/>
          <w:szCs w:val="16"/>
          <w:color w:val="auto"/>
        </w:rPr>
        <w:t>, or a committee,</w:t>
      </w:r>
    </w:p>
    <w:p>
      <w:pPr>
        <w:spacing w:after="0" w:line="86" w:lineRule="exact"/>
        <w:rPr>
          <w:sz w:val="20"/>
          <w:szCs w:val="20"/>
          <w:color w:val="auto"/>
        </w:rPr>
      </w:pPr>
    </w:p>
    <w:p>
      <w:pPr>
        <w:ind w:left="1200" w:right="820"/>
        <w:spacing w:after="0" w:line="253" w:lineRule="auto"/>
        <w:rPr>
          <w:sz w:val="20"/>
          <w:szCs w:val="20"/>
          <w:color w:val="auto"/>
        </w:rPr>
      </w:pPr>
      <w:r>
        <w:rPr>
          <w:rFonts w:ascii="Arial" w:cs="Arial" w:eastAsia="Arial" w:hAnsi="Arial"/>
          <w:sz w:val="16"/>
          <w:szCs w:val="16"/>
          <w:color w:val="auto"/>
        </w:rPr>
        <w:t>shall be valid notwithstanding that it is discovered afterwards that there was a defect in the appointment of a person or persons acting or that any of them were disqualified from holding office, had ceased to hold office or were not entitled to vote on the matter in question.</w:t>
      </w:r>
    </w:p>
    <w:p>
      <w:pPr>
        <w:spacing w:after="0" w:line="60" w:lineRule="exact"/>
        <w:rPr>
          <w:sz w:val="20"/>
          <w:szCs w:val="20"/>
          <w:color w:val="auto"/>
        </w:rPr>
      </w:pPr>
    </w:p>
    <w:p>
      <w:pPr>
        <w:ind w:left="1200" w:hanging="436"/>
        <w:spacing w:after="0"/>
        <w:tabs>
          <w:tab w:leader="none" w:pos="1200" w:val="left"/>
        </w:tabs>
        <w:numPr>
          <w:ilvl w:val="0"/>
          <w:numId w:val="163"/>
        </w:numPr>
        <w:rPr>
          <w:rFonts w:ascii="Arial" w:cs="Arial" w:eastAsia="Arial" w:hAnsi="Arial"/>
          <w:sz w:val="16"/>
          <w:szCs w:val="16"/>
          <w:b w:val="1"/>
          <w:bCs w:val="1"/>
          <w:color w:val="auto"/>
        </w:rPr>
      </w:pPr>
      <w:r>
        <w:rPr>
          <w:rFonts w:ascii="Arial" w:cs="Arial" w:eastAsia="Arial" w:hAnsi="Arial"/>
          <w:sz w:val="16"/>
          <w:szCs w:val="16"/>
          <w:b w:val="1"/>
          <w:bCs w:val="1"/>
          <w:color w:val="auto"/>
        </w:rPr>
        <w:t>DIRECTORS’ FEES AND EXPENSES</w:t>
      </w:r>
    </w:p>
    <w:p>
      <w:pPr>
        <w:spacing w:after="0" w:line="120" w:lineRule="exact"/>
        <w:rPr>
          <w:sz w:val="20"/>
          <w:szCs w:val="20"/>
          <w:color w:val="auto"/>
        </w:rPr>
      </w:pPr>
    </w:p>
    <w:p>
      <w:pPr>
        <w:ind w:left="1200" w:right="800" w:hanging="431"/>
        <w:spacing w:after="0" w:line="248" w:lineRule="auto"/>
        <w:rPr>
          <w:sz w:val="20"/>
          <w:szCs w:val="20"/>
          <w:color w:val="auto"/>
        </w:rPr>
      </w:pPr>
      <w:r>
        <w:rPr>
          <w:rFonts w:ascii="Arial" w:cs="Arial" w:eastAsia="Arial" w:hAnsi="Arial"/>
          <w:sz w:val="16"/>
          <w:szCs w:val="16"/>
          <w:color w:val="auto"/>
        </w:rPr>
        <w:t xml:space="preserve">25.1 Unless otherwise determined by the Company by ordinary resolution, there shall be paid to the Directors (other than alternate Directors and Directors employed by the </w:t>
      </w:r>
      <w:r>
        <w:rPr>
          <w:rFonts w:ascii="Arial" w:cs="Arial" w:eastAsia="Arial" w:hAnsi="Arial"/>
          <w:sz w:val="16"/>
          <w:szCs w:val="16"/>
          <w:color w:val="auto"/>
          <w:strike w:val="1"/>
        </w:rPr>
        <w:t>company</w:t>
      </w:r>
      <w:r>
        <w:rPr>
          <w:rFonts w:ascii="Arial" w:cs="Arial" w:eastAsia="Arial" w:hAnsi="Arial"/>
          <w:sz w:val="16"/>
          <w:szCs w:val="16"/>
          <w:u w:val="single" w:color="auto"/>
          <w:color w:val="auto"/>
        </w:rPr>
        <w:t>Company</w:t>
      </w:r>
      <w:r>
        <w:rPr>
          <w:rFonts w:ascii="Arial" w:cs="Arial" w:eastAsia="Arial" w:hAnsi="Arial"/>
          <w:sz w:val="16"/>
          <w:szCs w:val="16"/>
          <w:color w:val="auto"/>
        </w:rPr>
        <w:t xml:space="preserve"> in an executive capacity) such fees for their services in the office of Director as the </w:t>
      </w:r>
      <w:r>
        <w:rPr>
          <w:rFonts w:ascii="Arial" w:cs="Arial" w:eastAsia="Arial" w:hAnsi="Arial"/>
          <w:sz w:val="16"/>
          <w:szCs w:val="16"/>
          <w:color w:val="auto"/>
          <w:strike w:val="1"/>
        </w:rPr>
        <w:t>Directors</w:t>
      </w:r>
      <w:r>
        <w:rPr>
          <w:rFonts w:ascii="Arial" w:cs="Arial" w:eastAsia="Arial" w:hAnsi="Arial"/>
          <w:sz w:val="16"/>
          <w:szCs w:val="16"/>
          <w:u w:val="single" w:color="auto"/>
          <w:color w:val="auto"/>
        </w:rPr>
        <w:t>Board</w:t>
      </w:r>
      <w:r>
        <w:rPr>
          <w:rFonts w:ascii="Arial" w:cs="Arial" w:eastAsia="Arial" w:hAnsi="Arial"/>
          <w:sz w:val="16"/>
          <w:szCs w:val="16"/>
          <w:color w:val="auto"/>
        </w:rPr>
        <w:t xml:space="preserve"> may from time to time determine (or as the Company may decide by ordinary resolution). </w:t>
      </w:r>
      <w:r>
        <w:rPr>
          <w:rFonts w:ascii="Arial" w:cs="Arial" w:eastAsia="Arial" w:hAnsi="Arial"/>
          <w:sz w:val="16"/>
          <w:szCs w:val="16"/>
          <w:color w:val="auto"/>
          <w:strike w:val="1"/>
        </w:rPr>
        <w:t>The total fees will be divided among the directors in the proportions that the Directors decide. If no decision is</w:t>
      </w:r>
      <w:r>
        <w:rPr>
          <w:rFonts w:ascii="Arial" w:cs="Arial" w:eastAsia="Arial" w:hAnsi="Arial"/>
          <w:sz w:val="16"/>
          <w:szCs w:val="16"/>
          <w:color w:val="auto"/>
        </w:rPr>
        <w:t xml:space="preserve"> </w:t>
      </w:r>
      <w:r>
        <w:rPr>
          <w:rFonts w:ascii="Arial" w:cs="Arial" w:eastAsia="Arial" w:hAnsi="Arial"/>
          <w:sz w:val="16"/>
          <w:szCs w:val="16"/>
          <w:color w:val="auto"/>
          <w:strike w:val="1"/>
        </w:rPr>
        <w:t>made, the total fees will be divided equally.</w:t>
      </w:r>
      <w:r>
        <w:rPr>
          <w:rFonts w:ascii="Arial" w:cs="Arial" w:eastAsia="Arial" w:hAnsi="Arial"/>
          <w:sz w:val="16"/>
          <w:szCs w:val="16"/>
          <w:color w:val="auto"/>
        </w:rPr>
        <w:t xml:space="preserve"> The fees shall be deemed to accrue from day to day and shall be distinct from and additional to any remuneration or other benefits which may be paid or provided to any Director pursuant to any other provision of these Articles.</w:t>
      </w:r>
    </w:p>
    <w:p>
      <w:pPr>
        <w:spacing w:after="0" w:line="73" w:lineRule="exact"/>
        <w:rPr>
          <w:sz w:val="20"/>
          <w:szCs w:val="20"/>
          <w:color w:val="auto"/>
        </w:rPr>
      </w:pPr>
    </w:p>
    <w:p>
      <w:pPr>
        <w:ind w:left="1200" w:right="880" w:hanging="431"/>
        <w:spacing w:after="0" w:line="251" w:lineRule="auto"/>
        <w:rPr>
          <w:sz w:val="20"/>
          <w:szCs w:val="20"/>
          <w:color w:val="auto"/>
        </w:rPr>
      </w:pPr>
      <w:r>
        <w:rPr>
          <w:rFonts w:ascii="Arial" w:cs="Arial" w:eastAsia="Arial" w:hAnsi="Arial"/>
          <w:sz w:val="16"/>
          <w:szCs w:val="16"/>
          <w:color w:val="auto"/>
        </w:rPr>
        <w:t xml:space="preserve">25.2 Subject to the Companies Act and </w:t>
      </w:r>
      <w:r>
        <w:rPr>
          <w:rFonts w:ascii="Arial" w:cs="Arial" w:eastAsia="Arial" w:hAnsi="Arial"/>
          <w:sz w:val="16"/>
          <w:szCs w:val="16"/>
          <w:color w:val="auto"/>
          <w:strike w:val="1"/>
        </w:rPr>
        <w:t>the</w:t>
      </w:r>
      <w:r>
        <w:rPr>
          <w:rFonts w:ascii="Arial" w:cs="Arial" w:eastAsia="Arial" w:hAnsi="Arial"/>
          <w:sz w:val="16"/>
          <w:szCs w:val="16"/>
          <w:u w:val="single" w:color="auto"/>
          <w:color w:val="auto"/>
        </w:rPr>
        <w:t>these</w:t>
      </w:r>
      <w:r>
        <w:rPr>
          <w:rFonts w:ascii="Arial" w:cs="Arial" w:eastAsia="Arial" w:hAnsi="Arial"/>
          <w:sz w:val="16"/>
          <w:szCs w:val="16"/>
          <w:color w:val="auto"/>
        </w:rPr>
        <w:t xml:space="preserve"> Articles, Directors’ fees may be payable in any form and, in particular, the </w:t>
      </w:r>
      <w:r>
        <w:rPr>
          <w:rFonts w:ascii="Arial" w:cs="Arial" w:eastAsia="Arial" w:hAnsi="Arial"/>
          <w:sz w:val="16"/>
          <w:szCs w:val="16"/>
          <w:color w:val="auto"/>
          <w:strike w:val="1"/>
        </w:rPr>
        <w:t>Directors</w:t>
      </w:r>
      <w:r>
        <w:rPr>
          <w:rFonts w:ascii="Arial" w:cs="Arial" w:eastAsia="Arial" w:hAnsi="Arial"/>
          <w:sz w:val="16"/>
          <w:szCs w:val="16"/>
          <w:u w:val="single" w:color="auto"/>
          <w:color w:val="auto"/>
        </w:rPr>
        <w:t>Board</w:t>
      </w:r>
      <w:r>
        <w:rPr>
          <w:rFonts w:ascii="Arial" w:cs="Arial" w:eastAsia="Arial" w:hAnsi="Arial"/>
          <w:sz w:val="16"/>
          <w:szCs w:val="16"/>
          <w:color w:val="auto"/>
        </w:rPr>
        <w:t xml:space="preserve"> may arrange for part of a fee payable under this Article 25 to be provided in the form of fully paid shares of the Company. The amount of the fee payable in this way is at the </w:t>
      </w:r>
      <w:r>
        <w:rPr>
          <w:rFonts w:ascii="Arial" w:cs="Arial" w:eastAsia="Arial" w:hAnsi="Arial"/>
          <w:sz w:val="16"/>
          <w:szCs w:val="16"/>
          <w:color w:val="auto"/>
          <w:strike w:val="1"/>
        </w:rPr>
        <w:t>Directors’</w:t>
      </w:r>
      <w:r>
        <w:rPr>
          <w:rFonts w:ascii="Arial" w:cs="Arial" w:eastAsia="Arial" w:hAnsi="Arial"/>
          <w:sz w:val="16"/>
          <w:szCs w:val="16"/>
          <w:u w:val="single" w:color="auto"/>
          <w:color w:val="auto"/>
        </w:rPr>
        <w:t>Board</w:t>
      </w:r>
      <w:r>
        <w:rPr>
          <w:rFonts w:ascii="Arial" w:cs="Arial" w:eastAsia="Arial" w:hAnsi="Arial"/>
          <w:sz w:val="16"/>
          <w:szCs w:val="16"/>
          <w:color w:val="auto"/>
        </w:rPr>
        <w:t>’</w:t>
      </w:r>
      <w:r>
        <w:rPr>
          <w:rFonts w:ascii="Arial" w:cs="Arial" w:eastAsia="Arial" w:hAnsi="Arial"/>
          <w:sz w:val="16"/>
          <w:szCs w:val="16"/>
          <w:u w:val="single" w:color="auto"/>
          <w:color w:val="auto"/>
        </w:rPr>
        <w:t>s</w:t>
      </w:r>
      <w:r>
        <w:rPr>
          <w:rFonts w:ascii="Arial" w:cs="Arial" w:eastAsia="Arial" w:hAnsi="Arial"/>
          <w:sz w:val="16"/>
          <w:szCs w:val="16"/>
          <w:color w:val="auto"/>
        </w:rPr>
        <w:t xml:space="preserve"> discretion. The amount of the fee will be applied to purchase or subscribe for shares on behalf of the Director.</w:t>
      </w:r>
    </w:p>
    <w:p>
      <w:pPr>
        <w:spacing w:after="0" w:line="81" w:lineRule="exact"/>
        <w:rPr>
          <w:sz w:val="20"/>
          <w:szCs w:val="20"/>
          <w:color w:val="auto"/>
        </w:rPr>
      </w:pPr>
    </w:p>
    <w:p>
      <w:pPr>
        <w:ind w:left="760"/>
        <w:spacing w:after="0"/>
        <w:rPr>
          <w:sz w:val="20"/>
          <w:szCs w:val="20"/>
          <w:color w:val="auto"/>
        </w:rPr>
      </w:pPr>
      <w:r>
        <w:rPr>
          <w:rFonts w:ascii="Arial" w:cs="Arial" w:eastAsia="Arial" w:hAnsi="Arial"/>
          <w:sz w:val="16"/>
          <w:szCs w:val="16"/>
          <w:color w:val="auto"/>
        </w:rPr>
        <w:t xml:space="preserve">25.3  Unless the </w:t>
      </w:r>
      <w:r>
        <w:rPr>
          <w:rFonts w:ascii="Arial" w:cs="Arial" w:eastAsia="Arial" w:hAnsi="Arial"/>
          <w:sz w:val="16"/>
          <w:szCs w:val="16"/>
          <w:color w:val="auto"/>
          <w:strike w:val="1"/>
        </w:rPr>
        <w:t>Directors decide</w:t>
      </w:r>
      <w:r>
        <w:rPr>
          <w:rFonts w:ascii="Arial" w:cs="Arial" w:eastAsia="Arial" w:hAnsi="Arial"/>
          <w:sz w:val="16"/>
          <w:szCs w:val="16"/>
          <w:u w:val="single" w:color="auto"/>
          <w:color w:val="auto"/>
        </w:rPr>
        <w:t>Board decides</w:t>
      </w:r>
      <w:r>
        <w:rPr>
          <w:rFonts w:ascii="Arial" w:cs="Arial" w:eastAsia="Arial" w:hAnsi="Arial"/>
          <w:sz w:val="16"/>
          <w:szCs w:val="16"/>
          <w:color w:val="auto"/>
        </w:rPr>
        <w:t xml:space="preserve"> otherwise, a Director is not accountable to the Company for any remuneration</w:t>
      </w:r>
    </w:p>
    <w:p>
      <w:pPr>
        <w:spacing w:after="0" w:line="305" w:lineRule="exact"/>
        <w:rPr>
          <w:sz w:val="20"/>
          <w:szCs w:val="20"/>
          <w:color w:val="auto"/>
        </w:rPr>
      </w:pPr>
    </w:p>
    <w:tbl>
      <w:tblPr>
        <w:tblLayout w:type="fixed"/>
        <w:tblInd w:w="0" w:type="dxa"/>
        <w:tblCellMar>
          <w:top w:w="0" w:type="dxa"/>
          <w:left w:w="0" w:type="dxa"/>
          <w:bottom w:w="0" w:type="dxa"/>
          <w:right w:w="0" w:type="dxa"/>
        </w:tblCellMar>
      </w:tblPr>
      <w:tr>
        <w:trPr>
          <w:trHeight w:val="130"/>
        </w:trPr>
        <w:tc>
          <w:tcPr>
            <w:tcW w:w="800" w:type="dxa"/>
            <w:vAlign w:val="bottom"/>
            <w:vMerge w:val="restart"/>
          </w:tcPr>
          <w:p>
            <w:pPr>
              <w:spacing w:after="0"/>
              <w:rPr>
                <w:sz w:val="11"/>
                <w:szCs w:val="11"/>
                <w:color w:val="auto"/>
              </w:rPr>
            </w:pPr>
          </w:p>
        </w:tc>
        <w:tc>
          <w:tcPr>
            <w:tcW w:w="3060" w:type="dxa"/>
            <w:vAlign w:val="bottom"/>
            <w:tcBorders>
              <w:bottom w:val="single" w:sz="8" w:color="auto"/>
            </w:tcBorders>
          </w:tcPr>
          <w:p>
            <w:pPr>
              <w:spacing w:after="0"/>
              <w:rPr>
                <w:sz w:val="11"/>
                <w:szCs w:val="11"/>
                <w:color w:val="auto"/>
              </w:rPr>
            </w:pPr>
          </w:p>
        </w:tc>
        <w:tc>
          <w:tcPr>
            <w:tcW w:w="2740" w:type="dxa"/>
            <w:vAlign w:val="bottom"/>
            <w:vMerge w:val="restart"/>
          </w:tcPr>
          <w:p>
            <w:pPr>
              <w:ind w:left="380"/>
              <w:spacing w:after="0"/>
              <w:rPr>
                <w:sz w:val="20"/>
                <w:szCs w:val="20"/>
                <w:color w:val="auto"/>
              </w:rPr>
            </w:pPr>
            <w:r>
              <w:rPr>
                <w:rFonts w:ascii="Arial" w:cs="Arial" w:eastAsia="Arial" w:hAnsi="Arial"/>
                <w:sz w:val="13"/>
                <w:szCs w:val="13"/>
                <w:b w:val="1"/>
                <w:bCs w:val="1"/>
                <w:color w:val="4800E6"/>
              </w:rPr>
              <w:t xml:space="preserve">LIVANOVA </w:t>
            </w:r>
            <w:r>
              <w:rPr>
                <w:rFonts w:ascii="Arial" w:cs="Arial" w:eastAsia="Arial" w:hAnsi="Arial"/>
                <w:sz w:val="13"/>
                <w:szCs w:val="13"/>
                <w:color w:val="000000"/>
              </w:rPr>
              <w:t>|</w:t>
            </w:r>
            <w:r>
              <w:rPr>
                <w:rFonts w:ascii="Arial" w:cs="Arial" w:eastAsia="Arial" w:hAnsi="Arial"/>
                <w:sz w:val="13"/>
                <w:szCs w:val="13"/>
                <w:b w:val="1"/>
                <w:bCs w:val="1"/>
                <w:color w:val="4800E6"/>
              </w:rPr>
              <w:t xml:space="preserve"> </w:t>
            </w:r>
            <w:r>
              <w:rPr>
                <w:rFonts w:ascii="Arial" w:cs="Arial" w:eastAsia="Arial" w:hAnsi="Arial"/>
                <w:sz w:val="13"/>
                <w:szCs w:val="13"/>
                <w:color w:val="4800E6"/>
              </w:rPr>
              <w:t>2020</w:t>
            </w:r>
            <w:r>
              <w:rPr>
                <w:rFonts w:ascii="Arial" w:cs="Arial" w:eastAsia="Arial" w:hAnsi="Arial"/>
                <w:sz w:val="13"/>
                <w:szCs w:val="13"/>
                <w:b w:val="1"/>
                <w:bCs w:val="1"/>
                <w:color w:val="4800E6"/>
              </w:rPr>
              <w:t xml:space="preserve"> </w:t>
            </w:r>
            <w:r>
              <w:rPr>
                <w:rFonts w:ascii="Arial" w:cs="Arial" w:eastAsia="Arial" w:hAnsi="Arial"/>
                <w:sz w:val="13"/>
                <w:szCs w:val="13"/>
                <w:color w:val="000000"/>
              </w:rPr>
              <w:t>Proxy Statement</w:t>
            </w:r>
          </w:p>
        </w:tc>
        <w:tc>
          <w:tcPr>
            <w:tcW w:w="3080" w:type="dxa"/>
            <w:vAlign w:val="bottom"/>
            <w:tcBorders>
              <w:bottom w:val="single" w:sz="8" w:color="auto"/>
            </w:tcBorders>
          </w:tcPr>
          <w:p>
            <w:pPr>
              <w:spacing w:after="0"/>
              <w:rPr>
                <w:sz w:val="11"/>
                <w:szCs w:val="11"/>
                <w:color w:val="auto"/>
              </w:rPr>
            </w:pPr>
          </w:p>
        </w:tc>
        <w:tc>
          <w:tcPr>
            <w:tcW w:w="1040" w:type="dxa"/>
            <w:vAlign w:val="bottom"/>
            <w:vMerge w:val="restart"/>
          </w:tcPr>
          <w:p>
            <w:pPr>
              <w:ind w:left="200"/>
              <w:spacing w:after="0"/>
              <w:rPr>
                <w:sz w:val="20"/>
                <w:szCs w:val="20"/>
                <w:color w:val="auto"/>
              </w:rPr>
            </w:pPr>
            <w:r>
              <w:rPr>
                <w:rFonts w:ascii="Arial" w:cs="Arial" w:eastAsia="Arial" w:hAnsi="Arial"/>
                <w:sz w:val="14"/>
                <w:szCs w:val="14"/>
                <w:b w:val="1"/>
                <w:bCs w:val="1"/>
                <w:color w:val="auto"/>
              </w:rPr>
              <w:t>A-23</w:t>
            </w:r>
          </w:p>
        </w:tc>
        <w:tc>
          <w:tcPr>
            <w:tcW w:w="0" w:type="dxa"/>
            <w:vAlign w:val="bottom"/>
          </w:tcPr>
          <w:p>
            <w:pPr>
              <w:spacing w:after="0"/>
              <w:rPr>
                <w:sz w:val="1"/>
                <w:szCs w:val="1"/>
                <w:color w:val="auto"/>
              </w:rPr>
            </w:pPr>
          </w:p>
        </w:tc>
      </w:tr>
      <w:tr>
        <w:trPr>
          <w:trHeight w:val="49"/>
        </w:trPr>
        <w:tc>
          <w:tcPr>
            <w:tcW w:w="800" w:type="dxa"/>
            <w:vAlign w:val="bottom"/>
            <w:vMerge w:val="continue"/>
          </w:tcPr>
          <w:p>
            <w:pPr>
              <w:spacing w:after="0"/>
              <w:rPr>
                <w:sz w:val="4"/>
                <w:szCs w:val="4"/>
                <w:color w:val="auto"/>
              </w:rPr>
            </w:pPr>
          </w:p>
        </w:tc>
        <w:tc>
          <w:tcPr>
            <w:tcW w:w="3060" w:type="dxa"/>
            <w:vAlign w:val="bottom"/>
          </w:tcPr>
          <w:p>
            <w:pPr>
              <w:spacing w:after="0"/>
              <w:rPr>
                <w:sz w:val="4"/>
                <w:szCs w:val="4"/>
                <w:color w:val="auto"/>
              </w:rPr>
            </w:pPr>
          </w:p>
        </w:tc>
        <w:tc>
          <w:tcPr>
            <w:tcW w:w="2740" w:type="dxa"/>
            <w:vAlign w:val="bottom"/>
            <w:vMerge w:val="continue"/>
          </w:tcPr>
          <w:p>
            <w:pPr>
              <w:spacing w:after="0"/>
              <w:rPr>
                <w:sz w:val="4"/>
                <w:szCs w:val="4"/>
                <w:color w:val="auto"/>
              </w:rPr>
            </w:pPr>
          </w:p>
        </w:tc>
        <w:tc>
          <w:tcPr>
            <w:tcW w:w="3080" w:type="dxa"/>
            <w:vAlign w:val="bottom"/>
          </w:tcPr>
          <w:p>
            <w:pPr>
              <w:spacing w:after="0"/>
              <w:rPr>
                <w:sz w:val="4"/>
                <w:szCs w:val="4"/>
                <w:color w:val="auto"/>
              </w:rPr>
            </w:pPr>
          </w:p>
        </w:tc>
        <w:tc>
          <w:tcPr>
            <w:tcW w:w="104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40"/>
        </w:trPr>
        <w:tc>
          <w:tcPr>
            <w:tcW w:w="800" w:type="dxa"/>
            <w:vAlign w:val="bottom"/>
            <w:tcBorders>
              <w:bottom w:val="single" w:sz="8" w:color="9A9A9A"/>
            </w:tcBorders>
          </w:tcPr>
          <w:p>
            <w:pPr>
              <w:spacing w:after="0"/>
              <w:rPr>
                <w:sz w:val="12"/>
                <w:szCs w:val="12"/>
                <w:color w:val="auto"/>
              </w:rPr>
            </w:pPr>
          </w:p>
        </w:tc>
        <w:tc>
          <w:tcPr>
            <w:tcW w:w="3060" w:type="dxa"/>
            <w:vAlign w:val="bottom"/>
            <w:tcBorders>
              <w:bottom w:val="single" w:sz="8" w:color="9A9A9A"/>
            </w:tcBorders>
          </w:tcPr>
          <w:p>
            <w:pPr>
              <w:spacing w:after="0"/>
              <w:rPr>
                <w:sz w:val="12"/>
                <w:szCs w:val="12"/>
                <w:color w:val="auto"/>
              </w:rPr>
            </w:pPr>
          </w:p>
        </w:tc>
        <w:tc>
          <w:tcPr>
            <w:tcW w:w="2740" w:type="dxa"/>
            <w:vAlign w:val="bottom"/>
            <w:tcBorders>
              <w:bottom w:val="single" w:sz="8" w:color="9A9A9A"/>
            </w:tcBorders>
          </w:tcPr>
          <w:p>
            <w:pPr>
              <w:spacing w:after="0"/>
              <w:rPr>
                <w:sz w:val="12"/>
                <w:szCs w:val="12"/>
                <w:color w:val="auto"/>
              </w:rPr>
            </w:pPr>
          </w:p>
        </w:tc>
        <w:tc>
          <w:tcPr>
            <w:tcW w:w="3080" w:type="dxa"/>
            <w:vAlign w:val="bottom"/>
            <w:tcBorders>
              <w:bottom w:val="single" w:sz="8" w:color="9A9A9A"/>
            </w:tcBorders>
          </w:tcPr>
          <w:p>
            <w:pPr>
              <w:spacing w:after="0"/>
              <w:rPr>
                <w:sz w:val="12"/>
                <w:szCs w:val="12"/>
                <w:color w:val="auto"/>
              </w:rPr>
            </w:pPr>
          </w:p>
        </w:tc>
        <w:tc>
          <w:tcPr>
            <w:tcW w:w="1040" w:type="dxa"/>
            <w:vAlign w:val="bottom"/>
            <w:tcBorders>
              <w:bottom w:val="single" w:sz="8" w:color="9A9A9A"/>
            </w:tcBorders>
          </w:tcPr>
          <w:p>
            <w:pPr>
              <w:spacing w:after="0"/>
              <w:rPr>
                <w:sz w:val="12"/>
                <w:szCs w:val="12"/>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6802755</wp:posOffset>
            </wp:positionH>
            <wp:positionV relativeFrom="paragraph">
              <wp:posOffset>-7620</wp:posOffset>
            </wp:positionV>
            <wp:extent cx="8255" cy="8255"/>
            <wp:wrapNone/>
            <wp:docPr id="441" name="Picture 4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1"/>
                    <pic:cNvPicPr>
                      <a:picLocks noChangeAspect="1" noChangeArrowheads="1"/>
                    </pic:cNvPicPr>
                  </pic:nvPicPr>
                  <pic:blipFill>
                    <a:blip r:embed="rId44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wp:posOffset>
            </wp:positionV>
            <wp:extent cx="8890" cy="17145"/>
            <wp:wrapNone/>
            <wp:docPr id="442" name="Picture 4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2"/>
                    <pic:cNvPicPr>
                      <a:picLocks noChangeAspect="1" noChangeArrowheads="1"/>
                    </pic:cNvPicPr>
                  </pic:nvPicPr>
                  <pic:blipFill>
                    <a:blip r:embed="rId449">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sectPr>
          <w:pgSz w:w="11900" w:h="16838" w:orient="portrait"/>
          <w:cols w:equalWidth="0" w:num="1">
            <w:col w:w="10720"/>
          </w:cols>
          <w:pgMar w:left="320" w:top="131" w:right="859" w:bottom="1440" w:gutter="0" w:footer="0" w:header="0"/>
        </w:sectPr>
      </w:pPr>
    </w:p>
    <w:bookmarkStart w:id="102" w:name="page103"/>
    <w:bookmarkEnd w:id="102"/>
    <w:p>
      <w:pPr>
        <w:spacing w:after="0"/>
        <w:rPr>
          <w:rFonts w:ascii="Arial" w:cs="Arial" w:eastAsia="Arial" w:hAnsi="Arial"/>
          <w:sz w:val="14"/>
          <w:szCs w:val="14"/>
          <w:color w:val="003366"/>
        </w:rPr>
      </w:pPr>
      <w:hyperlink w:anchor="page77">
        <w:r>
          <w:rPr>
            <w:rFonts w:ascii="Arial" w:cs="Arial" w:eastAsia="Arial" w:hAnsi="Arial"/>
            <w:sz w:val="14"/>
            <w:szCs w:val="14"/>
            <w:color w:val="003366"/>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485140</wp:posOffset>
            </wp:positionH>
            <wp:positionV relativeFrom="paragraph">
              <wp:posOffset>356870</wp:posOffset>
            </wp:positionV>
            <wp:extent cx="5829300" cy="8255"/>
            <wp:wrapNone/>
            <wp:docPr id="443" name="Picture 4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3"/>
                    <pic:cNvPicPr>
                      <a:picLocks noChangeAspect="1" noChangeArrowheads="1"/>
                    </pic:cNvPicPr>
                  </pic:nvPicPr>
                  <pic:blipFill>
                    <a:blip r:embed="rId450">
                      <a:extLst>
                        <a:ext uri="{28A0092B-C50C-407E-A947-70E740481C1C}"/>
                      </a:extLst>
                    </a:blip>
                    <a:srcRect/>
                    <a:stretch>
                      <a:fillRect/>
                    </a:stretch>
                  </pic:blipFill>
                  <pic:spPr bwMode="auto">
                    <a:xfrm>
                      <a:off x="0" y="0"/>
                      <a:ext cx="5829300" cy="8255"/>
                    </a:xfrm>
                    <a:prstGeom prst="rect">
                      <a:avLst/>
                    </a:prstGeom>
                    <a:noFill/>
                  </pic:spPr>
                </pic:pic>
              </a:graphicData>
            </a:graphic>
          </wp:anchor>
        </w:drawing>
      </w:r>
    </w:p>
    <w:p>
      <w:pPr>
        <w:sectPr>
          <w:pgSz w:w="11900" w:h="16838" w:orient="portrait"/>
          <w:cols w:equalWidth="0" w:num="1">
            <w:col w:w="10139"/>
          </w:cols>
          <w:pgMar w:left="320" w:top="131"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p>
      <w:pPr>
        <w:ind w:left="1200" w:right="219"/>
        <w:spacing w:after="0" w:line="260" w:lineRule="auto"/>
        <w:rPr>
          <w:sz w:val="20"/>
          <w:szCs w:val="20"/>
          <w:color w:val="auto"/>
        </w:rPr>
      </w:pPr>
      <w:r>
        <w:rPr>
          <w:rFonts w:ascii="Arial" w:cs="Arial" w:eastAsia="Arial" w:hAnsi="Arial"/>
          <w:sz w:val="16"/>
          <w:szCs w:val="16"/>
          <w:color w:val="auto"/>
        </w:rPr>
        <w:t xml:space="preserve">which </w:t>
      </w:r>
      <w:r>
        <w:rPr>
          <w:rFonts w:ascii="Arial" w:cs="Arial" w:eastAsia="Arial" w:hAnsi="Arial"/>
          <w:sz w:val="16"/>
          <w:szCs w:val="16"/>
          <w:color w:val="auto"/>
          <w:strike w:val="1"/>
        </w:rPr>
        <w:t>he receives</w:t>
      </w:r>
      <w:r>
        <w:rPr>
          <w:rFonts w:ascii="Arial" w:cs="Arial" w:eastAsia="Arial" w:hAnsi="Arial"/>
          <w:sz w:val="16"/>
          <w:szCs w:val="16"/>
          <w:u w:val="single" w:color="auto"/>
          <w:color w:val="auto"/>
        </w:rPr>
        <w:t>they receive</w:t>
      </w:r>
      <w:r>
        <w:rPr>
          <w:rFonts w:ascii="Arial" w:cs="Arial" w:eastAsia="Arial" w:hAnsi="Arial"/>
          <w:sz w:val="16"/>
          <w:szCs w:val="16"/>
          <w:color w:val="auto"/>
        </w:rPr>
        <w:t xml:space="preserve"> as a </w:t>
      </w:r>
      <w:r>
        <w:rPr>
          <w:rFonts w:ascii="Arial" w:cs="Arial" w:eastAsia="Arial" w:hAnsi="Arial"/>
          <w:sz w:val="16"/>
          <w:szCs w:val="16"/>
          <w:color w:val="auto"/>
          <w:strike w:val="1"/>
        </w:rPr>
        <w:t>director</w:t>
      </w:r>
      <w:r>
        <w:rPr>
          <w:rFonts w:ascii="Arial" w:cs="Arial" w:eastAsia="Arial" w:hAnsi="Arial"/>
          <w:sz w:val="16"/>
          <w:szCs w:val="16"/>
          <w:u w:val="single" w:color="auto"/>
          <w:color w:val="auto"/>
        </w:rPr>
        <w:t>Director</w:t>
      </w:r>
      <w:r>
        <w:rPr>
          <w:rFonts w:ascii="Arial" w:cs="Arial" w:eastAsia="Arial" w:hAnsi="Arial"/>
          <w:sz w:val="16"/>
          <w:szCs w:val="16"/>
          <w:color w:val="auto"/>
        </w:rPr>
        <w:t xml:space="preserve"> or other officer or employee of the Company’s subsidiary undertakings or of any other body corporate in which the Company is interested.</w:t>
      </w:r>
    </w:p>
    <w:p>
      <w:pPr>
        <w:spacing w:after="0" w:line="74" w:lineRule="exact"/>
        <w:rPr>
          <w:sz w:val="20"/>
          <w:szCs w:val="20"/>
          <w:color w:val="auto"/>
        </w:rPr>
      </w:pPr>
    </w:p>
    <w:p>
      <w:pPr>
        <w:ind w:left="1200" w:right="339" w:hanging="431"/>
        <w:spacing w:after="0" w:line="251" w:lineRule="auto"/>
        <w:rPr>
          <w:sz w:val="20"/>
          <w:szCs w:val="20"/>
          <w:color w:val="auto"/>
        </w:rPr>
      </w:pPr>
      <w:r>
        <w:rPr>
          <w:rFonts w:ascii="Arial" w:cs="Arial" w:eastAsia="Arial" w:hAnsi="Arial"/>
          <w:sz w:val="16"/>
          <w:szCs w:val="16"/>
          <w:color w:val="auto"/>
        </w:rPr>
        <w:t xml:space="preserve">25.4 The Directors may also be paid all reasonable travelling, hotel and other expenses properly incurred by them in connection with their attendance at meetings of the </w:t>
      </w:r>
      <w:r>
        <w:rPr>
          <w:rFonts w:ascii="Arial" w:cs="Arial" w:eastAsia="Arial" w:hAnsi="Arial"/>
          <w:sz w:val="16"/>
          <w:szCs w:val="16"/>
          <w:color w:val="auto"/>
          <w:strike w:val="1"/>
        </w:rPr>
        <w:t>Directors</w:t>
      </w:r>
      <w:r>
        <w:rPr>
          <w:rFonts w:ascii="Arial" w:cs="Arial" w:eastAsia="Arial" w:hAnsi="Arial"/>
          <w:sz w:val="16"/>
          <w:szCs w:val="16"/>
          <w:u w:val="single" w:color="auto"/>
          <w:color w:val="auto"/>
        </w:rPr>
        <w:t>Board</w:t>
      </w:r>
      <w:r>
        <w:rPr>
          <w:rFonts w:ascii="Arial" w:cs="Arial" w:eastAsia="Arial" w:hAnsi="Arial"/>
          <w:sz w:val="16"/>
          <w:szCs w:val="16"/>
          <w:color w:val="auto"/>
        </w:rPr>
        <w:t>, or of committees of the Board, or general meetings or separate meetings of the holders of any class of shares or debentures of the Company or otherwise in connection with the discharge of their duties as Directors.</w:t>
      </w:r>
    </w:p>
    <w:p>
      <w:pPr>
        <w:spacing w:after="0" w:line="81" w:lineRule="exact"/>
        <w:rPr>
          <w:sz w:val="20"/>
          <w:szCs w:val="20"/>
          <w:color w:val="auto"/>
        </w:rPr>
      </w:pPr>
    </w:p>
    <w:p>
      <w:pPr>
        <w:ind w:left="1200" w:right="319" w:hanging="431"/>
        <w:spacing w:after="0" w:line="278" w:lineRule="auto"/>
        <w:rPr>
          <w:sz w:val="20"/>
          <w:szCs w:val="20"/>
          <w:color w:val="auto"/>
        </w:rPr>
      </w:pPr>
      <w:r>
        <w:rPr>
          <w:rFonts w:ascii="Arial" w:cs="Arial" w:eastAsia="Arial" w:hAnsi="Arial"/>
          <w:sz w:val="15"/>
          <w:szCs w:val="15"/>
          <w:color w:val="auto"/>
        </w:rPr>
        <w:t xml:space="preserve">25.5 Subject to the </w:t>
      </w:r>
      <w:r>
        <w:rPr>
          <w:rFonts w:ascii="Arial" w:cs="Arial" w:eastAsia="Arial" w:hAnsi="Arial"/>
          <w:sz w:val="15"/>
          <w:szCs w:val="15"/>
          <w:u w:val="single" w:color="auto"/>
          <w:color w:val="auto"/>
        </w:rPr>
        <w:t>Companies</w:t>
      </w:r>
      <w:r>
        <w:rPr>
          <w:rFonts w:ascii="Arial" w:cs="Arial" w:eastAsia="Arial" w:hAnsi="Arial"/>
          <w:sz w:val="15"/>
          <w:szCs w:val="15"/>
          <w:color w:val="auto"/>
        </w:rPr>
        <w:t xml:space="preserve"> Act, the </w:t>
      </w:r>
      <w:r>
        <w:rPr>
          <w:rFonts w:ascii="Arial" w:cs="Arial" w:eastAsia="Arial" w:hAnsi="Arial"/>
          <w:sz w:val="15"/>
          <w:szCs w:val="15"/>
          <w:color w:val="auto"/>
          <w:strike w:val="1"/>
        </w:rPr>
        <w:t>Directors</w:t>
      </w:r>
      <w:r>
        <w:rPr>
          <w:rFonts w:ascii="Arial" w:cs="Arial" w:eastAsia="Arial" w:hAnsi="Arial"/>
          <w:sz w:val="15"/>
          <w:szCs w:val="15"/>
          <w:u w:val="single" w:color="auto"/>
          <w:color w:val="auto"/>
        </w:rPr>
        <w:t>Board</w:t>
      </w:r>
      <w:r>
        <w:rPr>
          <w:rFonts w:ascii="Arial" w:cs="Arial" w:eastAsia="Arial" w:hAnsi="Arial"/>
          <w:sz w:val="15"/>
          <w:szCs w:val="15"/>
          <w:color w:val="auto"/>
        </w:rPr>
        <w:t xml:space="preserve"> may make arrangements to provide a </w:t>
      </w:r>
      <w:r>
        <w:rPr>
          <w:rFonts w:ascii="Arial" w:cs="Arial" w:eastAsia="Arial" w:hAnsi="Arial"/>
          <w:sz w:val="15"/>
          <w:szCs w:val="15"/>
          <w:color w:val="auto"/>
          <w:strike w:val="1"/>
        </w:rPr>
        <w:t>director</w:t>
      </w:r>
      <w:r>
        <w:rPr>
          <w:rFonts w:ascii="Arial" w:cs="Arial" w:eastAsia="Arial" w:hAnsi="Arial"/>
          <w:sz w:val="15"/>
          <w:szCs w:val="15"/>
          <w:u w:val="single" w:color="auto"/>
          <w:color w:val="auto"/>
        </w:rPr>
        <w:t>Director</w:t>
      </w:r>
      <w:r>
        <w:rPr>
          <w:rFonts w:ascii="Arial" w:cs="Arial" w:eastAsia="Arial" w:hAnsi="Arial"/>
          <w:sz w:val="15"/>
          <w:szCs w:val="15"/>
          <w:color w:val="auto"/>
        </w:rPr>
        <w:t xml:space="preserve"> with funds to meet expenditure incurred (or to be incurred) by </w:t>
      </w:r>
      <w:r>
        <w:rPr>
          <w:rFonts w:ascii="Arial" w:cs="Arial" w:eastAsia="Arial" w:hAnsi="Arial"/>
          <w:sz w:val="15"/>
          <w:szCs w:val="15"/>
          <w:color w:val="auto"/>
          <w:strike w:val="1"/>
        </w:rPr>
        <w:t>him</w:t>
      </w:r>
      <w:r>
        <w:rPr>
          <w:rFonts w:ascii="Arial" w:cs="Arial" w:eastAsia="Arial" w:hAnsi="Arial"/>
          <w:sz w:val="15"/>
          <w:szCs w:val="15"/>
          <w:u w:val="single" w:color="auto"/>
          <w:color w:val="auto"/>
        </w:rPr>
        <w:t>them</w:t>
      </w:r>
      <w:r>
        <w:rPr>
          <w:rFonts w:ascii="Arial" w:cs="Arial" w:eastAsia="Arial" w:hAnsi="Arial"/>
          <w:sz w:val="15"/>
          <w:szCs w:val="15"/>
          <w:color w:val="auto"/>
        </w:rPr>
        <w:t xml:space="preserve"> for the purposes of the Company; or enabling </w:t>
      </w:r>
      <w:r>
        <w:rPr>
          <w:rFonts w:ascii="Arial" w:cs="Arial" w:eastAsia="Arial" w:hAnsi="Arial"/>
          <w:sz w:val="15"/>
          <w:szCs w:val="15"/>
          <w:color w:val="auto"/>
          <w:strike w:val="1"/>
        </w:rPr>
        <w:t>him</w:t>
      </w:r>
      <w:r>
        <w:rPr>
          <w:rFonts w:ascii="Arial" w:cs="Arial" w:eastAsia="Arial" w:hAnsi="Arial"/>
          <w:sz w:val="15"/>
          <w:szCs w:val="15"/>
          <w:u w:val="single" w:color="auto"/>
          <w:color w:val="auto"/>
        </w:rPr>
        <w:t>them</w:t>
      </w:r>
      <w:r>
        <w:rPr>
          <w:rFonts w:ascii="Arial" w:cs="Arial" w:eastAsia="Arial" w:hAnsi="Arial"/>
          <w:sz w:val="15"/>
          <w:szCs w:val="15"/>
          <w:color w:val="auto"/>
        </w:rPr>
        <w:t xml:space="preserve"> to properly perform </w:t>
      </w:r>
      <w:r>
        <w:rPr>
          <w:rFonts w:ascii="Arial" w:cs="Arial" w:eastAsia="Arial" w:hAnsi="Arial"/>
          <w:sz w:val="15"/>
          <w:szCs w:val="15"/>
          <w:color w:val="auto"/>
          <w:strike w:val="1"/>
        </w:rPr>
        <w:t>his</w:t>
      </w:r>
      <w:r>
        <w:rPr>
          <w:rFonts w:ascii="Arial" w:cs="Arial" w:eastAsia="Arial" w:hAnsi="Arial"/>
          <w:sz w:val="15"/>
          <w:szCs w:val="15"/>
          <w:u w:val="single" w:color="auto"/>
          <w:color w:val="auto"/>
        </w:rPr>
        <w:t>their</w:t>
      </w:r>
      <w:r>
        <w:rPr>
          <w:rFonts w:ascii="Arial" w:cs="Arial" w:eastAsia="Arial" w:hAnsi="Arial"/>
          <w:sz w:val="15"/>
          <w:szCs w:val="15"/>
          <w:color w:val="auto"/>
        </w:rPr>
        <w:t xml:space="preserve"> duties as an officer of the Company; or enabling </w:t>
      </w:r>
      <w:r>
        <w:rPr>
          <w:rFonts w:ascii="Arial" w:cs="Arial" w:eastAsia="Arial" w:hAnsi="Arial"/>
          <w:sz w:val="15"/>
          <w:szCs w:val="15"/>
          <w:color w:val="auto"/>
          <w:strike w:val="1"/>
        </w:rPr>
        <w:t>him</w:t>
      </w:r>
      <w:r>
        <w:rPr>
          <w:rFonts w:ascii="Arial" w:cs="Arial" w:eastAsia="Arial" w:hAnsi="Arial"/>
          <w:sz w:val="15"/>
          <w:szCs w:val="15"/>
          <w:u w:val="single" w:color="auto"/>
          <w:color w:val="auto"/>
        </w:rPr>
        <w:t>them</w:t>
      </w:r>
      <w:r>
        <w:rPr>
          <w:rFonts w:ascii="Arial" w:cs="Arial" w:eastAsia="Arial" w:hAnsi="Arial"/>
          <w:sz w:val="15"/>
          <w:szCs w:val="15"/>
          <w:color w:val="auto"/>
        </w:rPr>
        <w:t xml:space="preserve"> to avoid incurring any such expenditure.</w:t>
      </w:r>
    </w:p>
    <w:p>
      <w:pPr>
        <w:spacing w:after="0" w:line="62" w:lineRule="exact"/>
        <w:rPr>
          <w:sz w:val="20"/>
          <w:szCs w:val="20"/>
          <w:color w:val="auto"/>
        </w:rPr>
      </w:pPr>
    </w:p>
    <w:p>
      <w:pPr>
        <w:ind w:left="1200" w:right="219" w:hanging="431"/>
        <w:spacing w:after="0" w:line="248" w:lineRule="auto"/>
        <w:rPr>
          <w:sz w:val="20"/>
          <w:szCs w:val="20"/>
          <w:color w:val="auto"/>
        </w:rPr>
      </w:pPr>
      <w:r>
        <w:rPr>
          <w:rFonts w:ascii="Arial" w:cs="Arial" w:eastAsia="Arial" w:hAnsi="Arial"/>
          <w:sz w:val="16"/>
          <w:szCs w:val="16"/>
          <w:color w:val="auto"/>
        </w:rPr>
        <w:t xml:space="preserve">25.6 </w:t>
      </w:r>
      <w:r>
        <w:rPr>
          <w:rFonts w:ascii="Arial" w:cs="Arial" w:eastAsia="Arial" w:hAnsi="Arial"/>
          <w:sz w:val="16"/>
          <w:szCs w:val="16"/>
          <w:color w:val="auto"/>
          <w:strike w:val="1"/>
        </w:rPr>
        <w:t>Any</w:t>
      </w:r>
      <w:r>
        <w:rPr>
          <w:rFonts w:ascii="Arial" w:cs="Arial" w:eastAsia="Arial" w:hAnsi="Arial"/>
          <w:sz w:val="16"/>
          <w:szCs w:val="16"/>
          <w:u w:val="single" w:color="auto"/>
          <w:color w:val="auto"/>
        </w:rPr>
        <w:t>Subject to the Companies Act, the Board may enter into an agreement or arrangement with any Director for the provision</w:t>
      </w:r>
      <w:r>
        <w:rPr>
          <w:rFonts w:ascii="Arial" w:cs="Arial" w:eastAsia="Arial" w:hAnsi="Arial"/>
          <w:sz w:val="16"/>
          <w:szCs w:val="16"/>
          <w:color w:val="auto"/>
        </w:rPr>
        <w:t xml:space="preserve"> </w:t>
      </w:r>
      <w:r>
        <w:rPr>
          <w:rFonts w:ascii="Arial" w:cs="Arial" w:eastAsia="Arial" w:hAnsi="Arial"/>
          <w:sz w:val="16"/>
          <w:szCs w:val="16"/>
          <w:u w:val="single" w:color="auto"/>
          <w:color w:val="auto"/>
        </w:rPr>
        <w:t>of any services outside the scope of the ordinary duties of a Director, including but not limited to any</w:t>
      </w:r>
      <w:r>
        <w:rPr>
          <w:rFonts w:ascii="Arial" w:cs="Arial" w:eastAsia="Arial" w:hAnsi="Arial"/>
          <w:sz w:val="16"/>
          <w:szCs w:val="16"/>
          <w:color w:val="auto"/>
        </w:rPr>
        <w:t xml:space="preserve"> Director who holds any executive office or who serves on any committee of the Board </w:t>
      </w:r>
      <w:r>
        <w:rPr>
          <w:rFonts w:ascii="Arial" w:cs="Arial" w:eastAsia="Arial" w:hAnsi="Arial"/>
          <w:sz w:val="16"/>
          <w:szCs w:val="16"/>
          <w:color w:val="auto"/>
          <w:strike w:val="1"/>
        </w:rPr>
        <w:t>or who performs services which the Board considers go</w:t>
      </w:r>
      <w:r>
        <w:rPr>
          <w:rFonts w:ascii="Arial" w:cs="Arial" w:eastAsia="Arial" w:hAnsi="Arial"/>
          <w:sz w:val="16"/>
          <w:szCs w:val="16"/>
          <w:color w:val="auto"/>
        </w:rPr>
        <w:t xml:space="preserve"> </w:t>
      </w:r>
      <w:r>
        <w:rPr>
          <w:rFonts w:ascii="Arial" w:cs="Arial" w:eastAsia="Arial" w:hAnsi="Arial"/>
          <w:sz w:val="16"/>
          <w:szCs w:val="16"/>
          <w:color w:val="auto"/>
          <w:strike w:val="1"/>
        </w:rPr>
        <w:t>beyond the ordinary duties of a Director</w:t>
      </w:r>
      <w:r>
        <w:rPr>
          <w:rFonts w:ascii="Arial" w:cs="Arial" w:eastAsia="Arial" w:hAnsi="Arial"/>
          <w:sz w:val="16"/>
          <w:szCs w:val="16"/>
          <w:u w:val="single" w:color="auto"/>
          <w:color w:val="auto"/>
        </w:rPr>
        <w:t>. Any such agreement or arrangement</w:t>
      </w:r>
      <w:r>
        <w:rPr>
          <w:rFonts w:ascii="Arial" w:cs="Arial" w:eastAsia="Arial" w:hAnsi="Arial"/>
          <w:sz w:val="16"/>
          <w:szCs w:val="16"/>
          <w:color w:val="auto"/>
        </w:rPr>
        <w:t xml:space="preserve"> may be </w:t>
      </w:r>
      <w:r>
        <w:rPr>
          <w:rFonts w:ascii="Arial" w:cs="Arial" w:eastAsia="Arial" w:hAnsi="Arial"/>
          <w:sz w:val="16"/>
          <w:szCs w:val="16"/>
          <w:color w:val="auto"/>
          <w:strike w:val="1"/>
        </w:rPr>
        <w:t>paid such special remuneration</w:t>
      </w:r>
      <w:r>
        <w:rPr>
          <w:rFonts w:ascii="Arial" w:cs="Arial" w:eastAsia="Arial" w:hAnsi="Arial"/>
          <w:sz w:val="16"/>
          <w:szCs w:val="16"/>
          <w:u w:val="single" w:color="auto"/>
          <w:color w:val="auto"/>
        </w:rPr>
        <w:t>made</w:t>
      </w:r>
      <w:r>
        <w:rPr>
          <w:rFonts w:ascii="Arial" w:cs="Arial" w:eastAsia="Arial" w:hAnsi="Arial"/>
          <w:sz w:val="16"/>
          <w:szCs w:val="16"/>
          <w:color w:val="auto"/>
        </w:rPr>
        <w:t xml:space="preserve"> </w:t>
      </w:r>
      <w:r>
        <w:rPr>
          <w:rFonts w:ascii="Arial" w:cs="Arial" w:eastAsia="Arial" w:hAnsi="Arial"/>
          <w:sz w:val="16"/>
          <w:szCs w:val="16"/>
          <w:u w:val="single" w:color="auto"/>
          <w:color w:val="auto"/>
        </w:rPr>
        <w:t>on such terms and conditions as (subject to the Companies Act) the Board thinks fit and (without prejudice to any other provision of these Articles) they may remunerate any such Director for such services</w:t>
      </w:r>
      <w:r>
        <w:rPr>
          <w:rFonts w:ascii="Arial" w:cs="Arial" w:eastAsia="Arial" w:hAnsi="Arial"/>
          <w:sz w:val="16"/>
          <w:szCs w:val="16"/>
          <w:color w:val="auto"/>
        </w:rPr>
        <w:t xml:space="preserve"> (whether by way of bonus, commission, participation in profits or otherwise) as </w:t>
      </w:r>
      <w:r>
        <w:rPr>
          <w:rFonts w:ascii="Arial" w:cs="Arial" w:eastAsia="Arial" w:hAnsi="Arial"/>
          <w:sz w:val="16"/>
          <w:szCs w:val="16"/>
          <w:color w:val="auto"/>
          <w:strike w:val="1"/>
        </w:rPr>
        <w:t>the Board may determine.</w:t>
      </w:r>
      <w:r>
        <w:rPr>
          <w:rFonts w:ascii="Arial" w:cs="Arial" w:eastAsia="Arial" w:hAnsi="Arial"/>
          <w:sz w:val="16"/>
          <w:szCs w:val="16"/>
          <w:u w:val="single" w:color="auto"/>
          <w:color w:val="auto"/>
        </w:rPr>
        <w:t>it thinks fit. The Board may revoke or vary any such</w:t>
      </w:r>
      <w:r>
        <w:rPr>
          <w:rFonts w:ascii="Arial" w:cs="Arial" w:eastAsia="Arial" w:hAnsi="Arial"/>
          <w:sz w:val="16"/>
          <w:szCs w:val="16"/>
          <w:color w:val="auto"/>
        </w:rPr>
        <w:t xml:space="preserve"> </w:t>
      </w:r>
      <w:r>
        <w:rPr>
          <w:rFonts w:ascii="Arial" w:cs="Arial" w:eastAsia="Arial" w:hAnsi="Arial"/>
          <w:sz w:val="16"/>
          <w:szCs w:val="16"/>
          <w:u w:val="single" w:color="auto"/>
          <w:color w:val="auto"/>
        </w:rPr>
        <w:t>appointment but without prejudice to any rights or claims which the person whose appointment is revoked or varied may have against the Company because of the revocation or variation</w:t>
      </w:r>
    </w:p>
    <w:p>
      <w:pPr>
        <w:spacing w:after="0" w:line="51" w:lineRule="exact"/>
        <w:rPr>
          <w:sz w:val="20"/>
          <w:szCs w:val="20"/>
          <w:color w:val="auto"/>
        </w:rPr>
      </w:pPr>
    </w:p>
    <w:p>
      <w:pPr>
        <w:ind w:left="1200" w:hanging="436"/>
        <w:spacing w:after="0"/>
        <w:tabs>
          <w:tab w:leader="none" w:pos="1200" w:val="left"/>
        </w:tabs>
        <w:numPr>
          <w:ilvl w:val="0"/>
          <w:numId w:val="164"/>
        </w:numPr>
        <w:rPr>
          <w:rFonts w:ascii="Arial" w:cs="Arial" w:eastAsia="Arial" w:hAnsi="Arial"/>
          <w:sz w:val="16"/>
          <w:szCs w:val="16"/>
          <w:b w:val="1"/>
          <w:bCs w:val="1"/>
          <w:color w:val="auto"/>
        </w:rPr>
      </w:pPr>
      <w:r>
        <w:rPr>
          <w:rFonts w:ascii="Arial" w:cs="Arial" w:eastAsia="Arial" w:hAnsi="Arial"/>
          <w:sz w:val="16"/>
          <w:szCs w:val="16"/>
          <w:b w:val="1"/>
          <w:bCs w:val="1"/>
          <w:u w:val="single" w:color="auto"/>
          <w:color w:val="auto"/>
        </w:rPr>
        <w:t>[RESERVED]</w:t>
      </w:r>
    </w:p>
    <w:p>
      <w:pPr>
        <w:spacing w:after="0" w:line="99" w:lineRule="exact"/>
        <w:rPr>
          <w:rFonts w:ascii="Arial" w:cs="Arial" w:eastAsia="Arial" w:hAnsi="Arial"/>
          <w:sz w:val="16"/>
          <w:szCs w:val="16"/>
          <w:b w:val="1"/>
          <w:bCs w:val="1"/>
          <w:color w:val="auto"/>
        </w:rPr>
      </w:pPr>
    </w:p>
    <w:p>
      <w:pPr>
        <w:ind w:left="760" w:right="6979" w:firstLine="4"/>
        <w:spacing w:after="0" w:line="374" w:lineRule="auto"/>
        <w:tabs>
          <w:tab w:leader="none" w:pos="1192" w:val="left"/>
        </w:tabs>
        <w:numPr>
          <w:ilvl w:val="0"/>
          <w:numId w:val="164"/>
        </w:numPr>
        <w:rPr>
          <w:rFonts w:ascii="Arial" w:cs="Arial" w:eastAsia="Arial" w:hAnsi="Arial"/>
          <w:sz w:val="16"/>
          <w:szCs w:val="16"/>
          <w:b w:val="1"/>
          <w:bCs w:val="1"/>
          <w:color w:val="auto"/>
        </w:rPr>
      </w:pPr>
      <w:r>
        <w:rPr>
          <w:rFonts w:ascii="Arial" w:cs="Arial" w:eastAsia="Arial" w:hAnsi="Arial"/>
          <w:sz w:val="16"/>
          <w:szCs w:val="16"/>
          <w:b w:val="1"/>
          <w:bCs w:val="1"/>
          <w:u w:val="single" w:color="auto"/>
          <w:color w:val="auto"/>
        </w:rPr>
        <w:t xml:space="preserve">POWERS OF THE BOARD </w:t>
      </w:r>
      <w:r>
        <w:rPr>
          <w:rFonts w:ascii="Arial" w:cs="Arial" w:eastAsia="Arial" w:hAnsi="Arial"/>
          <w:sz w:val="16"/>
          <w:szCs w:val="16"/>
          <w:color w:val="auto"/>
          <w:strike w:val="1"/>
        </w:rPr>
        <w:t>26.1 [RESERVED]</w:t>
      </w:r>
    </w:p>
    <w:p>
      <w:pPr>
        <w:ind w:left="760"/>
        <w:spacing w:after="0"/>
        <w:rPr>
          <w:rFonts w:ascii="Arial" w:cs="Arial" w:eastAsia="Arial" w:hAnsi="Arial"/>
          <w:sz w:val="16"/>
          <w:szCs w:val="16"/>
          <w:b w:val="1"/>
          <w:bCs w:val="1"/>
          <w:color w:val="auto"/>
        </w:rPr>
      </w:pPr>
      <w:r>
        <w:rPr>
          <w:rFonts w:ascii="Arial" w:cs="Arial" w:eastAsia="Arial" w:hAnsi="Arial"/>
          <w:sz w:val="16"/>
          <w:szCs w:val="16"/>
          <w:color w:val="auto"/>
          <w:strike w:val="1"/>
        </w:rPr>
        <w:t>27.1  POWERS OF THE BOARD</w:t>
      </w:r>
    </w:p>
    <w:p>
      <w:pPr>
        <w:spacing w:after="0" w:line="100" w:lineRule="exact"/>
        <w:rPr>
          <w:sz w:val="20"/>
          <w:szCs w:val="20"/>
          <w:color w:val="auto"/>
        </w:rPr>
      </w:pPr>
    </w:p>
    <w:p>
      <w:pPr>
        <w:ind w:left="1200" w:right="299" w:hanging="431"/>
        <w:spacing w:after="0" w:line="262" w:lineRule="auto"/>
        <w:rPr>
          <w:sz w:val="20"/>
          <w:szCs w:val="20"/>
          <w:color w:val="auto"/>
        </w:rPr>
      </w:pPr>
      <w:r>
        <w:rPr>
          <w:rFonts w:ascii="Arial" w:cs="Arial" w:eastAsia="Arial" w:hAnsi="Arial"/>
          <w:sz w:val="15"/>
          <w:szCs w:val="15"/>
          <w:color w:val="auto"/>
        </w:rPr>
        <w:t>27.1 Subject to the provisions of the Companies Act, these Articles and to any directions given by special resolution to take</w:t>
      </w:r>
      <w:r>
        <w:rPr>
          <w:rFonts w:ascii="Arial" w:cs="Arial" w:eastAsia="Arial" w:hAnsi="Arial"/>
          <w:sz w:val="15"/>
          <w:szCs w:val="15"/>
          <w:u w:val="single" w:color="auto"/>
          <w:color w:val="auto"/>
        </w:rPr>
        <w:t>,</w:t>
      </w:r>
      <w:r>
        <w:rPr>
          <w:rFonts w:ascii="Arial" w:cs="Arial" w:eastAsia="Arial" w:hAnsi="Arial"/>
          <w:sz w:val="15"/>
          <w:szCs w:val="15"/>
          <w:color w:val="auto"/>
        </w:rPr>
        <w:t xml:space="preserve"> or refrain from taking, </w:t>
      </w:r>
      <w:r>
        <w:rPr>
          <w:rFonts w:ascii="Arial" w:cs="Arial" w:eastAsia="Arial" w:hAnsi="Arial"/>
          <w:sz w:val="15"/>
          <w:szCs w:val="15"/>
          <w:u w:val="single" w:color="auto"/>
          <w:color w:val="auto"/>
        </w:rPr>
        <w:t>any</w:t>
      </w:r>
      <w:r>
        <w:rPr>
          <w:rFonts w:ascii="Arial" w:cs="Arial" w:eastAsia="Arial" w:hAnsi="Arial"/>
          <w:sz w:val="15"/>
          <w:szCs w:val="15"/>
          <w:color w:val="auto"/>
        </w:rPr>
        <w:t xml:space="preserve"> specified action, the business of the Company shall be managed by the Board who may exercise all the powers of the Company, including without limitation the power to dispose of all or any part of the undertaking of the Company. No alteration of these Articles and no such direction shall invalidate any prior act of the Board which would have been valid if that alteration had not been made or that direction had not been given. The powers given by Articles 27.1 to</w:t>
      </w:r>
    </w:p>
    <w:p>
      <w:pPr>
        <w:spacing w:after="0" w:line="4" w:lineRule="exact"/>
        <w:rPr>
          <w:sz w:val="20"/>
          <w:szCs w:val="20"/>
          <w:color w:val="auto"/>
        </w:rPr>
      </w:pPr>
    </w:p>
    <w:p>
      <w:pPr>
        <w:ind w:left="1200" w:right="399"/>
        <w:spacing w:after="0" w:line="260" w:lineRule="auto"/>
        <w:rPr>
          <w:sz w:val="20"/>
          <w:szCs w:val="20"/>
          <w:color w:val="auto"/>
        </w:rPr>
      </w:pPr>
      <w:r>
        <w:rPr>
          <w:rFonts w:ascii="Arial" w:cs="Arial" w:eastAsia="Arial" w:hAnsi="Arial"/>
          <w:sz w:val="16"/>
          <w:szCs w:val="16"/>
          <w:color w:val="auto"/>
        </w:rPr>
        <w:t>27.3 inclusive shall not be limited by any special power given to the Board by these Articles, and a meeting of the Board at which a quorum is present may exercise all powers exercisable by the Board.</w:t>
      </w:r>
    </w:p>
    <w:p>
      <w:pPr>
        <w:spacing w:after="0" w:line="74" w:lineRule="exact"/>
        <w:rPr>
          <w:sz w:val="20"/>
          <w:szCs w:val="20"/>
          <w:color w:val="auto"/>
        </w:rPr>
      </w:pPr>
    </w:p>
    <w:p>
      <w:pPr>
        <w:ind w:left="1200" w:right="339" w:hanging="431"/>
        <w:spacing w:after="0" w:line="251" w:lineRule="auto"/>
        <w:rPr>
          <w:sz w:val="20"/>
          <w:szCs w:val="20"/>
          <w:color w:val="auto"/>
        </w:rPr>
      </w:pPr>
      <w:r>
        <w:rPr>
          <w:rFonts w:ascii="Arial" w:cs="Arial" w:eastAsia="Arial" w:hAnsi="Arial"/>
          <w:sz w:val="16"/>
          <w:szCs w:val="16"/>
          <w:color w:val="auto"/>
        </w:rPr>
        <w:t>27.2 The Board may exercise the voting power conferred by the shares in any body corporate held or owned by the Company in such manner in all respects as it thinks fit (including without limitation the exercise of that power in favour of any resolution appointing its members or any of them as directors of such body corporate, or voting or providing for the payment of remuneration or the provision of indemnification to the directors of such body corporate).</w:t>
      </w:r>
    </w:p>
    <w:p>
      <w:pPr>
        <w:spacing w:after="0" w:line="67" w:lineRule="exact"/>
        <w:rPr>
          <w:sz w:val="20"/>
          <w:szCs w:val="20"/>
          <w:color w:val="auto"/>
        </w:rPr>
      </w:pPr>
    </w:p>
    <w:p>
      <w:pPr>
        <w:jc w:val="both"/>
        <w:ind w:left="1200" w:right="239" w:hanging="431"/>
        <w:spacing w:after="0" w:line="253" w:lineRule="auto"/>
        <w:rPr>
          <w:sz w:val="20"/>
          <w:szCs w:val="20"/>
          <w:color w:val="auto"/>
        </w:rPr>
      </w:pPr>
      <w:r>
        <w:rPr>
          <w:rFonts w:ascii="Arial" w:cs="Arial" w:eastAsia="Arial" w:hAnsi="Arial"/>
          <w:sz w:val="16"/>
          <w:szCs w:val="16"/>
          <w:color w:val="auto"/>
        </w:rPr>
        <w:t>27.3 The Board may decide to make provision for the benefit of persons employed or formerly employed by the Company or any of its Subsidiaries (other than a Director or former Director or shadow Director) in connection with the cessation or transfer to any person of the whole or part of the undertaking of the Company or that Subsidiary.</w:t>
      </w:r>
    </w:p>
    <w:p>
      <w:pPr>
        <w:spacing w:after="0" w:line="80" w:lineRule="exact"/>
        <w:rPr>
          <w:sz w:val="20"/>
          <w:szCs w:val="20"/>
          <w:color w:val="auto"/>
        </w:rPr>
      </w:pPr>
    </w:p>
    <w:p>
      <w:pPr>
        <w:ind w:left="1200" w:right="219" w:hanging="431"/>
        <w:spacing w:after="0" w:line="251" w:lineRule="auto"/>
        <w:rPr>
          <w:sz w:val="20"/>
          <w:szCs w:val="20"/>
          <w:color w:val="auto"/>
        </w:rPr>
      </w:pPr>
      <w:r>
        <w:rPr>
          <w:rFonts w:ascii="Arial" w:cs="Arial" w:eastAsia="Arial" w:hAnsi="Arial"/>
          <w:sz w:val="16"/>
          <w:szCs w:val="16"/>
          <w:color w:val="auto"/>
        </w:rPr>
        <w:t>27.4 The Board may exercise all the powers of the Company to borrow money and to mortgage or charge all or part of the undertaking, property and assets (present or future) and uncalled capital of the Company and, subject to the Companies Act, to issue debentures and other securities, whether outright or as collateral security for a debt, liability or obligation of the Company or of a third party.</w:t>
      </w:r>
    </w:p>
    <w:p>
      <w:pPr>
        <w:spacing w:after="0" w:line="61" w:lineRule="exact"/>
        <w:rPr>
          <w:sz w:val="20"/>
          <w:szCs w:val="20"/>
          <w:color w:val="auto"/>
        </w:rPr>
      </w:pPr>
    </w:p>
    <w:p>
      <w:pPr>
        <w:ind w:left="1200" w:hanging="436"/>
        <w:spacing w:after="0"/>
        <w:tabs>
          <w:tab w:leader="none" w:pos="1200" w:val="left"/>
        </w:tabs>
        <w:numPr>
          <w:ilvl w:val="0"/>
          <w:numId w:val="165"/>
        </w:numPr>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COMPLIANCE WITH </w:t>
      </w:r>
      <w:r>
        <w:rPr>
          <w:rFonts w:ascii="Arial" w:cs="Arial" w:eastAsia="Arial" w:hAnsi="Arial"/>
          <w:sz w:val="16"/>
          <w:szCs w:val="16"/>
          <w:b w:val="1"/>
          <w:bCs w:val="1"/>
          <w:color w:val="auto"/>
          <w:strike w:val="1"/>
        </w:rPr>
        <w:t>NASDAQ</w:t>
      </w:r>
      <w:r>
        <w:rPr>
          <w:rFonts w:ascii="Arial" w:cs="Arial" w:eastAsia="Arial" w:hAnsi="Arial"/>
          <w:sz w:val="16"/>
          <w:szCs w:val="16"/>
          <w:b w:val="1"/>
          <w:bCs w:val="1"/>
          <w:u w:val="single" w:color="auto"/>
          <w:color w:val="auto"/>
        </w:rPr>
        <w:t>RELEVANT</w:t>
      </w:r>
      <w:r>
        <w:rPr>
          <w:rFonts w:ascii="Arial" w:cs="Arial" w:eastAsia="Arial" w:hAnsi="Arial"/>
          <w:sz w:val="16"/>
          <w:szCs w:val="16"/>
          <w:b w:val="1"/>
          <w:bCs w:val="1"/>
          <w:color w:val="auto"/>
        </w:rPr>
        <w:t xml:space="preserve"> RULES</w:t>
      </w:r>
    </w:p>
    <w:p>
      <w:pPr>
        <w:spacing w:after="0" w:line="106" w:lineRule="exact"/>
        <w:rPr>
          <w:sz w:val="20"/>
          <w:szCs w:val="20"/>
          <w:color w:val="auto"/>
        </w:rPr>
      </w:pPr>
    </w:p>
    <w:p>
      <w:pPr>
        <w:ind w:left="1200" w:right="479" w:hanging="431"/>
        <w:spacing w:after="0" w:line="251" w:lineRule="auto"/>
        <w:rPr>
          <w:sz w:val="20"/>
          <w:szCs w:val="20"/>
          <w:color w:val="auto"/>
        </w:rPr>
      </w:pPr>
      <w:r>
        <w:rPr>
          <w:rFonts w:ascii="Arial" w:cs="Arial" w:eastAsia="Arial" w:hAnsi="Arial"/>
          <w:sz w:val="16"/>
          <w:szCs w:val="16"/>
          <w:color w:val="auto"/>
        </w:rPr>
        <w:t xml:space="preserve">28.1 For as long as the Ordinary Shares are listed on </w:t>
      </w:r>
      <w:r>
        <w:rPr>
          <w:rFonts w:ascii="Arial" w:cs="Arial" w:eastAsia="Arial" w:hAnsi="Arial"/>
          <w:sz w:val="16"/>
          <w:szCs w:val="16"/>
          <w:u w:val="single" w:color="auto"/>
          <w:color w:val="auto"/>
        </w:rPr>
        <w:t>any Exchange in</w:t>
      </w:r>
      <w:r>
        <w:rPr>
          <w:rFonts w:ascii="Arial" w:cs="Arial" w:eastAsia="Arial" w:hAnsi="Arial"/>
          <w:sz w:val="16"/>
          <w:szCs w:val="16"/>
          <w:color w:val="auto"/>
        </w:rPr>
        <w:t xml:space="preserve"> the </w:t>
      </w:r>
      <w:r>
        <w:rPr>
          <w:rFonts w:ascii="Arial" w:cs="Arial" w:eastAsia="Arial" w:hAnsi="Arial"/>
          <w:sz w:val="16"/>
          <w:szCs w:val="16"/>
          <w:color w:val="auto"/>
          <w:strike w:val="1"/>
        </w:rPr>
        <w:t>NASDAQ</w:t>
      </w:r>
      <w:r>
        <w:rPr>
          <w:rFonts w:ascii="Arial" w:cs="Arial" w:eastAsia="Arial" w:hAnsi="Arial"/>
          <w:sz w:val="16"/>
          <w:szCs w:val="16"/>
          <w:u w:val="single" w:color="auto"/>
          <w:color w:val="auto"/>
        </w:rPr>
        <w:t>United States</w:t>
      </w:r>
      <w:r>
        <w:rPr>
          <w:rFonts w:ascii="Arial" w:cs="Arial" w:eastAsia="Arial" w:hAnsi="Arial"/>
          <w:sz w:val="16"/>
          <w:szCs w:val="16"/>
          <w:color w:val="auto"/>
        </w:rPr>
        <w:t xml:space="preserve">, the Company shall comply with all </w:t>
      </w:r>
      <w:r>
        <w:rPr>
          <w:rFonts w:ascii="Arial" w:cs="Arial" w:eastAsia="Arial" w:hAnsi="Arial"/>
          <w:sz w:val="16"/>
          <w:szCs w:val="16"/>
          <w:color w:val="auto"/>
          <w:strike w:val="1"/>
        </w:rPr>
        <w:t>NASDAQ</w:t>
      </w:r>
      <w:r>
        <w:rPr>
          <w:rFonts w:ascii="Arial" w:cs="Arial" w:eastAsia="Arial" w:hAnsi="Arial"/>
          <w:sz w:val="16"/>
          <w:szCs w:val="16"/>
          <w:color w:val="auto"/>
        </w:rPr>
        <w:t xml:space="preserve"> corporate governance standards </w:t>
      </w:r>
      <w:r>
        <w:rPr>
          <w:rFonts w:ascii="Arial" w:cs="Arial" w:eastAsia="Arial" w:hAnsi="Arial"/>
          <w:sz w:val="16"/>
          <w:szCs w:val="16"/>
          <w:color w:val="auto"/>
          <w:strike w:val="1"/>
        </w:rPr>
        <w:t>set forth in Section 3</w:t>
      </w:r>
      <w:r>
        <w:rPr>
          <w:rFonts w:ascii="Arial" w:cs="Arial" w:eastAsia="Arial" w:hAnsi="Arial"/>
          <w:sz w:val="16"/>
          <w:szCs w:val="16"/>
          <w:u w:val="single" w:color="auto"/>
          <w:color w:val="auto"/>
        </w:rPr>
        <w:t>required by the Relevant Rules</w:t>
      </w:r>
      <w:r>
        <w:rPr>
          <w:rFonts w:ascii="Arial" w:cs="Arial" w:eastAsia="Arial" w:hAnsi="Arial"/>
          <w:sz w:val="16"/>
          <w:szCs w:val="16"/>
          <w:color w:val="auto"/>
        </w:rPr>
        <w:t xml:space="preserve"> of </w:t>
      </w:r>
      <w:r>
        <w:rPr>
          <w:rFonts w:ascii="Arial" w:cs="Arial" w:eastAsia="Arial" w:hAnsi="Arial"/>
          <w:sz w:val="16"/>
          <w:szCs w:val="16"/>
          <w:color w:val="auto"/>
          <w:strike w:val="1"/>
        </w:rPr>
        <w:t>the NASDAQ</w:t>
      </w:r>
      <w:r>
        <w:rPr>
          <w:rFonts w:ascii="Arial" w:cs="Arial" w:eastAsia="Arial" w:hAnsi="Arial"/>
          <w:sz w:val="16"/>
          <w:szCs w:val="16"/>
          <w:color w:val="auto"/>
        </w:rPr>
        <w:t xml:space="preserve"> </w:t>
      </w:r>
      <w:r>
        <w:rPr>
          <w:rFonts w:ascii="Arial" w:cs="Arial" w:eastAsia="Arial" w:hAnsi="Arial"/>
          <w:sz w:val="16"/>
          <w:szCs w:val="16"/>
          <w:color w:val="auto"/>
          <w:strike w:val="1"/>
        </w:rPr>
        <w:t>Listed Company Manual</w:t>
      </w:r>
      <w:r>
        <w:rPr>
          <w:rFonts w:ascii="Arial" w:cs="Arial" w:eastAsia="Arial" w:hAnsi="Arial"/>
          <w:sz w:val="16"/>
          <w:szCs w:val="16"/>
          <w:u w:val="single" w:color="auto"/>
          <w:color w:val="auto"/>
        </w:rPr>
        <w:t>such Exchange</w:t>
      </w:r>
      <w:r>
        <w:rPr>
          <w:rFonts w:ascii="Arial" w:cs="Arial" w:eastAsia="Arial" w:hAnsi="Arial"/>
          <w:sz w:val="16"/>
          <w:szCs w:val="16"/>
          <w:color w:val="auto"/>
        </w:rPr>
        <w:t xml:space="preserve"> applicable to non-controlled domestic U.S. issuers, regardless of whether the Company is a foreign private issuer.</w:t>
      </w:r>
    </w:p>
    <w:p>
      <w:pPr>
        <w:spacing w:after="0" w:line="61" w:lineRule="exact"/>
        <w:rPr>
          <w:sz w:val="20"/>
          <w:szCs w:val="20"/>
          <w:color w:val="auto"/>
        </w:rPr>
      </w:pPr>
    </w:p>
    <w:p>
      <w:pPr>
        <w:ind w:left="1200" w:hanging="436"/>
        <w:spacing w:after="0"/>
        <w:tabs>
          <w:tab w:leader="none" w:pos="1200" w:val="left"/>
        </w:tabs>
        <w:numPr>
          <w:ilvl w:val="0"/>
          <w:numId w:val="166"/>
        </w:numPr>
        <w:rPr>
          <w:rFonts w:ascii="Arial" w:cs="Arial" w:eastAsia="Arial" w:hAnsi="Arial"/>
          <w:sz w:val="16"/>
          <w:szCs w:val="16"/>
          <w:b w:val="1"/>
          <w:bCs w:val="1"/>
          <w:color w:val="auto"/>
        </w:rPr>
      </w:pPr>
      <w:r>
        <w:rPr>
          <w:rFonts w:ascii="Arial" w:cs="Arial" w:eastAsia="Arial" w:hAnsi="Arial"/>
          <w:sz w:val="16"/>
          <w:szCs w:val="16"/>
          <w:b w:val="1"/>
          <w:bCs w:val="1"/>
          <w:color w:val="auto"/>
        </w:rPr>
        <w:t>DELEGATION OF DIRECTORS’ POWERS</w:t>
      </w:r>
    </w:p>
    <w:p>
      <w:pPr>
        <w:spacing w:after="0" w:line="120" w:lineRule="exact"/>
        <w:rPr>
          <w:sz w:val="20"/>
          <w:szCs w:val="20"/>
          <w:color w:val="auto"/>
        </w:rPr>
      </w:pPr>
    </w:p>
    <w:p>
      <w:pPr>
        <w:ind w:left="1200" w:right="279" w:hanging="431"/>
        <w:spacing w:after="0" w:line="260" w:lineRule="auto"/>
        <w:rPr>
          <w:sz w:val="20"/>
          <w:szCs w:val="20"/>
          <w:color w:val="auto"/>
        </w:rPr>
      </w:pPr>
      <w:r>
        <w:rPr>
          <w:rFonts w:ascii="Arial" w:cs="Arial" w:eastAsia="Arial" w:hAnsi="Arial"/>
          <w:sz w:val="16"/>
          <w:szCs w:val="16"/>
          <w:color w:val="auto"/>
        </w:rPr>
        <w:t>29.1 Subject to the provisions of these Articles, the Directors may delegate any of the powers which are conferred on them under these Articles:</w:t>
      </w:r>
    </w:p>
    <w:p>
      <w:pPr>
        <w:spacing w:after="0" w:line="60" w:lineRule="exact"/>
        <w:rPr>
          <w:sz w:val="20"/>
          <w:szCs w:val="20"/>
          <w:color w:val="auto"/>
        </w:rPr>
      </w:pPr>
    </w:p>
    <w:p>
      <w:pPr>
        <w:ind w:left="1620" w:right="499" w:hanging="424"/>
        <w:spacing w:after="0" w:line="260" w:lineRule="auto"/>
        <w:tabs>
          <w:tab w:leader="none" w:pos="1620" w:val="left"/>
        </w:tabs>
        <w:numPr>
          <w:ilvl w:val="0"/>
          <w:numId w:val="167"/>
        </w:numPr>
        <w:rPr>
          <w:rFonts w:ascii="Arial" w:cs="Arial" w:eastAsia="Arial" w:hAnsi="Arial"/>
          <w:sz w:val="16"/>
          <w:szCs w:val="16"/>
          <w:color w:val="auto"/>
        </w:rPr>
      </w:pPr>
      <w:r>
        <w:rPr>
          <w:rFonts w:ascii="Arial" w:cs="Arial" w:eastAsia="Arial" w:hAnsi="Arial"/>
          <w:sz w:val="16"/>
          <w:szCs w:val="16"/>
          <w:color w:val="auto"/>
        </w:rPr>
        <w:t>to a committee consisting of one or more Directors and (if thought fit) one or more other persons, to such an extent and on such terms and conditions as the Board thinks fit; or</w:t>
      </w:r>
    </w:p>
    <w:p>
      <w:pPr>
        <w:spacing w:after="0" w:line="73" w:lineRule="exact"/>
        <w:rPr>
          <w:rFonts w:ascii="Arial" w:cs="Arial" w:eastAsia="Arial" w:hAnsi="Arial"/>
          <w:sz w:val="16"/>
          <w:szCs w:val="16"/>
          <w:color w:val="auto"/>
        </w:rPr>
      </w:pPr>
    </w:p>
    <w:p>
      <w:pPr>
        <w:ind w:left="1620" w:hanging="424"/>
        <w:spacing w:after="0"/>
        <w:tabs>
          <w:tab w:leader="none" w:pos="1620" w:val="left"/>
        </w:tabs>
        <w:numPr>
          <w:ilvl w:val="0"/>
          <w:numId w:val="167"/>
        </w:numPr>
        <w:rPr>
          <w:rFonts w:ascii="Arial" w:cs="Arial" w:eastAsia="Arial" w:hAnsi="Arial"/>
          <w:sz w:val="16"/>
          <w:szCs w:val="16"/>
          <w:color w:val="auto"/>
        </w:rPr>
      </w:pPr>
      <w:r>
        <w:rPr>
          <w:rFonts w:ascii="Arial" w:cs="Arial" w:eastAsia="Arial" w:hAnsi="Arial"/>
          <w:sz w:val="16"/>
          <w:szCs w:val="16"/>
          <w:color w:val="auto"/>
        </w:rPr>
        <w:t>to such person by such means (including by power of attorney), to such an extent, and on such terms and conditions,</w:t>
      </w:r>
    </w:p>
    <w:p>
      <w:pPr>
        <w:spacing w:after="0" w:line="119" w:lineRule="exact"/>
        <w:rPr>
          <w:sz w:val="20"/>
          <w:szCs w:val="20"/>
          <w:color w:val="auto"/>
        </w:rPr>
      </w:pPr>
    </w:p>
    <w:p>
      <w:pPr>
        <w:ind w:left="480"/>
        <w:spacing w:after="0"/>
        <w:tabs>
          <w:tab w:leader="none" w:pos="4420" w:val="left"/>
          <w:tab w:leader="none" w:pos="8760" w:val="left"/>
        </w:tabs>
        <w:rPr>
          <w:sz w:val="20"/>
          <w:szCs w:val="20"/>
          <w:color w:val="auto"/>
        </w:rPr>
      </w:pPr>
      <w:r>
        <w:rPr>
          <w:rFonts w:ascii="Arial" w:cs="Arial" w:eastAsia="Arial" w:hAnsi="Arial"/>
          <w:sz w:val="28"/>
          <w:szCs w:val="28"/>
          <w:b w:val="1"/>
          <w:bCs w:val="1"/>
          <w:color w:val="000000"/>
          <w:vertAlign w:val="subscript"/>
        </w:rPr>
        <w:t>A-24</w:t>
      </w:r>
      <w:r>
        <w:rPr>
          <w:sz w:val="20"/>
          <w:szCs w:val="20"/>
          <w:color w:val="auto"/>
        </w:rPr>
        <w:tab/>
      </w:r>
      <w:r>
        <w:rPr>
          <w:rFonts w:ascii="Arial" w:cs="Arial" w:eastAsia="Arial" w:hAnsi="Arial"/>
          <w:sz w:val="13"/>
          <w:szCs w:val="13"/>
          <w:b w:val="1"/>
          <w:bCs w:val="1"/>
          <w:color w:val="4800E6"/>
        </w:rPr>
        <w:t xml:space="preserve">LIVANOVA </w:t>
      </w:r>
      <w:r>
        <w:rPr>
          <w:rFonts w:ascii="Arial" w:cs="Arial" w:eastAsia="Arial" w:hAnsi="Arial"/>
          <w:sz w:val="13"/>
          <w:szCs w:val="13"/>
          <w:color w:val="000000"/>
        </w:rPr>
        <w:t>|</w:t>
      </w:r>
      <w:r>
        <w:rPr>
          <w:rFonts w:ascii="Arial" w:cs="Arial" w:eastAsia="Arial" w:hAnsi="Arial"/>
          <w:sz w:val="13"/>
          <w:szCs w:val="13"/>
          <w:b w:val="1"/>
          <w:bCs w:val="1"/>
          <w:color w:val="4800E6"/>
        </w:rPr>
        <w:t xml:space="preserve"> </w:t>
      </w:r>
      <w:r>
        <w:rPr>
          <w:rFonts w:ascii="Arial" w:cs="Arial" w:eastAsia="Arial" w:hAnsi="Arial"/>
          <w:sz w:val="13"/>
          <w:szCs w:val="13"/>
          <w:color w:val="4800E6"/>
        </w:rPr>
        <w:t>2020</w:t>
      </w:r>
      <w:r>
        <w:rPr>
          <w:rFonts w:ascii="Arial" w:cs="Arial" w:eastAsia="Arial" w:hAnsi="Arial"/>
          <w:sz w:val="13"/>
          <w:szCs w:val="13"/>
          <w:b w:val="1"/>
          <w:bCs w:val="1"/>
          <w:color w:val="4800E6"/>
        </w:rPr>
        <w:t xml:space="preserve"> </w:t>
      </w:r>
      <w:r>
        <w:rPr>
          <w:rFonts w:ascii="Arial" w:cs="Arial" w:eastAsia="Arial" w:hAnsi="Arial"/>
          <w:sz w:val="13"/>
          <w:szCs w:val="13"/>
          <w:color w:val="000000"/>
        </w:rPr>
        <w:t>Proxy Statement</w:t>
      </w:r>
      <w:r>
        <w:rPr>
          <w:sz w:val="20"/>
          <w:szCs w:val="20"/>
          <w:color w:val="auto"/>
        </w:rPr>
        <w:tab/>
      </w:r>
      <w:r>
        <w:rPr>
          <w:rFonts w:ascii="Arial" w:cs="Arial" w:eastAsia="Arial" w:hAnsi="Arial"/>
          <w:sz w:val="12"/>
          <w:szCs w:val="12"/>
          <w:b w:val="1"/>
          <w:bCs w:val="1"/>
          <w:color w:val="4800E6"/>
        </w:rPr>
        <w:t>www.livanova.com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639445</wp:posOffset>
            </wp:positionH>
            <wp:positionV relativeFrom="paragraph">
              <wp:posOffset>-2540</wp:posOffset>
            </wp:positionV>
            <wp:extent cx="1954530" cy="8890"/>
            <wp:wrapNone/>
            <wp:docPr id="444" name="Picture 4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4"/>
                    <pic:cNvPicPr>
                      <a:picLocks noChangeAspect="1" noChangeArrowheads="1"/>
                    </pic:cNvPicPr>
                  </pic:nvPicPr>
                  <pic:blipFill>
                    <a:blip r:embed="rId451">
                      <a:extLst>
                        <a:ext uri="{28A0092B-C50C-407E-A947-70E740481C1C}"/>
                      </a:extLst>
                    </a:blip>
                    <a:srcRect/>
                    <a:stretch>
                      <a:fillRect/>
                    </a:stretch>
                  </pic:blipFill>
                  <pic:spPr bwMode="auto">
                    <a:xfrm>
                      <a:off x="0" y="0"/>
                      <a:ext cx="1954530" cy="8890"/>
                    </a:xfrm>
                    <a:prstGeom prst="rect">
                      <a:avLst/>
                    </a:prstGeom>
                    <a:noFill/>
                  </pic:spPr>
                </pic:pic>
              </a:graphicData>
            </a:graphic>
          </wp:anchor>
        </w:drawing>
        <w:drawing>
          <wp:anchor simplePos="0" relativeHeight="251657728" behindDoc="1" locked="0" layoutInCell="0" allowOverlap="1">
            <wp:simplePos x="0" y="0"/>
            <wp:positionH relativeFrom="column">
              <wp:posOffset>4316730</wp:posOffset>
            </wp:positionH>
            <wp:positionV relativeFrom="paragraph">
              <wp:posOffset>-2540</wp:posOffset>
            </wp:positionV>
            <wp:extent cx="1028700" cy="8890"/>
            <wp:wrapNone/>
            <wp:docPr id="445" name="Picture 4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5"/>
                    <pic:cNvPicPr>
                      <a:picLocks noChangeAspect="1" noChangeArrowheads="1"/>
                    </pic:cNvPicPr>
                  </pic:nvPicPr>
                  <pic:blipFill>
                    <a:blip r:embed="rId452">
                      <a:extLst>
                        <a:ext uri="{28A0092B-C50C-407E-A947-70E740481C1C}"/>
                      </a:extLst>
                    </a:blip>
                    <a:srcRect/>
                    <a:stretch>
                      <a:fillRect/>
                    </a:stretch>
                  </pic:blipFill>
                  <pic:spPr bwMode="auto">
                    <a:xfrm>
                      <a:off x="0" y="0"/>
                      <a:ext cx="102870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125095</wp:posOffset>
            </wp:positionV>
            <wp:extent cx="6806565" cy="17145"/>
            <wp:wrapNone/>
            <wp:docPr id="446" name="Picture 4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6"/>
                    <pic:cNvPicPr>
                      <a:picLocks noChangeAspect="1" noChangeArrowheads="1"/>
                    </pic:cNvPicPr>
                  </pic:nvPicPr>
                  <pic:blipFill>
                    <a:blip r:embed="rId453">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10139"/>
          </w:cols>
          <w:pgMar w:left="320" w:top="131" w:right="1440" w:bottom="1440" w:gutter="0" w:footer="0" w:header="0"/>
          <w:type w:val="continuous"/>
        </w:sectPr>
      </w:pPr>
    </w:p>
    <w:bookmarkStart w:id="103" w:name="page104"/>
    <w:bookmarkEnd w:id="103"/>
    <w:p>
      <w:pPr>
        <w:spacing w:after="0"/>
        <w:rPr>
          <w:rFonts w:ascii="Arial" w:cs="Arial" w:eastAsia="Arial" w:hAnsi="Arial"/>
          <w:sz w:val="14"/>
          <w:szCs w:val="14"/>
          <w:color w:val="003366"/>
        </w:rPr>
      </w:pPr>
      <w:hyperlink w:anchor="page77">
        <w:r>
          <w:rPr>
            <w:rFonts w:ascii="Arial" w:cs="Arial" w:eastAsia="Arial" w:hAnsi="Arial"/>
            <w:sz w:val="14"/>
            <w:szCs w:val="14"/>
            <w:color w:val="003366"/>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485140</wp:posOffset>
            </wp:positionH>
            <wp:positionV relativeFrom="paragraph">
              <wp:posOffset>356870</wp:posOffset>
            </wp:positionV>
            <wp:extent cx="5829300" cy="8255"/>
            <wp:wrapNone/>
            <wp:docPr id="447" name="Picture 4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7"/>
                    <pic:cNvPicPr>
                      <a:picLocks noChangeAspect="1" noChangeArrowheads="1"/>
                    </pic:cNvPicPr>
                  </pic:nvPicPr>
                  <pic:blipFill>
                    <a:blip r:embed="rId454">
                      <a:extLst>
                        <a:ext uri="{28A0092B-C50C-407E-A947-70E740481C1C}"/>
                      </a:extLst>
                    </a:blip>
                    <a:srcRect/>
                    <a:stretch>
                      <a:fillRect/>
                    </a:stretch>
                  </pic:blipFill>
                  <pic:spPr bwMode="auto">
                    <a:xfrm>
                      <a:off x="0" y="0"/>
                      <a:ext cx="5829300" cy="8255"/>
                    </a:xfrm>
                    <a:prstGeom prst="rect">
                      <a:avLst/>
                    </a:prstGeom>
                    <a:noFill/>
                  </pic:spPr>
                </pic:pic>
              </a:graphicData>
            </a:graphic>
          </wp:anchor>
        </w:drawing>
      </w:r>
    </w:p>
    <w:p>
      <w:pPr>
        <w:sectPr>
          <w:pgSz w:w="11900" w:h="16838" w:orient="portrait"/>
          <w:cols w:equalWidth="0" w:num="1">
            <w:col w:w="10180"/>
          </w:cols>
          <w:pgMar w:left="320" w:top="131" w:right="139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p>
      <w:pPr>
        <w:ind w:left="1620" w:right="740"/>
        <w:spacing w:after="0" w:line="260" w:lineRule="auto"/>
        <w:rPr>
          <w:sz w:val="20"/>
          <w:szCs w:val="20"/>
          <w:color w:val="auto"/>
        </w:rPr>
      </w:pPr>
      <w:r>
        <w:rPr>
          <w:rFonts w:ascii="Arial" w:cs="Arial" w:eastAsia="Arial" w:hAnsi="Arial"/>
          <w:sz w:val="16"/>
          <w:szCs w:val="16"/>
          <w:color w:val="auto"/>
        </w:rPr>
        <w:t xml:space="preserve">as they think fit including delegation to any Director holding any executive office such of its powers as the Board considers desirable to be exercised by </w:t>
      </w:r>
      <w:r>
        <w:rPr>
          <w:rFonts w:ascii="Arial" w:cs="Arial" w:eastAsia="Arial" w:hAnsi="Arial"/>
          <w:sz w:val="16"/>
          <w:szCs w:val="16"/>
          <w:color w:val="auto"/>
          <w:strike w:val="1"/>
        </w:rPr>
        <w:t>him</w:t>
      </w:r>
      <w:r>
        <w:rPr>
          <w:rFonts w:ascii="Arial" w:cs="Arial" w:eastAsia="Arial" w:hAnsi="Arial"/>
          <w:sz w:val="16"/>
          <w:szCs w:val="16"/>
          <w:u w:val="single" w:color="auto"/>
          <w:color w:val="auto"/>
        </w:rPr>
        <w:t>them</w:t>
      </w:r>
      <w:r>
        <w:rPr>
          <w:rFonts w:ascii="Arial" w:cs="Arial" w:eastAsia="Arial" w:hAnsi="Arial"/>
          <w:sz w:val="16"/>
          <w:szCs w:val="16"/>
          <w:color w:val="auto"/>
        </w:rPr>
        <w:t>.</w:t>
      </w:r>
    </w:p>
    <w:p>
      <w:pPr>
        <w:spacing w:after="0" w:line="74" w:lineRule="exact"/>
        <w:rPr>
          <w:sz w:val="20"/>
          <w:szCs w:val="20"/>
          <w:color w:val="auto"/>
        </w:rPr>
      </w:pPr>
    </w:p>
    <w:p>
      <w:pPr>
        <w:jc w:val="both"/>
        <w:ind w:left="1200" w:right="540"/>
        <w:spacing w:after="0" w:line="251" w:lineRule="auto"/>
        <w:rPr>
          <w:sz w:val="20"/>
          <w:szCs w:val="20"/>
          <w:color w:val="auto"/>
        </w:rPr>
      </w:pPr>
      <w:r>
        <w:rPr>
          <w:rFonts w:ascii="Arial" w:cs="Arial" w:eastAsia="Arial" w:hAnsi="Arial"/>
          <w:sz w:val="16"/>
          <w:szCs w:val="16"/>
          <w:color w:val="auto"/>
        </w:rPr>
        <w:t>Any such delegation shall, in the absence of express provision to the contrary in the terms of delegation, be deemed to include authority to sub-delegate to one or more Directors (whether or not acting as a committee) or to any employee or agent of the Company all or any of the powers delegated and may be made subject to such conditions as the Board may specify, and may be revoked or altered.</w:t>
      </w:r>
    </w:p>
    <w:p>
      <w:pPr>
        <w:spacing w:after="0" w:line="81" w:lineRule="exact"/>
        <w:rPr>
          <w:sz w:val="20"/>
          <w:szCs w:val="20"/>
          <w:color w:val="auto"/>
        </w:rPr>
      </w:pPr>
    </w:p>
    <w:p>
      <w:pPr>
        <w:ind w:left="1200" w:right="320" w:hanging="431"/>
        <w:spacing w:after="0" w:line="260" w:lineRule="auto"/>
        <w:rPr>
          <w:sz w:val="20"/>
          <w:szCs w:val="20"/>
          <w:color w:val="auto"/>
        </w:rPr>
      </w:pPr>
      <w:r>
        <w:rPr>
          <w:rFonts w:ascii="Arial" w:cs="Arial" w:eastAsia="Arial" w:hAnsi="Arial"/>
          <w:sz w:val="16"/>
          <w:szCs w:val="16"/>
          <w:color w:val="auto"/>
        </w:rPr>
        <w:t>29.2 The power to delegate under Article 29.1 includes the power to delegate the determination of any fee, remuneration or other benefit which may be paid or provided to any Director.</w:t>
      </w:r>
    </w:p>
    <w:p>
      <w:pPr>
        <w:spacing w:after="0" w:line="60" w:lineRule="exact"/>
        <w:rPr>
          <w:sz w:val="20"/>
          <w:szCs w:val="20"/>
          <w:color w:val="auto"/>
        </w:rPr>
      </w:pPr>
    </w:p>
    <w:p>
      <w:pPr>
        <w:jc w:val="center"/>
        <w:ind w:right="-399"/>
        <w:spacing w:after="0"/>
        <w:rPr>
          <w:sz w:val="20"/>
          <w:szCs w:val="20"/>
          <w:color w:val="auto"/>
        </w:rPr>
      </w:pPr>
      <w:r>
        <w:rPr>
          <w:rFonts w:ascii="Arial" w:cs="Arial" w:eastAsia="Arial" w:hAnsi="Arial"/>
          <w:sz w:val="15"/>
          <w:szCs w:val="15"/>
          <w:color w:val="auto"/>
        </w:rPr>
        <w:t>29.3  The Board may appoint any person to any office or employment having a designation or title including the word “director” or</w:t>
      </w:r>
    </w:p>
    <w:p>
      <w:pPr>
        <w:spacing w:after="0" w:line="17" w:lineRule="exact"/>
        <w:rPr>
          <w:sz w:val="20"/>
          <w:szCs w:val="20"/>
          <w:color w:val="auto"/>
        </w:rPr>
      </w:pPr>
    </w:p>
    <w:p>
      <w:pPr>
        <w:ind w:left="1200" w:right="300"/>
        <w:spacing w:after="0" w:line="251" w:lineRule="auto"/>
        <w:rPr>
          <w:sz w:val="20"/>
          <w:szCs w:val="20"/>
          <w:color w:val="auto"/>
        </w:rPr>
      </w:pPr>
      <w:r>
        <w:rPr>
          <w:rFonts w:ascii="Arial" w:cs="Arial" w:eastAsia="Arial" w:hAnsi="Arial"/>
          <w:sz w:val="16"/>
          <w:szCs w:val="16"/>
          <w:color w:val="auto"/>
        </w:rPr>
        <w:t>attach to any existing office or employment with the Company such a designation or title and may terminate any such appointment or the use of any such designation or title. The inclusion of the word “director” in the designation or title of any such office or employment shall not imply that the holder is a Director, and the holder shall not thereby be empowered in any respect to act as, or be deemed to be, a Director for any of the purposes of these Articles.</w:t>
      </w:r>
    </w:p>
    <w:p>
      <w:pPr>
        <w:spacing w:after="0" w:line="61" w:lineRule="exact"/>
        <w:rPr>
          <w:sz w:val="20"/>
          <w:szCs w:val="20"/>
          <w:color w:val="auto"/>
        </w:rPr>
      </w:pPr>
    </w:p>
    <w:p>
      <w:pPr>
        <w:ind w:left="760"/>
        <w:spacing w:after="0"/>
        <w:rPr>
          <w:sz w:val="20"/>
          <w:szCs w:val="20"/>
          <w:color w:val="auto"/>
        </w:rPr>
      </w:pPr>
      <w:r>
        <w:rPr>
          <w:rFonts w:ascii="Arial" w:cs="Arial" w:eastAsia="Arial" w:hAnsi="Arial"/>
          <w:sz w:val="16"/>
          <w:szCs w:val="16"/>
          <w:b w:val="1"/>
          <w:bCs w:val="1"/>
          <w:color w:val="auto"/>
        </w:rPr>
        <w:t>Committees</w:t>
      </w:r>
    </w:p>
    <w:p>
      <w:pPr>
        <w:spacing w:after="0" w:line="120" w:lineRule="exact"/>
        <w:rPr>
          <w:sz w:val="20"/>
          <w:szCs w:val="20"/>
          <w:color w:val="auto"/>
        </w:rPr>
      </w:pPr>
    </w:p>
    <w:p>
      <w:pPr>
        <w:ind w:left="1200" w:right="460" w:hanging="431"/>
        <w:spacing w:after="0" w:line="251" w:lineRule="auto"/>
        <w:rPr>
          <w:sz w:val="20"/>
          <w:szCs w:val="20"/>
          <w:color w:val="auto"/>
        </w:rPr>
      </w:pPr>
      <w:r>
        <w:rPr>
          <w:rFonts w:ascii="Arial" w:cs="Arial" w:eastAsia="Arial" w:hAnsi="Arial"/>
          <w:sz w:val="16"/>
          <w:szCs w:val="16"/>
          <w:color w:val="auto"/>
        </w:rPr>
        <w:t xml:space="preserve">29.4 Subject to Article 29.5, the proceedings of any committee appointed under paragraph (a) of Article 29.1 with two or more members shall be governed by such of these Articles as regulate the proceedings of </w:t>
      </w:r>
      <w:r>
        <w:rPr>
          <w:rFonts w:ascii="Arial" w:cs="Arial" w:eastAsia="Arial" w:hAnsi="Arial"/>
          <w:sz w:val="16"/>
          <w:szCs w:val="16"/>
          <w:color w:val="auto"/>
          <w:strike w:val="1"/>
        </w:rPr>
        <w:t>Directors</w:t>
      </w:r>
      <w:r>
        <w:rPr>
          <w:rFonts w:ascii="Arial" w:cs="Arial" w:eastAsia="Arial" w:hAnsi="Arial"/>
          <w:sz w:val="16"/>
          <w:szCs w:val="16"/>
          <w:u w:val="single" w:color="auto"/>
          <w:color w:val="auto"/>
        </w:rPr>
        <w:t>the Board</w:t>
      </w:r>
      <w:r>
        <w:rPr>
          <w:rFonts w:ascii="Arial" w:cs="Arial" w:eastAsia="Arial" w:hAnsi="Arial"/>
          <w:sz w:val="16"/>
          <w:szCs w:val="16"/>
          <w:color w:val="auto"/>
        </w:rPr>
        <w:t xml:space="preserve"> so far as they are capable of applying, and the quorum at a meeting of any such committee </w:t>
      </w:r>
      <w:r>
        <w:rPr>
          <w:rFonts w:ascii="Arial" w:cs="Arial" w:eastAsia="Arial" w:hAnsi="Arial"/>
          <w:sz w:val="16"/>
          <w:szCs w:val="16"/>
          <w:u w:val="single" w:color="auto"/>
          <w:color w:val="auto"/>
        </w:rPr>
        <w:t>may be fixed by the Board and unless so fixed</w:t>
      </w:r>
      <w:r>
        <w:rPr>
          <w:rFonts w:ascii="Arial" w:cs="Arial" w:eastAsia="Arial" w:hAnsi="Arial"/>
          <w:sz w:val="16"/>
          <w:szCs w:val="16"/>
          <w:color w:val="auto"/>
        </w:rPr>
        <w:t xml:space="preserve"> shall be two.</w:t>
      </w:r>
    </w:p>
    <w:p>
      <w:pPr>
        <w:spacing w:after="0" w:line="67" w:lineRule="exact"/>
        <w:rPr>
          <w:sz w:val="20"/>
          <w:szCs w:val="20"/>
          <w:color w:val="auto"/>
        </w:rPr>
      </w:pPr>
    </w:p>
    <w:p>
      <w:pPr>
        <w:ind w:left="1200" w:right="300" w:hanging="431"/>
        <w:spacing w:after="0" w:line="251" w:lineRule="auto"/>
        <w:rPr>
          <w:sz w:val="20"/>
          <w:szCs w:val="20"/>
          <w:color w:val="auto"/>
        </w:rPr>
      </w:pPr>
      <w:r>
        <w:rPr>
          <w:rFonts w:ascii="Arial" w:cs="Arial" w:eastAsia="Arial" w:hAnsi="Arial"/>
          <w:sz w:val="16"/>
          <w:szCs w:val="16"/>
          <w:color w:val="auto"/>
        </w:rPr>
        <w:t xml:space="preserve">29.5 The </w:t>
      </w:r>
      <w:r>
        <w:rPr>
          <w:rFonts w:ascii="Arial" w:cs="Arial" w:eastAsia="Arial" w:hAnsi="Arial"/>
          <w:sz w:val="16"/>
          <w:szCs w:val="16"/>
          <w:color w:val="auto"/>
          <w:strike w:val="1"/>
        </w:rPr>
        <w:t>Directors</w:t>
      </w:r>
      <w:r>
        <w:rPr>
          <w:rFonts w:ascii="Arial" w:cs="Arial" w:eastAsia="Arial" w:hAnsi="Arial"/>
          <w:sz w:val="16"/>
          <w:szCs w:val="16"/>
          <w:u w:val="single" w:color="auto"/>
          <w:color w:val="auto"/>
        </w:rPr>
        <w:t>Board</w:t>
      </w:r>
      <w:r>
        <w:rPr>
          <w:rFonts w:ascii="Arial" w:cs="Arial" w:eastAsia="Arial" w:hAnsi="Arial"/>
          <w:sz w:val="16"/>
          <w:szCs w:val="16"/>
          <w:color w:val="auto"/>
        </w:rPr>
        <w:t xml:space="preserve"> may make rules regulating the proceedings of such committees. For as long as the Ordinary Shares are listed on </w:t>
      </w:r>
      <w:r>
        <w:rPr>
          <w:rFonts w:ascii="Arial" w:cs="Arial" w:eastAsia="Arial" w:hAnsi="Arial"/>
          <w:sz w:val="16"/>
          <w:szCs w:val="16"/>
          <w:color w:val="auto"/>
          <w:strike w:val="1"/>
        </w:rPr>
        <w:t>the NASDAQ</w:t>
      </w:r>
      <w:r>
        <w:rPr>
          <w:rFonts w:ascii="Arial" w:cs="Arial" w:eastAsia="Arial" w:hAnsi="Arial"/>
          <w:sz w:val="16"/>
          <w:szCs w:val="16"/>
          <w:u w:val="single" w:color="auto"/>
          <w:color w:val="auto"/>
        </w:rPr>
        <w:t>any Exchange</w:t>
      </w:r>
      <w:r>
        <w:rPr>
          <w:rFonts w:ascii="Arial" w:cs="Arial" w:eastAsia="Arial" w:hAnsi="Arial"/>
          <w:sz w:val="16"/>
          <w:szCs w:val="16"/>
          <w:color w:val="auto"/>
        </w:rPr>
        <w:t xml:space="preserve">, all committees shall comply with the </w:t>
      </w:r>
      <w:r>
        <w:rPr>
          <w:rFonts w:ascii="Arial" w:cs="Arial" w:eastAsia="Arial" w:hAnsi="Arial"/>
          <w:sz w:val="16"/>
          <w:szCs w:val="16"/>
          <w:color w:val="auto"/>
          <w:strike w:val="1"/>
        </w:rPr>
        <w:t>applicable rules of the NASDAQ</w:t>
      </w:r>
      <w:r>
        <w:rPr>
          <w:rFonts w:ascii="Arial" w:cs="Arial" w:eastAsia="Arial" w:hAnsi="Arial"/>
          <w:sz w:val="16"/>
          <w:szCs w:val="16"/>
          <w:u w:val="single" w:color="auto"/>
          <w:color w:val="auto"/>
        </w:rPr>
        <w:t>Relevant Rules</w:t>
      </w:r>
      <w:r>
        <w:rPr>
          <w:rFonts w:ascii="Arial" w:cs="Arial" w:eastAsia="Arial" w:hAnsi="Arial"/>
          <w:sz w:val="16"/>
          <w:szCs w:val="16"/>
          <w:color w:val="auto"/>
        </w:rPr>
        <w:t xml:space="preserve"> applicable to non-controlled domestic US issuers</w:t>
      </w:r>
      <w:r>
        <w:rPr>
          <w:rFonts w:ascii="Arial" w:cs="Arial" w:eastAsia="Arial" w:hAnsi="Arial"/>
          <w:sz w:val="16"/>
          <w:szCs w:val="16"/>
          <w:color w:val="auto"/>
          <w:strike w:val="1"/>
        </w:rPr>
        <w:t>.</w:t>
      </w:r>
      <w:r>
        <w:rPr>
          <w:rFonts w:ascii="Arial" w:cs="Arial" w:eastAsia="Arial" w:hAnsi="Arial"/>
          <w:sz w:val="16"/>
          <w:szCs w:val="16"/>
          <w:color w:val="auto"/>
        </w:rPr>
        <w:t xml:space="preserve"> </w:t>
      </w:r>
      <w:r>
        <w:rPr>
          <w:rFonts w:ascii="Arial" w:cs="Arial" w:eastAsia="Arial" w:hAnsi="Arial"/>
          <w:sz w:val="16"/>
          <w:szCs w:val="16"/>
          <w:u w:val="single" w:color="auto"/>
          <w:color w:val="auto"/>
        </w:rPr>
        <w:t>for such Exchange.</w:t>
      </w:r>
      <w:r>
        <w:rPr>
          <w:rFonts w:ascii="Arial" w:cs="Arial" w:eastAsia="Arial" w:hAnsi="Arial"/>
          <w:sz w:val="16"/>
          <w:szCs w:val="16"/>
          <w:color w:val="auto"/>
        </w:rPr>
        <w:t xml:space="preserve"> The </w:t>
      </w:r>
      <w:r>
        <w:rPr>
          <w:rFonts w:ascii="Arial" w:cs="Arial" w:eastAsia="Arial" w:hAnsi="Arial"/>
          <w:sz w:val="16"/>
          <w:szCs w:val="16"/>
          <w:color w:val="auto"/>
          <w:strike w:val="1"/>
        </w:rPr>
        <w:t>directors</w:t>
      </w:r>
      <w:r>
        <w:rPr>
          <w:rFonts w:ascii="Arial" w:cs="Arial" w:eastAsia="Arial" w:hAnsi="Arial"/>
          <w:sz w:val="16"/>
          <w:szCs w:val="16"/>
          <w:u w:val="single" w:color="auto"/>
          <w:color w:val="auto"/>
        </w:rPr>
        <w:t>Board</w:t>
      </w:r>
      <w:r>
        <w:rPr>
          <w:rFonts w:ascii="Arial" w:cs="Arial" w:eastAsia="Arial" w:hAnsi="Arial"/>
          <w:sz w:val="16"/>
          <w:szCs w:val="16"/>
          <w:color w:val="auto"/>
        </w:rPr>
        <w:t xml:space="preserve"> may otherwise make rules of procedure for all or any committees, which prevail over rules derived from </w:t>
      </w:r>
      <w:r>
        <w:rPr>
          <w:rFonts w:ascii="Arial" w:cs="Arial" w:eastAsia="Arial" w:hAnsi="Arial"/>
          <w:sz w:val="16"/>
          <w:szCs w:val="16"/>
          <w:color w:val="auto"/>
          <w:strike w:val="1"/>
        </w:rPr>
        <w:t>the</w:t>
      </w:r>
      <w:r>
        <w:rPr>
          <w:rFonts w:ascii="Arial" w:cs="Arial" w:eastAsia="Arial" w:hAnsi="Arial"/>
          <w:sz w:val="16"/>
          <w:szCs w:val="16"/>
          <w:u w:val="single" w:color="auto"/>
          <w:color w:val="auto"/>
        </w:rPr>
        <w:t>these</w:t>
      </w:r>
      <w:r>
        <w:rPr>
          <w:rFonts w:ascii="Arial" w:cs="Arial" w:eastAsia="Arial" w:hAnsi="Arial"/>
          <w:sz w:val="16"/>
          <w:szCs w:val="16"/>
          <w:color w:val="auto"/>
        </w:rPr>
        <w:t xml:space="preserve"> Articles.</w:t>
      </w:r>
    </w:p>
    <w:p>
      <w:pPr>
        <w:spacing w:after="0" w:line="61" w:lineRule="exact"/>
        <w:rPr>
          <w:sz w:val="20"/>
          <w:szCs w:val="20"/>
          <w:color w:val="auto"/>
        </w:rPr>
      </w:pPr>
    </w:p>
    <w:p>
      <w:pPr>
        <w:ind w:left="1200" w:hanging="436"/>
        <w:spacing w:after="0"/>
        <w:tabs>
          <w:tab w:leader="none" w:pos="1200" w:val="left"/>
        </w:tabs>
        <w:numPr>
          <w:ilvl w:val="0"/>
          <w:numId w:val="168"/>
        </w:numPr>
        <w:rPr>
          <w:rFonts w:ascii="Arial" w:cs="Arial" w:eastAsia="Arial" w:hAnsi="Arial"/>
          <w:sz w:val="16"/>
          <w:szCs w:val="16"/>
          <w:b w:val="1"/>
          <w:bCs w:val="1"/>
          <w:color w:val="auto"/>
        </w:rPr>
      </w:pPr>
      <w:r>
        <w:rPr>
          <w:rFonts w:ascii="Arial" w:cs="Arial" w:eastAsia="Arial" w:hAnsi="Arial"/>
          <w:sz w:val="16"/>
          <w:szCs w:val="16"/>
          <w:b w:val="1"/>
          <w:bCs w:val="1"/>
          <w:color w:val="auto"/>
        </w:rPr>
        <w:t>DISQUALIFICATION AND REMOVAL OF DIRECTORS</w:t>
      </w:r>
    </w:p>
    <w:p>
      <w:pPr>
        <w:spacing w:after="0" w:line="119" w:lineRule="exact"/>
        <w:rPr>
          <w:rFonts w:ascii="Arial" w:cs="Arial" w:eastAsia="Arial" w:hAnsi="Arial"/>
          <w:sz w:val="16"/>
          <w:szCs w:val="16"/>
          <w:b w:val="1"/>
          <w:bCs w:val="1"/>
          <w:color w:val="auto"/>
        </w:rPr>
      </w:pPr>
    </w:p>
    <w:p>
      <w:pPr>
        <w:ind w:left="760"/>
        <w:spacing w:after="0"/>
        <w:rPr>
          <w:rFonts w:ascii="Arial" w:cs="Arial" w:eastAsia="Arial" w:hAnsi="Arial"/>
          <w:sz w:val="16"/>
          <w:szCs w:val="16"/>
          <w:b w:val="1"/>
          <w:bCs w:val="1"/>
          <w:color w:val="auto"/>
        </w:rPr>
      </w:pPr>
      <w:r>
        <w:rPr>
          <w:rFonts w:ascii="Arial" w:cs="Arial" w:eastAsia="Arial" w:hAnsi="Arial"/>
          <w:sz w:val="16"/>
          <w:szCs w:val="16"/>
          <w:color w:val="auto"/>
        </w:rPr>
        <w:t>30.1  A person ceases to be a Director if:</w:t>
      </w:r>
    </w:p>
    <w:p>
      <w:pPr>
        <w:spacing w:after="0" w:line="86" w:lineRule="exact"/>
        <w:rPr>
          <w:rFonts w:ascii="Arial" w:cs="Arial" w:eastAsia="Arial" w:hAnsi="Arial"/>
          <w:sz w:val="16"/>
          <w:szCs w:val="16"/>
          <w:b w:val="1"/>
          <w:bCs w:val="1"/>
          <w:color w:val="auto"/>
        </w:rPr>
      </w:pPr>
    </w:p>
    <w:p>
      <w:pPr>
        <w:ind w:left="1620" w:hanging="424"/>
        <w:spacing w:after="0"/>
        <w:tabs>
          <w:tab w:leader="none" w:pos="1620" w:val="left"/>
        </w:tabs>
        <w:numPr>
          <w:ilvl w:val="1"/>
          <w:numId w:val="168"/>
        </w:numPr>
        <w:rPr>
          <w:rFonts w:ascii="Arial" w:cs="Arial" w:eastAsia="Arial" w:hAnsi="Arial"/>
          <w:sz w:val="16"/>
          <w:szCs w:val="16"/>
          <w:color w:val="auto"/>
        </w:rPr>
      </w:pPr>
      <w:r>
        <w:rPr>
          <w:rFonts w:ascii="Arial" w:cs="Arial" w:eastAsia="Arial" w:hAnsi="Arial"/>
          <w:sz w:val="16"/>
          <w:szCs w:val="16"/>
          <w:color w:val="auto"/>
        </w:rPr>
        <w:t xml:space="preserve">the period expires, if </w:t>
      </w:r>
      <w:r>
        <w:rPr>
          <w:rFonts w:ascii="Arial" w:cs="Arial" w:eastAsia="Arial" w:hAnsi="Arial"/>
          <w:sz w:val="16"/>
          <w:szCs w:val="16"/>
          <w:color w:val="auto"/>
          <w:strike w:val="1"/>
        </w:rPr>
        <w:t>he has</w:t>
      </w:r>
      <w:r>
        <w:rPr>
          <w:rFonts w:ascii="Arial" w:cs="Arial" w:eastAsia="Arial" w:hAnsi="Arial"/>
          <w:sz w:val="16"/>
          <w:szCs w:val="16"/>
          <w:u w:val="single" w:color="auto"/>
          <w:color w:val="auto"/>
        </w:rPr>
        <w:t>they have</w:t>
      </w:r>
      <w:r>
        <w:rPr>
          <w:rFonts w:ascii="Arial" w:cs="Arial" w:eastAsia="Arial" w:hAnsi="Arial"/>
          <w:sz w:val="16"/>
          <w:szCs w:val="16"/>
          <w:color w:val="auto"/>
        </w:rPr>
        <w:t xml:space="preserve"> been appointed for a fixed period;</w:t>
      </w:r>
    </w:p>
    <w:p>
      <w:pPr>
        <w:spacing w:after="0" w:line="99" w:lineRule="exact"/>
        <w:rPr>
          <w:rFonts w:ascii="Arial" w:cs="Arial" w:eastAsia="Arial" w:hAnsi="Arial"/>
          <w:sz w:val="16"/>
          <w:szCs w:val="16"/>
          <w:color w:val="auto"/>
        </w:rPr>
      </w:pPr>
    </w:p>
    <w:p>
      <w:pPr>
        <w:ind w:left="1620" w:right="480" w:hanging="424"/>
        <w:spacing w:after="0" w:line="260" w:lineRule="auto"/>
        <w:tabs>
          <w:tab w:leader="none" w:pos="1620" w:val="left"/>
        </w:tabs>
        <w:numPr>
          <w:ilvl w:val="1"/>
          <w:numId w:val="168"/>
        </w:numPr>
        <w:rPr>
          <w:rFonts w:ascii="Arial" w:cs="Arial" w:eastAsia="Arial" w:hAnsi="Arial"/>
          <w:sz w:val="16"/>
          <w:szCs w:val="16"/>
          <w:color w:val="auto"/>
        </w:rPr>
      </w:pPr>
      <w:r>
        <w:rPr>
          <w:rFonts w:ascii="Arial" w:cs="Arial" w:eastAsia="Arial" w:hAnsi="Arial"/>
          <w:sz w:val="16"/>
          <w:szCs w:val="16"/>
          <w:color w:val="auto"/>
          <w:strike w:val="1"/>
        </w:rPr>
        <w:t>he</w:t>
      </w:r>
      <w:r>
        <w:rPr>
          <w:rFonts w:ascii="Arial" w:cs="Arial" w:eastAsia="Arial" w:hAnsi="Arial"/>
          <w:sz w:val="16"/>
          <w:szCs w:val="16"/>
          <w:u w:val="single" w:color="auto"/>
          <w:color w:val="auto"/>
        </w:rPr>
        <w:t>they</w:t>
      </w:r>
      <w:r>
        <w:rPr>
          <w:rFonts w:ascii="Arial" w:cs="Arial" w:eastAsia="Arial" w:hAnsi="Arial"/>
          <w:sz w:val="16"/>
          <w:szCs w:val="16"/>
          <w:color w:val="auto"/>
        </w:rPr>
        <w:t xml:space="preserve"> ceases to be a Director by virtue of any provision of the Companies Act (including, without limitation, section 168 of the Companies Act) or </w:t>
      </w:r>
      <w:r>
        <w:rPr>
          <w:rFonts w:ascii="Arial" w:cs="Arial" w:eastAsia="Arial" w:hAnsi="Arial"/>
          <w:sz w:val="16"/>
          <w:szCs w:val="16"/>
          <w:color w:val="auto"/>
          <w:strike w:val="1"/>
        </w:rPr>
        <w:t>he becomes</w:t>
      </w:r>
      <w:r>
        <w:rPr>
          <w:rFonts w:ascii="Arial" w:cs="Arial" w:eastAsia="Arial" w:hAnsi="Arial"/>
          <w:sz w:val="16"/>
          <w:szCs w:val="16"/>
          <w:u w:val="single" w:color="auto"/>
          <w:color w:val="auto"/>
        </w:rPr>
        <w:t>they become</w:t>
      </w:r>
      <w:r>
        <w:rPr>
          <w:rFonts w:ascii="Arial" w:cs="Arial" w:eastAsia="Arial" w:hAnsi="Arial"/>
          <w:sz w:val="16"/>
          <w:szCs w:val="16"/>
          <w:color w:val="auto"/>
        </w:rPr>
        <w:t xml:space="preserve"> prohibited by law from being a Director;</w:t>
      </w:r>
    </w:p>
    <w:p>
      <w:pPr>
        <w:spacing w:after="0" w:line="73" w:lineRule="exact"/>
        <w:rPr>
          <w:rFonts w:ascii="Arial" w:cs="Arial" w:eastAsia="Arial" w:hAnsi="Arial"/>
          <w:sz w:val="16"/>
          <w:szCs w:val="16"/>
          <w:color w:val="auto"/>
        </w:rPr>
      </w:pPr>
    </w:p>
    <w:p>
      <w:pPr>
        <w:ind w:left="1620" w:right="420" w:hanging="424"/>
        <w:spacing w:after="0" w:line="260" w:lineRule="auto"/>
        <w:tabs>
          <w:tab w:leader="none" w:pos="1620" w:val="left"/>
        </w:tabs>
        <w:numPr>
          <w:ilvl w:val="1"/>
          <w:numId w:val="168"/>
        </w:numPr>
        <w:rPr>
          <w:rFonts w:ascii="Arial" w:cs="Arial" w:eastAsia="Arial" w:hAnsi="Arial"/>
          <w:sz w:val="16"/>
          <w:szCs w:val="16"/>
          <w:color w:val="auto"/>
        </w:rPr>
      </w:pPr>
      <w:r>
        <w:rPr>
          <w:rFonts w:ascii="Arial" w:cs="Arial" w:eastAsia="Arial" w:hAnsi="Arial"/>
          <w:sz w:val="16"/>
          <w:szCs w:val="16"/>
          <w:color w:val="auto"/>
          <w:strike w:val="1"/>
        </w:rPr>
        <w:t>he is</w:t>
      </w:r>
      <w:r>
        <w:rPr>
          <w:rFonts w:ascii="Arial" w:cs="Arial" w:eastAsia="Arial" w:hAnsi="Arial"/>
          <w:sz w:val="16"/>
          <w:szCs w:val="16"/>
          <w:u w:val="single" w:color="auto"/>
          <w:color w:val="auto"/>
        </w:rPr>
        <w:t>they are</w:t>
      </w:r>
      <w:r>
        <w:rPr>
          <w:rFonts w:ascii="Arial" w:cs="Arial" w:eastAsia="Arial" w:hAnsi="Arial"/>
          <w:sz w:val="16"/>
          <w:szCs w:val="16"/>
          <w:color w:val="auto"/>
        </w:rPr>
        <w:t xml:space="preserve"> deemed unfit or has otherwise been requested to be removed from office by any regulatory authority in any applicable jurisdiction;</w:t>
      </w:r>
    </w:p>
    <w:p>
      <w:pPr>
        <w:spacing w:after="0" w:line="60" w:lineRule="exact"/>
        <w:rPr>
          <w:rFonts w:ascii="Arial" w:cs="Arial" w:eastAsia="Arial" w:hAnsi="Arial"/>
          <w:sz w:val="16"/>
          <w:szCs w:val="16"/>
          <w:color w:val="auto"/>
        </w:rPr>
      </w:pPr>
    </w:p>
    <w:p>
      <w:pPr>
        <w:ind w:left="1620" w:hanging="424"/>
        <w:spacing w:after="0"/>
        <w:tabs>
          <w:tab w:leader="none" w:pos="1620" w:val="left"/>
        </w:tabs>
        <w:numPr>
          <w:ilvl w:val="1"/>
          <w:numId w:val="168"/>
        </w:numPr>
        <w:rPr>
          <w:rFonts w:ascii="Arial" w:cs="Arial" w:eastAsia="Arial" w:hAnsi="Arial"/>
          <w:sz w:val="16"/>
          <w:szCs w:val="16"/>
          <w:color w:val="auto"/>
        </w:rPr>
      </w:pPr>
      <w:r>
        <w:rPr>
          <w:rFonts w:ascii="Arial" w:cs="Arial" w:eastAsia="Arial" w:hAnsi="Arial"/>
          <w:sz w:val="16"/>
          <w:szCs w:val="16"/>
          <w:color w:val="auto"/>
          <w:strike w:val="1"/>
        </w:rPr>
        <w:t>he becomes</w:t>
      </w:r>
      <w:r>
        <w:rPr>
          <w:rFonts w:ascii="Arial" w:cs="Arial" w:eastAsia="Arial" w:hAnsi="Arial"/>
          <w:sz w:val="16"/>
          <w:szCs w:val="16"/>
          <w:u w:val="single" w:color="auto"/>
          <w:color w:val="auto"/>
        </w:rPr>
        <w:t>they become</w:t>
      </w:r>
      <w:r>
        <w:rPr>
          <w:rFonts w:ascii="Arial" w:cs="Arial" w:eastAsia="Arial" w:hAnsi="Arial"/>
          <w:sz w:val="16"/>
          <w:szCs w:val="16"/>
          <w:color w:val="auto"/>
        </w:rPr>
        <w:t xml:space="preserve"> bankrupt or </w:t>
      </w:r>
      <w:r>
        <w:rPr>
          <w:rFonts w:ascii="Arial" w:cs="Arial" w:eastAsia="Arial" w:hAnsi="Arial"/>
          <w:sz w:val="16"/>
          <w:szCs w:val="16"/>
          <w:color w:val="auto"/>
          <w:strike w:val="1"/>
        </w:rPr>
        <w:t>makes</w:t>
      </w:r>
      <w:r>
        <w:rPr>
          <w:rFonts w:ascii="Arial" w:cs="Arial" w:eastAsia="Arial" w:hAnsi="Arial"/>
          <w:sz w:val="16"/>
          <w:szCs w:val="16"/>
          <w:u w:val="single" w:color="auto"/>
          <w:color w:val="auto"/>
        </w:rPr>
        <w:t>make</w:t>
      </w:r>
      <w:r>
        <w:rPr>
          <w:rFonts w:ascii="Arial" w:cs="Arial" w:eastAsia="Arial" w:hAnsi="Arial"/>
          <w:sz w:val="16"/>
          <w:szCs w:val="16"/>
          <w:color w:val="auto"/>
        </w:rPr>
        <w:t xml:space="preserve"> any arrangement or composition with </w:t>
      </w:r>
      <w:r>
        <w:rPr>
          <w:rFonts w:ascii="Arial" w:cs="Arial" w:eastAsia="Arial" w:hAnsi="Arial"/>
          <w:sz w:val="16"/>
          <w:szCs w:val="16"/>
          <w:color w:val="auto"/>
          <w:strike w:val="1"/>
        </w:rPr>
        <w:t>his</w:t>
      </w:r>
      <w:r>
        <w:rPr>
          <w:rFonts w:ascii="Arial" w:cs="Arial" w:eastAsia="Arial" w:hAnsi="Arial"/>
          <w:sz w:val="16"/>
          <w:szCs w:val="16"/>
          <w:u w:val="single" w:color="auto"/>
          <w:color w:val="auto"/>
        </w:rPr>
        <w:t>their</w:t>
      </w:r>
      <w:r>
        <w:rPr>
          <w:rFonts w:ascii="Arial" w:cs="Arial" w:eastAsia="Arial" w:hAnsi="Arial"/>
          <w:sz w:val="16"/>
          <w:szCs w:val="16"/>
          <w:color w:val="auto"/>
        </w:rPr>
        <w:t xml:space="preserve"> creditors generally;</w:t>
      </w:r>
    </w:p>
    <w:p>
      <w:pPr>
        <w:spacing w:after="0" w:line="99" w:lineRule="exact"/>
        <w:rPr>
          <w:rFonts w:ascii="Arial" w:cs="Arial" w:eastAsia="Arial" w:hAnsi="Arial"/>
          <w:sz w:val="16"/>
          <w:szCs w:val="16"/>
          <w:color w:val="auto"/>
        </w:rPr>
      </w:pPr>
    </w:p>
    <w:p>
      <w:pPr>
        <w:ind w:left="1620" w:right="500" w:hanging="424"/>
        <w:spacing w:after="0" w:line="253" w:lineRule="auto"/>
        <w:tabs>
          <w:tab w:leader="none" w:pos="1620" w:val="left"/>
        </w:tabs>
        <w:numPr>
          <w:ilvl w:val="1"/>
          <w:numId w:val="168"/>
        </w:numPr>
        <w:rPr>
          <w:rFonts w:ascii="Arial" w:cs="Arial" w:eastAsia="Arial" w:hAnsi="Arial"/>
          <w:sz w:val="16"/>
          <w:szCs w:val="16"/>
          <w:color w:val="auto"/>
        </w:rPr>
      </w:pPr>
      <w:r>
        <w:rPr>
          <w:rFonts w:ascii="Arial" w:cs="Arial" w:eastAsia="Arial" w:hAnsi="Arial"/>
          <w:sz w:val="16"/>
          <w:szCs w:val="16"/>
          <w:color w:val="auto"/>
        </w:rPr>
        <w:t>a registered medical practitioner who is treating that person gives a written opinion to the Company stating that that person has become physically or mentally incapable of acting as a Director and may remain so for more than three months;</w:t>
      </w:r>
    </w:p>
    <w:p>
      <w:pPr>
        <w:spacing w:after="0" w:line="79" w:lineRule="exact"/>
        <w:rPr>
          <w:rFonts w:ascii="Arial" w:cs="Arial" w:eastAsia="Arial" w:hAnsi="Arial"/>
          <w:sz w:val="16"/>
          <w:szCs w:val="16"/>
          <w:color w:val="auto"/>
        </w:rPr>
      </w:pPr>
    </w:p>
    <w:p>
      <w:pPr>
        <w:ind w:left="1620" w:right="380" w:hanging="424"/>
        <w:spacing w:after="0" w:line="260" w:lineRule="auto"/>
        <w:tabs>
          <w:tab w:leader="none" w:pos="1620" w:val="left"/>
        </w:tabs>
        <w:numPr>
          <w:ilvl w:val="1"/>
          <w:numId w:val="168"/>
        </w:numPr>
        <w:rPr>
          <w:rFonts w:ascii="Arial" w:cs="Arial" w:eastAsia="Arial" w:hAnsi="Arial"/>
          <w:sz w:val="16"/>
          <w:szCs w:val="16"/>
          <w:color w:val="auto"/>
          <w:strike w:val="1"/>
        </w:rPr>
      </w:pPr>
      <w:r>
        <w:rPr>
          <w:rFonts w:ascii="Arial" w:cs="Arial" w:eastAsia="Arial" w:hAnsi="Arial"/>
          <w:sz w:val="16"/>
          <w:szCs w:val="16"/>
          <w:color w:val="auto"/>
          <w:strike w:val="1"/>
        </w:rPr>
        <w:t>by reason of his mental health a court makes an order which wholly or partly prevents him from personally exercising any powers or rights he would otherwise have;</w:t>
      </w:r>
    </w:p>
    <w:p>
      <w:pPr>
        <w:spacing w:after="0" w:line="60" w:lineRule="exact"/>
        <w:rPr>
          <w:sz w:val="20"/>
          <w:szCs w:val="20"/>
          <w:color w:val="auto"/>
        </w:rPr>
      </w:pPr>
    </w:p>
    <w:p>
      <w:pPr>
        <w:ind w:left="1620" w:right="700" w:hanging="424"/>
        <w:spacing w:after="0" w:line="260" w:lineRule="auto"/>
        <w:tabs>
          <w:tab w:leader="none" w:pos="1620" w:val="left"/>
        </w:tabs>
        <w:numPr>
          <w:ilvl w:val="0"/>
          <w:numId w:val="169"/>
        </w:numPr>
        <w:rPr>
          <w:rFonts w:ascii="Arial" w:cs="Arial" w:eastAsia="Arial" w:hAnsi="Arial"/>
          <w:sz w:val="16"/>
          <w:szCs w:val="16"/>
          <w:u w:val="single" w:color="auto"/>
          <w:color w:val="auto"/>
        </w:rPr>
      </w:pPr>
      <w:r>
        <w:rPr>
          <w:rFonts w:ascii="Arial" w:cs="Arial" w:eastAsia="Arial" w:hAnsi="Arial"/>
          <w:sz w:val="16"/>
          <w:szCs w:val="16"/>
          <w:color w:val="auto"/>
          <w:strike w:val="1"/>
        </w:rPr>
        <w:t>he resigns his</w:t>
      </w:r>
      <w:r>
        <w:rPr>
          <w:rFonts w:ascii="Arial" w:cs="Arial" w:eastAsia="Arial" w:hAnsi="Arial"/>
          <w:sz w:val="16"/>
          <w:szCs w:val="16"/>
          <w:u w:val="single" w:color="auto"/>
          <w:color w:val="auto"/>
        </w:rPr>
        <w:t>they resign their</w:t>
      </w:r>
      <w:r>
        <w:rPr>
          <w:rFonts w:ascii="Arial" w:cs="Arial" w:eastAsia="Arial" w:hAnsi="Arial"/>
          <w:sz w:val="16"/>
          <w:szCs w:val="16"/>
          <w:color w:val="auto"/>
        </w:rPr>
        <w:t xml:space="preserve"> office by notice in writing to the Company and such resignation has taken effect in accordance with its terms;</w:t>
      </w:r>
    </w:p>
    <w:p>
      <w:pPr>
        <w:spacing w:after="0" w:line="74" w:lineRule="exact"/>
        <w:rPr>
          <w:sz w:val="20"/>
          <w:szCs w:val="20"/>
          <w:color w:val="auto"/>
        </w:rPr>
      </w:pPr>
    </w:p>
    <w:p>
      <w:pPr>
        <w:ind w:left="1620" w:right="320" w:hanging="431"/>
        <w:spacing w:after="0" w:line="260" w:lineRule="auto"/>
        <w:rPr>
          <w:sz w:val="20"/>
          <w:szCs w:val="20"/>
          <w:color w:val="auto"/>
        </w:rPr>
      </w:pPr>
      <w:r>
        <w:rPr>
          <w:rFonts w:ascii="Arial" w:cs="Arial" w:eastAsia="Arial" w:hAnsi="Arial"/>
          <w:sz w:val="16"/>
          <w:szCs w:val="16"/>
          <w:color w:val="auto"/>
          <w:strike w:val="1"/>
        </w:rPr>
        <w:t>(h)</w:t>
      </w:r>
      <w:r>
        <w:rPr>
          <w:rFonts w:ascii="Arial" w:cs="Arial" w:eastAsia="Arial" w:hAnsi="Arial"/>
          <w:sz w:val="16"/>
          <w:szCs w:val="16"/>
          <w:u w:val="single" w:color="auto"/>
          <w:color w:val="auto"/>
        </w:rPr>
        <w:t>(g)</w:t>
      </w:r>
      <w:r>
        <w:rPr>
          <w:rFonts w:ascii="Arial" w:cs="Arial" w:eastAsia="Arial" w:hAnsi="Arial"/>
          <w:sz w:val="16"/>
          <w:szCs w:val="16"/>
          <w:color w:val="auto"/>
        </w:rPr>
        <w:t xml:space="preserve"> in the case of a Director who holds any executive office, </w:t>
      </w:r>
      <w:r>
        <w:rPr>
          <w:rFonts w:ascii="Arial" w:cs="Arial" w:eastAsia="Arial" w:hAnsi="Arial"/>
          <w:sz w:val="16"/>
          <w:szCs w:val="16"/>
          <w:color w:val="auto"/>
          <w:strike w:val="1"/>
        </w:rPr>
        <w:t>his</w:t>
      </w:r>
      <w:r>
        <w:rPr>
          <w:rFonts w:ascii="Arial" w:cs="Arial" w:eastAsia="Arial" w:hAnsi="Arial"/>
          <w:sz w:val="16"/>
          <w:szCs w:val="16"/>
          <w:u w:val="single" w:color="auto"/>
          <w:color w:val="auto"/>
        </w:rPr>
        <w:t>their</w:t>
      </w:r>
      <w:r>
        <w:rPr>
          <w:rFonts w:ascii="Arial" w:cs="Arial" w:eastAsia="Arial" w:hAnsi="Arial"/>
          <w:sz w:val="16"/>
          <w:szCs w:val="16"/>
          <w:color w:val="auto"/>
        </w:rPr>
        <w:t xml:space="preserve"> appointment as such is terminated or expires and the Board resolves that </w:t>
      </w:r>
      <w:r>
        <w:rPr>
          <w:rFonts w:ascii="Arial" w:cs="Arial" w:eastAsia="Arial" w:hAnsi="Arial"/>
          <w:sz w:val="16"/>
          <w:szCs w:val="16"/>
          <w:color w:val="auto"/>
          <w:strike w:val="1"/>
        </w:rPr>
        <w:t>he</w:t>
      </w:r>
      <w:r>
        <w:rPr>
          <w:rFonts w:ascii="Arial" w:cs="Arial" w:eastAsia="Arial" w:hAnsi="Arial"/>
          <w:sz w:val="16"/>
          <w:szCs w:val="16"/>
          <w:u w:val="single" w:color="auto"/>
          <w:color w:val="auto"/>
        </w:rPr>
        <w:t>they</w:t>
      </w:r>
      <w:r>
        <w:rPr>
          <w:rFonts w:ascii="Arial" w:cs="Arial" w:eastAsia="Arial" w:hAnsi="Arial"/>
          <w:sz w:val="16"/>
          <w:szCs w:val="16"/>
          <w:color w:val="auto"/>
        </w:rPr>
        <w:t xml:space="preserve"> should cease to be a Director;</w:t>
      </w:r>
    </w:p>
    <w:p>
      <w:pPr>
        <w:spacing w:after="0" w:line="60" w:lineRule="exact"/>
        <w:rPr>
          <w:sz w:val="20"/>
          <w:szCs w:val="20"/>
          <w:color w:val="auto"/>
        </w:rPr>
      </w:pPr>
    </w:p>
    <w:p>
      <w:pPr>
        <w:ind w:left="1620" w:right="240" w:hanging="431"/>
        <w:spacing w:after="0" w:line="260" w:lineRule="auto"/>
        <w:rPr>
          <w:sz w:val="20"/>
          <w:szCs w:val="20"/>
          <w:color w:val="auto"/>
        </w:rPr>
      </w:pPr>
      <w:r>
        <w:rPr>
          <w:rFonts w:ascii="Arial" w:cs="Arial" w:eastAsia="Arial" w:hAnsi="Arial"/>
          <w:sz w:val="16"/>
          <w:szCs w:val="16"/>
          <w:color w:val="auto"/>
          <w:strike w:val="1"/>
        </w:rPr>
        <w:t>(i)</w:t>
      </w:r>
      <w:r>
        <w:rPr>
          <w:rFonts w:ascii="Arial" w:cs="Arial" w:eastAsia="Arial" w:hAnsi="Arial"/>
          <w:sz w:val="16"/>
          <w:szCs w:val="16"/>
          <w:u w:val="single" w:color="auto"/>
          <w:color w:val="auto"/>
        </w:rPr>
        <w:t>(h)</w:t>
      </w:r>
      <w:r>
        <w:rPr>
          <w:rFonts w:ascii="Arial" w:cs="Arial" w:eastAsia="Arial" w:hAnsi="Arial"/>
          <w:sz w:val="16"/>
          <w:szCs w:val="16"/>
          <w:color w:val="auto"/>
        </w:rPr>
        <w:t xml:space="preserve"> </w:t>
      </w:r>
      <w:r>
        <w:rPr>
          <w:rFonts w:ascii="Arial" w:cs="Arial" w:eastAsia="Arial" w:hAnsi="Arial"/>
          <w:sz w:val="16"/>
          <w:szCs w:val="16"/>
          <w:color w:val="auto"/>
          <w:strike w:val="1"/>
        </w:rPr>
        <w:t>he is</w:t>
      </w:r>
      <w:r>
        <w:rPr>
          <w:rFonts w:ascii="Arial" w:cs="Arial" w:eastAsia="Arial" w:hAnsi="Arial"/>
          <w:sz w:val="16"/>
          <w:szCs w:val="16"/>
          <w:u w:val="single" w:color="auto"/>
          <w:color w:val="auto"/>
        </w:rPr>
        <w:t>they are</w:t>
      </w:r>
      <w:r>
        <w:rPr>
          <w:rFonts w:ascii="Arial" w:cs="Arial" w:eastAsia="Arial" w:hAnsi="Arial"/>
          <w:sz w:val="16"/>
          <w:szCs w:val="16"/>
          <w:color w:val="auto"/>
        </w:rPr>
        <w:t xml:space="preserve"> absent for more than six consecutive months without permission of the Board from meetings of the Board held during that period and the Board resolves that </w:t>
      </w:r>
      <w:r>
        <w:rPr>
          <w:rFonts w:ascii="Arial" w:cs="Arial" w:eastAsia="Arial" w:hAnsi="Arial"/>
          <w:sz w:val="16"/>
          <w:szCs w:val="16"/>
          <w:color w:val="auto"/>
          <w:strike w:val="1"/>
        </w:rPr>
        <w:t>he</w:t>
      </w:r>
      <w:r>
        <w:rPr>
          <w:rFonts w:ascii="Arial" w:cs="Arial" w:eastAsia="Arial" w:hAnsi="Arial"/>
          <w:sz w:val="16"/>
          <w:szCs w:val="16"/>
          <w:u w:val="single" w:color="auto"/>
          <w:color w:val="auto"/>
        </w:rPr>
        <w:t>they</w:t>
      </w:r>
      <w:r>
        <w:rPr>
          <w:rFonts w:ascii="Arial" w:cs="Arial" w:eastAsia="Arial" w:hAnsi="Arial"/>
          <w:sz w:val="16"/>
          <w:szCs w:val="16"/>
          <w:color w:val="auto"/>
        </w:rPr>
        <w:t xml:space="preserve"> should cease to be a Director; or</w:t>
      </w:r>
    </w:p>
    <w:p>
      <w:pPr>
        <w:spacing w:after="0" w:line="74" w:lineRule="exact"/>
        <w:rPr>
          <w:sz w:val="20"/>
          <w:szCs w:val="20"/>
          <w:color w:val="auto"/>
        </w:rPr>
      </w:pPr>
    </w:p>
    <w:p>
      <w:pPr>
        <w:ind w:left="1200"/>
        <w:spacing w:after="0"/>
        <w:tabs>
          <w:tab w:leader="none" w:pos="1600" w:val="left"/>
        </w:tabs>
        <w:rPr>
          <w:sz w:val="20"/>
          <w:szCs w:val="20"/>
          <w:color w:val="auto"/>
        </w:rPr>
      </w:pPr>
      <w:r>
        <w:rPr>
          <w:rFonts w:ascii="Arial" w:cs="Arial" w:eastAsia="Arial" w:hAnsi="Arial"/>
          <w:sz w:val="16"/>
          <w:szCs w:val="16"/>
          <w:color w:val="auto"/>
        </w:rPr>
        <w:t>(j)</w:t>
      </w:r>
      <w:r>
        <w:rPr>
          <w:rFonts w:ascii="Arial" w:cs="Arial" w:eastAsia="Arial" w:hAnsi="Arial"/>
          <w:sz w:val="16"/>
          <w:szCs w:val="16"/>
          <w:u w:val="single" w:color="auto"/>
          <w:color w:val="auto"/>
        </w:rPr>
        <w:t>(i)</w:t>
      </w:r>
      <w:r>
        <w:rPr>
          <w:sz w:val="20"/>
          <w:szCs w:val="20"/>
          <w:color w:val="auto"/>
        </w:rPr>
        <w:tab/>
      </w:r>
      <w:r>
        <w:rPr>
          <w:rFonts w:ascii="Arial" w:cs="Arial" w:eastAsia="Arial" w:hAnsi="Arial"/>
          <w:sz w:val="15"/>
          <w:szCs w:val="15"/>
          <w:color w:val="auto"/>
          <w:strike w:val="1"/>
        </w:rPr>
        <w:t>he dies</w:t>
      </w:r>
      <w:r>
        <w:rPr>
          <w:rFonts w:ascii="Arial" w:cs="Arial" w:eastAsia="Arial" w:hAnsi="Arial"/>
          <w:sz w:val="15"/>
          <w:szCs w:val="15"/>
          <w:u w:val="single" w:color="auto"/>
          <w:color w:val="auto"/>
          <w:strike w:val="1"/>
        </w:rPr>
        <w:t>they die</w:t>
      </w:r>
      <w:r>
        <w:rPr>
          <w:rFonts w:ascii="Arial" w:cs="Arial" w:eastAsia="Arial" w:hAnsi="Arial"/>
          <w:sz w:val="15"/>
          <w:szCs w:val="15"/>
          <w:color w:val="auto"/>
          <w:strike w:val="1"/>
        </w:rPr>
        <w:t>.</w:t>
      </w:r>
    </w:p>
    <w:p>
      <w:pPr>
        <w:spacing w:after="0" w:line="100" w:lineRule="exact"/>
        <w:rPr>
          <w:sz w:val="20"/>
          <w:szCs w:val="20"/>
          <w:color w:val="auto"/>
        </w:rPr>
      </w:pPr>
    </w:p>
    <w:p>
      <w:pPr>
        <w:jc w:val="both"/>
        <w:ind w:left="1200" w:right="820" w:hanging="431"/>
        <w:spacing w:after="0" w:line="253" w:lineRule="auto"/>
        <w:rPr>
          <w:sz w:val="20"/>
          <w:szCs w:val="20"/>
          <w:color w:val="auto"/>
        </w:rPr>
      </w:pPr>
      <w:r>
        <w:rPr>
          <w:rFonts w:ascii="Arial" w:cs="Arial" w:eastAsia="Arial" w:hAnsi="Arial"/>
          <w:sz w:val="16"/>
          <w:szCs w:val="16"/>
          <w:color w:val="auto"/>
        </w:rPr>
        <w:t xml:space="preserve">30.2 A unanimous resolution of the </w:t>
      </w:r>
      <w:r>
        <w:rPr>
          <w:rFonts w:ascii="Arial" w:cs="Arial" w:eastAsia="Arial" w:hAnsi="Arial"/>
          <w:sz w:val="16"/>
          <w:szCs w:val="16"/>
          <w:color w:val="auto"/>
          <w:strike w:val="1"/>
        </w:rPr>
        <w:t>directors</w:t>
      </w:r>
      <w:r>
        <w:rPr>
          <w:rFonts w:ascii="Arial" w:cs="Arial" w:eastAsia="Arial" w:hAnsi="Arial"/>
          <w:sz w:val="16"/>
          <w:szCs w:val="16"/>
          <w:u w:val="single" w:color="auto"/>
          <w:color w:val="auto"/>
        </w:rPr>
        <w:t>Directors</w:t>
      </w:r>
      <w:r>
        <w:rPr>
          <w:rFonts w:ascii="Arial" w:cs="Arial" w:eastAsia="Arial" w:hAnsi="Arial"/>
          <w:sz w:val="16"/>
          <w:szCs w:val="16"/>
          <w:color w:val="auto"/>
        </w:rPr>
        <w:t xml:space="preserve"> (excluding the </w:t>
      </w:r>
      <w:r>
        <w:rPr>
          <w:rFonts w:ascii="Arial" w:cs="Arial" w:eastAsia="Arial" w:hAnsi="Arial"/>
          <w:sz w:val="16"/>
          <w:szCs w:val="16"/>
          <w:color w:val="auto"/>
          <w:strike w:val="1"/>
        </w:rPr>
        <w:t>director</w:t>
      </w:r>
      <w:r>
        <w:rPr>
          <w:rFonts w:ascii="Arial" w:cs="Arial" w:eastAsia="Arial" w:hAnsi="Arial"/>
          <w:sz w:val="16"/>
          <w:szCs w:val="16"/>
          <w:u w:val="single" w:color="auto"/>
          <w:color w:val="auto"/>
        </w:rPr>
        <w:t>Director</w:t>
      </w:r>
      <w:r>
        <w:rPr>
          <w:rFonts w:ascii="Arial" w:cs="Arial" w:eastAsia="Arial" w:hAnsi="Arial"/>
          <w:sz w:val="16"/>
          <w:szCs w:val="16"/>
          <w:color w:val="auto"/>
        </w:rPr>
        <w:t xml:space="preserve"> the subject of this Article) declaring a </w:t>
      </w:r>
      <w:r>
        <w:rPr>
          <w:rFonts w:ascii="Arial" w:cs="Arial" w:eastAsia="Arial" w:hAnsi="Arial"/>
          <w:sz w:val="16"/>
          <w:szCs w:val="16"/>
          <w:color w:val="auto"/>
          <w:strike w:val="1"/>
        </w:rPr>
        <w:t>director</w:t>
      </w:r>
      <w:r>
        <w:rPr>
          <w:rFonts w:ascii="Arial" w:cs="Arial" w:eastAsia="Arial" w:hAnsi="Arial"/>
          <w:sz w:val="16"/>
          <w:szCs w:val="16"/>
          <w:u w:val="single" w:color="auto"/>
          <w:color w:val="auto"/>
        </w:rPr>
        <w:t>Director</w:t>
      </w:r>
      <w:r>
        <w:rPr>
          <w:rFonts w:ascii="Arial" w:cs="Arial" w:eastAsia="Arial" w:hAnsi="Arial"/>
          <w:sz w:val="16"/>
          <w:szCs w:val="16"/>
          <w:color w:val="auto"/>
        </w:rPr>
        <w:t xml:space="preserve"> to have ceased to be a </w:t>
      </w:r>
      <w:r>
        <w:rPr>
          <w:rFonts w:ascii="Arial" w:cs="Arial" w:eastAsia="Arial" w:hAnsi="Arial"/>
          <w:sz w:val="16"/>
          <w:szCs w:val="16"/>
          <w:color w:val="auto"/>
          <w:strike w:val="1"/>
        </w:rPr>
        <w:t>director</w:t>
      </w:r>
      <w:r>
        <w:rPr>
          <w:rFonts w:ascii="Arial" w:cs="Arial" w:eastAsia="Arial" w:hAnsi="Arial"/>
          <w:sz w:val="16"/>
          <w:szCs w:val="16"/>
          <w:u w:val="single" w:color="auto"/>
          <w:color w:val="auto"/>
        </w:rPr>
        <w:t>Director</w:t>
      </w:r>
      <w:r>
        <w:rPr>
          <w:rFonts w:ascii="Arial" w:cs="Arial" w:eastAsia="Arial" w:hAnsi="Arial"/>
          <w:sz w:val="16"/>
          <w:szCs w:val="16"/>
          <w:color w:val="auto"/>
        </w:rPr>
        <w:t xml:space="preserve"> under the terms of this Article is conclusive as to the fact and grounds of cessation stated in the resolution.</w:t>
      </w:r>
    </w:p>
    <w:p>
      <w:pPr>
        <w:spacing w:after="0" w:line="66" w:lineRule="exact"/>
        <w:rPr>
          <w:sz w:val="20"/>
          <w:szCs w:val="20"/>
          <w:color w:val="auto"/>
        </w:rPr>
      </w:pPr>
    </w:p>
    <w:p>
      <w:pPr>
        <w:ind w:left="1200" w:right="400" w:hanging="431"/>
        <w:spacing w:after="0" w:line="260" w:lineRule="auto"/>
        <w:rPr>
          <w:sz w:val="20"/>
          <w:szCs w:val="20"/>
          <w:color w:val="auto"/>
        </w:rPr>
      </w:pPr>
      <w:r>
        <w:rPr>
          <w:rFonts w:ascii="Arial" w:cs="Arial" w:eastAsia="Arial" w:hAnsi="Arial"/>
          <w:sz w:val="16"/>
          <w:szCs w:val="16"/>
          <w:color w:val="auto"/>
        </w:rPr>
        <w:t xml:space="preserve">30.3 If a </w:t>
      </w:r>
      <w:r>
        <w:rPr>
          <w:rFonts w:ascii="Arial" w:cs="Arial" w:eastAsia="Arial" w:hAnsi="Arial"/>
          <w:sz w:val="16"/>
          <w:szCs w:val="16"/>
          <w:color w:val="auto"/>
          <w:strike w:val="1"/>
        </w:rPr>
        <w:t>director</w:t>
      </w:r>
      <w:r>
        <w:rPr>
          <w:rFonts w:ascii="Arial" w:cs="Arial" w:eastAsia="Arial" w:hAnsi="Arial"/>
          <w:sz w:val="16"/>
          <w:szCs w:val="16"/>
          <w:u w:val="single" w:color="auto"/>
          <w:color w:val="auto"/>
        </w:rPr>
        <w:t>Director</w:t>
      </w:r>
      <w:r>
        <w:rPr>
          <w:rFonts w:ascii="Arial" w:cs="Arial" w:eastAsia="Arial" w:hAnsi="Arial"/>
          <w:sz w:val="16"/>
          <w:szCs w:val="16"/>
          <w:color w:val="auto"/>
        </w:rPr>
        <w:t xml:space="preserve"> ceases to be a </w:t>
      </w:r>
      <w:r>
        <w:rPr>
          <w:rFonts w:ascii="Arial" w:cs="Arial" w:eastAsia="Arial" w:hAnsi="Arial"/>
          <w:sz w:val="16"/>
          <w:szCs w:val="16"/>
          <w:color w:val="auto"/>
          <w:strike w:val="1"/>
        </w:rPr>
        <w:t>director</w:t>
      </w:r>
      <w:r>
        <w:rPr>
          <w:rFonts w:ascii="Arial" w:cs="Arial" w:eastAsia="Arial" w:hAnsi="Arial"/>
          <w:sz w:val="16"/>
          <w:szCs w:val="16"/>
          <w:u w:val="single" w:color="auto"/>
          <w:color w:val="auto"/>
        </w:rPr>
        <w:t>Director</w:t>
      </w:r>
      <w:r>
        <w:rPr>
          <w:rFonts w:ascii="Arial" w:cs="Arial" w:eastAsia="Arial" w:hAnsi="Arial"/>
          <w:sz w:val="16"/>
          <w:szCs w:val="16"/>
          <w:color w:val="auto"/>
        </w:rPr>
        <w:t xml:space="preserve"> for any reason, </w:t>
      </w:r>
      <w:r>
        <w:rPr>
          <w:rFonts w:ascii="Arial" w:cs="Arial" w:eastAsia="Arial" w:hAnsi="Arial"/>
          <w:sz w:val="16"/>
          <w:szCs w:val="16"/>
          <w:color w:val="auto"/>
          <w:strike w:val="1"/>
        </w:rPr>
        <w:t>he</w:t>
      </w:r>
      <w:r>
        <w:rPr>
          <w:rFonts w:ascii="Arial" w:cs="Arial" w:eastAsia="Arial" w:hAnsi="Arial"/>
          <w:sz w:val="16"/>
          <w:szCs w:val="16"/>
          <w:u w:val="single" w:color="auto"/>
          <w:color w:val="auto"/>
        </w:rPr>
        <w:t>they</w:t>
      </w:r>
      <w:r>
        <w:rPr>
          <w:rFonts w:ascii="Arial" w:cs="Arial" w:eastAsia="Arial" w:hAnsi="Arial"/>
          <w:sz w:val="16"/>
          <w:szCs w:val="16"/>
          <w:color w:val="auto"/>
        </w:rPr>
        <w:t xml:space="preserve"> shall cease to be a member of any committee of the </w:t>
      </w:r>
      <w:r>
        <w:rPr>
          <w:rFonts w:ascii="Arial" w:cs="Arial" w:eastAsia="Arial" w:hAnsi="Arial"/>
          <w:sz w:val="16"/>
          <w:szCs w:val="16"/>
          <w:color w:val="auto"/>
          <w:strike w:val="1"/>
        </w:rPr>
        <w:t>directors</w:t>
      </w:r>
      <w:r>
        <w:rPr>
          <w:rFonts w:ascii="Arial" w:cs="Arial" w:eastAsia="Arial" w:hAnsi="Arial"/>
          <w:sz w:val="16"/>
          <w:szCs w:val="16"/>
          <w:u w:val="single" w:color="auto"/>
          <w:color w:val="auto"/>
        </w:rPr>
        <w:t>Board</w:t>
      </w:r>
      <w:r>
        <w:rPr>
          <w:rFonts w:ascii="Arial" w:cs="Arial" w:eastAsia="Arial" w:hAnsi="Arial"/>
          <w:sz w:val="16"/>
          <w:szCs w:val="16"/>
          <w:color w:val="auto"/>
        </w:rPr>
        <w:t>.</w:t>
      </w:r>
    </w:p>
    <w:p>
      <w:pPr>
        <w:sectPr>
          <w:pgSz w:w="11900" w:h="16838" w:orient="portrait"/>
          <w:cols w:equalWidth="0" w:num="1">
            <w:col w:w="10180"/>
          </w:cols>
          <w:pgMar w:left="320" w:top="131" w:right="139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p>
      <w:pPr>
        <w:ind w:left="4240"/>
        <w:spacing w:after="0"/>
        <w:tabs>
          <w:tab w:leader="none" w:pos="9860" w:val="left"/>
        </w:tabs>
        <w:rPr>
          <w:sz w:val="20"/>
          <w:szCs w:val="20"/>
          <w:color w:val="auto"/>
        </w:rPr>
      </w:pPr>
      <w:r>
        <w:rPr>
          <w:rFonts w:ascii="Arial" w:cs="Arial" w:eastAsia="Arial" w:hAnsi="Arial"/>
          <w:sz w:val="13"/>
          <w:szCs w:val="13"/>
          <w:b w:val="1"/>
          <w:bCs w:val="1"/>
          <w:color w:val="4800E6"/>
        </w:rPr>
        <w:t xml:space="preserve">LIVANOVA </w:t>
      </w:r>
      <w:r>
        <w:rPr>
          <w:rFonts w:ascii="Arial" w:cs="Arial" w:eastAsia="Arial" w:hAnsi="Arial"/>
          <w:sz w:val="13"/>
          <w:szCs w:val="13"/>
          <w:color w:val="000000"/>
        </w:rPr>
        <w:t>|</w:t>
      </w:r>
      <w:r>
        <w:rPr>
          <w:rFonts w:ascii="Arial" w:cs="Arial" w:eastAsia="Arial" w:hAnsi="Arial"/>
          <w:sz w:val="13"/>
          <w:szCs w:val="13"/>
          <w:b w:val="1"/>
          <w:bCs w:val="1"/>
          <w:color w:val="4800E6"/>
        </w:rPr>
        <w:t xml:space="preserve"> </w:t>
      </w:r>
      <w:r>
        <w:rPr>
          <w:rFonts w:ascii="Arial" w:cs="Arial" w:eastAsia="Arial" w:hAnsi="Arial"/>
          <w:sz w:val="13"/>
          <w:szCs w:val="13"/>
          <w:color w:val="4800E6"/>
        </w:rPr>
        <w:t>2020</w:t>
      </w:r>
      <w:r>
        <w:rPr>
          <w:rFonts w:ascii="Arial" w:cs="Arial" w:eastAsia="Arial" w:hAnsi="Arial"/>
          <w:sz w:val="13"/>
          <w:szCs w:val="13"/>
          <w:b w:val="1"/>
          <w:bCs w:val="1"/>
          <w:color w:val="4800E6"/>
        </w:rPr>
        <w:t xml:space="preserve"> </w:t>
      </w:r>
      <w:r>
        <w:rPr>
          <w:rFonts w:ascii="Arial" w:cs="Arial" w:eastAsia="Arial" w:hAnsi="Arial"/>
          <w:sz w:val="13"/>
          <w:szCs w:val="13"/>
          <w:color w:val="000000"/>
        </w:rPr>
        <w:t>Proxy Statement</w:t>
      </w:r>
      <w:r>
        <w:rPr>
          <w:sz w:val="20"/>
          <w:szCs w:val="20"/>
          <w:color w:val="auto"/>
        </w:rPr>
        <w:tab/>
      </w:r>
      <w:r>
        <w:rPr>
          <w:rFonts w:ascii="Arial" w:cs="Arial" w:eastAsia="Arial" w:hAnsi="Arial"/>
          <w:sz w:val="20"/>
          <w:szCs w:val="20"/>
          <w:b w:val="1"/>
          <w:bCs w:val="1"/>
          <w:color w:val="auto"/>
          <w:vertAlign w:val="subscript"/>
        </w:rPr>
        <w:t>A-25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502285</wp:posOffset>
            </wp:positionH>
            <wp:positionV relativeFrom="paragraph">
              <wp:posOffset>55245</wp:posOffset>
            </wp:positionV>
            <wp:extent cx="1954530" cy="8255"/>
            <wp:wrapNone/>
            <wp:docPr id="448" name="Picture 4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8"/>
                    <pic:cNvPicPr>
                      <a:picLocks noChangeAspect="1" noChangeArrowheads="1"/>
                    </pic:cNvPicPr>
                  </pic:nvPicPr>
                  <pic:blipFill>
                    <a:blip r:embed="rId455">
                      <a:extLst>
                        <a:ext uri="{28A0092B-C50C-407E-A947-70E740481C1C}"/>
                      </a:extLst>
                    </a:blip>
                    <a:srcRect/>
                    <a:stretch>
                      <a:fillRect/>
                    </a:stretch>
                  </pic:blipFill>
                  <pic:spPr bwMode="auto">
                    <a:xfrm>
                      <a:off x="0" y="0"/>
                      <a:ext cx="1954530" cy="8255"/>
                    </a:xfrm>
                    <a:prstGeom prst="rect">
                      <a:avLst/>
                    </a:prstGeom>
                    <a:noFill/>
                  </pic:spPr>
                </pic:pic>
              </a:graphicData>
            </a:graphic>
          </wp:anchor>
        </w:drawing>
        <w:drawing>
          <wp:anchor simplePos="0" relativeHeight="251657728" behindDoc="1" locked="0" layoutInCell="0" allowOverlap="1">
            <wp:simplePos x="0" y="0"/>
            <wp:positionH relativeFrom="column">
              <wp:posOffset>4196715</wp:posOffset>
            </wp:positionH>
            <wp:positionV relativeFrom="paragraph">
              <wp:posOffset>55245</wp:posOffset>
            </wp:positionV>
            <wp:extent cx="1954530" cy="8255"/>
            <wp:wrapNone/>
            <wp:docPr id="449" name="Picture 4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9"/>
                    <pic:cNvPicPr>
                      <a:picLocks noChangeAspect="1" noChangeArrowheads="1"/>
                    </pic:cNvPicPr>
                  </pic:nvPicPr>
                  <pic:blipFill>
                    <a:blip r:embed="rId456">
                      <a:extLst>
                        <a:ext uri="{28A0092B-C50C-407E-A947-70E740481C1C}"/>
                      </a:extLst>
                    </a:blip>
                    <a:srcRect/>
                    <a:stretch>
                      <a:fillRect/>
                    </a:stretch>
                  </pic:blipFill>
                  <pic:spPr bwMode="auto">
                    <a:xfrm>
                      <a:off x="0" y="0"/>
                      <a:ext cx="195453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192405</wp:posOffset>
            </wp:positionV>
            <wp:extent cx="6806565" cy="17145"/>
            <wp:wrapNone/>
            <wp:docPr id="450" name="Picture 4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0"/>
                    <pic:cNvPicPr>
                      <a:picLocks noChangeAspect="1" noChangeArrowheads="1"/>
                    </pic:cNvPicPr>
                  </pic:nvPicPr>
                  <pic:blipFill>
                    <a:blip r:embed="rId457">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10180"/>
          </w:cols>
          <w:pgMar w:left="320" w:top="131" w:right="1399" w:bottom="1440" w:gutter="0" w:footer="0" w:header="0"/>
          <w:type w:val="continuous"/>
        </w:sectPr>
      </w:pPr>
    </w:p>
    <w:bookmarkStart w:id="104" w:name="page105"/>
    <w:bookmarkEnd w:id="104"/>
    <w:p>
      <w:pPr>
        <w:spacing w:after="0"/>
        <w:rPr>
          <w:rFonts w:ascii="Arial" w:cs="Arial" w:eastAsia="Arial" w:hAnsi="Arial"/>
          <w:sz w:val="14"/>
          <w:szCs w:val="14"/>
          <w:color w:val="003366"/>
        </w:rPr>
      </w:pPr>
      <w:hyperlink w:anchor="page77">
        <w:r>
          <w:rPr>
            <w:rFonts w:ascii="Arial" w:cs="Arial" w:eastAsia="Arial" w:hAnsi="Arial"/>
            <w:sz w:val="14"/>
            <w:szCs w:val="14"/>
            <w:color w:val="003366"/>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485140</wp:posOffset>
            </wp:positionH>
            <wp:positionV relativeFrom="paragraph">
              <wp:posOffset>356870</wp:posOffset>
            </wp:positionV>
            <wp:extent cx="5829300" cy="8255"/>
            <wp:wrapNone/>
            <wp:docPr id="451" name="Picture 4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1"/>
                    <pic:cNvPicPr>
                      <a:picLocks noChangeAspect="1" noChangeArrowheads="1"/>
                    </pic:cNvPicPr>
                  </pic:nvPicPr>
                  <pic:blipFill>
                    <a:blip r:embed="rId458">
                      <a:extLst>
                        <a:ext uri="{28A0092B-C50C-407E-A947-70E740481C1C}"/>
                      </a:extLst>
                    </a:blip>
                    <a:srcRect/>
                    <a:stretch>
                      <a:fillRect/>
                    </a:stretch>
                  </pic:blipFill>
                  <pic:spPr bwMode="auto">
                    <a:xfrm>
                      <a:off x="0" y="0"/>
                      <a:ext cx="5829300" cy="8255"/>
                    </a:xfrm>
                    <a:prstGeom prst="rect">
                      <a:avLst/>
                    </a:prstGeom>
                    <a:noFill/>
                  </pic:spPr>
                </pic:pic>
              </a:graphicData>
            </a:graphic>
          </wp:anchor>
        </w:drawing>
      </w:r>
    </w:p>
    <w:p>
      <w:pPr>
        <w:sectPr>
          <w:pgSz w:w="11900" w:h="16838" w:orient="portrait"/>
          <w:cols w:equalWidth="0" w:num="1">
            <w:col w:w="10139"/>
          </w:cols>
          <w:pgMar w:left="320" w:top="131"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ind w:left="1200" w:hanging="436"/>
        <w:spacing w:after="0"/>
        <w:tabs>
          <w:tab w:leader="none" w:pos="1200" w:val="left"/>
        </w:tabs>
        <w:numPr>
          <w:ilvl w:val="0"/>
          <w:numId w:val="170"/>
        </w:numPr>
        <w:rPr>
          <w:rFonts w:ascii="Arial" w:cs="Arial" w:eastAsia="Arial" w:hAnsi="Arial"/>
          <w:sz w:val="16"/>
          <w:szCs w:val="16"/>
          <w:b w:val="1"/>
          <w:bCs w:val="1"/>
          <w:color w:val="auto"/>
        </w:rPr>
      </w:pPr>
      <w:r>
        <w:rPr>
          <w:rFonts w:ascii="Arial" w:cs="Arial" w:eastAsia="Arial" w:hAnsi="Arial"/>
          <w:sz w:val="16"/>
          <w:szCs w:val="16"/>
          <w:b w:val="1"/>
          <w:bCs w:val="1"/>
          <w:color w:val="auto"/>
        </w:rPr>
        <w:t>EXECUTIVE DIRECTORS</w:t>
      </w:r>
    </w:p>
    <w:p>
      <w:pPr>
        <w:spacing w:after="0" w:line="106" w:lineRule="exact"/>
        <w:rPr>
          <w:sz w:val="20"/>
          <w:szCs w:val="20"/>
          <w:color w:val="auto"/>
        </w:rPr>
      </w:pPr>
    </w:p>
    <w:p>
      <w:pPr>
        <w:ind w:left="1200" w:right="239" w:hanging="431"/>
        <w:spacing w:after="0" w:line="248" w:lineRule="auto"/>
        <w:rPr>
          <w:sz w:val="20"/>
          <w:szCs w:val="20"/>
          <w:color w:val="auto"/>
        </w:rPr>
      </w:pPr>
      <w:r>
        <w:rPr>
          <w:rFonts w:ascii="Arial" w:cs="Arial" w:eastAsia="Arial" w:hAnsi="Arial"/>
          <w:sz w:val="16"/>
          <w:szCs w:val="16"/>
          <w:color w:val="auto"/>
        </w:rPr>
        <w:t xml:space="preserve">31.1 Subject to the provisions of the Companies Act, the </w:t>
      </w:r>
      <w:r>
        <w:rPr>
          <w:rFonts w:ascii="Arial" w:cs="Arial" w:eastAsia="Arial" w:hAnsi="Arial"/>
          <w:sz w:val="16"/>
          <w:szCs w:val="16"/>
          <w:color w:val="auto"/>
          <w:strike w:val="1"/>
        </w:rPr>
        <w:t>Directors</w:t>
      </w:r>
      <w:r>
        <w:rPr>
          <w:rFonts w:ascii="Arial" w:cs="Arial" w:eastAsia="Arial" w:hAnsi="Arial"/>
          <w:sz w:val="16"/>
          <w:szCs w:val="16"/>
          <w:u w:val="single" w:color="auto"/>
          <w:color w:val="auto"/>
        </w:rPr>
        <w:t>Board</w:t>
      </w:r>
      <w:r>
        <w:rPr>
          <w:rFonts w:ascii="Arial" w:cs="Arial" w:eastAsia="Arial" w:hAnsi="Arial"/>
          <w:sz w:val="16"/>
          <w:szCs w:val="16"/>
          <w:color w:val="auto"/>
        </w:rPr>
        <w:t xml:space="preserve"> may appoint one or more of their number to the office of chief executive or to any other executive office of the Company (including, without limitation, to hold the office of president and/or treasurer but excluding that of auditor) and any such appointment may be made for such terms, at such remuneration and on such other conditions as the </w:t>
      </w:r>
      <w:r>
        <w:rPr>
          <w:rFonts w:ascii="Arial" w:cs="Arial" w:eastAsia="Arial" w:hAnsi="Arial"/>
          <w:sz w:val="16"/>
          <w:szCs w:val="16"/>
          <w:color w:val="auto"/>
          <w:strike w:val="1"/>
        </w:rPr>
        <w:t>Directors think fit. The Company may enter into an agreement or arrangement with any</w:t>
      </w:r>
      <w:r>
        <w:rPr>
          <w:rFonts w:ascii="Arial" w:cs="Arial" w:eastAsia="Arial" w:hAnsi="Arial"/>
          <w:sz w:val="16"/>
          <w:szCs w:val="16"/>
          <w:color w:val="auto"/>
        </w:rPr>
        <w:t xml:space="preserve"> </w:t>
      </w:r>
      <w:r>
        <w:rPr>
          <w:rFonts w:ascii="Arial" w:cs="Arial" w:eastAsia="Arial" w:hAnsi="Arial"/>
          <w:sz w:val="16"/>
          <w:szCs w:val="16"/>
          <w:color w:val="auto"/>
          <w:strike w:val="1"/>
        </w:rPr>
        <w:t xml:space="preserve">such Director for his employment by the Company or for the provision by him of any services outside the scope of the ordinary duties of a Director. The Board may revoke or vary any such appointment but without prejudice to any rights or claims which the person whose appointment is revoked or varied may have against the Company because of the revocation or variation. </w:t>
      </w:r>
      <w:r>
        <w:rPr>
          <w:rFonts w:ascii="Arial" w:cs="Arial" w:eastAsia="Arial" w:hAnsi="Arial"/>
          <w:sz w:val="16"/>
          <w:szCs w:val="16"/>
          <w:u w:val="single" w:color="auto"/>
          <w:color w:val="auto"/>
          <w:strike w:val="1"/>
        </w:rPr>
        <w:t>Board thinks fit.</w:t>
      </w:r>
    </w:p>
    <w:p>
      <w:pPr>
        <w:spacing w:after="0" w:line="72" w:lineRule="exact"/>
        <w:rPr>
          <w:sz w:val="20"/>
          <w:szCs w:val="20"/>
          <w:color w:val="auto"/>
        </w:rPr>
      </w:pPr>
    </w:p>
    <w:p>
      <w:pPr>
        <w:ind w:left="1200" w:right="599" w:hanging="431"/>
        <w:spacing w:after="0" w:line="251" w:lineRule="auto"/>
        <w:rPr>
          <w:sz w:val="20"/>
          <w:szCs w:val="20"/>
          <w:color w:val="auto"/>
        </w:rPr>
      </w:pPr>
      <w:r>
        <w:rPr>
          <w:rFonts w:ascii="Arial" w:cs="Arial" w:eastAsia="Arial" w:hAnsi="Arial"/>
          <w:sz w:val="16"/>
          <w:szCs w:val="16"/>
          <w:color w:val="auto"/>
        </w:rPr>
        <w:t xml:space="preserve">31.2 Any appointment of a Director to an executive office shall terminate if </w:t>
      </w:r>
      <w:r>
        <w:rPr>
          <w:rFonts w:ascii="Arial" w:cs="Arial" w:eastAsia="Arial" w:hAnsi="Arial"/>
          <w:sz w:val="16"/>
          <w:szCs w:val="16"/>
          <w:color w:val="auto"/>
          <w:strike w:val="1"/>
        </w:rPr>
        <w:t>he ceases</w:t>
      </w:r>
      <w:r>
        <w:rPr>
          <w:rFonts w:ascii="Arial" w:cs="Arial" w:eastAsia="Arial" w:hAnsi="Arial"/>
          <w:sz w:val="16"/>
          <w:szCs w:val="16"/>
          <w:u w:val="single" w:color="auto"/>
          <w:color w:val="auto"/>
        </w:rPr>
        <w:t>they cease</w:t>
      </w:r>
      <w:r>
        <w:rPr>
          <w:rFonts w:ascii="Arial" w:cs="Arial" w:eastAsia="Arial" w:hAnsi="Arial"/>
          <w:sz w:val="16"/>
          <w:szCs w:val="16"/>
          <w:color w:val="auto"/>
        </w:rPr>
        <w:t xml:space="preserve"> to be a Director but without prejudice to any rights or claims which </w:t>
      </w:r>
      <w:r>
        <w:rPr>
          <w:rFonts w:ascii="Arial" w:cs="Arial" w:eastAsia="Arial" w:hAnsi="Arial"/>
          <w:sz w:val="16"/>
          <w:szCs w:val="16"/>
          <w:color w:val="auto"/>
          <w:strike w:val="1"/>
        </w:rPr>
        <w:t>he</w:t>
      </w:r>
      <w:r>
        <w:rPr>
          <w:rFonts w:ascii="Arial" w:cs="Arial" w:eastAsia="Arial" w:hAnsi="Arial"/>
          <w:sz w:val="16"/>
          <w:szCs w:val="16"/>
          <w:u w:val="single" w:color="auto"/>
          <w:color w:val="auto"/>
        </w:rPr>
        <w:t>they</w:t>
      </w:r>
      <w:r>
        <w:rPr>
          <w:rFonts w:ascii="Arial" w:cs="Arial" w:eastAsia="Arial" w:hAnsi="Arial"/>
          <w:sz w:val="16"/>
          <w:szCs w:val="16"/>
          <w:color w:val="auto"/>
        </w:rPr>
        <w:t xml:space="preserve"> may have against the Company by reason of that cessation. A Director appointed to an executive office shall not cease to be a Director merely because </w:t>
      </w:r>
      <w:r>
        <w:rPr>
          <w:rFonts w:ascii="Arial" w:cs="Arial" w:eastAsia="Arial" w:hAnsi="Arial"/>
          <w:sz w:val="16"/>
          <w:szCs w:val="16"/>
          <w:color w:val="auto"/>
          <w:strike w:val="1"/>
        </w:rPr>
        <w:t>his</w:t>
      </w:r>
      <w:r>
        <w:rPr>
          <w:rFonts w:ascii="Arial" w:cs="Arial" w:eastAsia="Arial" w:hAnsi="Arial"/>
          <w:sz w:val="16"/>
          <w:szCs w:val="16"/>
          <w:u w:val="single" w:color="auto"/>
          <w:color w:val="auto"/>
        </w:rPr>
        <w:t>their</w:t>
      </w:r>
      <w:r>
        <w:rPr>
          <w:rFonts w:ascii="Arial" w:cs="Arial" w:eastAsia="Arial" w:hAnsi="Arial"/>
          <w:sz w:val="16"/>
          <w:szCs w:val="16"/>
          <w:color w:val="auto"/>
        </w:rPr>
        <w:t xml:space="preserve"> appointment to such executive office terminates.</w:t>
      </w:r>
    </w:p>
    <w:p>
      <w:pPr>
        <w:spacing w:after="0" w:line="67" w:lineRule="exact"/>
        <w:rPr>
          <w:sz w:val="20"/>
          <w:szCs w:val="20"/>
          <w:color w:val="auto"/>
        </w:rPr>
      </w:pPr>
    </w:p>
    <w:p>
      <w:pPr>
        <w:ind w:left="1200" w:right="239" w:hanging="431"/>
        <w:spacing w:after="0" w:line="249" w:lineRule="auto"/>
        <w:rPr>
          <w:sz w:val="20"/>
          <w:szCs w:val="20"/>
          <w:color w:val="auto"/>
        </w:rPr>
      </w:pPr>
      <w:r>
        <w:rPr>
          <w:rFonts w:ascii="Arial" w:cs="Arial" w:eastAsia="Arial" w:hAnsi="Arial"/>
          <w:sz w:val="16"/>
          <w:szCs w:val="16"/>
          <w:color w:val="auto"/>
        </w:rPr>
        <w:t xml:space="preserve">31.3 The emoluments of any Directors holding executive office for </w:t>
      </w:r>
      <w:r>
        <w:rPr>
          <w:rFonts w:ascii="Arial" w:cs="Arial" w:eastAsia="Arial" w:hAnsi="Arial"/>
          <w:sz w:val="16"/>
          <w:szCs w:val="16"/>
          <w:color w:val="auto"/>
          <w:strike w:val="1"/>
        </w:rPr>
        <w:t>his</w:t>
      </w:r>
      <w:r>
        <w:rPr>
          <w:rFonts w:ascii="Arial" w:cs="Arial" w:eastAsia="Arial" w:hAnsi="Arial"/>
          <w:sz w:val="16"/>
          <w:szCs w:val="16"/>
          <w:u w:val="single" w:color="auto"/>
          <w:color w:val="auto"/>
        </w:rPr>
        <w:t>their</w:t>
      </w:r>
      <w:r>
        <w:rPr>
          <w:rFonts w:ascii="Arial" w:cs="Arial" w:eastAsia="Arial" w:hAnsi="Arial"/>
          <w:sz w:val="16"/>
          <w:szCs w:val="16"/>
          <w:color w:val="auto"/>
        </w:rPr>
        <w:t xml:space="preserve"> services shall be determined by the Board</w:t>
      </w:r>
      <w:r>
        <w:rPr>
          <w:rFonts w:ascii="Arial" w:cs="Arial" w:eastAsia="Arial" w:hAnsi="Arial"/>
          <w:sz w:val="16"/>
          <w:szCs w:val="16"/>
          <w:color w:val="auto"/>
          <w:strike w:val="1"/>
        </w:rPr>
        <w:t>,</w:t>
      </w:r>
      <w:r>
        <w:rPr>
          <w:rFonts w:ascii="Arial" w:cs="Arial" w:eastAsia="Arial" w:hAnsi="Arial"/>
          <w:sz w:val="16"/>
          <w:szCs w:val="16"/>
          <w:color w:val="auto"/>
        </w:rPr>
        <w:t xml:space="preserve"> </w:t>
      </w:r>
      <w:r>
        <w:rPr>
          <w:rFonts w:ascii="Arial" w:cs="Arial" w:eastAsia="Arial" w:hAnsi="Arial"/>
          <w:sz w:val="16"/>
          <w:szCs w:val="16"/>
          <w:u w:val="single" w:color="auto"/>
          <w:color w:val="auto"/>
        </w:rPr>
        <w:t>in</w:t>
      </w:r>
      <w:r>
        <w:rPr>
          <w:rFonts w:ascii="Arial" w:cs="Arial" w:eastAsia="Arial" w:hAnsi="Arial"/>
          <w:sz w:val="16"/>
          <w:szCs w:val="16"/>
          <w:color w:val="auto"/>
        </w:rPr>
        <w:t xml:space="preserve"> </w:t>
      </w:r>
      <w:r>
        <w:rPr>
          <w:rFonts w:ascii="Arial" w:cs="Arial" w:eastAsia="Arial" w:hAnsi="Arial"/>
          <w:sz w:val="16"/>
          <w:szCs w:val="16"/>
          <w:u w:val="single" w:color="auto"/>
          <w:color w:val="auto"/>
        </w:rPr>
        <w:t>accordance with Article</w:t>
      </w:r>
      <w:r>
        <w:rPr>
          <w:rFonts w:ascii="Arial" w:cs="Arial" w:eastAsia="Arial" w:hAnsi="Arial"/>
          <w:sz w:val="16"/>
          <w:szCs w:val="16"/>
          <w:color w:val="auto"/>
        </w:rPr>
        <w:t xml:space="preserve"> 25.6, and may be of any description, including without limitation admission to, or continuance of, membership of any scheme (including any share acquisition scheme) or fund instituted or established or financed or contributed to by the Company for the provision of pensions, life assurance or other benefits for employees or their dependants, or the payment of a pension or other benefits to </w:t>
      </w:r>
      <w:r>
        <w:rPr>
          <w:rFonts w:ascii="Arial" w:cs="Arial" w:eastAsia="Arial" w:hAnsi="Arial"/>
          <w:sz w:val="16"/>
          <w:szCs w:val="16"/>
          <w:color w:val="auto"/>
          <w:strike w:val="1"/>
        </w:rPr>
        <w:t>him</w:t>
      </w:r>
      <w:r>
        <w:rPr>
          <w:rFonts w:ascii="Arial" w:cs="Arial" w:eastAsia="Arial" w:hAnsi="Arial"/>
          <w:sz w:val="16"/>
          <w:szCs w:val="16"/>
          <w:u w:val="single" w:color="auto"/>
          <w:color w:val="auto"/>
        </w:rPr>
        <w:t>them</w:t>
      </w:r>
      <w:r>
        <w:rPr>
          <w:rFonts w:ascii="Arial" w:cs="Arial" w:eastAsia="Arial" w:hAnsi="Arial"/>
          <w:sz w:val="16"/>
          <w:szCs w:val="16"/>
          <w:color w:val="auto"/>
        </w:rPr>
        <w:t xml:space="preserve"> or </w:t>
      </w:r>
      <w:r>
        <w:rPr>
          <w:rFonts w:ascii="Arial" w:cs="Arial" w:eastAsia="Arial" w:hAnsi="Arial"/>
          <w:sz w:val="16"/>
          <w:szCs w:val="16"/>
          <w:color w:val="auto"/>
          <w:strike w:val="1"/>
        </w:rPr>
        <w:t>his</w:t>
      </w:r>
      <w:r>
        <w:rPr>
          <w:rFonts w:ascii="Arial" w:cs="Arial" w:eastAsia="Arial" w:hAnsi="Arial"/>
          <w:sz w:val="16"/>
          <w:szCs w:val="16"/>
          <w:u w:val="single" w:color="auto"/>
          <w:color w:val="auto"/>
        </w:rPr>
        <w:t>their</w:t>
      </w:r>
      <w:r>
        <w:rPr>
          <w:rFonts w:ascii="Arial" w:cs="Arial" w:eastAsia="Arial" w:hAnsi="Arial"/>
          <w:sz w:val="16"/>
          <w:szCs w:val="16"/>
          <w:color w:val="auto"/>
        </w:rPr>
        <w:t xml:space="preserve"> dependants on or after retirement or death, apart from membership of any such scheme or fund.</w:t>
      </w:r>
    </w:p>
    <w:p>
      <w:pPr>
        <w:spacing w:after="0" w:line="50" w:lineRule="exact"/>
        <w:rPr>
          <w:sz w:val="20"/>
          <w:szCs w:val="20"/>
          <w:color w:val="auto"/>
        </w:rPr>
      </w:pPr>
    </w:p>
    <w:p>
      <w:pPr>
        <w:ind w:left="1200" w:hanging="436"/>
        <w:spacing w:after="0"/>
        <w:tabs>
          <w:tab w:leader="none" w:pos="1200" w:val="left"/>
        </w:tabs>
        <w:numPr>
          <w:ilvl w:val="0"/>
          <w:numId w:val="171"/>
        </w:numPr>
        <w:rPr>
          <w:rFonts w:ascii="Arial" w:cs="Arial" w:eastAsia="Arial" w:hAnsi="Arial"/>
          <w:sz w:val="16"/>
          <w:szCs w:val="16"/>
          <w:b w:val="1"/>
          <w:bCs w:val="1"/>
          <w:color w:val="auto"/>
        </w:rPr>
      </w:pPr>
      <w:r>
        <w:rPr>
          <w:rFonts w:ascii="Arial" w:cs="Arial" w:eastAsia="Arial" w:hAnsi="Arial"/>
          <w:sz w:val="16"/>
          <w:szCs w:val="16"/>
          <w:b w:val="1"/>
          <w:bCs w:val="1"/>
          <w:color w:val="auto"/>
        </w:rPr>
        <w:t>DIRECTORS’ INTERESTS</w:t>
      </w:r>
    </w:p>
    <w:p>
      <w:pPr>
        <w:spacing w:after="0" w:line="106" w:lineRule="exact"/>
        <w:rPr>
          <w:sz w:val="20"/>
          <w:szCs w:val="20"/>
          <w:color w:val="auto"/>
        </w:rPr>
      </w:pPr>
    </w:p>
    <w:p>
      <w:pPr>
        <w:ind w:left="1200" w:right="239" w:hanging="431"/>
        <w:spacing w:after="0" w:line="260" w:lineRule="auto"/>
        <w:rPr>
          <w:sz w:val="20"/>
          <w:szCs w:val="20"/>
          <w:color w:val="auto"/>
        </w:rPr>
      </w:pPr>
      <w:r>
        <w:rPr>
          <w:rFonts w:ascii="Arial" w:cs="Arial" w:eastAsia="Arial" w:hAnsi="Arial"/>
          <w:sz w:val="16"/>
          <w:szCs w:val="16"/>
          <w:color w:val="auto"/>
        </w:rPr>
        <w:t>32.1 For the purposes of these Articles (i) a conflict of interest includes (x) a conflict of interest and duty and (y) a conflict of duties and (ii) interest includes both direct and indirect interests.</w:t>
      </w:r>
    </w:p>
    <w:p>
      <w:pPr>
        <w:spacing w:after="0" w:line="60" w:lineRule="exact"/>
        <w:rPr>
          <w:sz w:val="20"/>
          <w:szCs w:val="20"/>
          <w:color w:val="auto"/>
        </w:rPr>
      </w:pPr>
    </w:p>
    <w:p>
      <w:pPr>
        <w:ind w:left="760"/>
        <w:spacing w:after="0"/>
        <w:rPr>
          <w:sz w:val="20"/>
          <w:szCs w:val="20"/>
          <w:color w:val="auto"/>
        </w:rPr>
      </w:pPr>
      <w:r>
        <w:rPr>
          <w:rFonts w:ascii="Arial" w:cs="Arial" w:eastAsia="Arial" w:hAnsi="Arial"/>
          <w:sz w:val="16"/>
          <w:szCs w:val="16"/>
          <w:color w:val="auto"/>
        </w:rPr>
        <w:t xml:space="preserve">32.2  A </w:t>
      </w:r>
      <w:r>
        <w:rPr>
          <w:rFonts w:ascii="Arial" w:cs="Arial" w:eastAsia="Arial" w:hAnsi="Arial"/>
          <w:sz w:val="16"/>
          <w:szCs w:val="16"/>
          <w:color w:val="auto"/>
          <w:strike w:val="1"/>
        </w:rPr>
        <w:t>director</w:t>
      </w:r>
      <w:r>
        <w:rPr>
          <w:rFonts w:ascii="Arial" w:cs="Arial" w:eastAsia="Arial" w:hAnsi="Arial"/>
          <w:sz w:val="16"/>
          <w:szCs w:val="16"/>
          <w:u w:val="single" w:color="auto"/>
          <w:color w:val="auto"/>
        </w:rPr>
        <w:t>Director</w:t>
      </w:r>
      <w:r>
        <w:rPr>
          <w:rFonts w:ascii="Arial" w:cs="Arial" w:eastAsia="Arial" w:hAnsi="Arial"/>
          <w:sz w:val="16"/>
          <w:szCs w:val="16"/>
          <w:color w:val="auto"/>
        </w:rPr>
        <w:t xml:space="preserve"> shall be authorised for the purposes of section 175 of the </w:t>
      </w:r>
      <w:r>
        <w:rPr>
          <w:rFonts w:ascii="Arial" w:cs="Arial" w:eastAsia="Arial" w:hAnsi="Arial"/>
          <w:sz w:val="16"/>
          <w:szCs w:val="16"/>
          <w:u w:val="single" w:color="auto"/>
          <w:color w:val="auto"/>
        </w:rPr>
        <w:t>Companies</w:t>
      </w:r>
      <w:r>
        <w:rPr>
          <w:rFonts w:ascii="Arial" w:cs="Arial" w:eastAsia="Arial" w:hAnsi="Arial"/>
          <w:sz w:val="16"/>
          <w:szCs w:val="16"/>
          <w:color w:val="auto"/>
        </w:rPr>
        <w:t xml:space="preserve"> Act to act or continue to act as a</w:t>
      </w:r>
    </w:p>
    <w:p>
      <w:pPr>
        <w:spacing w:after="0" w:line="5" w:lineRule="exact"/>
        <w:rPr>
          <w:sz w:val="20"/>
          <w:szCs w:val="20"/>
          <w:color w:val="auto"/>
        </w:rPr>
      </w:pPr>
    </w:p>
    <w:p>
      <w:pPr>
        <w:ind w:left="1200"/>
        <w:spacing w:after="0"/>
        <w:rPr>
          <w:sz w:val="20"/>
          <w:szCs w:val="20"/>
          <w:color w:val="auto"/>
        </w:rPr>
      </w:pPr>
      <w:r>
        <w:rPr>
          <w:rFonts w:ascii="Arial" w:cs="Arial" w:eastAsia="Arial" w:hAnsi="Arial"/>
          <w:sz w:val="16"/>
          <w:szCs w:val="16"/>
          <w:color w:val="auto"/>
          <w:strike w:val="1"/>
        </w:rPr>
        <w:t>director of the Company</w:t>
      </w:r>
      <w:r>
        <w:rPr>
          <w:rFonts w:ascii="Arial" w:cs="Arial" w:eastAsia="Arial" w:hAnsi="Arial"/>
          <w:sz w:val="16"/>
          <w:szCs w:val="16"/>
          <w:u w:val="single" w:color="auto"/>
          <w:color w:val="auto"/>
        </w:rPr>
        <w:t>Director</w:t>
      </w:r>
      <w:r>
        <w:rPr>
          <w:rFonts w:ascii="Arial" w:cs="Arial" w:eastAsia="Arial" w:hAnsi="Arial"/>
          <w:sz w:val="16"/>
          <w:szCs w:val="16"/>
          <w:color w:val="auto"/>
        </w:rPr>
        <w:t xml:space="preserve"> notwithstanding that at the time of </w:t>
      </w:r>
      <w:r>
        <w:rPr>
          <w:rFonts w:ascii="Arial" w:cs="Arial" w:eastAsia="Arial" w:hAnsi="Arial"/>
          <w:sz w:val="16"/>
          <w:szCs w:val="16"/>
          <w:color w:val="auto"/>
          <w:strike w:val="1"/>
        </w:rPr>
        <w:t>his</w:t>
      </w:r>
      <w:r>
        <w:rPr>
          <w:rFonts w:ascii="Arial" w:cs="Arial" w:eastAsia="Arial" w:hAnsi="Arial"/>
          <w:sz w:val="16"/>
          <w:szCs w:val="16"/>
          <w:u w:val="single" w:color="auto"/>
          <w:color w:val="auto"/>
        </w:rPr>
        <w:t>their</w:t>
      </w:r>
      <w:r>
        <w:rPr>
          <w:rFonts w:ascii="Arial" w:cs="Arial" w:eastAsia="Arial" w:hAnsi="Arial"/>
          <w:sz w:val="16"/>
          <w:szCs w:val="16"/>
          <w:color w:val="auto"/>
        </w:rPr>
        <w:t xml:space="preserve"> appointment or subsequently </w:t>
      </w:r>
      <w:r>
        <w:rPr>
          <w:rFonts w:ascii="Arial" w:cs="Arial" w:eastAsia="Arial" w:hAnsi="Arial"/>
          <w:sz w:val="16"/>
          <w:szCs w:val="16"/>
          <w:color w:val="auto"/>
          <w:strike w:val="1"/>
        </w:rPr>
        <w:t>he</w:t>
      </w:r>
      <w:r>
        <w:rPr>
          <w:rFonts w:ascii="Arial" w:cs="Arial" w:eastAsia="Arial" w:hAnsi="Arial"/>
          <w:sz w:val="16"/>
          <w:szCs w:val="16"/>
          <w:u w:val="single" w:color="auto"/>
          <w:color w:val="auto"/>
        </w:rPr>
        <w:t>they</w:t>
      </w:r>
      <w:r>
        <w:rPr>
          <w:rFonts w:ascii="Arial" w:cs="Arial" w:eastAsia="Arial" w:hAnsi="Arial"/>
          <w:sz w:val="16"/>
          <w:szCs w:val="16"/>
          <w:color w:val="auto"/>
        </w:rPr>
        <w:t xml:space="preserve"> also</w:t>
      </w:r>
    </w:p>
    <w:p>
      <w:pPr>
        <w:spacing w:after="0" w:line="5" w:lineRule="exact"/>
        <w:rPr>
          <w:sz w:val="20"/>
          <w:szCs w:val="20"/>
          <w:color w:val="auto"/>
        </w:rPr>
      </w:pPr>
    </w:p>
    <w:p>
      <w:pPr>
        <w:ind w:left="1200"/>
        <w:spacing w:after="0"/>
        <w:rPr>
          <w:sz w:val="20"/>
          <w:szCs w:val="20"/>
          <w:color w:val="auto"/>
        </w:rPr>
      </w:pPr>
      <w:r>
        <w:rPr>
          <w:rFonts w:ascii="Arial" w:cs="Arial" w:eastAsia="Arial" w:hAnsi="Arial"/>
          <w:sz w:val="15"/>
          <w:szCs w:val="15"/>
          <w:color w:val="auto"/>
          <w:strike w:val="1"/>
        </w:rPr>
        <w:t>holds</w:t>
      </w:r>
      <w:r>
        <w:rPr>
          <w:rFonts w:ascii="Arial" w:cs="Arial" w:eastAsia="Arial" w:hAnsi="Arial"/>
          <w:sz w:val="15"/>
          <w:szCs w:val="15"/>
          <w:u w:val="single" w:color="auto"/>
          <w:color w:val="auto"/>
        </w:rPr>
        <w:t>hold</w:t>
      </w:r>
      <w:r>
        <w:rPr>
          <w:rFonts w:ascii="Arial" w:cs="Arial" w:eastAsia="Arial" w:hAnsi="Arial"/>
          <w:sz w:val="15"/>
          <w:szCs w:val="15"/>
          <w:color w:val="auto"/>
        </w:rPr>
        <w:t xml:space="preserve"> office as a director of, or holds any other office, employment or engagement with, any other member of the Group.</w:t>
      </w:r>
    </w:p>
    <w:p>
      <w:pPr>
        <w:spacing w:after="0" w:line="98" w:lineRule="exact"/>
        <w:rPr>
          <w:sz w:val="20"/>
          <w:szCs w:val="20"/>
          <w:color w:val="auto"/>
        </w:rPr>
      </w:pPr>
    </w:p>
    <w:p>
      <w:pPr>
        <w:ind w:left="1200" w:right="399" w:hanging="431"/>
        <w:spacing w:after="0" w:line="253" w:lineRule="auto"/>
        <w:rPr>
          <w:sz w:val="20"/>
          <w:szCs w:val="20"/>
          <w:color w:val="auto"/>
        </w:rPr>
      </w:pPr>
      <w:r>
        <w:rPr>
          <w:rFonts w:ascii="Arial" w:cs="Arial" w:eastAsia="Arial" w:hAnsi="Arial"/>
          <w:sz w:val="16"/>
          <w:szCs w:val="16"/>
          <w:color w:val="auto"/>
        </w:rPr>
        <w:t>32.3 For the purposes of section 175 of the Companies Act, the Board may (subject to such terms and conditions, if any, as the Board may think fit to impose from time to time, and always subject to the Board’s right to vary or terminate such authorisation) authorise, to the fullest extent permitted by law:</w:t>
      </w:r>
    </w:p>
    <w:p>
      <w:pPr>
        <w:spacing w:after="0" w:line="66" w:lineRule="exact"/>
        <w:rPr>
          <w:sz w:val="20"/>
          <w:szCs w:val="20"/>
          <w:color w:val="auto"/>
        </w:rPr>
      </w:pPr>
    </w:p>
    <w:p>
      <w:pPr>
        <w:ind w:left="1620" w:right="259" w:hanging="424"/>
        <w:spacing w:after="0" w:line="251" w:lineRule="auto"/>
        <w:tabs>
          <w:tab w:leader="none" w:pos="1620" w:val="left"/>
        </w:tabs>
        <w:numPr>
          <w:ilvl w:val="0"/>
          <w:numId w:val="172"/>
        </w:numPr>
        <w:rPr>
          <w:rFonts w:ascii="Arial" w:cs="Arial" w:eastAsia="Arial" w:hAnsi="Arial"/>
          <w:sz w:val="16"/>
          <w:szCs w:val="16"/>
          <w:color w:val="auto"/>
        </w:rPr>
      </w:pPr>
      <w:r>
        <w:rPr>
          <w:rFonts w:ascii="Arial" w:cs="Arial" w:eastAsia="Arial" w:hAnsi="Arial"/>
          <w:sz w:val="16"/>
          <w:szCs w:val="16"/>
          <w:color w:val="auto"/>
        </w:rPr>
        <w:t>any matter proposed to it in accordance with these Articles which would, if not so authorised, involve a breach of duty by a Director under that section, including, without limitation, any matter which relates to a situation in which a Director has, or can have, an interest which conflicts, or possibly may conflict, with the interests of the Company or which may reasonably be regarded as likely to give rise to a conflict of interest; and</w:t>
      </w:r>
    </w:p>
    <w:p>
      <w:pPr>
        <w:spacing w:after="0" w:line="67" w:lineRule="exact"/>
        <w:rPr>
          <w:rFonts w:ascii="Arial" w:cs="Arial" w:eastAsia="Arial" w:hAnsi="Arial"/>
          <w:sz w:val="16"/>
          <w:szCs w:val="16"/>
          <w:color w:val="auto"/>
        </w:rPr>
      </w:pPr>
    </w:p>
    <w:p>
      <w:pPr>
        <w:ind w:left="1620" w:right="219" w:hanging="424"/>
        <w:spacing w:after="0" w:line="251" w:lineRule="auto"/>
        <w:tabs>
          <w:tab w:leader="none" w:pos="1620" w:val="left"/>
        </w:tabs>
        <w:numPr>
          <w:ilvl w:val="0"/>
          <w:numId w:val="172"/>
        </w:numPr>
        <w:rPr>
          <w:rFonts w:ascii="Arial" w:cs="Arial" w:eastAsia="Arial" w:hAnsi="Arial"/>
          <w:sz w:val="16"/>
          <w:szCs w:val="16"/>
          <w:color w:val="auto"/>
        </w:rPr>
      </w:pPr>
      <w:r>
        <w:rPr>
          <w:rFonts w:ascii="Arial" w:cs="Arial" w:eastAsia="Arial" w:hAnsi="Arial"/>
          <w:sz w:val="16"/>
          <w:szCs w:val="16"/>
          <w:color w:val="auto"/>
        </w:rPr>
        <w:t xml:space="preserve">a Director to accept or continue in any office, employment or position in addition to </w:t>
      </w:r>
      <w:r>
        <w:rPr>
          <w:rFonts w:ascii="Arial" w:cs="Arial" w:eastAsia="Arial" w:hAnsi="Arial"/>
          <w:sz w:val="16"/>
          <w:szCs w:val="16"/>
          <w:color w:val="auto"/>
          <w:strike w:val="1"/>
        </w:rPr>
        <w:t>his</w:t>
      </w:r>
      <w:r>
        <w:rPr>
          <w:rFonts w:ascii="Arial" w:cs="Arial" w:eastAsia="Arial" w:hAnsi="Arial"/>
          <w:sz w:val="16"/>
          <w:szCs w:val="16"/>
          <w:u w:val="single" w:color="auto"/>
          <w:color w:val="auto"/>
        </w:rPr>
        <w:t>their</w:t>
      </w:r>
      <w:r>
        <w:rPr>
          <w:rFonts w:ascii="Arial" w:cs="Arial" w:eastAsia="Arial" w:hAnsi="Arial"/>
          <w:sz w:val="16"/>
          <w:szCs w:val="16"/>
          <w:color w:val="auto"/>
        </w:rPr>
        <w:t xml:space="preserve"> office as a Director and, without prejudice to the generality of Article 32.3(a), may authorise the manner in which a conflict of interest arising out of such office, employment or position may be dealt with, either before or at the time that such a conflict of interest arises,</w:t>
      </w:r>
    </w:p>
    <w:p>
      <w:pPr>
        <w:spacing w:after="0" w:line="81" w:lineRule="exact"/>
        <w:rPr>
          <w:sz w:val="20"/>
          <w:szCs w:val="20"/>
          <w:color w:val="auto"/>
        </w:rPr>
      </w:pPr>
    </w:p>
    <w:p>
      <w:pPr>
        <w:ind w:left="1200"/>
        <w:spacing w:after="0"/>
        <w:rPr>
          <w:sz w:val="20"/>
          <w:szCs w:val="20"/>
          <w:color w:val="auto"/>
        </w:rPr>
      </w:pPr>
      <w:r>
        <w:rPr>
          <w:rFonts w:ascii="Arial" w:cs="Arial" w:eastAsia="Arial" w:hAnsi="Arial"/>
          <w:sz w:val="16"/>
          <w:szCs w:val="16"/>
          <w:color w:val="auto"/>
        </w:rPr>
        <w:t>provided that any such authorisation will be effective only if:</w:t>
      </w:r>
    </w:p>
    <w:p>
      <w:pPr>
        <w:spacing w:after="0" w:line="86" w:lineRule="exact"/>
        <w:rPr>
          <w:sz w:val="20"/>
          <w:szCs w:val="20"/>
          <w:color w:val="auto"/>
        </w:rPr>
      </w:pPr>
    </w:p>
    <w:p>
      <w:pPr>
        <w:ind w:left="2060" w:right="639" w:hanging="432"/>
        <w:spacing w:after="0" w:line="260" w:lineRule="auto"/>
        <w:tabs>
          <w:tab w:leader="none" w:pos="2060" w:val="left"/>
        </w:tabs>
        <w:numPr>
          <w:ilvl w:val="0"/>
          <w:numId w:val="173"/>
        </w:numPr>
        <w:rPr>
          <w:rFonts w:ascii="Arial" w:cs="Arial" w:eastAsia="Arial" w:hAnsi="Arial"/>
          <w:sz w:val="16"/>
          <w:szCs w:val="16"/>
          <w:color w:val="auto"/>
        </w:rPr>
      </w:pPr>
      <w:r>
        <w:rPr>
          <w:rFonts w:ascii="Arial" w:cs="Arial" w:eastAsia="Arial" w:hAnsi="Arial"/>
          <w:sz w:val="16"/>
          <w:szCs w:val="16"/>
          <w:color w:val="auto"/>
        </w:rPr>
        <w:t>any requirement as to quorum at the meeting at which the matter is considered is met without counting the Director in question or any other interested Director; and</w:t>
      </w:r>
    </w:p>
    <w:p>
      <w:pPr>
        <w:spacing w:after="0" w:line="60" w:lineRule="exact"/>
        <w:rPr>
          <w:rFonts w:ascii="Arial" w:cs="Arial" w:eastAsia="Arial" w:hAnsi="Arial"/>
          <w:sz w:val="16"/>
          <w:szCs w:val="16"/>
          <w:color w:val="auto"/>
        </w:rPr>
      </w:pPr>
    </w:p>
    <w:p>
      <w:pPr>
        <w:ind w:left="2060" w:right="239" w:hanging="432"/>
        <w:spacing w:after="0" w:line="260" w:lineRule="auto"/>
        <w:tabs>
          <w:tab w:leader="none" w:pos="2060" w:val="left"/>
        </w:tabs>
        <w:numPr>
          <w:ilvl w:val="0"/>
          <w:numId w:val="173"/>
        </w:numPr>
        <w:rPr>
          <w:rFonts w:ascii="Arial" w:cs="Arial" w:eastAsia="Arial" w:hAnsi="Arial"/>
          <w:sz w:val="16"/>
          <w:szCs w:val="16"/>
          <w:color w:val="auto"/>
        </w:rPr>
      </w:pPr>
      <w:r>
        <w:rPr>
          <w:rFonts w:ascii="Arial" w:cs="Arial" w:eastAsia="Arial" w:hAnsi="Arial"/>
          <w:sz w:val="16"/>
          <w:szCs w:val="16"/>
          <w:color w:val="auto"/>
        </w:rPr>
        <w:t>the matter was agreed to without such Director voting or would have been agreed to if such Director’s votes had not been counted.</w:t>
      </w:r>
    </w:p>
    <w:p>
      <w:pPr>
        <w:spacing w:after="0" w:line="60" w:lineRule="exact"/>
        <w:rPr>
          <w:sz w:val="20"/>
          <w:szCs w:val="20"/>
          <w:color w:val="auto"/>
        </w:rPr>
      </w:pPr>
    </w:p>
    <w:p>
      <w:pPr>
        <w:jc w:val="both"/>
        <w:ind w:left="1200" w:right="299"/>
        <w:spacing w:after="0" w:line="253" w:lineRule="auto"/>
        <w:rPr>
          <w:sz w:val="20"/>
          <w:szCs w:val="20"/>
          <w:color w:val="auto"/>
        </w:rPr>
      </w:pPr>
      <w:r>
        <w:rPr>
          <w:rFonts w:ascii="Arial" w:cs="Arial" w:eastAsia="Arial" w:hAnsi="Arial"/>
          <w:sz w:val="16"/>
          <w:szCs w:val="16"/>
          <w:color w:val="auto"/>
        </w:rPr>
        <w:t>The Board may (whether at the time of the giving of the authorisation or subsequently) make any such authorisation subject to any limits or conditions it expressly imposes but such authorisation is otherwise given to the fullest extent permitted. The Board may vary or terminate any such authorisation at any time.</w:t>
      </w:r>
    </w:p>
    <w:p>
      <w:pPr>
        <w:spacing w:after="0" w:line="66" w:lineRule="exact"/>
        <w:rPr>
          <w:sz w:val="20"/>
          <w:szCs w:val="20"/>
          <w:color w:val="auto"/>
        </w:rPr>
      </w:pPr>
    </w:p>
    <w:p>
      <w:pPr>
        <w:jc w:val="both"/>
        <w:ind w:left="1200" w:right="459" w:hanging="431"/>
        <w:spacing w:after="0" w:line="253" w:lineRule="auto"/>
        <w:rPr>
          <w:sz w:val="20"/>
          <w:szCs w:val="20"/>
          <w:color w:val="auto"/>
        </w:rPr>
      </w:pPr>
      <w:r>
        <w:rPr>
          <w:rFonts w:ascii="Arial" w:cs="Arial" w:eastAsia="Arial" w:hAnsi="Arial"/>
          <w:sz w:val="16"/>
          <w:szCs w:val="16"/>
          <w:color w:val="auto"/>
        </w:rPr>
        <w:t xml:space="preserve">32.4 Subject to the provisions of the Companies Act, and provided that </w:t>
      </w:r>
      <w:r>
        <w:rPr>
          <w:rFonts w:ascii="Arial" w:cs="Arial" w:eastAsia="Arial" w:hAnsi="Arial"/>
          <w:sz w:val="16"/>
          <w:szCs w:val="16"/>
          <w:color w:val="auto"/>
          <w:strike w:val="1"/>
        </w:rPr>
        <w:t>he has</w:t>
      </w:r>
      <w:r>
        <w:rPr>
          <w:rFonts w:ascii="Arial" w:cs="Arial" w:eastAsia="Arial" w:hAnsi="Arial"/>
          <w:sz w:val="16"/>
          <w:szCs w:val="16"/>
          <w:u w:val="single" w:color="auto"/>
          <w:color w:val="auto"/>
        </w:rPr>
        <w:t>they have</w:t>
      </w:r>
      <w:r>
        <w:rPr>
          <w:rFonts w:ascii="Arial" w:cs="Arial" w:eastAsia="Arial" w:hAnsi="Arial"/>
          <w:sz w:val="16"/>
          <w:szCs w:val="16"/>
          <w:color w:val="auto"/>
        </w:rPr>
        <w:t xml:space="preserve"> disclosed to the Board the nature and extent of any material interest of </w:t>
      </w:r>
      <w:r>
        <w:rPr>
          <w:rFonts w:ascii="Arial" w:cs="Arial" w:eastAsia="Arial" w:hAnsi="Arial"/>
          <w:sz w:val="16"/>
          <w:szCs w:val="16"/>
          <w:color w:val="auto"/>
          <w:strike w:val="1"/>
        </w:rPr>
        <w:t>his</w:t>
      </w:r>
      <w:r>
        <w:rPr>
          <w:rFonts w:ascii="Arial" w:cs="Arial" w:eastAsia="Arial" w:hAnsi="Arial"/>
          <w:sz w:val="16"/>
          <w:szCs w:val="16"/>
          <w:u w:val="single" w:color="auto"/>
          <w:color w:val="auto"/>
        </w:rPr>
        <w:t>theirs</w:t>
      </w:r>
      <w:r>
        <w:rPr>
          <w:rFonts w:ascii="Arial" w:cs="Arial" w:eastAsia="Arial" w:hAnsi="Arial"/>
          <w:sz w:val="16"/>
          <w:szCs w:val="16"/>
          <w:color w:val="auto"/>
        </w:rPr>
        <w:t xml:space="preserve"> (unless the circumstances referred to in section 177(5) or section 177(6) of the Companies Act apply, in which case no disclosure is required), a Director notwithstanding </w:t>
      </w:r>
      <w:r>
        <w:rPr>
          <w:rFonts w:ascii="Arial" w:cs="Arial" w:eastAsia="Arial" w:hAnsi="Arial"/>
          <w:sz w:val="16"/>
          <w:szCs w:val="16"/>
          <w:color w:val="auto"/>
          <w:strike w:val="1"/>
        </w:rPr>
        <w:t>his</w:t>
      </w:r>
      <w:r>
        <w:rPr>
          <w:rFonts w:ascii="Arial" w:cs="Arial" w:eastAsia="Arial" w:hAnsi="Arial"/>
          <w:sz w:val="16"/>
          <w:szCs w:val="16"/>
          <w:u w:val="single" w:color="auto"/>
          <w:color w:val="auto"/>
        </w:rPr>
        <w:t>their</w:t>
      </w:r>
      <w:r>
        <w:rPr>
          <w:rFonts w:ascii="Arial" w:cs="Arial" w:eastAsia="Arial" w:hAnsi="Arial"/>
          <w:sz w:val="16"/>
          <w:szCs w:val="16"/>
          <w:color w:val="auto"/>
        </w:rPr>
        <w:t xml:space="preserve"> office:</w:t>
      </w:r>
    </w:p>
    <w:p>
      <w:pPr>
        <w:spacing w:after="0" w:line="66" w:lineRule="exact"/>
        <w:rPr>
          <w:sz w:val="20"/>
          <w:szCs w:val="20"/>
          <w:color w:val="auto"/>
        </w:rPr>
      </w:pPr>
    </w:p>
    <w:p>
      <w:pPr>
        <w:ind w:left="1620" w:right="759" w:hanging="424"/>
        <w:spacing w:after="0" w:line="260" w:lineRule="auto"/>
        <w:tabs>
          <w:tab w:leader="none" w:pos="1620" w:val="left"/>
        </w:tabs>
        <w:numPr>
          <w:ilvl w:val="0"/>
          <w:numId w:val="174"/>
        </w:numPr>
        <w:rPr>
          <w:rFonts w:ascii="Arial" w:cs="Arial" w:eastAsia="Arial" w:hAnsi="Arial"/>
          <w:sz w:val="16"/>
          <w:szCs w:val="16"/>
          <w:color w:val="auto"/>
        </w:rPr>
      </w:pPr>
      <w:r>
        <w:rPr>
          <w:rFonts w:ascii="Arial" w:cs="Arial" w:eastAsia="Arial" w:hAnsi="Arial"/>
          <w:sz w:val="16"/>
          <w:szCs w:val="16"/>
          <w:color w:val="auto"/>
        </w:rPr>
        <w:t>may be a party to, or otherwise interested in, any transaction or arrangement with the Company or in which the Company is otherwise (directly or indirectly) interested;</w:t>
      </w:r>
    </w:p>
    <w:p>
      <w:pPr>
        <w:spacing w:after="0" w:line="60" w:lineRule="exact"/>
        <w:rPr>
          <w:rFonts w:ascii="Arial" w:cs="Arial" w:eastAsia="Arial" w:hAnsi="Arial"/>
          <w:sz w:val="16"/>
          <w:szCs w:val="16"/>
          <w:color w:val="auto"/>
        </w:rPr>
      </w:pPr>
    </w:p>
    <w:p>
      <w:pPr>
        <w:jc w:val="both"/>
        <w:ind w:left="1620" w:right="219" w:hanging="424"/>
        <w:spacing w:after="0" w:line="253" w:lineRule="auto"/>
        <w:tabs>
          <w:tab w:leader="none" w:pos="1620" w:val="left"/>
        </w:tabs>
        <w:numPr>
          <w:ilvl w:val="0"/>
          <w:numId w:val="174"/>
        </w:numPr>
        <w:rPr>
          <w:rFonts w:ascii="Arial" w:cs="Arial" w:eastAsia="Arial" w:hAnsi="Arial"/>
          <w:sz w:val="16"/>
          <w:szCs w:val="16"/>
          <w:color w:val="auto"/>
        </w:rPr>
      </w:pPr>
      <w:r>
        <w:rPr>
          <w:rFonts w:ascii="Arial" w:cs="Arial" w:eastAsia="Arial" w:hAnsi="Arial"/>
          <w:sz w:val="16"/>
          <w:szCs w:val="16"/>
          <w:color w:val="auto"/>
        </w:rPr>
        <w:t xml:space="preserve">may (or any firm of which </w:t>
      </w:r>
      <w:r>
        <w:rPr>
          <w:rFonts w:ascii="Arial" w:cs="Arial" w:eastAsia="Arial" w:hAnsi="Arial"/>
          <w:sz w:val="16"/>
          <w:szCs w:val="16"/>
          <w:color w:val="auto"/>
          <w:strike w:val="1"/>
        </w:rPr>
        <w:t>he is</w:t>
      </w:r>
      <w:r>
        <w:rPr>
          <w:rFonts w:ascii="Arial" w:cs="Arial" w:eastAsia="Arial" w:hAnsi="Arial"/>
          <w:sz w:val="16"/>
          <w:szCs w:val="16"/>
          <w:u w:val="single" w:color="auto"/>
          <w:color w:val="auto"/>
        </w:rPr>
        <w:t>they are</w:t>
      </w:r>
      <w:r>
        <w:rPr>
          <w:rFonts w:ascii="Arial" w:cs="Arial" w:eastAsia="Arial" w:hAnsi="Arial"/>
          <w:sz w:val="16"/>
          <w:szCs w:val="16"/>
          <w:color w:val="auto"/>
        </w:rPr>
        <w:t xml:space="preserve"> a member may) act in a professional capacity for the Company (otherwise than as auditor) or any other body in which the Company is otherwise interested and </w:t>
      </w:r>
      <w:r>
        <w:rPr>
          <w:rFonts w:ascii="Arial" w:cs="Arial" w:eastAsia="Arial" w:hAnsi="Arial"/>
          <w:sz w:val="16"/>
          <w:szCs w:val="16"/>
          <w:color w:val="auto"/>
          <w:strike w:val="1"/>
        </w:rPr>
        <w:t>he</w:t>
      </w:r>
      <w:r>
        <w:rPr>
          <w:rFonts w:ascii="Arial" w:cs="Arial" w:eastAsia="Arial" w:hAnsi="Arial"/>
          <w:sz w:val="16"/>
          <w:szCs w:val="16"/>
          <w:u w:val="single" w:color="auto"/>
          <w:color w:val="auto"/>
        </w:rPr>
        <w:t>they</w:t>
      </w:r>
      <w:r>
        <w:rPr>
          <w:rFonts w:ascii="Arial" w:cs="Arial" w:eastAsia="Arial" w:hAnsi="Arial"/>
          <w:sz w:val="16"/>
          <w:szCs w:val="16"/>
          <w:color w:val="auto"/>
        </w:rPr>
        <w:t xml:space="preserve"> or </w:t>
      </w:r>
      <w:r>
        <w:rPr>
          <w:rFonts w:ascii="Arial" w:cs="Arial" w:eastAsia="Arial" w:hAnsi="Arial"/>
          <w:sz w:val="16"/>
          <w:szCs w:val="16"/>
          <w:color w:val="auto"/>
          <w:strike w:val="1"/>
        </w:rPr>
        <w:t>his</w:t>
      </w:r>
      <w:r>
        <w:rPr>
          <w:rFonts w:ascii="Arial" w:cs="Arial" w:eastAsia="Arial" w:hAnsi="Arial"/>
          <w:sz w:val="16"/>
          <w:szCs w:val="16"/>
          <w:u w:val="single" w:color="auto"/>
          <w:color w:val="auto"/>
        </w:rPr>
        <w:t>their</w:t>
      </w:r>
      <w:r>
        <w:rPr>
          <w:rFonts w:ascii="Arial" w:cs="Arial" w:eastAsia="Arial" w:hAnsi="Arial"/>
          <w:sz w:val="16"/>
          <w:szCs w:val="16"/>
          <w:color w:val="auto"/>
        </w:rPr>
        <w:t xml:space="preserve"> firm shall be entitled to remuneration for professional services as if </w:t>
      </w:r>
      <w:r>
        <w:rPr>
          <w:rFonts w:ascii="Arial" w:cs="Arial" w:eastAsia="Arial" w:hAnsi="Arial"/>
          <w:sz w:val="16"/>
          <w:szCs w:val="16"/>
          <w:color w:val="auto"/>
          <w:strike w:val="1"/>
        </w:rPr>
        <w:t>he</w:t>
      </w:r>
      <w:r>
        <w:rPr>
          <w:rFonts w:ascii="Arial" w:cs="Arial" w:eastAsia="Arial" w:hAnsi="Arial"/>
          <w:sz w:val="16"/>
          <w:szCs w:val="16"/>
          <w:u w:val="single" w:color="auto"/>
          <w:color w:val="auto"/>
        </w:rPr>
        <w:t>they</w:t>
      </w:r>
      <w:r>
        <w:rPr>
          <w:rFonts w:ascii="Arial" w:cs="Arial" w:eastAsia="Arial" w:hAnsi="Arial"/>
          <w:sz w:val="16"/>
          <w:szCs w:val="16"/>
          <w:color w:val="auto"/>
        </w:rPr>
        <w:t xml:space="preserve"> were not a Director; and</w:t>
      </w:r>
    </w:p>
    <w:p>
      <w:pPr>
        <w:spacing w:after="0" w:line="99" w:lineRule="exact"/>
        <w:rPr>
          <w:sz w:val="20"/>
          <w:szCs w:val="20"/>
          <w:color w:val="auto"/>
        </w:rPr>
      </w:pPr>
    </w:p>
    <w:p>
      <w:pPr>
        <w:ind w:left="480"/>
        <w:spacing w:after="0"/>
        <w:tabs>
          <w:tab w:leader="none" w:pos="4420" w:val="left"/>
          <w:tab w:leader="none" w:pos="8760" w:val="left"/>
        </w:tabs>
        <w:rPr>
          <w:sz w:val="20"/>
          <w:szCs w:val="20"/>
          <w:color w:val="auto"/>
        </w:rPr>
      </w:pPr>
      <w:r>
        <w:rPr>
          <w:rFonts w:ascii="Arial" w:cs="Arial" w:eastAsia="Arial" w:hAnsi="Arial"/>
          <w:sz w:val="28"/>
          <w:szCs w:val="28"/>
          <w:b w:val="1"/>
          <w:bCs w:val="1"/>
          <w:color w:val="000000"/>
          <w:vertAlign w:val="subscript"/>
        </w:rPr>
        <w:t>A-26</w:t>
      </w:r>
      <w:r>
        <w:rPr>
          <w:sz w:val="20"/>
          <w:szCs w:val="20"/>
          <w:color w:val="auto"/>
        </w:rPr>
        <w:tab/>
      </w:r>
      <w:r>
        <w:rPr>
          <w:rFonts w:ascii="Arial" w:cs="Arial" w:eastAsia="Arial" w:hAnsi="Arial"/>
          <w:sz w:val="13"/>
          <w:szCs w:val="13"/>
          <w:b w:val="1"/>
          <w:bCs w:val="1"/>
          <w:color w:val="4800E6"/>
        </w:rPr>
        <w:t xml:space="preserve">LIVANOVA </w:t>
      </w:r>
      <w:r>
        <w:rPr>
          <w:rFonts w:ascii="Arial" w:cs="Arial" w:eastAsia="Arial" w:hAnsi="Arial"/>
          <w:sz w:val="13"/>
          <w:szCs w:val="13"/>
          <w:color w:val="000000"/>
        </w:rPr>
        <w:t>|</w:t>
      </w:r>
      <w:r>
        <w:rPr>
          <w:rFonts w:ascii="Arial" w:cs="Arial" w:eastAsia="Arial" w:hAnsi="Arial"/>
          <w:sz w:val="13"/>
          <w:szCs w:val="13"/>
          <w:b w:val="1"/>
          <w:bCs w:val="1"/>
          <w:color w:val="4800E6"/>
        </w:rPr>
        <w:t xml:space="preserve"> </w:t>
      </w:r>
      <w:r>
        <w:rPr>
          <w:rFonts w:ascii="Arial" w:cs="Arial" w:eastAsia="Arial" w:hAnsi="Arial"/>
          <w:sz w:val="13"/>
          <w:szCs w:val="13"/>
          <w:color w:val="4800E6"/>
        </w:rPr>
        <w:t>2020</w:t>
      </w:r>
      <w:r>
        <w:rPr>
          <w:rFonts w:ascii="Arial" w:cs="Arial" w:eastAsia="Arial" w:hAnsi="Arial"/>
          <w:sz w:val="13"/>
          <w:szCs w:val="13"/>
          <w:b w:val="1"/>
          <w:bCs w:val="1"/>
          <w:color w:val="4800E6"/>
        </w:rPr>
        <w:t xml:space="preserve"> </w:t>
      </w:r>
      <w:r>
        <w:rPr>
          <w:rFonts w:ascii="Arial" w:cs="Arial" w:eastAsia="Arial" w:hAnsi="Arial"/>
          <w:sz w:val="13"/>
          <w:szCs w:val="13"/>
          <w:color w:val="000000"/>
        </w:rPr>
        <w:t>Proxy Statement</w:t>
      </w:r>
      <w:r>
        <w:rPr>
          <w:sz w:val="20"/>
          <w:szCs w:val="20"/>
          <w:color w:val="auto"/>
        </w:rPr>
        <w:tab/>
      </w:r>
      <w:r>
        <w:rPr>
          <w:rFonts w:ascii="Arial" w:cs="Arial" w:eastAsia="Arial" w:hAnsi="Arial"/>
          <w:sz w:val="12"/>
          <w:szCs w:val="12"/>
          <w:b w:val="1"/>
          <w:bCs w:val="1"/>
          <w:color w:val="4800E6"/>
        </w:rPr>
        <w:t>www.livanova.com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639445</wp:posOffset>
            </wp:positionH>
            <wp:positionV relativeFrom="paragraph">
              <wp:posOffset>-11430</wp:posOffset>
            </wp:positionV>
            <wp:extent cx="1954530" cy="8890"/>
            <wp:wrapNone/>
            <wp:docPr id="452" name="Picture 4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2"/>
                    <pic:cNvPicPr>
                      <a:picLocks noChangeAspect="1" noChangeArrowheads="1"/>
                    </pic:cNvPicPr>
                  </pic:nvPicPr>
                  <pic:blipFill>
                    <a:blip r:embed="rId459">
                      <a:extLst>
                        <a:ext uri="{28A0092B-C50C-407E-A947-70E740481C1C}"/>
                      </a:extLst>
                    </a:blip>
                    <a:srcRect/>
                    <a:stretch>
                      <a:fillRect/>
                    </a:stretch>
                  </pic:blipFill>
                  <pic:spPr bwMode="auto">
                    <a:xfrm>
                      <a:off x="0" y="0"/>
                      <a:ext cx="1954530" cy="8890"/>
                    </a:xfrm>
                    <a:prstGeom prst="rect">
                      <a:avLst/>
                    </a:prstGeom>
                    <a:noFill/>
                  </pic:spPr>
                </pic:pic>
              </a:graphicData>
            </a:graphic>
          </wp:anchor>
        </w:drawing>
        <w:drawing>
          <wp:anchor simplePos="0" relativeHeight="251657728" behindDoc="1" locked="0" layoutInCell="0" allowOverlap="1">
            <wp:simplePos x="0" y="0"/>
            <wp:positionH relativeFrom="column">
              <wp:posOffset>4316730</wp:posOffset>
            </wp:positionH>
            <wp:positionV relativeFrom="paragraph">
              <wp:posOffset>-11430</wp:posOffset>
            </wp:positionV>
            <wp:extent cx="1028700" cy="8890"/>
            <wp:wrapNone/>
            <wp:docPr id="453" name="Picture 4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3"/>
                    <pic:cNvPicPr>
                      <a:picLocks noChangeAspect="1" noChangeArrowheads="1"/>
                    </pic:cNvPicPr>
                  </pic:nvPicPr>
                  <pic:blipFill>
                    <a:blip r:embed="rId460">
                      <a:extLst>
                        <a:ext uri="{28A0092B-C50C-407E-A947-70E740481C1C}"/>
                      </a:extLst>
                    </a:blip>
                    <a:srcRect/>
                    <a:stretch>
                      <a:fillRect/>
                    </a:stretch>
                  </pic:blipFill>
                  <pic:spPr bwMode="auto">
                    <a:xfrm>
                      <a:off x="0" y="0"/>
                      <a:ext cx="102870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125095</wp:posOffset>
            </wp:positionV>
            <wp:extent cx="6806565" cy="17145"/>
            <wp:wrapNone/>
            <wp:docPr id="454" name="Picture 4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4"/>
                    <pic:cNvPicPr>
                      <a:picLocks noChangeAspect="1" noChangeArrowheads="1"/>
                    </pic:cNvPicPr>
                  </pic:nvPicPr>
                  <pic:blipFill>
                    <a:blip r:embed="rId461">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10139"/>
          </w:cols>
          <w:pgMar w:left="320" w:top="131" w:right="1440" w:bottom="1440" w:gutter="0" w:footer="0" w:header="0"/>
          <w:type w:val="continuous"/>
        </w:sectPr>
      </w:pPr>
    </w:p>
    <w:bookmarkStart w:id="105" w:name="page106"/>
    <w:bookmarkEnd w:id="105"/>
    <w:p>
      <w:pPr>
        <w:spacing w:after="0"/>
        <w:rPr>
          <w:rFonts w:ascii="Arial" w:cs="Arial" w:eastAsia="Arial" w:hAnsi="Arial"/>
          <w:sz w:val="14"/>
          <w:szCs w:val="14"/>
          <w:color w:val="003366"/>
        </w:rPr>
      </w:pPr>
      <w:hyperlink w:anchor="page77">
        <w:r>
          <w:rPr>
            <w:rFonts w:ascii="Arial" w:cs="Arial" w:eastAsia="Arial" w:hAnsi="Arial"/>
            <w:sz w:val="14"/>
            <w:szCs w:val="14"/>
            <w:color w:val="003366"/>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485140</wp:posOffset>
            </wp:positionH>
            <wp:positionV relativeFrom="paragraph">
              <wp:posOffset>356870</wp:posOffset>
            </wp:positionV>
            <wp:extent cx="5829300" cy="8255"/>
            <wp:wrapNone/>
            <wp:docPr id="455" name="Picture 4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5"/>
                    <pic:cNvPicPr>
                      <a:picLocks noChangeAspect="1" noChangeArrowheads="1"/>
                    </pic:cNvPicPr>
                  </pic:nvPicPr>
                  <pic:blipFill>
                    <a:blip r:embed="rId462">
                      <a:extLst>
                        <a:ext uri="{28A0092B-C50C-407E-A947-70E740481C1C}"/>
                      </a:extLst>
                    </a:blip>
                    <a:srcRect/>
                    <a:stretch>
                      <a:fillRect/>
                    </a:stretch>
                  </pic:blipFill>
                  <pic:spPr bwMode="auto">
                    <a:xfrm>
                      <a:off x="0" y="0"/>
                      <a:ext cx="582930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ind w:left="1620" w:right="1000" w:hanging="424"/>
        <w:spacing w:after="0" w:line="260" w:lineRule="auto"/>
        <w:tabs>
          <w:tab w:leader="none" w:pos="1620" w:val="left"/>
        </w:tabs>
        <w:numPr>
          <w:ilvl w:val="0"/>
          <w:numId w:val="175"/>
        </w:numPr>
        <w:rPr>
          <w:rFonts w:ascii="Arial" w:cs="Arial" w:eastAsia="Arial" w:hAnsi="Arial"/>
          <w:sz w:val="16"/>
          <w:szCs w:val="16"/>
          <w:color w:val="auto"/>
        </w:rPr>
      </w:pPr>
      <w:r>
        <w:rPr>
          <w:rFonts w:ascii="Arial" w:cs="Arial" w:eastAsia="Arial" w:hAnsi="Arial"/>
          <w:sz w:val="16"/>
          <w:szCs w:val="16"/>
          <w:color w:val="auto"/>
        </w:rPr>
        <w:t>may be a Director or other officer of, or employed by, or a party to any transaction or arrangement with, or otherwise interested in, any undertaking:</w:t>
      </w:r>
    </w:p>
    <w:p>
      <w:pPr>
        <w:spacing w:after="0" w:line="73" w:lineRule="exact"/>
        <w:rPr>
          <w:rFonts w:ascii="Arial" w:cs="Arial" w:eastAsia="Arial" w:hAnsi="Arial"/>
          <w:sz w:val="16"/>
          <w:szCs w:val="16"/>
          <w:color w:val="auto"/>
        </w:rPr>
      </w:pPr>
    </w:p>
    <w:p>
      <w:pPr>
        <w:ind w:left="2060" w:hanging="432"/>
        <w:spacing w:after="0"/>
        <w:tabs>
          <w:tab w:leader="none" w:pos="2060" w:val="left"/>
        </w:tabs>
        <w:numPr>
          <w:ilvl w:val="1"/>
          <w:numId w:val="175"/>
        </w:numPr>
        <w:rPr>
          <w:rFonts w:ascii="Arial" w:cs="Arial" w:eastAsia="Arial" w:hAnsi="Arial"/>
          <w:sz w:val="16"/>
          <w:szCs w:val="16"/>
          <w:color w:val="auto"/>
        </w:rPr>
      </w:pPr>
      <w:r>
        <w:rPr>
          <w:rFonts w:ascii="Arial" w:cs="Arial" w:eastAsia="Arial" w:hAnsi="Arial"/>
          <w:sz w:val="16"/>
          <w:szCs w:val="16"/>
          <w:color w:val="auto"/>
        </w:rPr>
        <w:t>in which the Company is (directly or indirectly) interested as shareholder, member, partner or otherwise; or</w:t>
      </w:r>
    </w:p>
    <w:p>
      <w:pPr>
        <w:spacing w:after="0" w:line="99" w:lineRule="exact"/>
        <w:rPr>
          <w:rFonts w:ascii="Arial" w:cs="Arial" w:eastAsia="Arial" w:hAnsi="Arial"/>
          <w:sz w:val="16"/>
          <w:szCs w:val="16"/>
          <w:color w:val="auto"/>
        </w:rPr>
      </w:pPr>
    </w:p>
    <w:p>
      <w:pPr>
        <w:ind w:left="2060" w:hanging="432"/>
        <w:spacing w:after="0"/>
        <w:tabs>
          <w:tab w:leader="none" w:pos="2060" w:val="left"/>
        </w:tabs>
        <w:numPr>
          <w:ilvl w:val="1"/>
          <w:numId w:val="175"/>
        </w:numPr>
        <w:rPr>
          <w:rFonts w:ascii="Arial" w:cs="Arial" w:eastAsia="Arial" w:hAnsi="Arial"/>
          <w:sz w:val="16"/>
          <w:szCs w:val="16"/>
          <w:color w:val="auto"/>
        </w:rPr>
      </w:pPr>
      <w:r>
        <w:rPr>
          <w:rFonts w:ascii="Arial" w:cs="Arial" w:eastAsia="Arial" w:hAnsi="Arial"/>
          <w:sz w:val="16"/>
          <w:szCs w:val="16"/>
          <w:color w:val="auto"/>
        </w:rPr>
        <w:t xml:space="preserve">with which </w:t>
      </w:r>
      <w:r>
        <w:rPr>
          <w:rFonts w:ascii="Arial" w:cs="Arial" w:eastAsia="Arial" w:hAnsi="Arial"/>
          <w:sz w:val="16"/>
          <w:szCs w:val="16"/>
          <w:color w:val="auto"/>
          <w:strike w:val="1"/>
        </w:rPr>
        <w:t>he has</w:t>
      </w:r>
      <w:r>
        <w:rPr>
          <w:rFonts w:ascii="Arial" w:cs="Arial" w:eastAsia="Arial" w:hAnsi="Arial"/>
          <w:sz w:val="16"/>
          <w:szCs w:val="16"/>
          <w:u w:val="single" w:color="auto"/>
          <w:color w:val="auto"/>
        </w:rPr>
        <w:t>they have</w:t>
      </w:r>
      <w:r>
        <w:rPr>
          <w:rFonts w:ascii="Arial" w:cs="Arial" w:eastAsia="Arial" w:hAnsi="Arial"/>
          <w:sz w:val="16"/>
          <w:szCs w:val="16"/>
          <w:color w:val="auto"/>
        </w:rPr>
        <w:t xml:space="preserve"> such a relationship at the request or direction of the Company.</w:t>
      </w:r>
    </w:p>
    <w:p>
      <w:pPr>
        <w:spacing w:after="0" w:line="100" w:lineRule="exact"/>
        <w:rPr>
          <w:sz w:val="20"/>
          <w:szCs w:val="20"/>
          <w:color w:val="auto"/>
        </w:rPr>
      </w:pPr>
    </w:p>
    <w:p>
      <w:pPr>
        <w:ind w:left="1200" w:right="860" w:hanging="431"/>
        <w:spacing w:after="0" w:line="253" w:lineRule="auto"/>
        <w:rPr>
          <w:sz w:val="20"/>
          <w:szCs w:val="20"/>
          <w:color w:val="auto"/>
        </w:rPr>
      </w:pPr>
      <w:r>
        <w:rPr>
          <w:rFonts w:ascii="Arial" w:cs="Arial" w:eastAsia="Arial" w:hAnsi="Arial"/>
          <w:sz w:val="16"/>
          <w:szCs w:val="16"/>
          <w:color w:val="auto"/>
        </w:rPr>
        <w:t xml:space="preserve">32.5 A Director shall not, by reason of </w:t>
      </w:r>
      <w:r>
        <w:rPr>
          <w:rFonts w:ascii="Arial" w:cs="Arial" w:eastAsia="Arial" w:hAnsi="Arial"/>
          <w:sz w:val="16"/>
          <w:szCs w:val="16"/>
          <w:color w:val="auto"/>
          <w:strike w:val="1"/>
        </w:rPr>
        <w:t>his</w:t>
      </w:r>
      <w:r>
        <w:rPr>
          <w:rFonts w:ascii="Arial" w:cs="Arial" w:eastAsia="Arial" w:hAnsi="Arial"/>
          <w:sz w:val="16"/>
          <w:szCs w:val="16"/>
          <w:u w:val="single" w:color="auto"/>
          <w:color w:val="auto"/>
        </w:rPr>
        <w:t>their</w:t>
      </w:r>
      <w:r>
        <w:rPr>
          <w:rFonts w:ascii="Arial" w:cs="Arial" w:eastAsia="Arial" w:hAnsi="Arial"/>
          <w:sz w:val="16"/>
          <w:szCs w:val="16"/>
          <w:color w:val="auto"/>
        </w:rPr>
        <w:t xml:space="preserve"> office, be accountable to the Company for any remuneration or other benefit which </w:t>
      </w:r>
      <w:r>
        <w:rPr>
          <w:rFonts w:ascii="Arial" w:cs="Arial" w:eastAsia="Arial" w:hAnsi="Arial"/>
          <w:sz w:val="16"/>
          <w:szCs w:val="16"/>
          <w:color w:val="auto"/>
          <w:strike w:val="1"/>
        </w:rPr>
        <w:t>he derives</w:t>
      </w:r>
      <w:r>
        <w:rPr>
          <w:rFonts w:ascii="Arial" w:cs="Arial" w:eastAsia="Arial" w:hAnsi="Arial"/>
          <w:sz w:val="16"/>
          <w:szCs w:val="16"/>
          <w:u w:val="single" w:color="auto"/>
          <w:color w:val="auto"/>
        </w:rPr>
        <w:t>they derive</w:t>
      </w:r>
      <w:r>
        <w:rPr>
          <w:rFonts w:ascii="Arial" w:cs="Arial" w:eastAsia="Arial" w:hAnsi="Arial"/>
          <w:sz w:val="16"/>
          <w:szCs w:val="16"/>
          <w:color w:val="auto"/>
        </w:rPr>
        <w:t xml:space="preserve"> from any office or employment or from any transaction or arrangement or from any interest in any undertaking:</w:t>
      </w:r>
    </w:p>
    <w:p>
      <w:pPr>
        <w:spacing w:after="0" w:line="80" w:lineRule="exact"/>
        <w:rPr>
          <w:sz w:val="20"/>
          <w:szCs w:val="20"/>
          <w:color w:val="auto"/>
        </w:rPr>
      </w:pPr>
    </w:p>
    <w:p>
      <w:pPr>
        <w:ind w:left="1620" w:right="860" w:hanging="424"/>
        <w:spacing w:after="0" w:line="260" w:lineRule="auto"/>
        <w:tabs>
          <w:tab w:leader="none" w:pos="1620" w:val="left"/>
        </w:tabs>
        <w:numPr>
          <w:ilvl w:val="0"/>
          <w:numId w:val="176"/>
        </w:numPr>
        <w:rPr>
          <w:rFonts w:ascii="Arial" w:cs="Arial" w:eastAsia="Arial" w:hAnsi="Arial"/>
          <w:sz w:val="16"/>
          <w:szCs w:val="16"/>
          <w:color w:val="auto"/>
        </w:rPr>
      </w:pPr>
      <w:r>
        <w:rPr>
          <w:rFonts w:ascii="Arial" w:cs="Arial" w:eastAsia="Arial" w:hAnsi="Arial"/>
          <w:sz w:val="16"/>
          <w:szCs w:val="16"/>
          <w:color w:val="auto"/>
        </w:rPr>
        <w:t>the acceptance, entry into or existence of which has been authorised by the Board pursuant to Article 32.2 (subject, in any case, to any limits or conditions to which such authorisation was subject); or</w:t>
      </w:r>
    </w:p>
    <w:p>
      <w:pPr>
        <w:spacing w:after="0" w:line="60" w:lineRule="exact"/>
        <w:rPr>
          <w:rFonts w:ascii="Arial" w:cs="Arial" w:eastAsia="Arial" w:hAnsi="Arial"/>
          <w:sz w:val="16"/>
          <w:szCs w:val="16"/>
          <w:color w:val="auto"/>
        </w:rPr>
      </w:pPr>
    </w:p>
    <w:p>
      <w:pPr>
        <w:ind w:left="1620" w:hanging="424"/>
        <w:spacing w:after="0"/>
        <w:tabs>
          <w:tab w:leader="none" w:pos="1620" w:val="left"/>
        </w:tabs>
        <w:numPr>
          <w:ilvl w:val="0"/>
          <w:numId w:val="176"/>
        </w:numPr>
        <w:rPr>
          <w:rFonts w:ascii="Arial" w:cs="Arial" w:eastAsia="Arial" w:hAnsi="Arial"/>
          <w:sz w:val="16"/>
          <w:szCs w:val="16"/>
          <w:color w:val="auto"/>
        </w:rPr>
      </w:pPr>
      <w:r>
        <w:rPr>
          <w:rFonts w:ascii="Arial" w:cs="Arial" w:eastAsia="Arial" w:hAnsi="Arial"/>
          <w:sz w:val="16"/>
          <w:szCs w:val="16"/>
          <w:color w:val="auto"/>
        </w:rPr>
        <w:t xml:space="preserve">which </w:t>
      </w:r>
      <w:r>
        <w:rPr>
          <w:rFonts w:ascii="Arial" w:cs="Arial" w:eastAsia="Arial" w:hAnsi="Arial"/>
          <w:sz w:val="16"/>
          <w:szCs w:val="16"/>
          <w:color w:val="auto"/>
          <w:strike w:val="1"/>
        </w:rPr>
        <w:t>he is</w:t>
      </w:r>
      <w:r>
        <w:rPr>
          <w:rFonts w:ascii="Arial" w:cs="Arial" w:eastAsia="Arial" w:hAnsi="Arial"/>
          <w:sz w:val="16"/>
          <w:szCs w:val="16"/>
          <w:u w:val="single" w:color="auto"/>
          <w:color w:val="auto"/>
        </w:rPr>
        <w:t>they are</w:t>
      </w:r>
      <w:r>
        <w:rPr>
          <w:rFonts w:ascii="Arial" w:cs="Arial" w:eastAsia="Arial" w:hAnsi="Arial"/>
          <w:sz w:val="16"/>
          <w:szCs w:val="16"/>
          <w:color w:val="auto"/>
        </w:rPr>
        <w:t xml:space="preserve"> permitted to hold or enter into by virtue of paragraphs (a), (b) or (c) of Article 32.4,</w:t>
      </w:r>
    </w:p>
    <w:p>
      <w:pPr>
        <w:spacing w:after="0" w:line="100" w:lineRule="exact"/>
        <w:rPr>
          <w:sz w:val="20"/>
          <w:szCs w:val="20"/>
          <w:color w:val="auto"/>
        </w:rPr>
      </w:pPr>
    </w:p>
    <w:p>
      <w:pPr>
        <w:ind w:left="1200" w:right="1000"/>
        <w:spacing w:after="0" w:line="260" w:lineRule="auto"/>
        <w:rPr>
          <w:sz w:val="20"/>
          <w:szCs w:val="20"/>
          <w:color w:val="auto"/>
        </w:rPr>
      </w:pPr>
      <w:r>
        <w:rPr>
          <w:rFonts w:ascii="Arial" w:cs="Arial" w:eastAsia="Arial" w:hAnsi="Arial"/>
          <w:sz w:val="16"/>
          <w:szCs w:val="16"/>
          <w:color w:val="auto"/>
        </w:rPr>
        <w:t xml:space="preserve">nor shall the receipt of any such remuneration or other benefit constitute a breach of </w:t>
      </w:r>
      <w:r>
        <w:rPr>
          <w:rFonts w:ascii="Arial" w:cs="Arial" w:eastAsia="Arial" w:hAnsi="Arial"/>
          <w:sz w:val="16"/>
          <w:szCs w:val="16"/>
          <w:color w:val="auto"/>
          <w:strike w:val="1"/>
        </w:rPr>
        <w:t>his</w:t>
      </w:r>
      <w:r>
        <w:rPr>
          <w:rFonts w:ascii="Arial" w:cs="Arial" w:eastAsia="Arial" w:hAnsi="Arial"/>
          <w:sz w:val="16"/>
          <w:szCs w:val="16"/>
          <w:u w:val="single" w:color="auto"/>
          <w:color w:val="auto"/>
        </w:rPr>
        <w:t>their</w:t>
      </w:r>
      <w:r>
        <w:rPr>
          <w:rFonts w:ascii="Arial" w:cs="Arial" w:eastAsia="Arial" w:hAnsi="Arial"/>
          <w:sz w:val="16"/>
          <w:szCs w:val="16"/>
          <w:color w:val="auto"/>
        </w:rPr>
        <w:t xml:space="preserve"> duty under section 176 of the Companies Act;</w:t>
      </w:r>
    </w:p>
    <w:p>
      <w:pPr>
        <w:spacing w:after="0" w:line="74" w:lineRule="exact"/>
        <w:rPr>
          <w:sz w:val="20"/>
          <w:szCs w:val="20"/>
          <w:color w:val="auto"/>
        </w:rPr>
      </w:pPr>
    </w:p>
    <w:p>
      <w:pPr>
        <w:ind w:left="1200" w:right="980" w:hanging="431"/>
        <w:spacing w:after="0" w:line="260" w:lineRule="auto"/>
        <w:rPr>
          <w:sz w:val="20"/>
          <w:szCs w:val="20"/>
          <w:color w:val="auto"/>
        </w:rPr>
      </w:pPr>
      <w:r>
        <w:rPr>
          <w:rFonts w:ascii="Arial" w:cs="Arial" w:eastAsia="Arial" w:hAnsi="Arial"/>
          <w:sz w:val="16"/>
          <w:szCs w:val="16"/>
          <w:color w:val="auto"/>
        </w:rPr>
        <w:t>32.6 Any disclosure required by Article 32.4 may be made at a meeting of the Board, by notice in writing or by general notice or otherwise in accordance with section 177 of the Companies Act.</w:t>
      </w:r>
    </w:p>
    <w:p>
      <w:pPr>
        <w:spacing w:after="0" w:line="74" w:lineRule="exact"/>
        <w:rPr>
          <w:sz w:val="20"/>
          <w:szCs w:val="20"/>
          <w:color w:val="auto"/>
        </w:rPr>
      </w:pPr>
    </w:p>
    <w:p>
      <w:pPr>
        <w:ind w:left="1200" w:right="780" w:hanging="431"/>
        <w:spacing w:after="0" w:line="249" w:lineRule="auto"/>
        <w:rPr>
          <w:sz w:val="20"/>
          <w:szCs w:val="20"/>
          <w:color w:val="auto"/>
        </w:rPr>
      </w:pPr>
      <w:r>
        <w:rPr>
          <w:rFonts w:ascii="Arial" w:cs="Arial" w:eastAsia="Arial" w:hAnsi="Arial"/>
          <w:sz w:val="16"/>
          <w:szCs w:val="16"/>
          <w:color w:val="auto"/>
        </w:rPr>
        <w:t xml:space="preserve">32.7 A Director shall be under no duty to the Company with respect to any information which </w:t>
      </w:r>
      <w:r>
        <w:rPr>
          <w:rFonts w:ascii="Arial" w:cs="Arial" w:eastAsia="Arial" w:hAnsi="Arial"/>
          <w:sz w:val="16"/>
          <w:szCs w:val="16"/>
          <w:color w:val="auto"/>
          <w:strike w:val="1"/>
        </w:rPr>
        <w:t>he obtains</w:t>
      </w:r>
      <w:r>
        <w:rPr>
          <w:rFonts w:ascii="Arial" w:cs="Arial" w:eastAsia="Arial" w:hAnsi="Arial"/>
          <w:sz w:val="16"/>
          <w:szCs w:val="16"/>
          <w:u w:val="single" w:color="auto"/>
          <w:color w:val="auto"/>
        </w:rPr>
        <w:t>they obtain</w:t>
      </w:r>
      <w:r>
        <w:rPr>
          <w:rFonts w:ascii="Arial" w:cs="Arial" w:eastAsia="Arial" w:hAnsi="Arial"/>
          <w:sz w:val="16"/>
          <w:szCs w:val="16"/>
          <w:color w:val="auto"/>
        </w:rPr>
        <w:t xml:space="preserve"> or has obtained otherwise than as a Director and in respect of which </w:t>
      </w:r>
      <w:r>
        <w:rPr>
          <w:rFonts w:ascii="Arial" w:cs="Arial" w:eastAsia="Arial" w:hAnsi="Arial"/>
          <w:sz w:val="16"/>
          <w:szCs w:val="16"/>
          <w:color w:val="auto"/>
          <w:strike w:val="1"/>
        </w:rPr>
        <w:t>he owes</w:t>
      </w:r>
      <w:r>
        <w:rPr>
          <w:rFonts w:ascii="Arial" w:cs="Arial" w:eastAsia="Arial" w:hAnsi="Arial"/>
          <w:sz w:val="16"/>
          <w:szCs w:val="16"/>
          <w:u w:val="single" w:color="auto"/>
          <w:color w:val="auto"/>
        </w:rPr>
        <w:t>they owe</w:t>
      </w:r>
      <w:r>
        <w:rPr>
          <w:rFonts w:ascii="Arial" w:cs="Arial" w:eastAsia="Arial" w:hAnsi="Arial"/>
          <w:sz w:val="16"/>
          <w:szCs w:val="16"/>
          <w:color w:val="auto"/>
        </w:rPr>
        <w:t xml:space="preserve"> a duty of confidentiality to another person. However, to the extent that </w:t>
      </w:r>
      <w:r>
        <w:rPr>
          <w:rFonts w:ascii="Arial" w:cs="Arial" w:eastAsia="Arial" w:hAnsi="Arial"/>
          <w:sz w:val="16"/>
          <w:szCs w:val="16"/>
          <w:color w:val="auto"/>
          <w:strike w:val="1"/>
        </w:rPr>
        <w:t>his</w:t>
      </w:r>
      <w:r>
        <w:rPr>
          <w:rFonts w:ascii="Arial" w:cs="Arial" w:eastAsia="Arial" w:hAnsi="Arial"/>
          <w:sz w:val="16"/>
          <w:szCs w:val="16"/>
          <w:u w:val="single" w:color="auto"/>
          <w:color w:val="auto"/>
        </w:rPr>
        <w:t>their</w:t>
      </w:r>
      <w:r>
        <w:rPr>
          <w:rFonts w:ascii="Arial" w:cs="Arial" w:eastAsia="Arial" w:hAnsi="Arial"/>
          <w:sz w:val="16"/>
          <w:szCs w:val="16"/>
          <w:color w:val="auto"/>
        </w:rPr>
        <w:t xml:space="preserve"> relationship with that other person gives rise to a conflict of interest or possible conflict of interest, this Article 32.7 applies only if the existence of that relationship has been authorised by the Board pursuant to Article 32.2. In particular, the Director shall not be in breach of the general duties </w:t>
      </w:r>
      <w:r>
        <w:rPr>
          <w:rFonts w:ascii="Arial" w:cs="Arial" w:eastAsia="Arial" w:hAnsi="Arial"/>
          <w:sz w:val="16"/>
          <w:szCs w:val="16"/>
          <w:color w:val="auto"/>
          <w:strike w:val="1"/>
        </w:rPr>
        <w:t>he owes</w:t>
      </w:r>
      <w:r>
        <w:rPr>
          <w:rFonts w:ascii="Arial" w:cs="Arial" w:eastAsia="Arial" w:hAnsi="Arial"/>
          <w:sz w:val="16"/>
          <w:szCs w:val="16"/>
          <w:u w:val="single" w:color="auto"/>
          <w:color w:val="auto"/>
        </w:rPr>
        <w:t>they owe</w:t>
      </w:r>
      <w:r>
        <w:rPr>
          <w:rFonts w:ascii="Arial" w:cs="Arial" w:eastAsia="Arial" w:hAnsi="Arial"/>
          <w:sz w:val="16"/>
          <w:szCs w:val="16"/>
          <w:color w:val="auto"/>
        </w:rPr>
        <w:t xml:space="preserve"> to the Company by virtue of sections 171 to 177 of the Companies Act because </w:t>
      </w:r>
      <w:r>
        <w:rPr>
          <w:rFonts w:ascii="Arial" w:cs="Arial" w:eastAsia="Arial" w:hAnsi="Arial"/>
          <w:sz w:val="16"/>
          <w:szCs w:val="16"/>
          <w:color w:val="auto"/>
          <w:strike w:val="1"/>
        </w:rPr>
        <w:t>he fails</w:t>
      </w:r>
      <w:r>
        <w:rPr>
          <w:rFonts w:ascii="Arial" w:cs="Arial" w:eastAsia="Arial" w:hAnsi="Arial"/>
          <w:sz w:val="16"/>
          <w:szCs w:val="16"/>
          <w:u w:val="single" w:color="auto"/>
          <w:color w:val="auto"/>
        </w:rPr>
        <w:t>they fail</w:t>
      </w:r>
      <w:r>
        <w:rPr>
          <w:rFonts w:ascii="Arial" w:cs="Arial" w:eastAsia="Arial" w:hAnsi="Arial"/>
          <w:sz w:val="16"/>
          <w:szCs w:val="16"/>
          <w:color w:val="auto"/>
        </w:rPr>
        <w:t>:</w:t>
      </w:r>
    </w:p>
    <w:p>
      <w:pPr>
        <w:spacing w:after="0" w:line="70" w:lineRule="exact"/>
        <w:rPr>
          <w:sz w:val="20"/>
          <w:szCs w:val="20"/>
          <w:color w:val="auto"/>
        </w:rPr>
      </w:pPr>
    </w:p>
    <w:p>
      <w:pPr>
        <w:ind w:left="1620" w:hanging="424"/>
        <w:spacing w:after="0"/>
        <w:tabs>
          <w:tab w:leader="none" w:pos="1620" w:val="left"/>
        </w:tabs>
        <w:numPr>
          <w:ilvl w:val="0"/>
          <w:numId w:val="177"/>
        </w:numPr>
        <w:rPr>
          <w:rFonts w:ascii="Arial" w:cs="Arial" w:eastAsia="Arial" w:hAnsi="Arial"/>
          <w:sz w:val="16"/>
          <w:szCs w:val="16"/>
          <w:color w:val="auto"/>
        </w:rPr>
      </w:pPr>
      <w:r>
        <w:rPr>
          <w:rFonts w:ascii="Arial" w:cs="Arial" w:eastAsia="Arial" w:hAnsi="Arial"/>
          <w:sz w:val="16"/>
          <w:szCs w:val="16"/>
          <w:color w:val="auto"/>
        </w:rPr>
        <w:t>to disclose any such information to the Board or to any Director or other officer or employees of the Company; and/or</w:t>
      </w:r>
    </w:p>
    <w:p>
      <w:pPr>
        <w:spacing w:after="0" w:line="99" w:lineRule="exact"/>
        <w:rPr>
          <w:rFonts w:ascii="Arial" w:cs="Arial" w:eastAsia="Arial" w:hAnsi="Arial"/>
          <w:sz w:val="16"/>
          <w:szCs w:val="16"/>
          <w:color w:val="auto"/>
        </w:rPr>
      </w:pPr>
    </w:p>
    <w:p>
      <w:pPr>
        <w:ind w:left="1620" w:hanging="424"/>
        <w:spacing w:after="0"/>
        <w:tabs>
          <w:tab w:leader="none" w:pos="1620" w:val="left"/>
        </w:tabs>
        <w:numPr>
          <w:ilvl w:val="0"/>
          <w:numId w:val="177"/>
        </w:numPr>
        <w:rPr>
          <w:rFonts w:ascii="Arial" w:cs="Arial" w:eastAsia="Arial" w:hAnsi="Arial"/>
          <w:sz w:val="16"/>
          <w:szCs w:val="16"/>
          <w:color w:val="auto"/>
        </w:rPr>
      </w:pPr>
      <w:r>
        <w:rPr>
          <w:rFonts w:ascii="Arial" w:cs="Arial" w:eastAsia="Arial" w:hAnsi="Arial"/>
          <w:sz w:val="16"/>
          <w:szCs w:val="16"/>
          <w:color w:val="auto"/>
        </w:rPr>
        <w:t xml:space="preserve">to use or apply any such information in performing </w:t>
      </w:r>
      <w:r>
        <w:rPr>
          <w:rFonts w:ascii="Arial" w:cs="Arial" w:eastAsia="Arial" w:hAnsi="Arial"/>
          <w:sz w:val="16"/>
          <w:szCs w:val="16"/>
          <w:color w:val="auto"/>
          <w:strike w:val="1"/>
        </w:rPr>
        <w:t>his</w:t>
      </w:r>
      <w:r>
        <w:rPr>
          <w:rFonts w:ascii="Arial" w:cs="Arial" w:eastAsia="Arial" w:hAnsi="Arial"/>
          <w:sz w:val="16"/>
          <w:szCs w:val="16"/>
          <w:u w:val="single" w:color="auto"/>
          <w:color w:val="auto"/>
        </w:rPr>
        <w:t>their</w:t>
      </w:r>
      <w:r>
        <w:rPr>
          <w:rFonts w:ascii="Arial" w:cs="Arial" w:eastAsia="Arial" w:hAnsi="Arial"/>
          <w:sz w:val="16"/>
          <w:szCs w:val="16"/>
          <w:color w:val="auto"/>
        </w:rPr>
        <w:t xml:space="preserve"> duties as a Director.</w:t>
      </w:r>
    </w:p>
    <w:p>
      <w:pPr>
        <w:spacing w:after="0" w:line="100" w:lineRule="exact"/>
        <w:rPr>
          <w:sz w:val="20"/>
          <w:szCs w:val="20"/>
          <w:color w:val="auto"/>
        </w:rPr>
      </w:pPr>
    </w:p>
    <w:p>
      <w:pPr>
        <w:ind w:left="1200" w:right="860" w:hanging="431"/>
        <w:spacing w:after="0" w:line="251" w:lineRule="auto"/>
        <w:rPr>
          <w:sz w:val="20"/>
          <w:szCs w:val="20"/>
          <w:color w:val="auto"/>
        </w:rPr>
      </w:pPr>
      <w:r>
        <w:rPr>
          <w:rFonts w:ascii="Arial" w:cs="Arial" w:eastAsia="Arial" w:hAnsi="Arial"/>
          <w:sz w:val="16"/>
          <w:szCs w:val="16"/>
          <w:color w:val="auto"/>
        </w:rPr>
        <w:t xml:space="preserve">32.8 Where the existence of a Director’s relationship with another person or undertaking has been authorised by the Board pursuant to Article 32.2 and </w:t>
      </w:r>
      <w:r>
        <w:rPr>
          <w:rFonts w:ascii="Arial" w:cs="Arial" w:eastAsia="Arial" w:hAnsi="Arial"/>
          <w:sz w:val="16"/>
          <w:szCs w:val="16"/>
          <w:color w:val="auto"/>
          <w:strike w:val="1"/>
        </w:rPr>
        <w:t>his</w:t>
      </w:r>
      <w:r>
        <w:rPr>
          <w:rFonts w:ascii="Arial" w:cs="Arial" w:eastAsia="Arial" w:hAnsi="Arial"/>
          <w:sz w:val="16"/>
          <w:szCs w:val="16"/>
          <w:u w:val="single" w:color="auto"/>
          <w:color w:val="auto"/>
        </w:rPr>
        <w:t>their</w:t>
      </w:r>
      <w:r>
        <w:rPr>
          <w:rFonts w:ascii="Arial" w:cs="Arial" w:eastAsia="Arial" w:hAnsi="Arial"/>
          <w:sz w:val="16"/>
          <w:szCs w:val="16"/>
          <w:color w:val="auto"/>
        </w:rPr>
        <w:t xml:space="preserve"> relationship with that person or undertaking gives rise to a conflict of interest or possible conflict of interest, the Director shall not be in breach of the general duties </w:t>
      </w:r>
      <w:r>
        <w:rPr>
          <w:rFonts w:ascii="Arial" w:cs="Arial" w:eastAsia="Arial" w:hAnsi="Arial"/>
          <w:sz w:val="16"/>
          <w:szCs w:val="16"/>
          <w:color w:val="auto"/>
          <w:strike w:val="1"/>
        </w:rPr>
        <w:t>he owes</w:t>
      </w:r>
      <w:r>
        <w:rPr>
          <w:rFonts w:ascii="Arial" w:cs="Arial" w:eastAsia="Arial" w:hAnsi="Arial"/>
          <w:sz w:val="16"/>
          <w:szCs w:val="16"/>
          <w:u w:val="single" w:color="auto"/>
          <w:color w:val="auto"/>
        </w:rPr>
        <w:t>they owe</w:t>
      </w:r>
      <w:r>
        <w:rPr>
          <w:rFonts w:ascii="Arial" w:cs="Arial" w:eastAsia="Arial" w:hAnsi="Arial"/>
          <w:sz w:val="16"/>
          <w:szCs w:val="16"/>
          <w:color w:val="auto"/>
        </w:rPr>
        <w:t xml:space="preserve"> to the Company by virtue of sections 171 to 177 of the Companies Act because </w:t>
      </w:r>
      <w:r>
        <w:rPr>
          <w:rFonts w:ascii="Arial" w:cs="Arial" w:eastAsia="Arial" w:hAnsi="Arial"/>
          <w:sz w:val="16"/>
          <w:szCs w:val="16"/>
          <w:color w:val="auto"/>
          <w:strike w:val="1"/>
        </w:rPr>
        <w:t>he</w:t>
      </w:r>
      <w:r>
        <w:rPr>
          <w:rFonts w:ascii="Arial" w:cs="Arial" w:eastAsia="Arial" w:hAnsi="Arial"/>
          <w:sz w:val="16"/>
          <w:szCs w:val="16"/>
          <w:u w:val="single" w:color="auto"/>
          <w:color w:val="auto"/>
        </w:rPr>
        <w:t>they</w:t>
      </w:r>
      <w:r>
        <w:rPr>
          <w:rFonts w:ascii="Arial" w:cs="Arial" w:eastAsia="Arial" w:hAnsi="Arial"/>
          <w:sz w:val="16"/>
          <w:szCs w:val="16"/>
          <w:color w:val="auto"/>
        </w:rPr>
        <w:t>:</w:t>
      </w:r>
    </w:p>
    <w:p>
      <w:pPr>
        <w:spacing w:after="0" w:line="67" w:lineRule="exact"/>
        <w:rPr>
          <w:sz w:val="20"/>
          <w:szCs w:val="20"/>
          <w:color w:val="auto"/>
        </w:rPr>
      </w:pPr>
    </w:p>
    <w:p>
      <w:pPr>
        <w:ind w:left="1620" w:right="1360" w:hanging="424"/>
        <w:spacing w:after="0" w:line="253" w:lineRule="auto"/>
        <w:tabs>
          <w:tab w:leader="none" w:pos="1620" w:val="left"/>
        </w:tabs>
        <w:numPr>
          <w:ilvl w:val="0"/>
          <w:numId w:val="178"/>
        </w:numPr>
        <w:rPr>
          <w:rFonts w:ascii="Arial" w:cs="Arial" w:eastAsia="Arial" w:hAnsi="Arial"/>
          <w:sz w:val="16"/>
          <w:szCs w:val="16"/>
          <w:color w:val="auto"/>
        </w:rPr>
      </w:pPr>
      <w:r>
        <w:rPr>
          <w:rFonts w:ascii="Arial" w:cs="Arial" w:eastAsia="Arial" w:hAnsi="Arial"/>
          <w:sz w:val="16"/>
          <w:szCs w:val="16"/>
          <w:color w:val="auto"/>
        </w:rPr>
        <w:t xml:space="preserve">absents </w:t>
      </w:r>
      <w:r>
        <w:rPr>
          <w:rFonts w:ascii="Arial" w:cs="Arial" w:eastAsia="Arial" w:hAnsi="Arial"/>
          <w:sz w:val="16"/>
          <w:szCs w:val="16"/>
          <w:color w:val="auto"/>
          <w:strike w:val="1"/>
        </w:rPr>
        <w:t>himself</w:t>
      </w:r>
      <w:r>
        <w:rPr>
          <w:rFonts w:ascii="Arial" w:cs="Arial" w:eastAsia="Arial" w:hAnsi="Arial"/>
          <w:sz w:val="16"/>
          <w:szCs w:val="16"/>
          <w:u w:val="single" w:color="auto"/>
          <w:color w:val="auto"/>
        </w:rPr>
        <w:t>themselves</w:t>
      </w:r>
      <w:r>
        <w:rPr>
          <w:rFonts w:ascii="Arial" w:cs="Arial" w:eastAsia="Arial" w:hAnsi="Arial"/>
          <w:sz w:val="16"/>
          <w:szCs w:val="16"/>
          <w:color w:val="auto"/>
        </w:rPr>
        <w:t xml:space="preserve"> from meetings of the Board at which any matter relating to the conflict of interest or possible conflict of interest will or may be discussed or from the discussion of any such matter at a meeting or otherwise; and/or</w:t>
      </w:r>
    </w:p>
    <w:p>
      <w:pPr>
        <w:spacing w:after="0" w:line="79" w:lineRule="exact"/>
        <w:rPr>
          <w:rFonts w:ascii="Arial" w:cs="Arial" w:eastAsia="Arial" w:hAnsi="Arial"/>
          <w:sz w:val="16"/>
          <w:szCs w:val="16"/>
          <w:color w:val="auto"/>
        </w:rPr>
      </w:pPr>
    </w:p>
    <w:p>
      <w:pPr>
        <w:ind w:left="1620" w:right="800" w:hanging="424"/>
        <w:spacing w:after="0" w:line="253" w:lineRule="auto"/>
        <w:tabs>
          <w:tab w:leader="none" w:pos="1620" w:val="left"/>
        </w:tabs>
        <w:numPr>
          <w:ilvl w:val="0"/>
          <w:numId w:val="178"/>
        </w:numPr>
        <w:rPr>
          <w:rFonts w:ascii="Arial" w:cs="Arial" w:eastAsia="Arial" w:hAnsi="Arial"/>
          <w:sz w:val="16"/>
          <w:szCs w:val="16"/>
          <w:color w:val="auto"/>
        </w:rPr>
      </w:pPr>
      <w:r>
        <w:rPr>
          <w:rFonts w:ascii="Arial" w:cs="Arial" w:eastAsia="Arial" w:hAnsi="Arial"/>
          <w:sz w:val="16"/>
          <w:szCs w:val="16"/>
          <w:color w:val="auto"/>
        </w:rPr>
        <w:t>makes arrangements not to receive documents and information relating to any matter which gives rise to the conflict of interest or possible conflict of interest sent or supplied by the Company and/or for such documents and information to be received and read by a professional adviser,</w:t>
      </w:r>
    </w:p>
    <w:p>
      <w:pPr>
        <w:spacing w:after="0" w:line="80" w:lineRule="exact"/>
        <w:rPr>
          <w:sz w:val="20"/>
          <w:szCs w:val="20"/>
          <w:color w:val="auto"/>
        </w:rPr>
      </w:pPr>
    </w:p>
    <w:p>
      <w:pPr>
        <w:ind w:left="1200" w:right="880"/>
        <w:spacing w:after="0" w:line="249" w:lineRule="auto"/>
        <w:rPr>
          <w:sz w:val="20"/>
          <w:szCs w:val="20"/>
          <w:color w:val="auto"/>
        </w:rPr>
      </w:pPr>
      <w:r>
        <w:rPr>
          <w:rFonts w:ascii="Arial" w:cs="Arial" w:eastAsia="Arial" w:hAnsi="Arial"/>
          <w:sz w:val="16"/>
          <w:szCs w:val="16"/>
          <w:color w:val="auto"/>
        </w:rPr>
        <w:t xml:space="preserve">for so long as </w:t>
      </w:r>
      <w:r>
        <w:rPr>
          <w:rFonts w:ascii="Arial" w:cs="Arial" w:eastAsia="Arial" w:hAnsi="Arial"/>
          <w:sz w:val="16"/>
          <w:szCs w:val="16"/>
          <w:color w:val="auto"/>
          <w:strike w:val="1"/>
        </w:rPr>
        <w:t>he</w:t>
      </w:r>
      <w:r>
        <w:rPr>
          <w:rFonts w:ascii="Arial" w:cs="Arial" w:eastAsia="Arial" w:hAnsi="Arial"/>
          <w:sz w:val="16"/>
          <w:szCs w:val="16"/>
          <w:u w:val="single" w:color="auto"/>
          <w:color w:val="auto"/>
        </w:rPr>
        <w:t>they</w:t>
      </w:r>
      <w:r>
        <w:rPr>
          <w:rFonts w:ascii="Arial" w:cs="Arial" w:eastAsia="Arial" w:hAnsi="Arial"/>
          <w:sz w:val="16"/>
          <w:szCs w:val="16"/>
          <w:color w:val="auto"/>
        </w:rPr>
        <w:t xml:space="preserve"> reasonably </w:t>
      </w:r>
      <w:r>
        <w:rPr>
          <w:rFonts w:ascii="Arial" w:cs="Arial" w:eastAsia="Arial" w:hAnsi="Arial"/>
          <w:sz w:val="16"/>
          <w:szCs w:val="16"/>
          <w:color w:val="auto"/>
          <w:strike w:val="1"/>
        </w:rPr>
        <w:t>believes</w:t>
      </w:r>
      <w:r>
        <w:rPr>
          <w:rFonts w:ascii="Arial" w:cs="Arial" w:eastAsia="Arial" w:hAnsi="Arial"/>
          <w:sz w:val="16"/>
          <w:szCs w:val="16"/>
          <w:u w:val="single" w:color="auto"/>
          <w:color w:val="auto"/>
        </w:rPr>
        <w:t>believe</w:t>
      </w:r>
      <w:r>
        <w:rPr>
          <w:rFonts w:ascii="Arial" w:cs="Arial" w:eastAsia="Arial" w:hAnsi="Arial"/>
          <w:sz w:val="16"/>
          <w:szCs w:val="16"/>
          <w:color w:val="auto"/>
        </w:rPr>
        <w:t xml:space="preserve"> such conflict of interest or possible conflict of interest subsists, </w:t>
      </w:r>
      <w:r>
        <w:rPr>
          <w:rFonts w:ascii="Arial" w:cs="Arial" w:eastAsia="Arial" w:hAnsi="Arial"/>
          <w:sz w:val="16"/>
          <w:szCs w:val="16"/>
          <w:color w:val="auto"/>
          <w:strike w:val="1"/>
        </w:rPr>
        <w:t>provided</w:t>
      </w:r>
      <w:r>
        <w:rPr>
          <w:rFonts w:ascii="Arial" w:cs="Arial" w:eastAsia="Arial" w:hAnsi="Arial"/>
          <w:sz w:val="16"/>
          <w:szCs w:val="16"/>
          <w:color w:val="auto"/>
        </w:rPr>
        <w:t xml:space="preserve"> </w:t>
      </w:r>
      <w:r>
        <w:rPr>
          <w:rFonts w:ascii="Arial" w:cs="Arial" w:eastAsia="Arial" w:hAnsi="Arial"/>
          <w:sz w:val="16"/>
          <w:szCs w:val="16"/>
          <w:color w:val="auto"/>
          <w:strike w:val="1"/>
        </w:rPr>
        <w:t>that</w:t>
      </w:r>
      <w:r>
        <w:rPr>
          <w:rFonts w:ascii="Arial" w:cs="Arial" w:eastAsia="Arial" w:hAnsi="Arial"/>
          <w:sz w:val="16"/>
          <w:szCs w:val="16"/>
          <w:color w:val="auto"/>
        </w:rPr>
        <w:t xml:space="preserve"> provided that if a majority of the Independent Directors of the Company so determine (excluding any Independent Director who is conflicted in respect of the particular matter), such conflicted </w:t>
      </w:r>
      <w:r>
        <w:rPr>
          <w:rFonts w:ascii="Arial" w:cs="Arial" w:eastAsia="Arial" w:hAnsi="Arial"/>
          <w:sz w:val="16"/>
          <w:szCs w:val="16"/>
          <w:color w:val="auto"/>
          <w:strike w:val="1"/>
        </w:rPr>
        <w:t>director</w:t>
      </w:r>
      <w:r>
        <w:rPr>
          <w:rFonts w:ascii="Arial" w:cs="Arial" w:eastAsia="Arial" w:hAnsi="Arial"/>
          <w:sz w:val="16"/>
          <w:szCs w:val="16"/>
          <w:u w:val="single" w:color="auto"/>
          <w:color w:val="auto"/>
        </w:rPr>
        <w:t>Director</w:t>
      </w:r>
      <w:r>
        <w:rPr>
          <w:rFonts w:ascii="Arial" w:cs="Arial" w:eastAsia="Arial" w:hAnsi="Arial"/>
          <w:sz w:val="16"/>
          <w:szCs w:val="16"/>
          <w:color w:val="auto"/>
        </w:rPr>
        <w:t xml:space="preserve"> may be permitted to participate in the relevant meeting (or part thereof), and to receive documents and information relating to the matter, but not to vote (save to the extent that such participation or access to such documents and information would constitute a breach of applicable competition law or regulation</w:t>
      </w:r>
      <w:r>
        <w:rPr>
          <w:rFonts w:ascii="Arial" w:cs="Arial" w:eastAsia="Arial" w:hAnsi="Arial"/>
          <w:sz w:val="16"/>
          <w:szCs w:val="16"/>
          <w:color w:val="auto"/>
          <w:strike w:val="1"/>
        </w:rPr>
        <w:t>.</w:t>
      </w:r>
      <w:r>
        <w:rPr>
          <w:rFonts w:ascii="Arial" w:cs="Arial" w:eastAsia="Arial" w:hAnsi="Arial"/>
          <w:sz w:val="16"/>
          <w:szCs w:val="16"/>
          <w:u w:val="single" w:color="auto"/>
          <w:color w:val="auto"/>
        </w:rPr>
        <w:t>).</w:t>
      </w:r>
    </w:p>
    <w:p>
      <w:pPr>
        <w:spacing w:after="0" w:line="70" w:lineRule="exact"/>
        <w:rPr>
          <w:sz w:val="20"/>
          <w:szCs w:val="20"/>
          <w:color w:val="auto"/>
        </w:rPr>
      </w:pPr>
    </w:p>
    <w:p>
      <w:pPr>
        <w:ind w:left="760"/>
        <w:spacing w:after="0"/>
        <w:rPr>
          <w:sz w:val="20"/>
          <w:szCs w:val="20"/>
          <w:color w:val="auto"/>
        </w:rPr>
      </w:pPr>
      <w:r>
        <w:rPr>
          <w:rFonts w:ascii="Arial" w:cs="Arial" w:eastAsia="Arial" w:hAnsi="Arial"/>
          <w:sz w:val="16"/>
          <w:szCs w:val="16"/>
          <w:color w:val="auto"/>
        </w:rPr>
        <w:t>32.9  The provisions of Articles 32.7 and 32.8 are without prejudice to any equitable principle or rule of law which may excuse the</w:t>
      </w:r>
    </w:p>
    <w:p>
      <w:pPr>
        <w:spacing w:after="0" w:line="5" w:lineRule="exact"/>
        <w:rPr>
          <w:sz w:val="20"/>
          <w:szCs w:val="20"/>
          <w:color w:val="auto"/>
        </w:rPr>
      </w:pPr>
    </w:p>
    <w:p>
      <w:pPr>
        <w:ind w:left="1200"/>
        <w:spacing w:after="0"/>
        <w:rPr>
          <w:sz w:val="20"/>
          <w:szCs w:val="20"/>
          <w:color w:val="auto"/>
        </w:rPr>
      </w:pPr>
      <w:r>
        <w:rPr>
          <w:rFonts w:ascii="Arial" w:cs="Arial" w:eastAsia="Arial" w:hAnsi="Arial"/>
          <w:sz w:val="16"/>
          <w:szCs w:val="16"/>
          <w:color w:val="auto"/>
        </w:rPr>
        <w:t>Director from:</w:t>
      </w:r>
    </w:p>
    <w:p>
      <w:pPr>
        <w:spacing w:after="0" w:line="100" w:lineRule="exact"/>
        <w:rPr>
          <w:sz w:val="20"/>
          <w:szCs w:val="20"/>
          <w:color w:val="auto"/>
        </w:rPr>
      </w:pPr>
    </w:p>
    <w:p>
      <w:pPr>
        <w:ind w:left="1620" w:hanging="424"/>
        <w:spacing w:after="0"/>
        <w:tabs>
          <w:tab w:leader="none" w:pos="1620" w:val="left"/>
        </w:tabs>
        <w:numPr>
          <w:ilvl w:val="0"/>
          <w:numId w:val="179"/>
        </w:numPr>
        <w:rPr>
          <w:rFonts w:ascii="Arial" w:cs="Arial" w:eastAsia="Arial" w:hAnsi="Arial"/>
          <w:sz w:val="16"/>
          <w:szCs w:val="16"/>
          <w:color w:val="auto"/>
        </w:rPr>
      </w:pPr>
      <w:r>
        <w:rPr>
          <w:rFonts w:ascii="Arial" w:cs="Arial" w:eastAsia="Arial" w:hAnsi="Arial"/>
          <w:sz w:val="16"/>
          <w:szCs w:val="16"/>
          <w:color w:val="auto"/>
        </w:rPr>
        <w:t>disclosing information, in circumstances where disclosure would otherwise be required under these Articles; or</w:t>
      </w:r>
    </w:p>
    <w:p>
      <w:pPr>
        <w:spacing w:after="0" w:line="99" w:lineRule="exact"/>
        <w:rPr>
          <w:rFonts w:ascii="Arial" w:cs="Arial" w:eastAsia="Arial" w:hAnsi="Arial"/>
          <w:sz w:val="16"/>
          <w:szCs w:val="16"/>
          <w:color w:val="auto"/>
        </w:rPr>
      </w:pPr>
    </w:p>
    <w:p>
      <w:pPr>
        <w:ind w:left="1620" w:right="1160" w:hanging="424"/>
        <w:spacing w:after="0" w:line="253" w:lineRule="auto"/>
        <w:tabs>
          <w:tab w:leader="none" w:pos="1620" w:val="left"/>
        </w:tabs>
        <w:numPr>
          <w:ilvl w:val="0"/>
          <w:numId w:val="179"/>
        </w:numPr>
        <w:rPr>
          <w:rFonts w:ascii="Arial" w:cs="Arial" w:eastAsia="Arial" w:hAnsi="Arial"/>
          <w:sz w:val="16"/>
          <w:szCs w:val="16"/>
          <w:color w:val="auto"/>
        </w:rPr>
      </w:pPr>
      <w:r>
        <w:rPr>
          <w:rFonts w:ascii="Arial" w:cs="Arial" w:eastAsia="Arial" w:hAnsi="Arial"/>
          <w:sz w:val="16"/>
          <w:szCs w:val="16"/>
          <w:color w:val="auto"/>
        </w:rPr>
        <w:t>attending meetings or discussions or receiving documents and information as referred to in Article 32.8, in circumstances where such attendance or receiving such documents and information would otherwise be required under these Articles.</w:t>
      </w:r>
    </w:p>
    <w:p>
      <w:pPr>
        <w:spacing w:after="0" w:line="66" w:lineRule="exact"/>
        <w:rPr>
          <w:sz w:val="20"/>
          <w:szCs w:val="20"/>
          <w:color w:val="auto"/>
        </w:rPr>
      </w:pPr>
    </w:p>
    <w:p>
      <w:pPr>
        <w:ind w:left="760"/>
        <w:spacing w:after="0"/>
        <w:rPr>
          <w:sz w:val="20"/>
          <w:szCs w:val="20"/>
          <w:color w:val="auto"/>
        </w:rPr>
      </w:pPr>
      <w:r>
        <w:rPr>
          <w:rFonts w:ascii="Arial" w:cs="Arial" w:eastAsia="Arial" w:hAnsi="Arial"/>
          <w:sz w:val="16"/>
          <w:szCs w:val="16"/>
          <w:color w:val="auto"/>
        </w:rPr>
        <w:t>32.10 For the purposes of Article 32.4:</w:t>
      </w:r>
    </w:p>
    <w:p>
      <w:pPr>
        <w:spacing w:after="0" w:line="100" w:lineRule="exact"/>
        <w:rPr>
          <w:sz w:val="20"/>
          <w:szCs w:val="20"/>
          <w:color w:val="auto"/>
        </w:rPr>
      </w:pPr>
    </w:p>
    <w:p>
      <w:pPr>
        <w:ind w:left="1620" w:right="980" w:hanging="424"/>
        <w:spacing w:after="0" w:line="251" w:lineRule="auto"/>
        <w:tabs>
          <w:tab w:leader="none" w:pos="1620" w:val="left"/>
        </w:tabs>
        <w:numPr>
          <w:ilvl w:val="0"/>
          <w:numId w:val="180"/>
        </w:numPr>
        <w:rPr>
          <w:rFonts w:ascii="Arial" w:cs="Arial" w:eastAsia="Arial" w:hAnsi="Arial"/>
          <w:sz w:val="16"/>
          <w:szCs w:val="16"/>
          <w:color w:val="auto"/>
        </w:rPr>
      </w:pPr>
      <w:r>
        <w:rPr>
          <w:rFonts w:ascii="Arial" w:cs="Arial" w:eastAsia="Arial" w:hAnsi="Arial"/>
          <w:sz w:val="16"/>
          <w:szCs w:val="16"/>
          <w:color w:val="auto"/>
        </w:rPr>
        <w:t xml:space="preserve">a general notice given to the </w:t>
      </w:r>
      <w:r>
        <w:rPr>
          <w:rFonts w:ascii="Arial" w:cs="Arial" w:eastAsia="Arial" w:hAnsi="Arial"/>
          <w:sz w:val="16"/>
          <w:szCs w:val="16"/>
          <w:color w:val="auto"/>
          <w:strike w:val="1"/>
        </w:rPr>
        <w:t>Directors</w:t>
      </w:r>
      <w:r>
        <w:rPr>
          <w:rFonts w:ascii="Arial" w:cs="Arial" w:eastAsia="Arial" w:hAnsi="Arial"/>
          <w:sz w:val="16"/>
          <w:szCs w:val="16"/>
          <w:u w:val="single" w:color="auto"/>
          <w:color w:val="auto"/>
        </w:rPr>
        <w:t>Board</w:t>
      </w:r>
      <w:r>
        <w:rPr>
          <w:rFonts w:ascii="Arial" w:cs="Arial" w:eastAsia="Arial" w:hAnsi="Arial"/>
          <w:sz w:val="16"/>
          <w:szCs w:val="16"/>
          <w:color w:val="auto"/>
        </w:rPr>
        <w:t xml:space="preserve"> that a Director is to be regarded as having an interest of the nature and extent specified in the notice in any transaction or arrangement in which a specified person or class of persons is interested shall be deemed to be a disclosure that the Director has an interest in any such transaction of the nature and extent so specified;</w:t>
      </w:r>
    </w:p>
    <w:p>
      <w:pPr>
        <w:spacing w:after="0" w:line="286" w:lineRule="exact"/>
        <w:rPr>
          <w:sz w:val="20"/>
          <w:szCs w:val="20"/>
          <w:color w:val="auto"/>
        </w:rPr>
      </w:pPr>
    </w:p>
    <w:tbl>
      <w:tblPr>
        <w:tblLayout w:type="fixed"/>
        <w:tblInd w:w="0" w:type="dxa"/>
        <w:tblCellMar>
          <w:top w:w="0" w:type="dxa"/>
          <w:left w:w="0" w:type="dxa"/>
          <w:bottom w:w="0" w:type="dxa"/>
          <w:right w:w="0" w:type="dxa"/>
        </w:tblCellMar>
      </w:tblPr>
      <w:tr>
        <w:trPr>
          <w:trHeight w:val="130"/>
        </w:trPr>
        <w:tc>
          <w:tcPr>
            <w:tcW w:w="800" w:type="dxa"/>
            <w:vAlign w:val="bottom"/>
            <w:vMerge w:val="restart"/>
          </w:tcPr>
          <w:p>
            <w:pPr>
              <w:spacing w:after="0"/>
              <w:rPr>
                <w:sz w:val="11"/>
                <w:szCs w:val="11"/>
                <w:color w:val="auto"/>
              </w:rPr>
            </w:pPr>
          </w:p>
        </w:tc>
        <w:tc>
          <w:tcPr>
            <w:tcW w:w="3060" w:type="dxa"/>
            <w:vAlign w:val="bottom"/>
            <w:tcBorders>
              <w:bottom w:val="single" w:sz="8" w:color="auto"/>
            </w:tcBorders>
          </w:tcPr>
          <w:p>
            <w:pPr>
              <w:spacing w:after="0"/>
              <w:rPr>
                <w:sz w:val="11"/>
                <w:szCs w:val="11"/>
                <w:color w:val="auto"/>
              </w:rPr>
            </w:pPr>
          </w:p>
        </w:tc>
        <w:tc>
          <w:tcPr>
            <w:tcW w:w="2740" w:type="dxa"/>
            <w:vAlign w:val="bottom"/>
            <w:vMerge w:val="restart"/>
          </w:tcPr>
          <w:p>
            <w:pPr>
              <w:ind w:left="380"/>
              <w:spacing w:after="0"/>
              <w:rPr>
                <w:sz w:val="20"/>
                <w:szCs w:val="20"/>
                <w:color w:val="auto"/>
              </w:rPr>
            </w:pPr>
            <w:r>
              <w:rPr>
                <w:rFonts w:ascii="Arial" w:cs="Arial" w:eastAsia="Arial" w:hAnsi="Arial"/>
                <w:sz w:val="13"/>
                <w:szCs w:val="13"/>
                <w:b w:val="1"/>
                <w:bCs w:val="1"/>
                <w:color w:val="4800E6"/>
              </w:rPr>
              <w:t xml:space="preserve">LIVANOVA </w:t>
            </w:r>
            <w:r>
              <w:rPr>
                <w:rFonts w:ascii="Arial" w:cs="Arial" w:eastAsia="Arial" w:hAnsi="Arial"/>
                <w:sz w:val="13"/>
                <w:szCs w:val="13"/>
                <w:color w:val="000000"/>
              </w:rPr>
              <w:t>|</w:t>
            </w:r>
            <w:r>
              <w:rPr>
                <w:rFonts w:ascii="Arial" w:cs="Arial" w:eastAsia="Arial" w:hAnsi="Arial"/>
                <w:sz w:val="13"/>
                <w:szCs w:val="13"/>
                <w:b w:val="1"/>
                <w:bCs w:val="1"/>
                <w:color w:val="4800E6"/>
              </w:rPr>
              <w:t xml:space="preserve"> </w:t>
            </w:r>
            <w:r>
              <w:rPr>
                <w:rFonts w:ascii="Arial" w:cs="Arial" w:eastAsia="Arial" w:hAnsi="Arial"/>
                <w:sz w:val="13"/>
                <w:szCs w:val="13"/>
                <w:color w:val="4800E6"/>
              </w:rPr>
              <w:t>2020</w:t>
            </w:r>
            <w:r>
              <w:rPr>
                <w:rFonts w:ascii="Arial" w:cs="Arial" w:eastAsia="Arial" w:hAnsi="Arial"/>
                <w:sz w:val="13"/>
                <w:szCs w:val="13"/>
                <w:b w:val="1"/>
                <w:bCs w:val="1"/>
                <w:color w:val="4800E6"/>
              </w:rPr>
              <w:t xml:space="preserve"> </w:t>
            </w:r>
            <w:r>
              <w:rPr>
                <w:rFonts w:ascii="Arial" w:cs="Arial" w:eastAsia="Arial" w:hAnsi="Arial"/>
                <w:sz w:val="13"/>
                <w:szCs w:val="13"/>
                <w:color w:val="000000"/>
              </w:rPr>
              <w:t>Proxy Statement</w:t>
            </w:r>
          </w:p>
        </w:tc>
        <w:tc>
          <w:tcPr>
            <w:tcW w:w="3080" w:type="dxa"/>
            <w:vAlign w:val="bottom"/>
            <w:tcBorders>
              <w:bottom w:val="single" w:sz="8" w:color="auto"/>
            </w:tcBorders>
          </w:tcPr>
          <w:p>
            <w:pPr>
              <w:spacing w:after="0"/>
              <w:rPr>
                <w:sz w:val="11"/>
                <w:szCs w:val="11"/>
                <w:color w:val="auto"/>
              </w:rPr>
            </w:pPr>
          </w:p>
        </w:tc>
        <w:tc>
          <w:tcPr>
            <w:tcW w:w="1040" w:type="dxa"/>
            <w:vAlign w:val="bottom"/>
            <w:vMerge w:val="restart"/>
          </w:tcPr>
          <w:p>
            <w:pPr>
              <w:ind w:left="200"/>
              <w:spacing w:after="0"/>
              <w:rPr>
                <w:sz w:val="20"/>
                <w:szCs w:val="20"/>
                <w:color w:val="auto"/>
              </w:rPr>
            </w:pPr>
            <w:r>
              <w:rPr>
                <w:rFonts w:ascii="Arial" w:cs="Arial" w:eastAsia="Arial" w:hAnsi="Arial"/>
                <w:sz w:val="14"/>
                <w:szCs w:val="14"/>
                <w:b w:val="1"/>
                <w:bCs w:val="1"/>
                <w:color w:val="auto"/>
              </w:rPr>
              <w:t>A-27</w:t>
            </w:r>
          </w:p>
        </w:tc>
        <w:tc>
          <w:tcPr>
            <w:tcW w:w="0" w:type="dxa"/>
            <w:vAlign w:val="bottom"/>
          </w:tcPr>
          <w:p>
            <w:pPr>
              <w:spacing w:after="0"/>
              <w:rPr>
                <w:sz w:val="1"/>
                <w:szCs w:val="1"/>
                <w:color w:val="auto"/>
              </w:rPr>
            </w:pPr>
          </w:p>
        </w:tc>
      </w:tr>
      <w:tr>
        <w:trPr>
          <w:trHeight w:val="49"/>
        </w:trPr>
        <w:tc>
          <w:tcPr>
            <w:tcW w:w="800" w:type="dxa"/>
            <w:vAlign w:val="bottom"/>
            <w:vMerge w:val="continue"/>
          </w:tcPr>
          <w:p>
            <w:pPr>
              <w:spacing w:after="0"/>
              <w:rPr>
                <w:sz w:val="4"/>
                <w:szCs w:val="4"/>
                <w:color w:val="auto"/>
              </w:rPr>
            </w:pPr>
          </w:p>
        </w:tc>
        <w:tc>
          <w:tcPr>
            <w:tcW w:w="3060" w:type="dxa"/>
            <w:vAlign w:val="bottom"/>
          </w:tcPr>
          <w:p>
            <w:pPr>
              <w:spacing w:after="0"/>
              <w:rPr>
                <w:sz w:val="4"/>
                <w:szCs w:val="4"/>
                <w:color w:val="auto"/>
              </w:rPr>
            </w:pPr>
          </w:p>
        </w:tc>
        <w:tc>
          <w:tcPr>
            <w:tcW w:w="2740" w:type="dxa"/>
            <w:vAlign w:val="bottom"/>
            <w:vMerge w:val="continue"/>
          </w:tcPr>
          <w:p>
            <w:pPr>
              <w:spacing w:after="0"/>
              <w:rPr>
                <w:sz w:val="4"/>
                <w:szCs w:val="4"/>
                <w:color w:val="auto"/>
              </w:rPr>
            </w:pPr>
          </w:p>
        </w:tc>
        <w:tc>
          <w:tcPr>
            <w:tcW w:w="3080" w:type="dxa"/>
            <w:vAlign w:val="bottom"/>
          </w:tcPr>
          <w:p>
            <w:pPr>
              <w:spacing w:after="0"/>
              <w:rPr>
                <w:sz w:val="4"/>
                <w:szCs w:val="4"/>
                <w:color w:val="auto"/>
              </w:rPr>
            </w:pPr>
          </w:p>
        </w:tc>
        <w:tc>
          <w:tcPr>
            <w:tcW w:w="104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40"/>
        </w:trPr>
        <w:tc>
          <w:tcPr>
            <w:tcW w:w="800" w:type="dxa"/>
            <w:vAlign w:val="bottom"/>
            <w:tcBorders>
              <w:bottom w:val="single" w:sz="8" w:color="9A9A9A"/>
            </w:tcBorders>
          </w:tcPr>
          <w:p>
            <w:pPr>
              <w:spacing w:after="0"/>
              <w:rPr>
                <w:sz w:val="12"/>
                <w:szCs w:val="12"/>
                <w:color w:val="auto"/>
              </w:rPr>
            </w:pPr>
          </w:p>
        </w:tc>
        <w:tc>
          <w:tcPr>
            <w:tcW w:w="3060" w:type="dxa"/>
            <w:vAlign w:val="bottom"/>
            <w:tcBorders>
              <w:bottom w:val="single" w:sz="8" w:color="9A9A9A"/>
            </w:tcBorders>
          </w:tcPr>
          <w:p>
            <w:pPr>
              <w:spacing w:after="0"/>
              <w:rPr>
                <w:sz w:val="12"/>
                <w:szCs w:val="12"/>
                <w:color w:val="auto"/>
              </w:rPr>
            </w:pPr>
          </w:p>
        </w:tc>
        <w:tc>
          <w:tcPr>
            <w:tcW w:w="2740" w:type="dxa"/>
            <w:vAlign w:val="bottom"/>
            <w:tcBorders>
              <w:bottom w:val="single" w:sz="8" w:color="9A9A9A"/>
            </w:tcBorders>
          </w:tcPr>
          <w:p>
            <w:pPr>
              <w:spacing w:after="0"/>
              <w:rPr>
                <w:sz w:val="12"/>
                <w:szCs w:val="12"/>
                <w:color w:val="auto"/>
              </w:rPr>
            </w:pPr>
          </w:p>
        </w:tc>
        <w:tc>
          <w:tcPr>
            <w:tcW w:w="3080" w:type="dxa"/>
            <w:vAlign w:val="bottom"/>
            <w:tcBorders>
              <w:bottom w:val="single" w:sz="8" w:color="9A9A9A"/>
            </w:tcBorders>
          </w:tcPr>
          <w:p>
            <w:pPr>
              <w:spacing w:after="0"/>
              <w:rPr>
                <w:sz w:val="12"/>
                <w:szCs w:val="12"/>
                <w:color w:val="auto"/>
              </w:rPr>
            </w:pPr>
          </w:p>
        </w:tc>
        <w:tc>
          <w:tcPr>
            <w:tcW w:w="1040" w:type="dxa"/>
            <w:vAlign w:val="bottom"/>
            <w:tcBorders>
              <w:bottom w:val="single" w:sz="8" w:color="9A9A9A"/>
            </w:tcBorders>
          </w:tcPr>
          <w:p>
            <w:pPr>
              <w:spacing w:after="0"/>
              <w:rPr>
                <w:sz w:val="12"/>
                <w:szCs w:val="12"/>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6802755</wp:posOffset>
            </wp:positionH>
            <wp:positionV relativeFrom="paragraph">
              <wp:posOffset>-8255</wp:posOffset>
            </wp:positionV>
            <wp:extent cx="8255" cy="8890"/>
            <wp:wrapNone/>
            <wp:docPr id="456" name="Picture 4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6"/>
                    <pic:cNvPicPr>
                      <a:picLocks noChangeAspect="1" noChangeArrowheads="1"/>
                    </pic:cNvPicPr>
                  </pic:nvPicPr>
                  <pic:blipFill>
                    <a:blip r:embed="rId463">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wp:posOffset>
            </wp:positionV>
            <wp:extent cx="8890" cy="17145"/>
            <wp:wrapNone/>
            <wp:docPr id="457" name="Picture 4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7"/>
                    <pic:cNvPicPr>
                      <a:picLocks noChangeAspect="1" noChangeArrowheads="1"/>
                    </pic:cNvPicPr>
                  </pic:nvPicPr>
                  <pic:blipFill>
                    <a:blip r:embed="rId464">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sectPr>
          <w:pgSz w:w="11900" w:h="16838" w:orient="portrait"/>
          <w:cols w:equalWidth="0" w:num="1">
            <w:col w:w="10720"/>
          </w:cols>
          <w:pgMar w:left="320" w:top="131" w:right="859" w:bottom="1440" w:gutter="0" w:footer="0" w:header="0"/>
        </w:sectPr>
      </w:pPr>
    </w:p>
    <w:bookmarkStart w:id="106" w:name="page107"/>
    <w:bookmarkEnd w:id="106"/>
    <w:p>
      <w:pPr>
        <w:spacing w:after="0"/>
        <w:rPr>
          <w:rFonts w:ascii="Arial" w:cs="Arial" w:eastAsia="Arial" w:hAnsi="Arial"/>
          <w:sz w:val="14"/>
          <w:szCs w:val="14"/>
          <w:color w:val="003366"/>
        </w:rPr>
      </w:pPr>
      <w:hyperlink w:anchor="page77">
        <w:r>
          <w:rPr>
            <w:rFonts w:ascii="Arial" w:cs="Arial" w:eastAsia="Arial" w:hAnsi="Arial"/>
            <w:sz w:val="14"/>
            <w:szCs w:val="14"/>
            <w:color w:val="003366"/>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485140</wp:posOffset>
            </wp:positionH>
            <wp:positionV relativeFrom="paragraph">
              <wp:posOffset>356870</wp:posOffset>
            </wp:positionV>
            <wp:extent cx="5829300" cy="8255"/>
            <wp:wrapNone/>
            <wp:docPr id="458" name="Picture 4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8"/>
                    <pic:cNvPicPr>
                      <a:picLocks noChangeAspect="1" noChangeArrowheads="1"/>
                    </pic:cNvPicPr>
                  </pic:nvPicPr>
                  <pic:blipFill>
                    <a:blip r:embed="rId465">
                      <a:extLst>
                        <a:ext uri="{28A0092B-C50C-407E-A947-70E740481C1C}"/>
                      </a:extLst>
                    </a:blip>
                    <a:srcRect/>
                    <a:stretch>
                      <a:fillRect/>
                    </a:stretch>
                  </pic:blipFill>
                  <pic:spPr bwMode="auto">
                    <a:xfrm>
                      <a:off x="0" y="0"/>
                      <a:ext cx="5829300" cy="8255"/>
                    </a:xfrm>
                    <a:prstGeom prst="rect">
                      <a:avLst/>
                    </a:prstGeom>
                    <a:noFill/>
                  </pic:spPr>
                </pic:pic>
              </a:graphicData>
            </a:graphic>
          </wp:anchor>
        </w:drawing>
      </w:r>
    </w:p>
    <w:p>
      <w:pPr>
        <w:sectPr>
          <w:pgSz w:w="11900" w:h="16838" w:orient="portrait"/>
          <w:cols w:equalWidth="0" w:num="1">
            <w:col w:w="10139"/>
          </w:cols>
          <w:pgMar w:left="320" w:top="131"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p>
      <w:pPr>
        <w:ind w:left="1620" w:right="979" w:hanging="424"/>
        <w:spacing w:after="0" w:line="260" w:lineRule="auto"/>
        <w:tabs>
          <w:tab w:leader="none" w:pos="1620" w:val="left"/>
        </w:tabs>
        <w:numPr>
          <w:ilvl w:val="1"/>
          <w:numId w:val="181"/>
        </w:numPr>
        <w:rPr>
          <w:rFonts w:ascii="Arial" w:cs="Arial" w:eastAsia="Arial" w:hAnsi="Arial"/>
          <w:sz w:val="16"/>
          <w:szCs w:val="16"/>
          <w:color w:val="auto"/>
        </w:rPr>
      </w:pPr>
      <w:r>
        <w:rPr>
          <w:rFonts w:ascii="Arial" w:cs="Arial" w:eastAsia="Arial" w:hAnsi="Arial"/>
          <w:sz w:val="16"/>
          <w:szCs w:val="16"/>
          <w:color w:val="auto"/>
        </w:rPr>
        <w:t xml:space="preserve">an interest of which a Director has no knowledge and of which it is unreasonable to expect </w:t>
      </w:r>
      <w:r>
        <w:rPr>
          <w:rFonts w:ascii="Arial" w:cs="Arial" w:eastAsia="Arial" w:hAnsi="Arial"/>
          <w:sz w:val="16"/>
          <w:szCs w:val="16"/>
          <w:color w:val="auto"/>
          <w:strike w:val="1"/>
        </w:rPr>
        <w:t>him</w:t>
      </w:r>
      <w:r>
        <w:rPr>
          <w:rFonts w:ascii="Arial" w:cs="Arial" w:eastAsia="Arial" w:hAnsi="Arial"/>
          <w:sz w:val="16"/>
          <w:szCs w:val="16"/>
          <w:u w:val="single" w:color="auto"/>
          <w:color w:val="auto"/>
        </w:rPr>
        <w:t>them</w:t>
      </w:r>
      <w:r>
        <w:rPr>
          <w:rFonts w:ascii="Arial" w:cs="Arial" w:eastAsia="Arial" w:hAnsi="Arial"/>
          <w:sz w:val="16"/>
          <w:szCs w:val="16"/>
          <w:color w:val="auto"/>
        </w:rPr>
        <w:t xml:space="preserve"> to have knowledge shall not be treated as an interest of </w:t>
      </w:r>
      <w:r>
        <w:rPr>
          <w:rFonts w:ascii="Arial" w:cs="Arial" w:eastAsia="Arial" w:hAnsi="Arial"/>
          <w:sz w:val="16"/>
          <w:szCs w:val="16"/>
          <w:color w:val="auto"/>
          <w:strike w:val="1"/>
        </w:rPr>
        <w:t>his</w:t>
      </w:r>
      <w:r>
        <w:rPr>
          <w:rFonts w:ascii="Arial" w:cs="Arial" w:eastAsia="Arial" w:hAnsi="Arial"/>
          <w:sz w:val="16"/>
          <w:szCs w:val="16"/>
          <w:u w:val="single" w:color="auto"/>
          <w:color w:val="auto"/>
        </w:rPr>
        <w:t>theirs</w:t>
      </w:r>
      <w:r>
        <w:rPr>
          <w:rFonts w:ascii="Arial" w:cs="Arial" w:eastAsia="Arial" w:hAnsi="Arial"/>
          <w:sz w:val="16"/>
          <w:szCs w:val="16"/>
          <w:color w:val="auto"/>
        </w:rPr>
        <w:t>; and</w:t>
      </w:r>
    </w:p>
    <w:p>
      <w:pPr>
        <w:spacing w:after="0" w:line="73" w:lineRule="exact"/>
        <w:rPr>
          <w:rFonts w:ascii="Arial" w:cs="Arial" w:eastAsia="Arial" w:hAnsi="Arial"/>
          <w:sz w:val="16"/>
          <w:szCs w:val="16"/>
          <w:color w:val="auto"/>
        </w:rPr>
      </w:pPr>
    </w:p>
    <w:p>
      <w:pPr>
        <w:ind w:left="1620" w:right="399" w:hanging="424"/>
        <w:spacing w:after="0" w:line="260" w:lineRule="auto"/>
        <w:tabs>
          <w:tab w:leader="none" w:pos="1620" w:val="left"/>
        </w:tabs>
        <w:numPr>
          <w:ilvl w:val="1"/>
          <w:numId w:val="181"/>
        </w:numPr>
        <w:rPr>
          <w:rFonts w:ascii="Arial" w:cs="Arial" w:eastAsia="Arial" w:hAnsi="Arial"/>
          <w:sz w:val="16"/>
          <w:szCs w:val="16"/>
          <w:color w:val="auto"/>
        </w:rPr>
      </w:pPr>
      <w:r>
        <w:rPr>
          <w:rFonts w:ascii="Arial" w:cs="Arial" w:eastAsia="Arial" w:hAnsi="Arial"/>
          <w:sz w:val="16"/>
          <w:szCs w:val="16"/>
          <w:color w:val="auto"/>
        </w:rPr>
        <w:t xml:space="preserve">a Director shall be deemed to have disclosed the nature and extent of an interest which consists of </w:t>
      </w:r>
      <w:r>
        <w:rPr>
          <w:rFonts w:ascii="Arial" w:cs="Arial" w:eastAsia="Arial" w:hAnsi="Arial"/>
          <w:sz w:val="16"/>
          <w:szCs w:val="16"/>
          <w:color w:val="auto"/>
          <w:strike w:val="1"/>
        </w:rPr>
        <w:t>him</w:t>
      </w:r>
      <w:r>
        <w:rPr>
          <w:rFonts w:ascii="Arial" w:cs="Arial" w:eastAsia="Arial" w:hAnsi="Arial"/>
          <w:sz w:val="16"/>
          <w:szCs w:val="16"/>
          <w:u w:val="single" w:color="auto"/>
          <w:color w:val="auto"/>
        </w:rPr>
        <w:t>them</w:t>
      </w:r>
      <w:r>
        <w:rPr>
          <w:rFonts w:ascii="Arial" w:cs="Arial" w:eastAsia="Arial" w:hAnsi="Arial"/>
          <w:sz w:val="16"/>
          <w:szCs w:val="16"/>
          <w:color w:val="auto"/>
        </w:rPr>
        <w:t xml:space="preserve"> being a Director, officer or employee of any undertaking in which the Company is interested.</w:t>
      </w:r>
    </w:p>
    <w:p>
      <w:pPr>
        <w:spacing w:after="0" w:line="53" w:lineRule="exact"/>
        <w:rPr>
          <w:rFonts w:ascii="Arial" w:cs="Arial" w:eastAsia="Arial" w:hAnsi="Arial"/>
          <w:sz w:val="16"/>
          <w:szCs w:val="16"/>
          <w:color w:val="auto"/>
        </w:rPr>
      </w:pPr>
    </w:p>
    <w:p>
      <w:pPr>
        <w:ind w:left="1200" w:hanging="436"/>
        <w:spacing w:after="0"/>
        <w:tabs>
          <w:tab w:leader="none" w:pos="1200" w:val="left"/>
        </w:tabs>
        <w:numPr>
          <w:ilvl w:val="0"/>
          <w:numId w:val="182"/>
        </w:numPr>
        <w:rPr>
          <w:rFonts w:ascii="Arial" w:cs="Arial" w:eastAsia="Arial" w:hAnsi="Arial"/>
          <w:sz w:val="16"/>
          <w:szCs w:val="16"/>
          <w:b w:val="1"/>
          <w:bCs w:val="1"/>
          <w:color w:val="auto"/>
        </w:rPr>
      </w:pPr>
      <w:r>
        <w:rPr>
          <w:rFonts w:ascii="Arial" w:cs="Arial" w:eastAsia="Arial" w:hAnsi="Arial"/>
          <w:sz w:val="16"/>
          <w:szCs w:val="16"/>
          <w:b w:val="1"/>
          <w:bCs w:val="1"/>
          <w:color w:val="auto"/>
        </w:rPr>
        <w:t>PROCEEDINGS OF DIRECTORS</w:t>
      </w:r>
    </w:p>
    <w:p>
      <w:pPr>
        <w:spacing w:after="0" w:line="120" w:lineRule="exact"/>
        <w:rPr>
          <w:sz w:val="20"/>
          <w:szCs w:val="20"/>
          <w:color w:val="auto"/>
        </w:rPr>
      </w:pPr>
    </w:p>
    <w:p>
      <w:pPr>
        <w:ind w:left="760"/>
        <w:spacing w:after="0"/>
        <w:rPr>
          <w:sz w:val="20"/>
          <w:szCs w:val="20"/>
          <w:color w:val="auto"/>
        </w:rPr>
      </w:pPr>
      <w:r>
        <w:rPr>
          <w:rFonts w:ascii="Arial" w:cs="Arial" w:eastAsia="Arial" w:hAnsi="Arial"/>
          <w:sz w:val="16"/>
          <w:szCs w:val="16"/>
          <w:color w:val="auto"/>
        </w:rPr>
        <w:t>33.1  Subject to the provisions of these Articles, the Board may regulate their proceedings as they think fit.</w:t>
      </w:r>
    </w:p>
    <w:p>
      <w:pPr>
        <w:spacing w:after="0" w:line="100" w:lineRule="exact"/>
        <w:rPr>
          <w:sz w:val="20"/>
          <w:szCs w:val="20"/>
          <w:color w:val="auto"/>
        </w:rPr>
      </w:pPr>
    </w:p>
    <w:p>
      <w:pPr>
        <w:ind w:left="1200" w:right="199" w:hanging="431"/>
        <w:spacing w:after="0" w:line="248" w:lineRule="auto"/>
        <w:rPr>
          <w:sz w:val="20"/>
          <w:szCs w:val="20"/>
          <w:color w:val="auto"/>
        </w:rPr>
      </w:pPr>
      <w:r>
        <w:rPr>
          <w:rFonts w:ascii="Arial" w:cs="Arial" w:eastAsia="Arial" w:hAnsi="Arial"/>
          <w:sz w:val="16"/>
          <w:szCs w:val="16"/>
          <w:color w:val="auto"/>
        </w:rPr>
        <w:t xml:space="preserve">33.2 A Director may, and the secretary at the request of a Director shall, call a meeting of the Board or a committee of the Board by giving notice to each Director. A notice of a meeting of the Board shall be deemed to be properly given to a Director if given to </w:t>
      </w:r>
      <w:r>
        <w:rPr>
          <w:rFonts w:ascii="Arial" w:cs="Arial" w:eastAsia="Arial" w:hAnsi="Arial"/>
          <w:sz w:val="16"/>
          <w:szCs w:val="16"/>
          <w:color w:val="auto"/>
          <w:strike w:val="1"/>
        </w:rPr>
        <w:t>him</w:t>
      </w:r>
      <w:r>
        <w:rPr>
          <w:rFonts w:ascii="Arial" w:cs="Arial" w:eastAsia="Arial" w:hAnsi="Arial"/>
          <w:sz w:val="16"/>
          <w:szCs w:val="16"/>
          <w:u w:val="single" w:color="auto"/>
          <w:color w:val="auto"/>
        </w:rPr>
        <w:t>them</w:t>
      </w:r>
      <w:r>
        <w:rPr>
          <w:rFonts w:ascii="Arial" w:cs="Arial" w:eastAsia="Arial" w:hAnsi="Arial"/>
          <w:sz w:val="16"/>
          <w:szCs w:val="16"/>
          <w:color w:val="auto"/>
        </w:rPr>
        <w:t xml:space="preserve"> personally or by word of mouth, or sent in hard copy to </w:t>
      </w:r>
      <w:r>
        <w:rPr>
          <w:rFonts w:ascii="Arial" w:cs="Arial" w:eastAsia="Arial" w:hAnsi="Arial"/>
          <w:sz w:val="16"/>
          <w:szCs w:val="16"/>
          <w:color w:val="auto"/>
          <w:strike w:val="1"/>
        </w:rPr>
        <w:t>him</w:t>
      </w:r>
      <w:r>
        <w:rPr>
          <w:rFonts w:ascii="Arial" w:cs="Arial" w:eastAsia="Arial" w:hAnsi="Arial"/>
          <w:sz w:val="16"/>
          <w:szCs w:val="16"/>
          <w:u w:val="single" w:color="auto"/>
          <w:color w:val="auto"/>
        </w:rPr>
        <w:t>them</w:t>
      </w:r>
      <w:r>
        <w:rPr>
          <w:rFonts w:ascii="Arial" w:cs="Arial" w:eastAsia="Arial" w:hAnsi="Arial"/>
          <w:sz w:val="16"/>
          <w:szCs w:val="16"/>
          <w:color w:val="auto"/>
        </w:rPr>
        <w:t xml:space="preserve"> at </w:t>
      </w:r>
      <w:r>
        <w:rPr>
          <w:rFonts w:ascii="Arial" w:cs="Arial" w:eastAsia="Arial" w:hAnsi="Arial"/>
          <w:sz w:val="16"/>
          <w:szCs w:val="16"/>
          <w:color w:val="auto"/>
          <w:strike w:val="1"/>
        </w:rPr>
        <w:t>his</w:t>
      </w:r>
      <w:r>
        <w:rPr>
          <w:rFonts w:ascii="Arial" w:cs="Arial" w:eastAsia="Arial" w:hAnsi="Arial"/>
          <w:sz w:val="16"/>
          <w:szCs w:val="16"/>
          <w:u w:val="single" w:color="auto"/>
          <w:color w:val="auto"/>
        </w:rPr>
        <w:t>their</w:t>
      </w:r>
      <w:r>
        <w:rPr>
          <w:rFonts w:ascii="Arial" w:cs="Arial" w:eastAsia="Arial" w:hAnsi="Arial"/>
          <w:sz w:val="16"/>
          <w:szCs w:val="16"/>
          <w:color w:val="auto"/>
        </w:rPr>
        <w:t xml:space="preserve"> last known address or any other address (if any) as may for the time being be specified by </w:t>
      </w:r>
      <w:r>
        <w:rPr>
          <w:rFonts w:ascii="Arial" w:cs="Arial" w:eastAsia="Arial" w:hAnsi="Arial"/>
          <w:sz w:val="16"/>
          <w:szCs w:val="16"/>
          <w:color w:val="auto"/>
          <w:strike w:val="1"/>
        </w:rPr>
        <w:t>him</w:t>
      </w:r>
      <w:r>
        <w:rPr>
          <w:rFonts w:ascii="Arial" w:cs="Arial" w:eastAsia="Arial" w:hAnsi="Arial"/>
          <w:sz w:val="16"/>
          <w:szCs w:val="16"/>
          <w:u w:val="single" w:color="auto"/>
          <w:color w:val="auto"/>
        </w:rPr>
        <w:t>them</w:t>
      </w:r>
      <w:r>
        <w:rPr>
          <w:rFonts w:ascii="Arial" w:cs="Arial" w:eastAsia="Arial" w:hAnsi="Arial"/>
          <w:sz w:val="16"/>
          <w:szCs w:val="16"/>
          <w:color w:val="auto"/>
        </w:rPr>
        <w:t xml:space="preserve"> or on </w:t>
      </w:r>
      <w:r>
        <w:rPr>
          <w:rFonts w:ascii="Arial" w:cs="Arial" w:eastAsia="Arial" w:hAnsi="Arial"/>
          <w:sz w:val="16"/>
          <w:szCs w:val="16"/>
          <w:color w:val="auto"/>
          <w:strike w:val="1"/>
        </w:rPr>
        <w:t>his</w:t>
      </w:r>
      <w:r>
        <w:rPr>
          <w:rFonts w:ascii="Arial" w:cs="Arial" w:eastAsia="Arial" w:hAnsi="Arial"/>
          <w:sz w:val="16"/>
          <w:szCs w:val="16"/>
          <w:u w:val="single" w:color="auto"/>
          <w:color w:val="auto"/>
        </w:rPr>
        <w:t>their</w:t>
      </w:r>
      <w:r>
        <w:rPr>
          <w:rFonts w:ascii="Arial" w:cs="Arial" w:eastAsia="Arial" w:hAnsi="Arial"/>
          <w:sz w:val="16"/>
          <w:szCs w:val="16"/>
          <w:color w:val="auto"/>
        </w:rPr>
        <w:t xml:space="preserve"> behalf to the Company for this purpose or sent in electronic form to such address (if any) for the time being specified by </w:t>
      </w:r>
      <w:r>
        <w:rPr>
          <w:rFonts w:ascii="Arial" w:cs="Arial" w:eastAsia="Arial" w:hAnsi="Arial"/>
          <w:sz w:val="16"/>
          <w:szCs w:val="16"/>
          <w:color w:val="auto"/>
          <w:strike w:val="1"/>
        </w:rPr>
        <w:t>him</w:t>
      </w:r>
      <w:r>
        <w:rPr>
          <w:rFonts w:ascii="Arial" w:cs="Arial" w:eastAsia="Arial" w:hAnsi="Arial"/>
          <w:sz w:val="16"/>
          <w:szCs w:val="16"/>
          <w:u w:val="single" w:color="auto"/>
          <w:color w:val="auto"/>
        </w:rPr>
        <w:t>them</w:t>
      </w:r>
      <w:r>
        <w:rPr>
          <w:rFonts w:ascii="Arial" w:cs="Arial" w:eastAsia="Arial" w:hAnsi="Arial"/>
          <w:sz w:val="16"/>
          <w:szCs w:val="16"/>
          <w:color w:val="auto"/>
        </w:rPr>
        <w:t xml:space="preserve"> or on </w:t>
      </w:r>
      <w:r>
        <w:rPr>
          <w:rFonts w:ascii="Arial" w:cs="Arial" w:eastAsia="Arial" w:hAnsi="Arial"/>
          <w:sz w:val="16"/>
          <w:szCs w:val="16"/>
          <w:color w:val="auto"/>
          <w:strike w:val="1"/>
        </w:rPr>
        <w:t>his</w:t>
      </w:r>
      <w:r>
        <w:rPr>
          <w:rFonts w:ascii="Arial" w:cs="Arial" w:eastAsia="Arial" w:hAnsi="Arial"/>
          <w:sz w:val="16"/>
          <w:szCs w:val="16"/>
          <w:u w:val="single" w:color="auto"/>
          <w:color w:val="auto"/>
        </w:rPr>
        <w:t>their</w:t>
      </w:r>
      <w:r>
        <w:rPr>
          <w:rFonts w:ascii="Arial" w:cs="Arial" w:eastAsia="Arial" w:hAnsi="Arial"/>
          <w:sz w:val="16"/>
          <w:szCs w:val="16"/>
          <w:color w:val="auto"/>
        </w:rPr>
        <w:t xml:space="preserve"> behalf to the Company for this purpose. Any Director may waive the requirement for notice of a meeting and any such waiver may be retrospective. Any notice pursuant to this Article 33.2 need not be in writing if the Board so determines and any such determination may be retrospective.</w:t>
      </w:r>
    </w:p>
    <w:p>
      <w:pPr>
        <w:spacing w:after="0" w:line="72" w:lineRule="exact"/>
        <w:rPr>
          <w:sz w:val="20"/>
          <w:szCs w:val="20"/>
          <w:color w:val="auto"/>
        </w:rPr>
      </w:pPr>
    </w:p>
    <w:p>
      <w:pPr>
        <w:ind w:left="1200" w:right="359" w:hanging="431"/>
        <w:spacing w:after="0" w:line="250" w:lineRule="auto"/>
        <w:rPr>
          <w:sz w:val="20"/>
          <w:szCs w:val="20"/>
          <w:color w:val="auto"/>
        </w:rPr>
      </w:pPr>
      <w:r>
        <w:rPr>
          <w:rFonts w:ascii="Arial" w:cs="Arial" w:eastAsia="Arial" w:hAnsi="Arial"/>
          <w:sz w:val="16"/>
          <w:szCs w:val="16"/>
          <w:color w:val="auto"/>
        </w:rPr>
        <w:t xml:space="preserve">33.3 Questions arising at a meeting shall be decided by a majority of votes of the Directors present at such meeting who are entitled to vote on such question. A Director who is also an alternate Director shall be entitled in the absence of </w:t>
      </w:r>
      <w:r>
        <w:rPr>
          <w:rFonts w:ascii="Arial" w:cs="Arial" w:eastAsia="Arial" w:hAnsi="Arial"/>
          <w:sz w:val="16"/>
          <w:szCs w:val="16"/>
          <w:color w:val="auto"/>
          <w:strike w:val="1"/>
        </w:rPr>
        <w:t>his</w:t>
      </w:r>
      <w:r>
        <w:rPr>
          <w:rFonts w:ascii="Arial" w:cs="Arial" w:eastAsia="Arial" w:hAnsi="Arial"/>
          <w:sz w:val="16"/>
          <w:szCs w:val="16"/>
          <w:u w:val="single" w:color="auto"/>
          <w:color w:val="auto"/>
        </w:rPr>
        <w:t>their</w:t>
      </w:r>
      <w:r>
        <w:rPr>
          <w:rFonts w:ascii="Arial" w:cs="Arial" w:eastAsia="Arial" w:hAnsi="Arial"/>
          <w:sz w:val="16"/>
          <w:szCs w:val="16"/>
          <w:color w:val="auto"/>
        </w:rPr>
        <w:t xml:space="preserve"> appointor to a separate vote on behalf of </w:t>
      </w:r>
      <w:r>
        <w:rPr>
          <w:rFonts w:ascii="Arial" w:cs="Arial" w:eastAsia="Arial" w:hAnsi="Arial"/>
          <w:sz w:val="16"/>
          <w:szCs w:val="16"/>
          <w:color w:val="auto"/>
          <w:strike w:val="1"/>
        </w:rPr>
        <w:t>his</w:t>
      </w:r>
      <w:r>
        <w:rPr>
          <w:rFonts w:ascii="Arial" w:cs="Arial" w:eastAsia="Arial" w:hAnsi="Arial"/>
          <w:sz w:val="16"/>
          <w:szCs w:val="16"/>
          <w:u w:val="single" w:color="auto"/>
          <w:color w:val="auto"/>
        </w:rPr>
        <w:t>their</w:t>
      </w:r>
      <w:r>
        <w:rPr>
          <w:rFonts w:ascii="Arial" w:cs="Arial" w:eastAsia="Arial" w:hAnsi="Arial"/>
          <w:sz w:val="16"/>
          <w:szCs w:val="16"/>
          <w:color w:val="auto"/>
        </w:rPr>
        <w:t xml:space="preserve"> appointor in addition to </w:t>
      </w:r>
      <w:r>
        <w:rPr>
          <w:rFonts w:ascii="Arial" w:cs="Arial" w:eastAsia="Arial" w:hAnsi="Arial"/>
          <w:sz w:val="16"/>
          <w:szCs w:val="16"/>
          <w:color w:val="auto"/>
          <w:strike w:val="1"/>
        </w:rPr>
        <w:t>his</w:t>
      </w:r>
      <w:r>
        <w:rPr>
          <w:rFonts w:ascii="Arial" w:cs="Arial" w:eastAsia="Arial" w:hAnsi="Arial"/>
          <w:sz w:val="16"/>
          <w:szCs w:val="16"/>
          <w:u w:val="single" w:color="auto"/>
          <w:color w:val="auto"/>
        </w:rPr>
        <w:t>their</w:t>
      </w:r>
      <w:r>
        <w:rPr>
          <w:rFonts w:ascii="Arial" w:cs="Arial" w:eastAsia="Arial" w:hAnsi="Arial"/>
          <w:sz w:val="16"/>
          <w:szCs w:val="16"/>
          <w:color w:val="auto"/>
        </w:rPr>
        <w:t xml:space="preserve"> own vote, and an alternate Director who is appointed by two or more Directors shall be entitled to a separate vote on behalf of each of </w:t>
      </w:r>
      <w:r>
        <w:rPr>
          <w:rFonts w:ascii="Arial" w:cs="Arial" w:eastAsia="Arial" w:hAnsi="Arial"/>
          <w:sz w:val="16"/>
          <w:szCs w:val="16"/>
          <w:color w:val="auto"/>
          <w:strike w:val="1"/>
        </w:rPr>
        <w:t>his</w:t>
      </w:r>
      <w:r>
        <w:rPr>
          <w:rFonts w:ascii="Arial" w:cs="Arial" w:eastAsia="Arial" w:hAnsi="Arial"/>
          <w:sz w:val="16"/>
          <w:szCs w:val="16"/>
          <w:u w:val="single" w:color="auto"/>
          <w:color w:val="auto"/>
        </w:rPr>
        <w:t>their</w:t>
      </w:r>
      <w:r>
        <w:rPr>
          <w:rFonts w:ascii="Arial" w:cs="Arial" w:eastAsia="Arial" w:hAnsi="Arial"/>
          <w:sz w:val="16"/>
          <w:szCs w:val="16"/>
          <w:color w:val="auto"/>
        </w:rPr>
        <w:t xml:space="preserve"> appointors in the appointors’ absence.</w:t>
      </w:r>
    </w:p>
    <w:p>
      <w:pPr>
        <w:spacing w:after="0" w:line="81" w:lineRule="exact"/>
        <w:rPr>
          <w:sz w:val="20"/>
          <w:szCs w:val="20"/>
          <w:color w:val="auto"/>
        </w:rPr>
      </w:pPr>
    </w:p>
    <w:p>
      <w:pPr>
        <w:ind w:left="1200" w:right="219" w:hanging="431"/>
        <w:spacing w:after="0" w:line="268" w:lineRule="auto"/>
        <w:rPr>
          <w:sz w:val="20"/>
          <w:szCs w:val="20"/>
          <w:color w:val="auto"/>
        </w:rPr>
      </w:pPr>
      <w:r>
        <w:rPr>
          <w:rFonts w:ascii="Arial" w:cs="Arial" w:eastAsia="Arial" w:hAnsi="Arial"/>
          <w:sz w:val="15"/>
          <w:szCs w:val="15"/>
          <w:color w:val="auto"/>
        </w:rPr>
        <w:t xml:space="preserve">33.4 No business shall be transacted at any meeting of the Board unless a quorum is present. The quorum at a meeting of the Board shall be a majority of the Directors then in office. Any Director who ceases to be a Director at a Board meeting may continue to be present and to act as a Director and be counted in the quorum until the termination of the Board meeting if no Director objects. A Director shall not be counted in the quorum present in relation to a matter or resolution on which </w:t>
      </w:r>
      <w:r>
        <w:rPr>
          <w:rFonts w:ascii="Arial" w:cs="Arial" w:eastAsia="Arial" w:hAnsi="Arial"/>
          <w:sz w:val="15"/>
          <w:szCs w:val="15"/>
          <w:color w:val="auto"/>
          <w:strike w:val="1"/>
        </w:rPr>
        <w:t>he is</w:t>
      </w:r>
      <w:r>
        <w:rPr>
          <w:rFonts w:ascii="Arial" w:cs="Arial" w:eastAsia="Arial" w:hAnsi="Arial"/>
          <w:sz w:val="15"/>
          <w:szCs w:val="15"/>
          <w:u w:val="single" w:color="auto"/>
          <w:color w:val="auto"/>
        </w:rPr>
        <w:t>they</w:t>
      </w:r>
      <w:r>
        <w:rPr>
          <w:rFonts w:ascii="Arial" w:cs="Arial" w:eastAsia="Arial" w:hAnsi="Arial"/>
          <w:sz w:val="15"/>
          <w:szCs w:val="15"/>
          <w:color w:val="auto"/>
        </w:rPr>
        <w:t xml:space="preserve"> </w:t>
      </w:r>
      <w:r>
        <w:rPr>
          <w:rFonts w:ascii="Arial" w:cs="Arial" w:eastAsia="Arial" w:hAnsi="Arial"/>
          <w:sz w:val="15"/>
          <w:szCs w:val="15"/>
          <w:u w:val="single" w:color="auto"/>
          <w:color w:val="auto"/>
        </w:rPr>
        <w:t>are</w:t>
      </w:r>
      <w:r>
        <w:rPr>
          <w:rFonts w:ascii="Arial" w:cs="Arial" w:eastAsia="Arial" w:hAnsi="Arial"/>
          <w:sz w:val="15"/>
          <w:szCs w:val="15"/>
          <w:color w:val="auto"/>
        </w:rPr>
        <w:t xml:space="preserve"> not entitled to vote (or when </w:t>
      </w:r>
      <w:r>
        <w:rPr>
          <w:rFonts w:ascii="Arial" w:cs="Arial" w:eastAsia="Arial" w:hAnsi="Arial"/>
          <w:sz w:val="15"/>
          <w:szCs w:val="15"/>
          <w:color w:val="auto"/>
          <w:strike w:val="1"/>
        </w:rPr>
        <w:t>his</w:t>
      </w:r>
      <w:r>
        <w:rPr>
          <w:rFonts w:ascii="Arial" w:cs="Arial" w:eastAsia="Arial" w:hAnsi="Arial"/>
          <w:sz w:val="15"/>
          <w:szCs w:val="15"/>
          <w:u w:val="single" w:color="auto"/>
          <w:color w:val="auto"/>
        </w:rPr>
        <w:t>their</w:t>
      </w:r>
      <w:r>
        <w:rPr>
          <w:rFonts w:ascii="Arial" w:cs="Arial" w:eastAsia="Arial" w:hAnsi="Arial"/>
          <w:sz w:val="15"/>
          <w:szCs w:val="15"/>
          <w:color w:val="auto"/>
        </w:rPr>
        <w:t xml:space="preserve"> vote cannot be counted) but shall be counted in the quorum present in relation to all other matters or resolutions considered or voted on at the meeting. An alternate Director, who is not </w:t>
      </w:r>
      <w:r>
        <w:rPr>
          <w:rFonts w:ascii="Arial" w:cs="Arial" w:eastAsia="Arial" w:hAnsi="Arial"/>
          <w:sz w:val="15"/>
          <w:szCs w:val="15"/>
          <w:color w:val="auto"/>
          <w:strike w:val="1"/>
        </w:rPr>
        <w:t>himself</w:t>
      </w:r>
      <w:r>
        <w:rPr>
          <w:rFonts w:ascii="Arial" w:cs="Arial" w:eastAsia="Arial" w:hAnsi="Arial"/>
          <w:sz w:val="15"/>
          <w:szCs w:val="15"/>
          <w:u w:val="single" w:color="auto"/>
          <w:color w:val="auto"/>
        </w:rPr>
        <w:t>themselves</w:t>
      </w:r>
      <w:r>
        <w:rPr>
          <w:rFonts w:ascii="Arial" w:cs="Arial" w:eastAsia="Arial" w:hAnsi="Arial"/>
          <w:sz w:val="15"/>
          <w:szCs w:val="15"/>
          <w:color w:val="auto"/>
        </w:rPr>
        <w:t xml:space="preserve"> a Director shall, if </w:t>
      </w:r>
      <w:r>
        <w:rPr>
          <w:rFonts w:ascii="Arial" w:cs="Arial" w:eastAsia="Arial" w:hAnsi="Arial"/>
          <w:sz w:val="15"/>
          <w:szCs w:val="15"/>
          <w:color w:val="auto"/>
          <w:strike w:val="1"/>
        </w:rPr>
        <w:t>his</w:t>
      </w:r>
      <w:r>
        <w:rPr>
          <w:rFonts w:ascii="Arial" w:cs="Arial" w:eastAsia="Arial" w:hAnsi="Arial"/>
          <w:sz w:val="15"/>
          <w:szCs w:val="15"/>
          <w:u w:val="single" w:color="auto"/>
          <w:color w:val="auto"/>
        </w:rPr>
        <w:t>their</w:t>
      </w:r>
      <w:r>
        <w:rPr>
          <w:rFonts w:ascii="Arial" w:cs="Arial" w:eastAsia="Arial" w:hAnsi="Arial"/>
          <w:sz w:val="15"/>
          <w:szCs w:val="15"/>
          <w:color w:val="auto"/>
        </w:rPr>
        <w:t xml:space="preserve"> appointor is not present but is entitled to be counted in the quorum, be counted in the quorum.</w:t>
      </w:r>
    </w:p>
    <w:p>
      <w:pPr>
        <w:spacing w:after="0" w:line="69" w:lineRule="exact"/>
        <w:rPr>
          <w:sz w:val="20"/>
          <w:szCs w:val="20"/>
          <w:color w:val="auto"/>
        </w:rPr>
      </w:pPr>
    </w:p>
    <w:p>
      <w:pPr>
        <w:ind w:left="760"/>
        <w:spacing w:after="0"/>
        <w:rPr>
          <w:sz w:val="20"/>
          <w:szCs w:val="20"/>
          <w:color w:val="auto"/>
        </w:rPr>
      </w:pPr>
      <w:r>
        <w:rPr>
          <w:rFonts w:ascii="Arial" w:cs="Arial" w:eastAsia="Arial" w:hAnsi="Arial"/>
          <w:sz w:val="16"/>
          <w:szCs w:val="16"/>
          <w:color w:val="auto"/>
        </w:rPr>
        <w:t xml:space="preserve">33.5  The Directors may at any time elect from their number, and remove, a </w:t>
      </w:r>
      <w:r>
        <w:rPr>
          <w:rFonts w:ascii="Arial" w:cs="Arial" w:eastAsia="Arial" w:hAnsi="Arial"/>
          <w:sz w:val="16"/>
          <w:szCs w:val="16"/>
          <w:color w:val="auto"/>
          <w:strike w:val="1"/>
        </w:rPr>
        <w:t>chairman</w:t>
      </w:r>
      <w:r>
        <w:rPr>
          <w:rFonts w:ascii="Arial" w:cs="Arial" w:eastAsia="Arial" w:hAnsi="Arial"/>
          <w:sz w:val="16"/>
          <w:szCs w:val="16"/>
          <w:u w:val="single" w:color="auto"/>
          <w:color w:val="auto"/>
        </w:rPr>
        <w:t>chairperson</w:t>
      </w:r>
      <w:r>
        <w:rPr>
          <w:rFonts w:ascii="Arial" w:cs="Arial" w:eastAsia="Arial" w:hAnsi="Arial"/>
          <w:sz w:val="16"/>
          <w:szCs w:val="16"/>
          <w:color w:val="auto"/>
        </w:rPr>
        <w:t xml:space="preserve"> of the Board and a </w:t>
      </w:r>
      <w:r>
        <w:rPr>
          <w:rFonts w:ascii="Arial" w:cs="Arial" w:eastAsia="Arial" w:hAnsi="Arial"/>
          <w:sz w:val="16"/>
          <w:szCs w:val="16"/>
          <w:color w:val="auto"/>
          <w:strike w:val="1"/>
        </w:rPr>
        <w:t>deputy</w:t>
      </w:r>
    </w:p>
    <w:p>
      <w:pPr>
        <w:spacing w:after="0" w:line="5" w:lineRule="exact"/>
        <w:rPr>
          <w:sz w:val="20"/>
          <w:szCs w:val="20"/>
          <w:color w:val="auto"/>
        </w:rPr>
      </w:pPr>
    </w:p>
    <w:p>
      <w:pPr>
        <w:ind w:left="1200"/>
        <w:spacing w:after="0"/>
        <w:rPr>
          <w:sz w:val="20"/>
          <w:szCs w:val="20"/>
          <w:color w:val="auto"/>
        </w:rPr>
      </w:pPr>
      <w:r>
        <w:rPr>
          <w:rFonts w:ascii="Arial" w:cs="Arial" w:eastAsia="Arial" w:hAnsi="Arial"/>
          <w:sz w:val="16"/>
          <w:szCs w:val="16"/>
          <w:color w:val="auto"/>
          <w:strike w:val="1"/>
        </w:rPr>
        <w:t>chairman.</w:t>
      </w:r>
      <w:r>
        <w:rPr>
          <w:rFonts w:ascii="Arial" w:cs="Arial" w:eastAsia="Arial" w:hAnsi="Arial"/>
          <w:sz w:val="16"/>
          <w:szCs w:val="16"/>
          <w:u w:val="single" w:color="auto"/>
          <w:color w:val="auto"/>
        </w:rPr>
        <w:t>senior independent director.</w:t>
      </w:r>
      <w:r>
        <w:rPr>
          <w:rFonts w:ascii="Arial" w:cs="Arial" w:eastAsia="Arial" w:hAnsi="Arial"/>
          <w:sz w:val="16"/>
          <w:szCs w:val="16"/>
          <w:color w:val="auto"/>
        </w:rPr>
        <w:t xml:space="preserve"> Unless </w:t>
      </w:r>
      <w:r>
        <w:rPr>
          <w:rFonts w:ascii="Arial" w:cs="Arial" w:eastAsia="Arial" w:hAnsi="Arial"/>
          <w:sz w:val="16"/>
          <w:szCs w:val="16"/>
          <w:color w:val="auto"/>
          <w:strike w:val="1"/>
        </w:rPr>
        <w:t>he is</w:t>
      </w:r>
      <w:r>
        <w:rPr>
          <w:rFonts w:ascii="Arial" w:cs="Arial" w:eastAsia="Arial" w:hAnsi="Arial"/>
          <w:sz w:val="16"/>
          <w:szCs w:val="16"/>
          <w:u w:val="single" w:color="auto"/>
          <w:color w:val="auto"/>
        </w:rPr>
        <w:t>they are</w:t>
      </w:r>
      <w:r>
        <w:rPr>
          <w:rFonts w:ascii="Arial" w:cs="Arial" w:eastAsia="Arial" w:hAnsi="Arial"/>
          <w:sz w:val="16"/>
          <w:szCs w:val="16"/>
          <w:color w:val="auto"/>
        </w:rPr>
        <w:t xml:space="preserve"> unwilling to do so, the Director appointed as</w:t>
      </w:r>
    </w:p>
    <w:p>
      <w:pPr>
        <w:spacing w:after="0" w:line="5" w:lineRule="exact"/>
        <w:rPr>
          <w:sz w:val="20"/>
          <w:szCs w:val="20"/>
          <w:color w:val="auto"/>
        </w:rPr>
      </w:pPr>
    </w:p>
    <w:p>
      <w:pPr>
        <w:ind w:left="1200"/>
        <w:spacing w:after="0"/>
        <w:rPr>
          <w:sz w:val="20"/>
          <w:szCs w:val="20"/>
          <w:color w:val="auto"/>
        </w:rPr>
      </w:pPr>
      <w:r>
        <w:rPr>
          <w:rFonts w:ascii="Arial" w:cs="Arial" w:eastAsia="Arial" w:hAnsi="Arial"/>
          <w:sz w:val="16"/>
          <w:szCs w:val="16"/>
          <w:color w:val="auto"/>
          <w:strike w:val="1"/>
        </w:rPr>
        <w:t>chairman</w:t>
      </w:r>
      <w:r>
        <w:rPr>
          <w:rFonts w:ascii="Arial" w:cs="Arial" w:eastAsia="Arial" w:hAnsi="Arial"/>
          <w:sz w:val="16"/>
          <w:szCs w:val="16"/>
          <w:u w:val="single" w:color="auto"/>
          <w:color w:val="auto"/>
        </w:rPr>
        <w:t>chairperson</w:t>
      </w:r>
      <w:r>
        <w:rPr>
          <w:rFonts w:ascii="Arial" w:cs="Arial" w:eastAsia="Arial" w:hAnsi="Arial"/>
          <w:sz w:val="16"/>
          <w:szCs w:val="16"/>
          <w:color w:val="auto"/>
        </w:rPr>
        <w:t xml:space="preserve">, or in </w:t>
      </w:r>
      <w:r>
        <w:rPr>
          <w:rFonts w:ascii="Arial" w:cs="Arial" w:eastAsia="Arial" w:hAnsi="Arial"/>
          <w:sz w:val="16"/>
          <w:szCs w:val="16"/>
          <w:color w:val="auto"/>
          <w:strike w:val="1"/>
        </w:rPr>
        <w:t>his</w:t>
      </w:r>
      <w:r>
        <w:rPr>
          <w:rFonts w:ascii="Arial" w:cs="Arial" w:eastAsia="Arial" w:hAnsi="Arial"/>
          <w:sz w:val="16"/>
          <w:szCs w:val="16"/>
          <w:u w:val="single" w:color="auto"/>
          <w:color w:val="auto"/>
        </w:rPr>
        <w:t>their</w:t>
      </w:r>
      <w:r>
        <w:rPr>
          <w:rFonts w:ascii="Arial" w:cs="Arial" w:eastAsia="Arial" w:hAnsi="Arial"/>
          <w:sz w:val="16"/>
          <w:szCs w:val="16"/>
          <w:color w:val="auto"/>
        </w:rPr>
        <w:t xml:space="preserve"> stead the Director appointed as </w:t>
      </w:r>
      <w:r>
        <w:rPr>
          <w:rFonts w:ascii="Arial" w:cs="Arial" w:eastAsia="Arial" w:hAnsi="Arial"/>
          <w:sz w:val="16"/>
          <w:szCs w:val="16"/>
          <w:color w:val="auto"/>
          <w:strike w:val="1"/>
        </w:rPr>
        <w:t>deputy chairman</w:t>
      </w:r>
      <w:r>
        <w:rPr>
          <w:rFonts w:ascii="Arial" w:cs="Arial" w:eastAsia="Arial" w:hAnsi="Arial"/>
          <w:sz w:val="16"/>
          <w:szCs w:val="16"/>
          <w:u w:val="single" w:color="auto"/>
          <w:color w:val="auto"/>
        </w:rPr>
        <w:t>senior independent director</w:t>
      </w:r>
      <w:r>
        <w:rPr>
          <w:rFonts w:ascii="Arial" w:cs="Arial" w:eastAsia="Arial" w:hAnsi="Arial"/>
          <w:sz w:val="16"/>
          <w:szCs w:val="16"/>
          <w:color w:val="auto"/>
        </w:rPr>
        <w:t>, shall</w:t>
      </w:r>
    </w:p>
    <w:p>
      <w:pPr>
        <w:spacing w:after="0" w:line="5" w:lineRule="exact"/>
        <w:rPr>
          <w:sz w:val="20"/>
          <w:szCs w:val="20"/>
          <w:color w:val="auto"/>
        </w:rPr>
      </w:pPr>
    </w:p>
    <w:p>
      <w:pPr>
        <w:ind w:left="1200"/>
        <w:spacing w:after="0"/>
        <w:rPr>
          <w:sz w:val="20"/>
          <w:szCs w:val="20"/>
          <w:color w:val="auto"/>
        </w:rPr>
      </w:pPr>
      <w:r>
        <w:rPr>
          <w:rFonts w:ascii="Arial" w:cs="Arial" w:eastAsia="Arial" w:hAnsi="Arial"/>
          <w:sz w:val="15"/>
          <w:szCs w:val="15"/>
          <w:color w:val="auto"/>
        </w:rPr>
        <w:t xml:space="preserve">preside at all meetings of the Board at which </w:t>
      </w:r>
      <w:r>
        <w:rPr>
          <w:rFonts w:ascii="Arial" w:cs="Arial" w:eastAsia="Arial" w:hAnsi="Arial"/>
          <w:sz w:val="15"/>
          <w:szCs w:val="15"/>
          <w:color w:val="auto"/>
          <w:strike w:val="1"/>
        </w:rPr>
        <w:t>he is</w:t>
      </w:r>
      <w:r>
        <w:rPr>
          <w:rFonts w:ascii="Arial" w:cs="Arial" w:eastAsia="Arial" w:hAnsi="Arial"/>
          <w:sz w:val="15"/>
          <w:szCs w:val="15"/>
          <w:u w:val="single" w:color="auto"/>
          <w:color w:val="auto"/>
        </w:rPr>
        <w:t>they are</w:t>
      </w:r>
      <w:r>
        <w:rPr>
          <w:rFonts w:ascii="Arial" w:cs="Arial" w:eastAsia="Arial" w:hAnsi="Arial"/>
          <w:sz w:val="15"/>
          <w:szCs w:val="15"/>
          <w:color w:val="auto"/>
        </w:rPr>
        <w:t xml:space="preserve"> present. If there is no Director holding either office, or if neither the</w:t>
      </w:r>
    </w:p>
    <w:p>
      <w:pPr>
        <w:spacing w:after="0" w:line="17" w:lineRule="exact"/>
        <w:rPr>
          <w:sz w:val="20"/>
          <w:szCs w:val="20"/>
          <w:color w:val="auto"/>
        </w:rPr>
      </w:pPr>
    </w:p>
    <w:p>
      <w:pPr>
        <w:ind w:left="1200"/>
        <w:spacing w:after="0"/>
        <w:rPr>
          <w:sz w:val="20"/>
          <w:szCs w:val="20"/>
          <w:color w:val="auto"/>
        </w:rPr>
      </w:pPr>
      <w:r>
        <w:rPr>
          <w:rFonts w:ascii="Arial" w:cs="Arial" w:eastAsia="Arial" w:hAnsi="Arial"/>
          <w:sz w:val="16"/>
          <w:szCs w:val="16"/>
          <w:color w:val="auto"/>
          <w:strike w:val="1"/>
        </w:rPr>
        <w:t>chairman</w:t>
      </w:r>
      <w:r>
        <w:rPr>
          <w:rFonts w:ascii="Arial" w:cs="Arial" w:eastAsia="Arial" w:hAnsi="Arial"/>
          <w:sz w:val="16"/>
          <w:szCs w:val="16"/>
          <w:u w:val="single" w:color="auto"/>
          <w:color w:val="auto"/>
        </w:rPr>
        <w:t>chairperson</w:t>
      </w:r>
      <w:r>
        <w:rPr>
          <w:rFonts w:ascii="Arial" w:cs="Arial" w:eastAsia="Arial" w:hAnsi="Arial"/>
          <w:sz w:val="16"/>
          <w:szCs w:val="16"/>
          <w:color w:val="auto"/>
        </w:rPr>
        <w:t xml:space="preserve"> nor the </w:t>
      </w:r>
      <w:r>
        <w:rPr>
          <w:rFonts w:ascii="Arial" w:cs="Arial" w:eastAsia="Arial" w:hAnsi="Arial"/>
          <w:sz w:val="16"/>
          <w:szCs w:val="16"/>
          <w:color w:val="auto"/>
          <w:strike w:val="1"/>
        </w:rPr>
        <w:t>deputy chairman</w:t>
      </w:r>
      <w:r>
        <w:rPr>
          <w:rFonts w:ascii="Arial" w:cs="Arial" w:eastAsia="Arial" w:hAnsi="Arial"/>
          <w:sz w:val="16"/>
          <w:szCs w:val="16"/>
          <w:u w:val="single" w:color="auto"/>
          <w:color w:val="auto"/>
        </w:rPr>
        <w:t>senior independent director</w:t>
      </w:r>
      <w:r>
        <w:rPr>
          <w:rFonts w:ascii="Arial" w:cs="Arial" w:eastAsia="Arial" w:hAnsi="Arial"/>
          <w:sz w:val="16"/>
          <w:szCs w:val="16"/>
          <w:color w:val="auto"/>
        </w:rPr>
        <w:t xml:space="preserve"> is present within five minutes after the time</w:t>
      </w:r>
    </w:p>
    <w:p>
      <w:pPr>
        <w:spacing w:after="0" w:line="5" w:lineRule="exact"/>
        <w:rPr>
          <w:sz w:val="20"/>
          <w:szCs w:val="20"/>
          <w:color w:val="auto"/>
        </w:rPr>
      </w:pPr>
    </w:p>
    <w:p>
      <w:pPr>
        <w:ind w:left="1200"/>
        <w:spacing w:after="0"/>
        <w:rPr>
          <w:sz w:val="20"/>
          <w:szCs w:val="20"/>
          <w:color w:val="auto"/>
        </w:rPr>
      </w:pPr>
      <w:r>
        <w:rPr>
          <w:rFonts w:ascii="Arial" w:cs="Arial" w:eastAsia="Arial" w:hAnsi="Arial"/>
          <w:sz w:val="16"/>
          <w:szCs w:val="16"/>
          <w:color w:val="auto"/>
        </w:rPr>
        <w:t xml:space="preserve">appointed for the meeting, or if the </w:t>
      </w:r>
      <w:r>
        <w:rPr>
          <w:rFonts w:ascii="Arial" w:cs="Arial" w:eastAsia="Arial" w:hAnsi="Arial"/>
          <w:sz w:val="16"/>
          <w:szCs w:val="16"/>
          <w:color w:val="auto"/>
          <w:strike w:val="1"/>
        </w:rPr>
        <w:t>chairman</w:t>
      </w:r>
      <w:r>
        <w:rPr>
          <w:rFonts w:ascii="Arial" w:cs="Arial" w:eastAsia="Arial" w:hAnsi="Arial"/>
          <w:sz w:val="16"/>
          <w:szCs w:val="16"/>
          <w:u w:val="single" w:color="auto"/>
          <w:color w:val="auto"/>
        </w:rPr>
        <w:t>chairperson</w:t>
      </w:r>
      <w:r>
        <w:rPr>
          <w:rFonts w:ascii="Arial" w:cs="Arial" w:eastAsia="Arial" w:hAnsi="Arial"/>
          <w:sz w:val="16"/>
          <w:szCs w:val="16"/>
          <w:color w:val="auto"/>
        </w:rPr>
        <w:t xml:space="preserve"> or </w:t>
      </w:r>
      <w:r>
        <w:rPr>
          <w:rFonts w:ascii="Arial" w:cs="Arial" w:eastAsia="Arial" w:hAnsi="Arial"/>
          <w:sz w:val="16"/>
          <w:szCs w:val="16"/>
          <w:color w:val="auto"/>
          <w:strike w:val="1"/>
        </w:rPr>
        <w:t>deputy chairman</w:t>
      </w:r>
      <w:r>
        <w:rPr>
          <w:rFonts w:ascii="Arial" w:cs="Arial" w:eastAsia="Arial" w:hAnsi="Arial"/>
          <w:sz w:val="16"/>
          <w:szCs w:val="16"/>
          <w:u w:val="single" w:color="auto"/>
          <w:color w:val="auto"/>
        </w:rPr>
        <w:t>senior independent director</w:t>
      </w:r>
      <w:r>
        <w:rPr>
          <w:rFonts w:ascii="Arial" w:cs="Arial" w:eastAsia="Arial" w:hAnsi="Arial"/>
          <w:sz w:val="16"/>
          <w:szCs w:val="16"/>
          <w:color w:val="auto"/>
        </w:rPr>
        <w:t xml:space="preserve"> is not willing to</w:t>
      </w:r>
    </w:p>
    <w:p>
      <w:pPr>
        <w:spacing w:after="0" w:line="5" w:lineRule="exact"/>
        <w:rPr>
          <w:sz w:val="20"/>
          <w:szCs w:val="20"/>
          <w:color w:val="auto"/>
        </w:rPr>
      </w:pPr>
    </w:p>
    <w:p>
      <w:pPr>
        <w:ind w:left="1200"/>
        <w:spacing w:after="0"/>
        <w:rPr>
          <w:sz w:val="20"/>
          <w:szCs w:val="20"/>
          <w:color w:val="auto"/>
        </w:rPr>
      </w:pPr>
      <w:r>
        <w:rPr>
          <w:rFonts w:ascii="Arial" w:cs="Arial" w:eastAsia="Arial" w:hAnsi="Arial"/>
          <w:sz w:val="16"/>
          <w:szCs w:val="16"/>
          <w:color w:val="auto"/>
        </w:rPr>
        <w:t xml:space="preserve">preside, the Directors present may choose one of their number to be </w:t>
      </w:r>
      <w:r>
        <w:rPr>
          <w:rFonts w:ascii="Arial" w:cs="Arial" w:eastAsia="Arial" w:hAnsi="Arial"/>
          <w:sz w:val="16"/>
          <w:szCs w:val="16"/>
          <w:color w:val="auto"/>
          <w:strike w:val="1"/>
        </w:rPr>
        <w:t>chairman</w:t>
      </w:r>
      <w:r>
        <w:rPr>
          <w:rFonts w:ascii="Arial" w:cs="Arial" w:eastAsia="Arial" w:hAnsi="Arial"/>
          <w:sz w:val="16"/>
          <w:szCs w:val="16"/>
          <w:u w:val="single" w:color="auto"/>
          <w:color w:val="auto"/>
        </w:rPr>
        <w:t>chairperson</w:t>
      </w:r>
      <w:r>
        <w:rPr>
          <w:rFonts w:ascii="Arial" w:cs="Arial" w:eastAsia="Arial" w:hAnsi="Arial"/>
          <w:sz w:val="16"/>
          <w:szCs w:val="16"/>
          <w:color w:val="auto"/>
        </w:rPr>
        <w:t xml:space="preserve"> of the meeting.</w:t>
      </w:r>
    </w:p>
    <w:p>
      <w:pPr>
        <w:spacing w:after="0" w:line="100" w:lineRule="exact"/>
        <w:rPr>
          <w:sz w:val="20"/>
          <w:szCs w:val="20"/>
          <w:color w:val="auto"/>
        </w:rPr>
      </w:pPr>
    </w:p>
    <w:p>
      <w:pPr>
        <w:ind w:left="1200" w:right="219" w:hanging="431"/>
        <w:spacing w:after="0" w:line="248" w:lineRule="auto"/>
        <w:rPr>
          <w:sz w:val="20"/>
          <w:szCs w:val="20"/>
          <w:color w:val="auto"/>
        </w:rPr>
      </w:pPr>
      <w:r>
        <w:rPr>
          <w:rFonts w:ascii="Arial" w:cs="Arial" w:eastAsia="Arial" w:hAnsi="Arial"/>
          <w:sz w:val="16"/>
          <w:szCs w:val="16"/>
          <w:color w:val="auto"/>
        </w:rPr>
        <w:t>33.6 All acts done by a meeting of the Board, or of a committee of the Board, or by a person acting as a Director, shall, notwithstanding that it may afterwards be discovered that there was a defect in the appointment of any Director, any member of the committee or that any of them were disqualified from holding office, or had vacated office, or were not entitled to vote, or that the meeting was not quorate (provided that the Directors present at the inquorate meeting believed, in good faith, that the meeting was quorate and made all such enquiries as were reasonable in the circumstances to establish that the meeting was quorate), be as valid as if every such person had been duly appointed and was qualified and had continued to be a Director and had been entitled to vote and that the meeting was quorate.</w:t>
      </w:r>
    </w:p>
    <w:p>
      <w:pPr>
        <w:spacing w:after="0" w:line="73" w:lineRule="exact"/>
        <w:rPr>
          <w:sz w:val="20"/>
          <w:szCs w:val="20"/>
          <w:color w:val="auto"/>
        </w:rPr>
      </w:pPr>
    </w:p>
    <w:p>
      <w:pPr>
        <w:ind w:left="1200" w:right="199" w:hanging="431"/>
        <w:spacing w:after="0" w:line="247" w:lineRule="auto"/>
        <w:rPr>
          <w:sz w:val="20"/>
          <w:szCs w:val="20"/>
          <w:color w:val="auto"/>
        </w:rPr>
      </w:pPr>
      <w:r>
        <w:rPr>
          <w:rFonts w:ascii="Arial" w:cs="Arial" w:eastAsia="Arial" w:hAnsi="Arial"/>
          <w:sz w:val="16"/>
          <w:szCs w:val="16"/>
          <w:color w:val="auto"/>
        </w:rPr>
        <w:t xml:space="preserve">33.7 A resolution in writing agreed to by all the Directors entitled to receive notice of a meeting of the Board or of a committee of the Board and who would be entitled to vote (and whose vote would have been counted) on the resolution at a meeting of the Board or of a committee of the Board shall (if that number is sufficient to constitute a quorum) be as valid and effectual as if it had been passed at a meeting of the Board or (as the case may be) of that committee, duly convened and held. A resolution in writing is adopted when the Company receives from all such Directors a document indicating their agreement to the proposed resolution either by being signed or otherwise authenticated in the manner permitted by the Companies Act for a document in the relevant form, sent in either hard copy or electronic form (including </w:t>
      </w:r>
      <w:r>
        <w:rPr>
          <w:rFonts w:ascii="Arial" w:cs="Arial" w:eastAsia="Arial" w:hAnsi="Arial"/>
          <w:sz w:val="16"/>
          <w:szCs w:val="16"/>
          <w:u w:val="single" w:color="auto"/>
          <w:color w:val="auto"/>
        </w:rPr>
        <w:t>by</w:t>
      </w:r>
      <w:r>
        <w:rPr>
          <w:rFonts w:ascii="Arial" w:cs="Arial" w:eastAsia="Arial" w:hAnsi="Arial"/>
          <w:sz w:val="16"/>
          <w:szCs w:val="16"/>
          <w:color w:val="auto"/>
        </w:rPr>
        <w:t xml:space="preserve"> facsimile transmission</w:t>
      </w:r>
      <w:r>
        <w:rPr>
          <w:rFonts w:ascii="Arial" w:cs="Arial" w:eastAsia="Arial" w:hAnsi="Arial"/>
          <w:sz w:val="16"/>
          <w:szCs w:val="16"/>
          <w:u w:val="single" w:color="auto"/>
          <w:color w:val="auto"/>
        </w:rPr>
        <w:t>, email,</w:t>
      </w:r>
      <w:r>
        <w:rPr>
          <w:rFonts w:ascii="Arial" w:cs="Arial" w:eastAsia="Arial" w:hAnsi="Arial"/>
          <w:sz w:val="16"/>
          <w:szCs w:val="16"/>
          <w:color w:val="auto"/>
        </w:rPr>
        <w:t xml:space="preserve"> </w:t>
      </w:r>
      <w:r>
        <w:rPr>
          <w:rFonts w:ascii="Arial" w:cs="Arial" w:eastAsia="Arial" w:hAnsi="Arial"/>
          <w:sz w:val="16"/>
          <w:szCs w:val="16"/>
          <w:u w:val="single" w:color="auto"/>
          <w:color w:val="auto"/>
        </w:rPr>
        <w:t>electronic board portal or other electronic means of whatever nature approved by the Board from time to time</w:t>
      </w:r>
      <w:r>
        <w:rPr>
          <w:rFonts w:ascii="Arial" w:cs="Arial" w:eastAsia="Arial" w:hAnsi="Arial"/>
          <w:sz w:val="16"/>
          <w:szCs w:val="16"/>
          <w:color w:val="auto"/>
        </w:rPr>
        <w:t xml:space="preserve">) to such address (if any) for the time being specified by the Company for that purpose. A resolution agreed to by an alternate Director need not also be agreed to by </w:t>
      </w:r>
      <w:r>
        <w:rPr>
          <w:rFonts w:ascii="Arial" w:cs="Arial" w:eastAsia="Arial" w:hAnsi="Arial"/>
          <w:sz w:val="16"/>
          <w:szCs w:val="16"/>
          <w:color w:val="auto"/>
          <w:strike w:val="1"/>
        </w:rPr>
        <w:t>his</w:t>
      </w:r>
      <w:r>
        <w:rPr>
          <w:rFonts w:ascii="Arial" w:cs="Arial" w:eastAsia="Arial" w:hAnsi="Arial"/>
          <w:sz w:val="16"/>
          <w:szCs w:val="16"/>
          <w:u w:val="single" w:color="auto"/>
          <w:color w:val="auto"/>
        </w:rPr>
        <w:t>their</w:t>
      </w:r>
      <w:r>
        <w:rPr>
          <w:rFonts w:ascii="Arial" w:cs="Arial" w:eastAsia="Arial" w:hAnsi="Arial"/>
          <w:sz w:val="16"/>
          <w:szCs w:val="16"/>
          <w:color w:val="auto"/>
        </w:rPr>
        <w:t xml:space="preserve"> appointor and, if it is agreed to by a Director who has appointed an alternate Director, it need not also be agreed to by the alternate Director in that capacity.</w:t>
      </w:r>
    </w:p>
    <w:p>
      <w:pPr>
        <w:spacing w:after="0" w:line="91" w:lineRule="exact"/>
        <w:rPr>
          <w:sz w:val="20"/>
          <w:szCs w:val="20"/>
          <w:color w:val="auto"/>
        </w:rPr>
      </w:pPr>
    </w:p>
    <w:p>
      <w:pPr>
        <w:ind w:left="1200" w:right="499" w:hanging="431"/>
        <w:spacing w:after="0" w:line="293" w:lineRule="auto"/>
        <w:rPr>
          <w:sz w:val="20"/>
          <w:szCs w:val="20"/>
          <w:color w:val="auto"/>
        </w:rPr>
      </w:pPr>
      <w:r>
        <w:rPr>
          <w:rFonts w:ascii="Arial" w:cs="Arial" w:eastAsia="Arial" w:hAnsi="Arial"/>
          <w:sz w:val="15"/>
          <w:szCs w:val="15"/>
          <w:color w:val="auto"/>
        </w:rPr>
        <w:t>33.8 Without prejudice to Article 33.1, a meeting of the Board or of a committee of the Board may consist of a conference between Directors who are not all in one place, but each of whom is able (whether directly or by conference telephone or</w:t>
      </w:r>
    </w:p>
    <w:p>
      <w:pPr>
        <w:spacing w:after="0" w:line="70" w:lineRule="exact"/>
        <w:rPr>
          <w:sz w:val="20"/>
          <w:szCs w:val="20"/>
          <w:color w:val="auto"/>
        </w:rPr>
      </w:pPr>
    </w:p>
    <w:p>
      <w:pPr>
        <w:ind w:left="480"/>
        <w:spacing w:after="0"/>
        <w:tabs>
          <w:tab w:leader="none" w:pos="4420" w:val="left"/>
          <w:tab w:leader="none" w:pos="8760" w:val="left"/>
        </w:tabs>
        <w:rPr>
          <w:sz w:val="20"/>
          <w:szCs w:val="20"/>
          <w:color w:val="auto"/>
        </w:rPr>
      </w:pPr>
      <w:r>
        <w:rPr>
          <w:rFonts w:ascii="Arial" w:cs="Arial" w:eastAsia="Arial" w:hAnsi="Arial"/>
          <w:sz w:val="28"/>
          <w:szCs w:val="28"/>
          <w:b w:val="1"/>
          <w:bCs w:val="1"/>
          <w:color w:val="000000"/>
          <w:vertAlign w:val="subscript"/>
        </w:rPr>
        <w:t>A-28</w:t>
      </w:r>
      <w:r>
        <w:rPr>
          <w:sz w:val="20"/>
          <w:szCs w:val="20"/>
          <w:color w:val="auto"/>
        </w:rPr>
        <w:tab/>
      </w:r>
      <w:r>
        <w:rPr>
          <w:rFonts w:ascii="Arial" w:cs="Arial" w:eastAsia="Arial" w:hAnsi="Arial"/>
          <w:sz w:val="13"/>
          <w:szCs w:val="13"/>
          <w:b w:val="1"/>
          <w:bCs w:val="1"/>
          <w:color w:val="4800E6"/>
        </w:rPr>
        <w:t xml:space="preserve">LIVANOVA </w:t>
      </w:r>
      <w:r>
        <w:rPr>
          <w:rFonts w:ascii="Arial" w:cs="Arial" w:eastAsia="Arial" w:hAnsi="Arial"/>
          <w:sz w:val="13"/>
          <w:szCs w:val="13"/>
          <w:color w:val="000000"/>
        </w:rPr>
        <w:t>|</w:t>
      </w:r>
      <w:r>
        <w:rPr>
          <w:rFonts w:ascii="Arial" w:cs="Arial" w:eastAsia="Arial" w:hAnsi="Arial"/>
          <w:sz w:val="13"/>
          <w:szCs w:val="13"/>
          <w:b w:val="1"/>
          <w:bCs w:val="1"/>
          <w:color w:val="4800E6"/>
        </w:rPr>
        <w:t xml:space="preserve"> </w:t>
      </w:r>
      <w:r>
        <w:rPr>
          <w:rFonts w:ascii="Arial" w:cs="Arial" w:eastAsia="Arial" w:hAnsi="Arial"/>
          <w:sz w:val="13"/>
          <w:szCs w:val="13"/>
          <w:color w:val="4800E6"/>
        </w:rPr>
        <w:t>2020</w:t>
      </w:r>
      <w:r>
        <w:rPr>
          <w:rFonts w:ascii="Arial" w:cs="Arial" w:eastAsia="Arial" w:hAnsi="Arial"/>
          <w:sz w:val="13"/>
          <w:szCs w:val="13"/>
          <w:b w:val="1"/>
          <w:bCs w:val="1"/>
          <w:color w:val="4800E6"/>
        </w:rPr>
        <w:t xml:space="preserve"> </w:t>
      </w:r>
      <w:r>
        <w:rPr>
          <w:rFonts w:ascii="Arial" w:cs="Arial" w:eastAsia="Arial" w:hAnsi="Arial"/>
          <w:sz w:val="13"/>
          <w:szCs w:val="13"/>
          <w:color w:val="000000"/>
        </w:rPr>
        <w:t>Proxy Statement</w:t>
      </w:r>
      <w:r>
        <w:rPr>
          <w:sz w:val="20"/>
          <w:szCs w:val="20"/>
          <w:color w:val="auto"/>
        </w:rPr>
        <w:tab/>
      </w:r>
      <w:r>
        <w:rPr>
          <w:rFonts w:ascii="Arial" w:cs="Arial" w:eastAsia="Arial" w:hAnsi="Arial"/>
          <w:sz w:val="12"/>
          <w:szCs w:val="12"/>
          <w:b w:val="1"/>
          <w:bCs w:val="1"/>
          <w:color w:val="4800E6"/>
        </w:rPr>
        <w:t>www.livanova.com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639445</wp:posOffset>
            </wp:positionH>
            <wp:positionV relativeFrom="paragraph">
              <wp:posOffset>-2540</wp:posOffset>
            </wp:positionV>
            <wp:extent cx="1954530" cy="8890"/>
            <wp:wrapNone/>
            <wp:docPr id="459" name="Picture 4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9"/>
                    <pic:cNvPicPr>
                      <a:picLocks noChangeAspect="1" noChangeArrowheads="1"/>
                    </pic:cNvPicPr>
                  </pic:nvPicPr>
                  <pic:blipFill>
                    <a:blip r:embed="rId466">
                      <a:extLst>
                        <a:ext uri="{28A0092B-C50C-407E-A947-70E740481C1C}"/>
                      </a:extLst>
                    </a:blip>
                    <a:srcRect/>
                    <a:stretch>
                      <a:fillRect/>
                    </a:stretch>
                  </pic:blipFill>
                  <pic:spPr bwMode="auto">
                    <a:xfrm>
                      <a:off x="0" y="0"/>
                      <a:ext cx="1954530" cy="8890"/>
                    </a:xfrm>
                    <a:prstGeom prst="rect">
                      <a:avLst/>
                    </a:prstGeom>
                    <a:noFill/>
                  </pic:spPr>
                </pic:pic>
              </a:graphicData>
            </a:graphic>
          </wp:anchor>
        </w:drawing>
        <w:drawing>
          <wp:anchor simplePos="0" relativeHeight="251657728" behindDoc="1" locked="0" layoutInCell="0" allowOverlap="1">
            <wp:simplePos x="0" y="0"/>
            <wp:positionH relativeFrom="column">
              <wp:posOffset>4316730</wp:posOffset>
            </wp:positionH>
            <wp:positionV relativeFrom="paragraph">
              <wp:posOffset>-2540</wp:posOffset>
            </wp:positionV>
            <wp:extent cx="1028700" cy="8890"/>
            <wp:wrapNone/>
            <wp:docPr id="460" name="Picture 4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0"/>
                    <pic:cNvPicPr>
                      <a:picLocks noChangeAspect="1" noChangeArrowheads="1"/>
                    </pic:cNvPicPr>
                  </pic:nvPicPr>
                  <pic:blipFill>
                    <a:blip r:embed="rId467">
                      <a:extLst>
                        <a:ext uri="{28A0092B-C50C-407E-A947-70E740481C1C}"/>
                      </a:extLst>
                    </a:blip>
                    <a:srcRect/>
                    <a:stretch>
                      <a:fillRect/>
                    </a:stretch>
                  </pic:blipFill>
                  <pic:spPr bwMode="auto">
                    <a:xfrm>
                      <a:off x="0" y="0"/>
                      <a:ext cx="102870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125095</wp:posOffset>
            </wp:positionV>
            <wp:extent cx="6806565" cy="17145"/>
            <wp:wrapNone/>
            <wp:docPr id="461" name="Picture 4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1"/>
                    <pic:cNvPicPr>
                      <a:picLocks noChangeAspect="1" noChangeArrowheads="1"/>
                    </pic:cNvPicPr>
                  </pic:nvPicPr>
                  <pic:blipFill>
                    <a:blip r:embed="rId468">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10139"/>
          </w:cols>
          <w:pgMar w:left="320" w:top="131" w:right="1440" w:bottom="1440" w:gutter="0" w:footer="0" w:header="0"/>
          <w:type w:val="continuous"/>
        </w:sectPr>
      </w:pPr>
    </w:p>
    <w:bookmarkStart w:id="107" w:name="page108"/>
    <w:bookmarkEnd w:id="107"/>
    <w:p>
      <w:pPr>
        <w:spacing w:after="0"/>
        <w:rPr>
          <w:rFonts w:ascii="Arial" w:cs="Arial" w:eastAsia="Arial" w:hAnsi="Arial"/>
          <w:sz w:val="14"/>
          <w:szCs w:val="14"/>
          <w:color w:val="003366"/>
        </w:rPr>
      </w:pPr>
      <w:hyperlink w:anchor="page77">
        <w:r>
          <w:rPr>
            <w:rFonts w:ascii="Arial" w:cs="Arial" w:eastAsia="Arial" w:hAnsi="Arial"/>
            <w:sz w:val="14"/>
            <w:szCs w:val="14"/>
            <w:color w:val="003366"/>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485140</wp:posOffset>
            </wp:positionH>
            <wp:positionV relativeFrom="paragraph">
              <wp:posOffset>356870</wp:posOffset>
            </wp:positionV>
            <wp:extent cx="5829300" cy="8255"/>
            <wp:wrapNone/>
            <wp:docPr id="462" name="Picture 4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2"/>
                    <pic:cNvPicPr>
                      <a:picLocks noChangeAspect="1" noChangeArrowheads="1"/>
                    </pic:cNvPicPr>
                  </pic:nvPicPr>
                  <pic:blipFill>
                    <a:blip r:embed="rId469">
                      <a:extLst>
                        <a:ext uri="{28A0092B-C50C-407E-A947-70E740481C1C}"/>
                      </a:extLst>
                    </a:blip>
                    <a:srcRect/>
                    <a:stretch>
                      <a:fillRect/>
                    </a:stretch>
                  </pic:blipFill>
                  <pic:spPr bwMode="auto">
                    <a:xfrm>
                      <a:off x="0" y="0"/>
                      <a:ext cx="582930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ind w:left="1200" w:right="800"/>
        <w:spacing w:after="0" w:line="249" w:lineRule="auto"/>
        <w:rPr>
          <w:sz w:val="20"/>
          <w:szCs w:val="20"/>
          <w:color w:val="auto"/>
        </w:rPr>
      </w:pPr>
      <w:r>
        <w:rPr>
          <w:rFonts w:ascii="Arial" w:cs="Arial" w:eastAsia="Arial" w:hAnsi="Arial"/>
          <w:sz w:val="16"/>
          <w:szCs w:val="16"/>
          <w:color w:val="auto"/>
        </w:rPr>
        <w:t xml:space="preserve">by any other form of communication equipment) to hear each of the other participating Directors, and to speak to and be heard by each of the others simultaneously. A Director taking part in such a conference shall be deemed to be present in person at the meeting and shall be entitled to vote and be counted in the quorum accordingly and the word “meeting” in these Articles shall be construed accordingly. Such meeting shall be deemed to take place where it is convened to be held or (if no Director is present in that place) where the largest group of those participating is assembled, or, if there is no such group, where the </w:t>
      </w:r>
      <w:r>
        <w:rPr>
          <w:rFonts w:ascii="Arial" w:cs="Arial" w:eastAsia="Arial" w:hAnsi="Arial"/>
          <w:sz w:val="16"/>
          <w:szCs w:val="16"/>
          <w:color w:val="auto"/>
          <w:strike w:val="1"/>
        </w:rPr>
        <w:t>chairman</w:t>
      </w:r>
      <w:r>
        <w:rPr>
          <w:rFonts w:ascii="Arial" w:cs="Arial" w:eastAsia="Arial" w:hAnsi="Arial"/>
          <w:sz w:val="16"/>
          <w:szCs w:val="16"/>
          <w:u w:val="single" w:color="auto"/>
          <w:color w:val="auto"/>
        </w:rPr>
        <w:t>chairperson</w:t>
      </w:r>
      <w:r>
        <w:rPr>
          <w:rFonts w:ascii="Arial" w:cs="Arial" w:eastAsia="Arial" w:hAnsi="Arial"/>
          <w:sz w:val="16"/>
          <w:szCs w:val="16"/>
          <w:color w:val="auto"/>
        </w:rPr>
        <w:t xml:space="preserve"> of the meeting is located.</w:t>
      </w:r>
    </w:p>
    <w:p>
      <w:pPr>
        <w:spacing w:after="0" w:line="83" w:lineRule="exact"/>
        <w:rPr>
          <w:sz w:val="20"/>
          <w:szCs w:val="20"/>
          <w:color w:val="auto"/>
        </w:rPr>
      </w:pPr>
    </w:p>
    <w:p>
      <w:pPr>
        <w:ind w:left="1200" w:right="880" w:hanging="431"/>
        <w:spacing w:after="0" w:line="250" w:lineRule="auto"/>
        <w:rPr>
          <w:sz w:val="20"/>
          <w:szCs w:val="20"/>
          <w:color w:val="auto"/>
        </w:rPr>
      </w:pPr>
      <w:r>
        <w:rPr>
          <w:rFonts w:ascii="Arial" w:cs="Arial" w:eastAsia="Arial" w:hAnsi="Arial"/>
          <w:sz w:val="16"/>
          <w:szCs w:val="16"/>
          <w:color w:val="auto"/>
        </w:rPr>
        <w:t xml:space="preserve">33.9 Except as otherwise provided by these Articles, a Director shall not vote at a meeting of the Board or a committee of the Board on any resolution concerning a matter in which </w:t>
      </w:r>
      <w:r>
        <w:rPr>
          <w:rFonts w:ascii="Arial" w:cs="Arial" w:eastAsia="Arial" w:hAnsi="Arial"/>
          <w:sz w:val="16"/>
          <w:szCs w:val="16"/>
          <w:color w:val="auto"/>
          <w:strike w:val="1"/>
        </w:rPr>
        <w:t>he has</w:t>
      </w:r>
      <w:r>
        <w:rPr>
          <w:rFonts w:ascii="Arial" w:cs="Arial" w:eastAsia="Arial" w:hAnsi="Arial"/>
          <w:sz w:val="16"/>
          <w:szCs w:val="16"/>
          <w:u w:val="single" w:color="auto"/>
          <w:color w:val="auto"/>
        </w:rPr>
        <w:t>they have</w:t>
      </w:r>
      <w:r>
        <w:rPr>
          <w:rFonts w:ascii="Arial" w:cs="Arial" w:eastAsia="Arial" w:hAnsi="Arial"/>
          <w:sz w:val="16"/>
          <w:szCs w:val="16"/>
          <w:color w:val="auto"/>
        </w:rPr>
        <w:t xml:space="preserve">, directly or indirectly, an interest (other than an interest in shares, debentures or other securities of, or otherwise in or through, the Company) which can reasonably be regarded as likely to give rise to a conflict with the interests of the Company, unless </w:t>
      </w:r>
      <w:r>
        <w:rPr>
          <w:rFonts w:ascii="Arial" w:cs="Arial" w:eastAsia="Arial" w:hAnsi="Arial"/>
          <w:sz w:val="16"/>
          <w:szCs w:val="16"/>
          <w:color w:val="auto"/>
          <w:strike w:val="1"/>
        </w:rPr>
        <w:t>his</w:t>
      </w:r>
      <w:r>
        <w:rPr>
          <w:rFonts w:ascii="Arial" w:cs="Arial" w:eastAsia="Arial" w:hAnsi="Arial"/>
          <w:sz w:val="16"/>
          <w:szCs w:val="16"/>
          <w:u w:val="single" w:color="auto"/>
          <w:color w:val="auto"/>
        </w:rPr>
        <w:t>their</w:t>
      </w:r>
      <w:r>
        <w:rPr>
          <w:rFonts w:ascii="Arial" w:cs="Arial" w:eastAsia="Arial" w:hAnsi="Arial"/>
          <w:sz w:val="16"/>
          <w:szCs w:val="16"/>
          <w:color w:val="auto"/>
        </w:rPr>
        <w:t xml:space="preserve"> interest arises only because the resolution falls within one or more of the following matters:</w:t>
      </w:r>
    </w:p>
    <w:p>
      <w:pPr>
        <w:spacing w:after="0" w:line="81" w:lineRule="exact"/>
        <w:rPr>
          <w:sz w:val="20"/>
          <w:szCs w:val="20"/>
          <w:color w:val="auto"/>
        </w:rPr>
      </w:pPr>
    </w:p>
    <w:p>
      <w:pPr>
        <w:ind w:left="1620" w:right="820" w:hanging="424"/>
        <w:spacing w:after="0" w:line="260" w:lineRule="auto"/>
        <w:tabs>
          <w:tab w:leader="none" w:pos="1620" w:val="left"/>
        </w:tabs>
        <w:numPr>
          <w:ilvl w:val="0"/>
          <w:numId w:val="183"/>
        </w:numPr>
        <w:rPr>
          <w:rFonts w:ascii="Arial" w:cs="Arial" w:eastAsia="Arial" w:hAnsi="Arial"/>
          <w:sz w:val="16"/>
          <w:szCs w:val="16"/>
          <w:color w:val="auto"/>
        </w:rPr>
      </w:pPr>
      <w:r>
        <w:rPr>
          <w:rFonts w:ascii="Arial" w:cs="Arial" w:eastAsia="Arial" w:hAnsi="Arial"/>
          <w:sz w:val="16"/>
          <w:szCs w:val="16"/>
          <w:color w:val="auto"/>
        </w:rPr>
        <w:t xml:space="preserve">the giving of a guarantee, security or indemnity in respect of money lent to, or an obligation incurred by </w:t>
      </w:r>
      <w:r>
        <w:rPr>
          <w:rFonts w:ascii="Arial" w:cs="Arial" w:eastAsia="Arial" w:hAnsi="Arial"/>
          <w:sz w:val="16"/>
          <w:szCs w:val="16"/>
          <w:color w:val="auto"/>
          <w:strike w:val="1"/>
        </w:rPr>
        <w:t>him</w:t>
      </w:r>
      <w:r>
        <w:rPr>
          <w:rFonts w:ascii="Arial" w:cs="Arial" w:eastAsia="Arial" w:hAnsi="Arial"/>
          <w:sz w:val="16"/>
          <w:szCs w:val="16"/>
          <w:u w:val="single" w:color="auto"/>
          <w:color w:val="auto"/>
        </w:rPr>
        <w:t>them</w:t>
      </w:r>
      <w:r>
        <w:rPr>
          <w:rFonts w:ascii="Arial" w:cs="Arial" w:eastAsia="Arial" w:hAnsi="Arial"/>
          <w:sz w:val="16"/>
          <w:szCs w:val="16"/>
          <w:color w:val="auto"/>
        </w:rPr>
        <w:t xml:space="preserve"> at the request of, or for the benefit of, the Company or any of its subsidiary undertakings;</w:t>
      </w:r>
    </w:p>
    <w:p>
      <w:pPr>
        <w:spacing w:after="0" w:line="60" w:lineRule="exact"/>
        <w:rPr>
          <w:rFonts w:ascii="Arial" w:cs="Arial" w:eastAsia="Arial" w:hAnsi="Arial"/>
          <w:sz w:val="16"/>
          <w:szCs w:val="16"/>
          <w:color w:val="auto"/>
        </w:rPr>
      </w:pPr>
    </w:p>
    <w:p>
      <w:pPr>
        <w:ind w:left="1620" w:right="1160" w:hanging="424"/>
        <w:spacing w:after="0" w:line="253" w:lineRule="auto"/>
        <w:tabs>
          <w:tab w:leader="none" w:pos="1620" w:val="left"/>
        </w:tabs>
        <w:numPr>
          <w:ilvl w:val="0"/>
          <w:numId w:val="183"/>
        </w:numPr>
        <w:rPr>
          <w:rFonts w:ascii="Arial" w:cs="Arial" w:eastAsia="Arial" w:hAnsi="Arial"/>
          <w:sz w:val="16"/>
          <w:szCs w:val="16"/>
          <w:color w:val="auto"/>
        </w:rPr>
      </w:pPr>
      <w:r>
        <w:rPr>
          <w:rFonts w:ascii="Arial" w:cs="Arial" w:eastAsia="Arial" w:hAnsi="Arial"/>
          <w:sz w:val="16"/>
          <w:szCs w:val="16"/>
          <w:color w:val="auto"/>
        </w:rPr>
        <w:t xml:space="preserve">the giving of a guarantee, security or indemnity in respect of a debt or obligation of the Company or any of its subsidiary undertakings for which the </w:t>
      </w:r>
      <w:r>
        <w:rPr>
          <w:rFonts w:ascii="Arial" w:cs="Arial" w:eastAsia="Arial" w:hAnsi="Arial"/>
          <w:sz w:val="16"/>
          <w:szCs w:val="16"/>
          <w:color w:val="auto"/>
          <w:strike w:val="1"/>
        </w:rPr>
        <w:t>director</w:t>
      </w:r>
      <w:r>
        <w:rPr>
          <w:rFonts w:ascii="Arial" w:cs="Arial" w:eastAsia="Arial" w:hAnsi="Arial"/>
          <w:sz w:val="16"/>
          <w:szCs w:val="16"/>
          <w:u w:val="single" w:color="auto"/>
          <w:color w:val="auto"/>
        </w:rPr>
        <w:t>Director</w:t>
      </w:r>
      <w:r>
        <w:rPr>
          <w:rFonts w:ascii="Arial" w:cs="Arial" w:eastAsia="Arial" w:hAnsi="Arial"/>
          <w:sz w:val="16"/>
          <w:szCs w:val="16"/>
          <w:color w:val="auto"/>
        </w:rPr>
        <w:t xml:space="preserve"> has assumed responsibility (in whole or in part and whether alone or jointly with others) under a guarantee or indemnity or by the giving of security;</w:t>
      </w:r>
    </w:p>
    <w:p>
      <w:pPr>
        <w:spacing w:after="0" w:line="79" w:lineRule="exact"/>
        <w:rPr>
          <w:rFonts w:ascii="Arial" w:cs="Arial" w:eastAsia="Arial" w:hAnsi="Arial"/>
          <w:sz w:val="16"/>
          <w:szCs w:val="16"/>
          <w:color w:val="auto"/>
        </w:rPr>
      </w:pPr>
    </w:p>
    <w:p>
      <w:pPr>
        <w:ind w:left="1620" w:right="780" w:hanging="424"/>
        <w:spacing w:after="0" w:line="248" w:lineRule="auto"/>
        <w:tabs>
          <w:tab w:leader="none" w:pos="1620" w:val="left"/>
        </w:tabs>
        <w:numPr>
          <w:ilvl w:val="0"/>
          <w:numId w:val="183"/>
        </w:numPr>
        <w:rPr>
          <w:rFonts w:ascii="Arial" w:cs="Arial" w:eastAsia="Arial" w:hAnsi="Arial"/>
          <w:sz w:val="16"/>
          <w:szCs w:val="16"/>
          <w:color w:val="auto"/>
        </w:rPr>
      </w:pPr>
      <w:r>
        <w:rPr>
          <w:rFonts w:ascii="Arial" w:cs="Arial" w:eastAsia="Arial" w:hAnsi="Arial"/>
          <w:sz w:val="16"/>
          <w:szCs w:val="16"/>
          <w:u w:val="single" w:color="auto"/>
          <w:color w:val="auto"/>
        </w:rPr>
        <w:t>a proposal for</w:t>
      </w:r>
      <w:r>
        <w:rPr>
          <w:rFonts w:ascii="Arial" w:cs="Arial" w:eastAsia="Arial" w:hAnsi="Arial"/>
          <w:sz w:val="16"/>
          <w:szCs w:val="16"/>
          <w:color w:val="auto"/>
        </w:rPr>
        <w:t xml:space="preserve"> the </w:t>
      </w:r>
      <w:r>
        <w:rPr>
          <w:rFonts w:ascii="Arial" w:cs="Arial" w:eastAsia="Arial" w:hAnsi="Arial"/>
          <w:sz w:val="16"/>
          <w:szCs w:val="16"/>
          <w:color w:val="auto"/>
          <w:strike w:val="1"/>
        </w:rPr>
        <w:t>giving</w:t>
      </w:r>
      <w:r>
        <w:rPr>
          <w:rFonts w:ascii="Arial" w:cs="Arial" w:eastAsia="Arial" w:hAnsi="Arial"/>
          <w:sz w:val="16"/>
          <w:szCs w:val="16"/>
          <w:u w:val="single" w:color="auto"/>
          <w:color w:val="auto"/>
        </w:rPr>
        <w:t>Company: (i)</w:t>
      </w:r>
      <w:r>
        <w:rPr>
          <w:rFonts w:ascii="Arial" w:cs="Arial" w:eastAsia="Arial" w:hAnsi="Arial"/>
          <w:sz w:val="16"/>
          <w:szCs w:val="16"/>
          <w:color w:val="auto"/>
        </w:rPr>
        <w:t xml:space="preserve"> to </w:t>
      </w:r>
      <w:r>
        <w:rPr>
          <w:rFonts w:ascii="Arial" w:cs="Arial" w:eastAsia="Arial" w:hAnsi="Arial"/>
          <w:sz w:val="16"/>
          <w:szCs w:val="16"/>
          <w:color w:val="auto"/>
          <w:strike w:val="1"/>
        </w:rPr>
        <w:t>him of any other</w:t>
      </w:r>
      <w:r>
        <w:rPr>
          <w:rFonts w:ascii="Arial" w:cs="Arial" w:eastAsia="Arial" w:hAnsi="Arial"/>
          <w:sz w:val="16"/>
          <w:szCs w:val="16"/>
          <w:color w:val="auto"/>
        </w:rPr>
        <w:t xml:space="preserve"> </w:t>
      </w:r>
      <w:r>
        <w:rPr>
          <w:rFonts w:ascii="Arial" w:cs="Arial" w:eastAsia="Arial" w:hAnsi="Arial"/>
          <w:sz w:val="16"/>
          <w:szCs w:val="16"/>
          <w:u w:val="single" w:color="auto"/>
          <w:color w:val="auto"/>
        </w:rPr>
        <w:t>provide them with an</w:t>
      </w:r>
      <w:r>
        <w:rPr>
          <w:rFonts w:ascii="Arial" w:cs="Arial" w:eastAsia="Arial" w:hAnsi="Arial"/>
          <w:sz w:val="16"/>
          <w:szCs w:val="16"/>
          <w:color w:val="auto"/>
        </w:rPr>
        <w:t xml:space="preserve"> indemnity </w:t>
      </w:r>
      <w:r>
        <w:rPr>
          <w:rFonts w:ascii="Arial" w:cs="Arial" w:eastAsia="Arial" w:hAnsi="Arial"/>
          <w:sz w:val="16"/>
          <w:szCs w:val="16"/>
          <w:color w:val="auto"/>
          <w:strike w:val="1"/>
        </w:rPr>
        <w:t>which is on substantially the</w:t>
      </w:r>
      <w:r>
        <w:rPr>
          <w:rFonts w:ascii="Arial" w:cs="Arial" w:eastAsia="Arial" w:hAnsi="Arial"/>
          <w:sz w:val="16"/>
          <w:szCs w:val="16"/>
          <w:color w:val="auto"/>
        </w:rPr>
        <w:t xml:space="preserve"> </w:t>
      </w:r>
      <w:r>
        <w:rPr>
          <w:rFonts w:ascii="Arial" w:cs="Arial" w:eastAsia="Arial" w:hAnsi="Arial"/>
          <w:sz w:val="16"/>
          <w:szCs w:val="16"/>
          <w:color w:val="auto"/>
          <w:strike w:val="1"/>
        </w:rPr>
        <w:t>same terms as indemnities given or</w:t>
      </w:r>
      <w:r>
        <w:rPr>
          <w:rFonts w:ascii="Arial" w:cs="Arial" w:eastAsia="Arial" w:hAnsi="Arial"/>
          <w:sz w:val="16"/>
          <w:szCs w:val="16"/>
          <w:color w:val="auto"/>
        </w:rPr>
        <w:t xml:space="preserve"> </w:t>
      </w:r>
      <w:r>
        <w:rPr>
          <w:rFonts w:ascii="Arial" w:cs="Arial" w:eastAsia="Arial" w:hAnsi="Arial"/>
          <w:sz w:val="16"/>
          <w:szCs w:val="16"/>
          <w:u w:val="single" w:color="auto"/>
          <w:color w:val="auto"/>
        </w:rPr>
        <w:t>permitted by applicable law; (ii)</w:t>
      </w:r>
      <w:r>
        <w:rPr>
          <w:rFonts w:ascii="Arial" w:cs="Arial" w:eastAsia="Arial" w:hAnsi="Arial"/>
          <w:sz w:val="16"/>
          <w:szCs w:val="16"/>
          <w:color w:val="auto"/>
        </w:rPr>
        <w:t xml:space="preserve"> to </w:t>
      </w:r>
      <w:r>
        <w:rPr>
          <w:rFonts w:ascii="Arial" w:cs="Arial" w:eastAsia="Arial" w:hAnsi="Arial"/>
          <w:sz w:val="16"/>
          <w:szCs w:val="16"/>
          <w:color w:val="auto"/>
          <w:strike w:val="1"/>
        </w:rPr>
        <w:t>be given</w:t>
      </w:r>
      <w:r>
        <w:rPr>
          <w:rFonts w:ascii="Arial" w:cs="Arial" w:eastAsia="Arial" w:hAnsi="Arial"/>
          <w:sz w:val="16"/>
          <w:szCs w:val="16"/>
          <w:u w:val="single" w:color="auto"/>
          <w:color w:val="auto"/>
        </w:rPr>
        <w:t>provide them with funds in</w:t>
      </w:r>
      <w:r>
        <w:rPr>
          <w:rFonts w:ascii="Arial" w:cs="Arial" w:eastAsia="Arial" w:hAnsi="Arial"/>
          <w:sz w:val="16"/>
          <w:szCs w:val="16"/>
          <w:color w:val="auto"/>
        </w:rPr>
        <w:t xml:space="preserve"> </w:t>
      </w:r>
      <w:r>
        <w:rPr>
          <w:rFonts w:ascii="Arial" w:cs="Arial" w:eastAsia="Arial" w:hAnsi="Arial"/>
          <w:sz w:val="16"/>
          <w:szCs w:val="16"/>
          <w:u w:val="single" w:color="auto"/>
          <w:color w:val="auto"/>
        </w:rPr>
        <w:t>circumstances permitted by applicable law</w:t>
      </w:r>
      <w:r>
        <w:rPr>
          <w:rFonts w:ascii="Arial" w:cs="Arial" w:eastAsia="Arial" w:hAnsi="Arial"/>
          <w:sz w:val="16"/>
          <w:szCs w:val="16"/>
          <w:color w:val="auto"/>
        </w:rPr>
        <w:t xml:space="preserve"> to </w:t>
      </w:r>
      <w:r>
        <w:rPr>
          <w:rFonts w:ascii="Arial" w:cs="Arial" w:eastAsia="Arial" w:hAnsi="Arial"/>
          <w:sz w:val="16"/>
          <w:szCs w:val="16"/>
          <w:color w:val="auto"/>
          <w:strike w:val="1"/>
        </w:rPr>
        <w:t>all of the other directors and/or to the funding by the Company of his</w:t>
      </w:r>
      <w:r>
        <w:rPr>
          <w:rFonts w:ascii="Arial" w:cs="Arial" w:eastAsia="Arial" w:hAnsi="Arial"/>
          <w:sz w:val="16"/>
          <w:szCs w:val="16"/>
          <w:u w:val="single" w:color="auto"/>
          <w:color w:val="auto"/>
        </w:rPr>
        <w:t>meet</w:t>
      </w:r>
      <w:r>
        <w:rPr>
          <w:rFonts w:ascii="Arial" w:cs="Arial" w:eastAsia="Arial" w:hAnsi="Arial"/>
          <w:sz w:val="16"/>
          <w:szCs w:val="16"/>
          <w:color w:val="auto"/>
        </w:rPr>
        <w:t xml:space="preserve"> </w:t>
      </w:r>
      <w:r>
        <w:rPr>
          <w:rFonts w:ascii="Arial" w:cs="Arial" w:eastAsia="Arial" w:hAnsi="Arial"/>
          <w:sz w:val="16"/>
          <w:szCs w:val="16"/>
          <w:u w:val="single" w:color="auto"/>
          <w:color w:val="auto"/>
        </w:rPr>
        <w:t>their defence</w:t>
      </w:r>
      <w:r>
        <w:rPr>
          <w:rFonts w:ascii="Arial" w:cs="Arial" w:eastAsia="Arial" w:hAnsi="Arial"/>
          <w:sz w:val="16"/>
          <w:szCs w:val="16"/>
          <w:color w:val="auto"/>
        </w:rPr>
        <w:t xml:space="preserve"> expenditure </w:t>
      </w:r>
      <w:r>
        <w:rPr>
          <w:rFonts w:ascii="Arial" w:cs="Arial" w:eastAsia="Arial" w:hAnsi="Arial"/>
          <w:sz w:val="16"/>
          <w:szCs w:val="16"/>
          <w:color w:val="auto"/>
          <w:strike w:val="1"/>
        </w:rPr>
        <w:t>on defending</w:t>
      </w:r>
      <w:r>
        <w:rPr>
          <w:rFonts w:ascii="Arial" w:cs="Arial" w:eastAsia="Arial" w:hAnsi="Arial"/>
          <w:sz w:val="16"/>
          <w:szCs w:val="16"/>
          <w:u w:val="single" w:color="auto"/>
          <w:color w:val="auto"/>
        </w:rPr>
        <w:t>in respect of any civil or criminal</w:t>
      </w:r>
      <w:r>
        <w:rPr>
          <w:rFonts w:ascii="Arial" w:cs="Arial" w:eastAsia="Arial" w:hAnsi="Arial"/>
          <w:sz w:val="16"/>
          <w:szCs w:val="16"/>
          <w:color w:val="auto"/>
        </w:rPr>
        <w:t xml:space="preserve"> proceedings or </w:t>
      </w:r>
      <w:r>
        <w:rPr>
          <w:rFonts w:ascii="Arial" w:cs="Arial" w:eastAsia="Arial" w:hAnsi="Arial"/>
          <w:sz w:val="16"/>
          <w:szCs w:val="16"/>
          <w:color w:val="auto"/>
          <w:strike w:val="1"/>
        </w:rPr>
        <w:t>the doing by the Company</w:t>
      </w:r>
      <w:r>
        <w:rPr>
          <w:rFonts w:ascii="Arial" w:cs="Arial" w:eastAsia="Arial" w:hAnsi="Arial"/>
          <w:sz w:val="16"/>
          <w:szCs w:val="16"/>
          <w:color w:val="auto"/>
        </w:rPr>
        <w:t xml:space="preserve"> </w:t>
      </w:r>
      <w:r>
        <w:rPr>
          <w:rFonts w:ascii="Arial" w:cs="Arial" w:eastAsia="Arial" w:hAnsi="Arial"/>
          <w:sz w:val="16"/>
          <w:szCs w:val="16"/>
          <w:color w:val="auto"/>
          <w:strike w:val="1"/>
        </w:rPr>
        <w:t>of</w:t>
      </w:r>
      <w:r>
        <w:rPr>
          <w:rFonts w:ascii="Arial" w:cs="Arial" w:eastAsia="Arial" w:hAnsi="Arial"/>
          <w:sz w:val="16"/>
          <w:szCs w:val="16"/>
          <w:u w:val="single" w:color="auto"/>
          <w:color w:val="auto"/>
          <w:strike w:val="1"/>
        </w:rPr>
        <w:t>regulatory investigation or other regulatory action or in connection with any application for any category of relief</w:t>
      </w:r>
      <w:r>
        <w:rPr>
          <w:rFonts w:ascii="Arial" w:cs="Arial" w:eastAsia="Arial" w:hAnsi="Arial"/>
          <w:sz w:val="16"/>
          <w:szCs w:val="16"/>
          <w:color w:val="auto"/>
          <w:strike w:val="1"/>
        </w:rPr>
        <w:t xml:space="preserve"> </w:t>
      </w:r>
      <w:r>
        <w:rPr>
          <w:rFonts w:ascii="Arial" w:cs="Arial" w:eastAsia="Arial" w:hAnsi="Arial"/>
          <w:sz w:val="16"/>
          <w:szCs w:val="16"/>
          <w:u w:val="single" w:color="auto"/>
          <w:color w:val="auto"/>
          <w:strike w:val="1"/>
        </w:rPr>
        <w:t>permitted by applicable law; or (iii) to do</w:t>
      </w:r>
      <w:r>
        <w:rPr>
          <w:rFonts w:ascii="Arial" w:cs="Arial" w:eastAsia="Arial" w:hAnsi="Arial"/>
          <w:sz w:val="16"/>
          <w:szCs w:val="16"/>
          <w:color w:val="auto"/>
          <w:strike w:val="1"/>
        </w:rPr>
        <w:t xml:space="preserve"> anything to enable him</w:t>
      </w:r>
      <w:r>
        <w:rPr>
          <w:rFonts w:ascii="Arial" w:cs="Arial" w:eastAsia="Arial" w:hAnsi="Arial"/>
          <w:sz w:val="16"/>
          <w:szCs w:val="16"/>
          <w:u w:val="single" w:color="auto"/>
          <w:color w:val="auto"/>
          <w:strike w:val="1"/>
        </w:rPr>
        <w:t>them</w:t>
      </w:r>
      <w:r>
        <w:rPr>
          <w:rFonts w:ascii="Arial" w:cs="Arial" w:eastAsia="Arial" w:hAnsi="Arial"/>
          <w:sz w:val="16"/>
          <w:szCs w:val="16"/>
          <w:color w:val="auto"/>
          <w:strike w:val="1"/>
        </w:rPr>
        <w:t xml:space="preserve"> to avoid incurring </w:t>
      </w:r>
      <w:r>
        <w:rPr>
          <w:rFonts w:ascii="Arial" w:cs="Arial" w:eastAsia="Arial" w:hAnsi="Arial"/>
          <w:sz w:val="16"/>
          <w:szCs w:val="16"/>
          <w:u w:val="single" w:color="auto"/>
          <w:color w:val="auto"/>
          <w:strike w:val="1"/>
        </w:rPr>
        <w:t>any</w:t>
      </w:r>
      <w:r>
        <w:rPr>
          <w:rFonts w:ascii="Arial" w:cs="Arial" w:eastAsia="Arial" w:hAnsi="Arial"/>
          <w:sz w:val="16"/>
          <w:szCs w:val="16"/>
          <w:color w:val="auto"/>
          <w:strike w:val="1"/>
        </w:rPr>
        <w:t xml:space="preserve"> such expenditure where all other directors have been given or are to be given substantially the same arrangements;</w:t>
      </w:r>
    </w:p>
    <w:p>
      <w:pPr>
        <w:spacing w:after="0" w:line="86" w:lineRule="exact"/>
        <w:rPr>
          <w:rFonts w:ascii="Arial" w:cs="Arial" w:eastAsia="Arial" w:hAnsi="Arial"/>
          <w:sz w:val="16"/>
          <w:szCs w:val="16"/>
          <w:color w:val="auto"/>
        </w:rPr>
      </w:pPr>
    </w:p>
    <w:p>
      <w:pPr>
        <w:ind w:left="1620" w:right="820" w:hanging="424"/>
        <w:spacing w:after="0" w:line="251" w:lineRule="auto"/>
        <w:tabs>
          <w:tab w:leader="none" w:pos="1620" w:val="left"/>
        </w:tabs>
        <w:numPr>
          <w:ilvl w:val="0"/>
          <w:numId w:val="183"/>
        </w:numPr>
        <w:rPr>
          <w:rFonts w:ascii="Arial" w:cs="Arial" w:eastAsia="Arial" w:hAnsi="Arial"/>
          <w:sz w:val="16"/>
          <w:szCs w:val="16"/>
          <w:color w:val="auto"/>
        </w:rPr>
      </w:pPr>
      <w:r>
        <w:rPr>
          <w:rFonts w:ascii="Arial" w:cs="Arial" w:eastAsia="Arial" w:hAnsi="Arial"/>
          <w:sz w:val="16"/>
          <w:szCs w:val="16"/>
          <w:color w:val="auto"/>
        </w:rPr>
        <w:t xml:space="preserve">a contract, arrangement, transaction or proposal concerning an offer of shares, debentures or other securities of the Company or any of its subsidiary undertakings for subscription, purchase or exchange, in which offer </w:t>
      </w:r>
      <w:r>
        <w:rPr>
          <w:rFonts w:ascii="Arial" w:cs="Arial" w:eastAsia="Arial" w:hAnsi="Arial"/>
          <w:sz w:val="16"/>
          <w:szCs w:val="16"/>
          <w:color w:val="auto"/>
          <w:strike w:val="1"/>
        </w:rPr>
        <w:t>he is</w:t>
      </w:r>
      <w:r>
        <w:rPr>
          <w:rFonts w:ascii="Arial" w:cs="Arial" w:eastAsia="Arial" w:hAnsi="Arial"/>
          <w:sz w:val="16"/>
          <w:szCs w:val="16"/>
          <w:u w:val="single" w:color="auto"/>
          <w:color w:val="auto"/>
        </w:rPr>
        <w:t>they are</w:t>
      </w:r>
      <w:r>
        <w:rPr>
          <w:rFonts w:ascii="Arial" w:cs="Arial" w:eastAsia="Arial" w:hAnsi="Arial"/>
          <w:sz w:val="16"/>
          <w:szCs w:val="16"/>
          <w:color w:val="auto"/>
        </w:rPr>
        <w:t xml:space="preserve"> or may be entitled to participate as holder of securities or in the underwriting or sub-underwriting of which </w:t>
      </w:r>
      <w:r>
        <w:rPr>
          <w:rFonts w:ascii="Arial" w:cs="Arial" w:eastAsia="Arial" w:hAnsi="Arial"/>
          <w:sz w:val="16"/>
          <w:szCs w:val="16"/>
          <w:color w:val="auto"/>
          <w:strike w:val="1"/>
        </w:rPr>
        <w:t>he is</w:t>
      </w:r>
      <w:r>
        <w:rPr>
          <w:rFonts w:ascii="Arial" w:cs="Arial" w:eastAsia="Arial" w:hAnsi="Arial"/>
          <w:sz w:val="16"/>
          <w:szCs w:val="16"/>
          <w:u w:val="single" w:color="auto"/>
          <w:color w:val="auto"/>
        </w:rPr>
        <w:t>they are</w:t>
      </w:r>
      <w:r>
        <w:rPr>
          <w:rFonts w:ascii="Arial" w:cs="Arial" w:eastAsia="Arial" w:hAnsi="Arial"/>
          <w:sz w:val="16"/>
          <w:szCs w:val="16"/>
          <w:color w:val="auto"/>
        </w:rPr>
        <w:t xml:space="preserve"> to participate;</w:t>
      </w:r>
    </w:p>
    <w:p>
      <w:pPr>
        <w:spacing w:after="0" w:line="67" w:lineRule="exact"/>
        <w:rPr>
          <w:rFonts w:ascii="Arial" w:cs="Arial" w:eastAsia="Arial" w:hAnsi="Arial"/>
          <w:sz w:val="16"/>
          <w:szCs w:val="16"/>
          <w:color w:val="auto"/>
        </w:rPr>
      </w:pPr>
    </w:p>
    <w:p>
      <w:pPr>
        <w:ind w:left="1620" w:right="900" w:hanging="424"/>
        <w:spacing w:after="0" w:line="248" w:lineRule="auto"/>
        <w:tabs>
          <w:tab w:leader="none" w:pos="1620" w:val="left"/>
        </w:tabs>
        <w:numPr>
          <w:ilvl w:val="0"/>
          <w:numId w:val="183"/>
        </w:numPr>
        <w:rPr>
          <w:rFonts w:ascii="Arial" w:cs="Arial" w:eastAsia="Arial" w:hAnsi="Arial"/>
          <w:sz w:val="16"/>
          <w:szCs w:val="16"/>
          <w:color w:val="auto"/>
        </w:rPr>
      </w:pPr>
      <w:r>
        <w:rPr>
          <w:rFonts w:ascii="Arial" w:cs="Arial" w:eastAsia="Arial" w:hAnsi="Arial"/>
          <w:sz w:val="16"/>
          <w:szCs w:val="16"/>
          <w:color w:val="auto"/>
        </w:rPr>
        <w:t xml:space="preserve">a contract, arrangement, transaction or proposal concerning any other undertaking in which </w:t>
      </w:r>
      <w:r>
        <w:rPr>
          <w:rFonts w:ascii="Arial" w:cs="Arial" w:eastAsia="Arial" w:hAnsi="Arial"/>
          <w:sz w:val="16"/>
          <w:szCs w:val="16"/>
          <w:color w:val="auto"/>
          <w:strike w:val="1"/>
        </w:rPr>
        <w:t>he</w:t>
      </w:r>
      <w:r>
        <w:rPr>
          <w:rFonts w:ascii="Arial" w:cs="Arial" w:eastAsia="Arial" w:hAnsi="Arial"/>
          <w:sz w:val="16"/>
          <w:szCs w:val="16"/>
          <w:u w:val="single" w:color="auto"/>
          <w:color w:val="auto"/>
        </w:rPr>
        <w:t>they</w:t>
      </w:r>
      <w:r>
        <w:rPr>
          <w:rFonts w:ascii="Arial" w:cs="Arial" w:eastAsia="Arial" w:hAnsi="Arial"/>
          <w:sz w:val="16"/>
          <w:szCs w:val="16"/>
          <w:color w:val="auto"/>
        </w:rPr>
        <w:t xml:space="preserve"> or any person connected with </w:t>
      </w:r>
      <w:r>
        <w:rPr>
          <w:rFonts w:ascii="Arial" w:cs="Arial" w:eastAsia="Arial" w:hAnsi="Arial"/>
          <w:sz w:val="16"/>
          <w:szCs w:val="16"/>
          <w:color w:val="auto"/>
          <w:strike w:val="1"/>
        </w:rPr>
        <w:t>him</w:t>
      </w:r>
      <w:r>
        <w:rPr>
          <w:rFonts w:ascii="Arial" w:cs="Arial" w:eastAsia="Arial" w:hAnsi="Arial"/>
          <w:sz w:val="16"/>
          <w:szCs w:val="16"/>
          <w:u w:val="single" w:color="auto"/>
          <w:color w:val="auto"/>
        </w:rPr>
        <w:t>them</w:t>
      </w:r>
      <w:r>
        <w:rPr>
          <w:rFonts w:ascii="Arial" w:cs="Arial" w:eastAsia="Arial" w:hAnsi="Arial"/>
          <w:sz w:val="16"/>
          <w:szCs w:val="16"/>
          <w:color w:val="auto"/>
        </w:rPr>
        <w:t xml:space="preserve"> is interested, directly or indirectly, and whether as an officer, shareholder, member, partner, creditor or otherwise if </w:t>
      </w:r>
      <w:r>
        <w:rPr>
          <w:rFonts w:ascii="Arial" w:cs="Arial" w:eastAsia="Arial" w:hAnsi="Arial"/>
          <w:sz w:val="16"/>
          <w:szCs w:val="16"/>
          <w:color w:val="auto"/>
          <w:strike w:val="1"/>
        </w:rPr>
        <w:t>he</w:t>
      </w:r>
      <w:r>
        <w:rPr>
          <w:rFonts w:ascii="Arial" w:cs="Arial" w:eastAsia="Arial" w:hAnsi="Arial"/>
          <w:sz w:val="16"/>
          <w:szCs w:val="16"/>
          <w:u w:val="single" w:color="auto"/>
          <w:color w:val="auto"/>
        </w:rPr>
        <w:t>they</w:t>
      </w:r>
      <w:r>
        <w:rPr>
          <w:rFonts w:ascii="Arial" w:cs="Arial" w:eastAsia="Arial" w:hAnsi="Arial"/>
          <w:sz w:val="16"/>
          <w:szCs w:val="16"/>
          <w:color w:val="auto"/>
        </w:rPr>
        <w:t xml:space="preserve"> and any persons connected with </w:t>
      </w:r>
      <w:r>
        <w:rPr>
          <w:rFonts w:ascii="Arial" w:cs="Arial" w:eastAsia="Arial" w:hAnsi="Arial"/>
          <w:sz w:val="16"/>
          <w:szCs w:val="16"/>
          <w:color w:val="auto"/>
          <w:strike w:val="1"/>
        </w:rPr>
        <w:t>him</w:t>
      </w:r>
      <w:r>
        <w:rPr>
          <w:rFonts w:ascii="Arial" w:cs="Arial" w:eastAsia="Arial" w:hAnsi="Arial"/>
          <w:sz w:val="16"/>
          <w:szCs w:val="16"/>
          <w:u w:val="single" w:color="auto"/>
          <w:color w:val="auto"/>
        </w:rPr>
        <w:t>them</w:t>
      </w:r>
      <w:r>
        <w:rPr>
          <w:rFonts w:ascii="Arial" w:cs="Arial" w:eastAsia="Arial" w:hAnsi="Arial"/>
          <w:sz w:val="16"/>
          <w:szCs w:val="16"/>
          <w:color w:val="auto"/>
        </w:rPr>
        <w:t xml:space="preserve"> do not to </w:t>
      </w:r>
      <w:r>
        <w:rPr>
          <w:rFonts w:ascii="Arial" w:cs="Arial" w:eastAsia="Arial" w:hAnsi="Arial"/>
          <w:sz w:val="16"/>
          <w:szCs w:val="16"/>
          <w:color w:val="auto"/>
          <w:strike w:val="1"/>
        </w:rPr>
        <w:t>his</w:t>
      </w:r>
      <w:r>
        <w:rPr>
          <w:rFonts w:ascii="Arial" w:cs="Arial" w:eastAsia="Arial" w:hAnsi="Arial"/>
          <w:sz w:val="16"/>
          <w:szCs w:val="16"/>
          <w:u w:val="single" w:color="auto"/>
          <w:color w:val="auto"/>
        </w:rPr>
        <w:t>their</w:t>
      </w:r>
      <w:r>
        <w:rPr>
          <w:rFonts w:ascii="Arial" w:cs="Arial" w:eastAsia="Arial" w:hAnsi="Arial"/>
          <w:sz w:val="16"/>
          <w:szCs w:val="16"/>
          <w:color w:val="auto"/>
        </w:rPr>
        <w:t xml:space="preserve"> knowledge hold an interest (as that term is used in sections 820 to 825 of the Companies Act) representing one per cent. or more of either any class of the equity share capital of such undertaking (or any other undertaking through which </w:t>
      </w:r>
      <w:r>
        <w:rPr>
          <w:rFonts w:ascii="Arial" w:cs="Arial" w:eastAsia="Arial" w:hAnsi="Arial"/>
          <w:sz w:val="16"/>
          <w:szCs w:val="16"/>
          <w:color w:val="auto"/>
          <w:strike w:val="1"/>
        </w:rPr>
        <w:t>his</w:t>
      </w:r>
      <w:r>
        <w:rPr>
          <w:rFonts w:ascii="Arial" w:cs="Arial" w:eastAsia="Arial" w:hAnsi="Arial"/>
          <w:sz w:val="16"/>
          <w:szCs w:val="16"/>
          <w:u w:val="single" w:color="auto"/>
          <w:color w:val="auto"/>
        </w:rPr>
        <w:t>their</w:t>
      </w:r>
      <w:r>
        <w:rPr>
          <w:rFonts w:ascii="Arial" w:cs="Arial" w:eastAsia="Arial" w:hAnsi="Arial"/>
          <w:sz w:val="16"/>
          <w:szCs w:val="16"/>
          <w:color w:val="auto"/>
        </w:rPr>
        <w:t xml:space="preserve"> interest is derived) or of the voting rights available to shareholders, members, partners or equivalent of the relevant undertaking (or any interest being deemed for the purpose of this Article 33.9 to be likely to give rise to a conflict with the interests of the Company in all circumstances);</w:t>
      </w:r>
    </w:p>
    <w:p>
      <w:pPr>
        <w:spacing w:after="0" w:line="85" w:lineRule="exact"/>
        <w:rPr>
          <w:rFonts w:ascii="Arial" w:cs="Arial" w:eastAsia="Arial" w:hAnsi="Arial"/>
          <w:sz w:val="16"/>
          <w:szCs w:val="16"/>
          <w:color w:val="auto"/>
        </w:rPr>
      </w:pPr>
    </w:p>
    <w:p>
      <w:pPr>
        <w:ind w:left="1620" w:right="840" w:hanging="424"/>
        <w:spacing w:after="0" w:line="249" w:lineRule="auto"/>
        <w:tabs>
          <w:tab w:leader="none" w:pos="1620" w:val="left"/>
        </w:tabs>
        <w:numPr>
          <w:ilvl w:val="0"/>
          <w:numId w:val="183"/>
        </w:numPr>
        <w:rPr>
          <w:rFonts w:ascii="Arial" w:cs="Arial" w:eastAsia="Arial" w:hAnsi="Arial"/>
          <w:sz w:val="16"/>
          <w:szCs w:val="16"/>
          <w:color w:val="auto"/>
        </w:rPr>
      </w:pPr>
      <w:r>
        <w:rPr>
          <w:rFonts w:ascii="Arial" w:cs="Arial" w:eastAsia="Arial" w:hAnsi="Arial"/>
          <w:sz w:val="16"/>
          <w:szCs w:val="16"/>
          <w:color w:val="auto"/>
        </w:rPr>
        <w:t xml:space="preserve">a contract, arrangement, transaction or proposal for the benefit of employees and </w:t>
      </w:r>
      <w:r>
        <w:rPr>
          <w:rFonts w:ascii="Arial" w:cs="Arial" w:eastAsia="Arial" w:hAnsi="Arial"/>
          <w:sz w:val="16"/>
          <w:szCs w:val="16"/>
          <w:color w:val="auto"/>
          <w:strike w:val="1"/>
        </w:rPr>
        <w:t>directors</w:t>
      </w:r>
      <w:r>
        <w:rPr>
          <w:rFonts w:ascii="Arial" w:cs="Arial" w:eastAsia="Arial" w:hAnsi="Arial"/>
          <w:sz w:val="16"/>
          <w:szCs w:val="16"/>
          <w:u w:val="single" w:color="auto"/>
          <w:color w:val="auto"/>
        </w:rPr>
        <w:t>Directors</w:t>
      </w:r>
      <w:r>
        <w:rPr>
          <w:rFonts w:ascii="Arial" w:cs="Arial" w:eastAsia="Arial" w:hAnsi="Arial"/>
          <w:sz w:val="16"/>
          <w:szCs w:val="16"/>
          <w:color w:val="auto"/>
        </w:rPr>
        <w:t xml:space="preserve"> and/or former employees and </w:t>
      </w:r>
      <w:r>
        <w:rPr>
          <w:rFonts w:ascii="Arial" w:cs="Arial" w:eastAsia="Arial" w:hAnsi="Arial"/>
          <w:sz w:val="16"/>
          <w:szCs w:val="16"/>
          <w:color w:val="auto"/>
          <w:strike w:val="1"/>
        </w:rPr>
        <w:t>directors</w:t>
      </w:r>
      <w:r>
        <w:rPr>
          <w:rFonts w:ascii="Arial" w:cs="Arial" w:eastAsia="Arial" w:hAnsi="Arial"/>
          <w:sz w:val="16"/>
          <w:szCs w:val="16"/>
          <w:u w:val="single" w:color="auto"/>
          <w:color w:val="auto"/>
        </w:rPr>
        <w:t>Directors</w:t>
      </w:r>
      <w:r>
        <w:rPr>
          <w:rFonts w:ascii="Arial" w:cs="Arial" w:eastAsia="Arial" w:hAnsi="Arial"/>
          <w:sz w:val="16"/>
          <w:szCs w:val="16"/>
          <w:color w:val="auto"/>
        </w:rPr>
        <w:t xml:space="preserve"> of the Company or any of its subsidiary undertakings and/or members of their families (including a spouse or civil partner or a former spouse or former civil partner) or any person who is or was dependent on such persons, including but without being limited to a retirement benefits scheme and an employees’ share scheme, which does not accord to any </w:t>
      </w:r>
      <w:r>
        <w:rPr>
          <w:rFonts w:ascii="Arial" w:cs="Arial" w:eastAsia="Arial" w:hAnsi="Arial"/>
          <w:sz w:val="16"/>
          <w:szCs w:val="16"/>
          <w:color w:val="auto"/>
          <w:strike w:val="1"/>
        </w:rPr>
        <w:t>director</w:t>
      </w:r>
      <w:r>
        <w:rPr>
          <w:rFonts w:ascii="Arial" w:cs="Arial" w:eastAsia="Arial" w:hAnsi="Arial"/>
          <w:sz w:val="16"/>
          <w:szCs w:val="16"/>
          <w:u w:val="single" w:color="auto"/>
          <w:color w:val="auto"/>
        </w:rPr>
        <w:t>Director</w:t>
      </w:r>
      <w:r>
        <w:rPr>
          <w:rFonts w:ascii="Arial" w:cs="Arial" w:eastAsia="Arial" w:hAnsi="Arial"/>
          <w:sz w:val="16"/>
          <w:szCs w:val="16"/>
          <w:color w:val="auto"/>
        </w:rPr>
        <w:t xml:space="preserve"> any privilege or advantage not generally accorded to the employees and/or former employees to whom such arrangement relates; and</w:t>
      </w:r>
    </w:p>
    <w:p>
      <w:pPr>
        <w:spacing w:after="0" w:line="83" w:lineRule="exact"/>
        <w:rPr>
          <w:rFonts w:ascii="Arial" w:cs="Arial" w:eastAsia="Arial" w:hAnsi="Arial"/>
          <w:sz w:val="16"/>
          <w:szCs w:val="16"/>
          <w:color w:val="auto"/>
        </w:rPr>
      </w:pPr>
    </w:p>
    <w:p>
      <w:pPr>
        <w:ind w:left="1620" w:right="900" w:hanging="424"/>
        <w:spacing w:after="0" w:line="260" w:lineRule="auto"/>
        <w:tabs>
          <w:tab w:leader="none" w:pos="1620" w:val="left"/>
        </w:tabs>
        <w:numPr>
          <w:ilvl w:val="0"/>
          <w:numId w:val="183"/>
        </w:numPr>
        <w:rPr>
          <w:rFonts w:ascii="Arial" w:cs="Arial" w:eastAsia="Arial" w:hAnsi="Arial"/>
          <w:sz w:val="16"/>
          <w:szCs w:val="16"/>
          <w:color w:val="auto"/>
        </w:rPr>
      </w:pPr>
      <w:r>
        <w:rPr>
          <w:rFonts w:ascii="Arial" w:cs="Arial" w:eastAsia="Arial" w:hAnsi="Arial"/>
          <w:sz w:val="16"/>
          <w:szCs w:val="16"/>
          <w:color w:val="auto"/>
        </w:rPr>
        <w:t>a contract, arrangement, transaction or proposal concerning any insurance against any liability which the Company is empowered to purchase or maintain for, or for the benefit of, any Directors or for persons who include Directors.</w:t>
      </w:r>
    </w:p>
    <w:p>
      <w:pPr>
        <w:spacing w:after="0" w:line="60" w:lineRule="exact"/>
        <w:rPr>
          <w:sz w:val="20"/>
          <w:szCs w:val="20"/>
          <w:color w:val="auto"/>
        </w:rPr>
      </w:pPr>
    </w:p>
    <w:p>
      <w:pPr>
        <w:ind w:left="1200" w:right="840" w:hanging="431"/>
        <w:spacing w:after="0" w:line="250" w:lineRule="auto"/>
        <w:rPr>
          <w:sz w:val="20"/>
          <w:szCs w:val="20"/>
          <w:color w:val="auto"/>
        </w:rPr>
      </w:pPr>
      <w:r>
        <w:rPr>
          <w:rFonts w:ascii="Arial" w:cs="Arial" w:eastAsia="Arial" w:hAnsi="Arial"/>
          <w:sz w:val="16"/>
          <w:szCs w:val="16"/>
          <w:color w:val="auto"/>
        </w:rPr>
        <w:t xml:space="preserve">33.10 The Company may by ordinary resolution suspend or relax to any extent, either generally or in respect of any particular matter, any provision of these Articles prohibiting a Director from voting at a meeting of the </w:t>
      </w:r>
      <w:r>
        <w:rPr>
          <w:rFonts w:ascii="Arial" w:cs="Arial" w:eastAsia="Arial" w:hAnsi="Arial"/>
          <w:sz w:val="16"/>
          <w:szCs w:val="16"/>
          <w:color w:val="auto"/>
          <w:strike w:val="1"/>
        </w:rPr>
        <w:t>Directors</w:t>
      </w:r>
      <w:r>
        <w:rPr>
          <w:rFonts w:ascii="Arial" w:cs="Arial" w:eastAsia="Arial" w:hAnsi="Arial"/>
          <w:sz w:val="16"/>
          <w:szCs w:val="16"/>
          <w:u w:val="single" w:color="auto"/>
          <w:color w:val="auto"/>
        </w:rPr>
        <w:t>Board</w:t>
      </w:r>
      <w:r>
        <w:rPr>
          <w:rFonts w:ascii="Arial" w:cs="Arial" w:eastAsia="Arial" w:hAnsi="Arial"/>
          <w:sz w:val="16"/>
          <w:szCs w:val="16"/>
          <w:color w:val="auto"/>
        </w:rPr>
        <w:t xml:space="preserve"> or of a committee of the </w:t>
      </w:r>
      <w:r>
        <w:rPr>
          <w:rFonts w:ascii="Arial" w:cs="Arial" w:eastAsia="Arial" w:hAnsi="Arial"/>
          <w:sz w:val="16"/>
          <w:szCs w:val="16"/>
          <w:color w:val="auto"/>
          <w:strike w:val="1"/>
        </w:rPr>
        <w:t>Directors</w:t>
      </w:r>
      <w:r>
        <w:rPr>
          <w:rFonts w:ascii="Arial" w:cs="Arial" w:eastAsia="Arial" w:hAnsi="Arial"/>
          <w:sz w:val="16"/>
          <w:szCs w:val="16"/>
          <w:u w:val="single" w:color="auto"/>
          <w:color w:val="auto"/>
        </w:rPr>
        <w:t>Board</w:t>
      </w:r>
      <w:r>
        <w:rPr>
          <w:rFonts w:ascii="Arial" w:cs="Arial" w:eastAsia="Arial" w:hAnsi="Arial"/>
          <w:sz w:val="16"/>
          <w:szCs w:val="16"/>
          <w:color w:val="auto"/>
        </w:rPr>
        <w:t xml:space="preserve"> or ratify any transaction not duly authorised by reason of contravention of any such provision</w:t>
      </w:r>
      <w:r>
        <w:rPr>
          <w:rFonts w:ascii="Arial" w:cs="Arial" w:eastAsia="Arial" w:hAnsi="Arial"/>
          <w:sz w:val="16"/>
          <w:szCs w:val="16"/>
          <w:u w:val="single" w:color="auto"/>
          <w:color w:val="auto"/>
        </w:rPr>
        <w:t>.</w:t>
      </w:r>
      <w:r>
        <w:rPr>
          <w:rFonts w:ascii="Arial" w:cs="Arial" w:eastAsia="Arial" w:hAnsi="Arial"/>
          <w:sz w:val="16"/>
          <w:szCs w:val="16"/>
          <w:color w:val="auto"/>
        </w:rPr>
        <w:t xml:space="preserve"> The Board may suspend or relax to any extent, in respect of any particular matter, any provision of these Articles prohibiting a Director from voting at a meeting of the </w:t>
      </w:r>
      <w:r>
        <w:rPr>
          <w:rFonts w:ascii="Arial" w:cs="Arial" w:eastAsia="Arial" w:hAnsi="Arial"/>
          <w:sz w:val="16"/>
          <w:szCs w:val="16"/>
          <w:color w:val="auto"/>
          <w:strike w:val="1"/>
        </w:rPr>
        <w:t>Directors</w:t>
      </w:r>
      <w:r>
        <w:rPr>
          <w:rFonts w:ascii="Arial" w:cs="Arial" w:eastAsia="Arial" w:hAnsi="Arial"/>
          <w:sz w:val="16"/>
          <w:szCs w:val="16"/>
          <w:u w:val="single" w:color="auto"/>
          <w:color w:val="auto"/>
        </w:rPr>
        <w:t>Board</w:t>
      </w:r>
      <w:r>
        <w:rPr>
          <w:rFonts w:ascii="Arial" w:cs="Arial" w:eastAsia="Arial" w:hAnsi="Arial"/>
          <w:sz w:val="16"/>
          <w:szCs w:val="16"/>
          <w:color w:val="auto"/>
        </w:rPr>
        <w:t xml:space="preserve"> or of a committee of the </w:t>
      </w:r>
      <w:r>
        <w:rPr>
          <w:rFonts w:ascii="Arial" w:cs="Arial" w:eastAsia="Arial" w:hAnsi="Arial"/>
          <w:sz w:val="16"/>
          <w:szCs w:val="16"/>
          <w:color w:val="auto"/>
          <w:strike w:val="1"/>
        </w:rPr>
        <w:t>Directors</w:t>
      </w:r>
      <w:r>
        <w:rPr>
          <w:rFonts w:ascii="Arial" w:cs="Arial" w:eastAsia="Arial" w:hAnsi="Arial"/>
          <w:sz w:val="16"/>
          <w:szCs w:val="16"/>
          <w:u w:val="single" w:color="auto"/>
          <w:color w:val="auto"/>
        </w:rPr>
        <w:t>Board</w:t>
      </w:r>
      <w:r>
        <w:rPr>
          <w:rFonts w:ascii="Arial" w:cs="Arial" w:eastAsia="Arial" w:hAnsi="Arial"/>
          <w:sz w:val="16"/>
          <w:szCs w:val="16"/>
          <w:color w:val="auto"/>
        </w:rPr>
        <w:t>.</w:t>
      </w:r>
    </w:p>
    <w:p>
      <w:pPr>
        <w:spacing w:after="0" w:line="81" w:lineRule="exact"/>
        <w:rPr>
          <w:sz w:val="20"/>
          <w:szCs w:val="20"/>
          <w:color w:val="auto"/>
        </w:rPr>
      </w:pPr>
    </w:p>
    <w:p>
      <w:pPr>
        <w:ind w:left="1200" w:right="820" w:hanging="431"/>
        <w:spacing w:after="0" w:line="250" w:lineRule="auto"/>
        <w:rPr>
          <w:sz w:val="20"/>
          <w:szCs w:val="20"/>
          <w:color w:val="auto"/>
        </w:rPr>
      </w:pPr>
      <w:r>
        <w:rPr>
          <w:rFonts w:ascii="Arial" w:cs="Arial" w:eastAsia="Arial" w:hAnsi="Arial"/>
          <w:sz w:val="16"/>
          <w:szCs w:val="16"/>
          <w:color w:val="auto"/>
        </w:rPr>
        <w:t xml:space="preserve">33.11 Where proposals are under consideration concerning the appointment (including without limitation fixing or varying the terms of appointment) of two or more Directors to offices or employments with the Company or any undertaking in which the Company is interested, the proposals may be divided and considered in relation to each Director separately In such cases each of the Directors concerned shall be entitled to vote in respect of each resolution except that concerning </w:t>
      </w:r>
      <w:r>
        <w:rPr>
          <w:rFonts w:ascii="Arial" w:cs="Arial" w:eastAsia="Arial" w:hAnsi="Arial"/>
          <w:sz w:val="16"/>
          <w:szCs w:val="16"/>
          <w:color w:val="auto"/>
          <w:strike w:val="1"/>
        </w:rPr>
        <w:t>his</w:t>
      </w:r>
      <w:r>
        <w:rPr>
          <w:rFonts w:ascii="Arial" w:cs="Arial" w:eastAsia="Arial" w:hAnsi="Arial"/>
          <w:sz w:val="16"/>
          <w:szCs w:val="16"/>
          <w:u w:val="single" w:color="auto"/>
          <w:color w:val="auto"/>
        </w:rPr>
        <w:t>their</w:t>
      </w:r>
      <w:r>
        <w:rPr>
          <w:rFonts w:ascii="Arial" w:cs="Arial" w:eastAsia="Arial" w:hAnsi="Arial"/>
          <w:sz w:val="16"/>
          <w:szCs w:val="16"/>
          <w:color w:val="auto"/>
        </w:rPr>
        <w:t xml:space="preserve"> own appointment.</w:t>
      </w:r>
    </w:p>
    <w:p>
      <w:pPr>
        <w:spacing w:after="0" w:line="287" w:lineRule="exact"/>
        <w:rPr>
          <w:sz w:val="20"/>
          <w:szCs w:val="20"/>
          <w:color w:val="auto"/>
        </w:rPr>
      </w:pPr>
    </w:p>
    <w:tbl>
      <w:tblPr>
        <w:tblLayout w:type="fixed"/>
        <w:tblInd w:w="0" w:type="dxa"/>
        <w:tblCellMar>
          <w:top w:w="0" w:type="dxa"/>
          <w:left w:w="0" w:type="dxa"/>
          <w:bottom w:w="0" w:type="dxa"/>
          <w:right w:w="0" w:type="dxa"/>
        </w:tblCellMar>
      </w:tblPr>
      <w:tr>
        <w:trPr>
          <w:trHeight w:val="130"/>
        </w:trPr>
        <w:tc>
          <w:tcPr>
            <w:tcW w:w="800" w:type="dxa"/>
            <w:vAlign w:val="bottom"/>
            <w:vMerge w:val="restart"/>
          </w:tcPr>
          <w:p>
            <w:pPr>
              <w:spacing w:after="0"/>
              <w:rPr>
                <w:sz w:val="11"/>
                <w:szCs w:val="11"/>
                <w:color w:val="auto"/>
              </w:rPr>
            </w:pPr>
          </w:p>
        </w:tc>
        <w:tc>
          <w:tcPr>
            <w:tcW w:w="3060" w:type="dxa"/>
            <w:vAlign w:val="bottom"/>
            <w:tcBorders>
              <w:bottom w:val="single" w:sz="8" w:color="auto"/>
            </w:tcBorders>
          </w:tcPr>
          <w:p>
            <w:pPr>
              <w:spacing w:after="0"/>
              <w:rPr>
                <w:sz w:val="11"/>
                <w:szCs w:val="11"/>
                <w:color w:val="auto"/>
              </w:rPr>
            </w:pPr>
          </w:p>
        </w:tc>
        <w:tc>
          <w:tcPr>
            <w:tcW w:w="2740" w:type="dxa"/>
            <w:vAlign w:val="bottom"/>
            <w:vMerge w:val="restart"/>
          </w:tcPr>
          <w:p>
            <w:pPr>
              <w:ind w:left="380"/>
              <w:spacing w:after="0"/>
              <w:rPr>
                <w:sz w:val="20"/>
                <w:szCs w:val="20"/>
                <w:color w:val="auto"/>
              </w:rPr>
            </w:pPr>
            <w:r>
              <w:rPr>
                <w:rFonts w:ascii="Arial" w:cs="Arial" w:eastAsia="Arial" w:hAnsi="Arial"/>
                <w:sz w:val="13"/>
                <w:szCs w:val="13"/>
                <w:b w:val="1"/>
                <w:bCs w:val="1"/>
                <w:color w:val="4800E6"/>
              </w:rPr>
              <w:t xml:space="preserve">LIVANOVA </w:t>
            </w:r>
            <w:r>
              <w:rPr>
                <w:rFonts w:ascii="Arial" w:cs="Arial" w:eastAsia="Arial" w:hAnsi="Arial"/>
                <w:sz w:val="13"/>
                <w:szCs w:val="13"/>
                <w:color w:val="000000"/>
              </w:rPr>
              <w:t>|</w:t>
            </w:r>
            <w:r>
              <w:rPr>
                <w:rFonts w:ascii="Arial" w:cs="Arial" w:eastAsia="Arial" w:hAnsi="Arial"/>
                <w:sz w:val="13"/>
                <w:szCs w:val="13"/>
                <w:b w:val="1"/>
                <w:bCs w:val="1"/>
                <w:color w:val="4800E6"/>
              </w:rPr>
              <w:t xml:space="preserve"> </w:t>
            </w:r>
            <w:r>
              <w:rPr>
                <w:rFonts w:ascii="Arial" w:cs="Arial" w:eastAsia="Arial" w:hAnsi="Arial"/>
                <w:sz w:val="13"/>
                <w:szCs w:val="13"/>
                <w:color w:val="4800E6"/>
              </w:rPr>
              <w:t>2020</w:t>
            </w:r>
            <w:r>
              <w:rPr>
                <w:rFonts w:ascii="Arial" w:cs="Arial" w:eastAsia="Arial" w:hAnsi="Arial"/>
                <w:sz w:val="13"/>
                <w:szCs w:val="13"/>
                <w:b w:val="1"/>
                <w:bCs w:val="1"/>
                <w:color w:val="4800E6"/>
              </w:rPr>
              <w:t xml:space="preserve"> </w:t>
            </w:r>
            <w:r>
              <w:rPr>
                <w:rFonts w:ascii="Arial" w:cs="Arial" w:eastAsia="Arial" w:hAnsi="Arial"/>
                <w:sz w:val="13"/>
                <w:szCs w:val="13"/>
                <w:color w:val="000000"/>
              </w:rPr>
              <w:t>Proxy Statement</w:t>
            </w:r>
          </w:p>
        </w:tc>
        <w:tc>
          <w:tcPr>
            <w:tcW w:w="3080" w:type="dxa"/>
            <w:vAlign w:val="bottom"/>
            <w:tcBorders>
              <w:bottom w:val="single" w:sz="8" w:color="auto"/>
            </w:tcBorders>
          </w:tcPr>
          <w:p>
            <w:pPr>
              <w:spacing w:after="0"/>
              <w:rPr>
                <w:sz w:val="11"/>
                <w:szCs w:val="11"/>
                <w:color w:val="auto"/>
              </w:rPr>
            </w:pPr>
          </w:p>
        </w:tc>
        <w:tc>
          <w:tcPr>
            <w:tcW w:w="1040" w:type="dxa"/>
            <w:vAlign w:val="bottom"/>
            <w:vMerge w:val="restart"/>
          </w:tcPr>
          <w:p>
            <w:pPr>
              <w:ind w:left="200"/>
              <w:spacing w:after="0"/>
              <w:rPr>
                <w:sz w:val="20"/>
                <w:szCs w:val="20"/>
                <w:color w:val="auto"/>
              </w:rPr>
            </w:pPr>
            <w:r>
              <w:rPr>
                <w:rFonts w:ascii="Arial" w:cs="Arial" w:eastAsia="Arial" w:hAnsi="Arial"/>
                <w:sz w:val="14"/>
                <w:szCs w:val="14"/>
                <w:b w:val="1"/>
                <w:bCs w:val="1"/>
                <w:color w:val="auto"/>
              </w:rPr>
              <w:t>A-29</w:t>
            </w:r>
          </w:p>
        </w:tc>
        <w:tc>
          <w:tcPr>
            <w:tcW w:w="0" w:type="dxa"/>
            <w:vAlign w:val="bottom"/>
          </w:tcPr>
          <w:p>
            <w:pPr>
              <w:spacing w:after="0"/>
              <w:rPr>
                <w:sz w:val="1"/>
                <w:szCs w:val="1"/>
                <w:color w:val="auto"/>
              </w:rPr>
            </w:pPr>
          </w:p>
        </w:tc>
      </w:tr>
      <w:tr>
        <w:trPr>
          <w:trHeight w:val="49"/>
        </w:trPr>
        <w:tc>
          <w:tcPr>
            <w:tcW w:w="800" w:type="dxa"/>
            <w:vAlign w:val="bottom"/>
            <w:vMerge w:val="continue"/>
          </w:tcPr>
          <w:p>
            <w:pPr>
              <w:spacing w:after="0"/>
              <w:rPr>
                <w:sz w:val="4"/>
                <w:szCs w:val="4"/>
                <w:color w:val="auto"/>
              </w:rPr>
            </w:pPr>
          </w:p>
        </w:tc>
        <w:tc>
          <w:tcPr>
            <w:tcW w:w="3060" w:type="dxa"/>
            <w:vAlign w:val="bottom"/>
          </w:tcPr>
          <w:p>
            <w:pPr>
              <w:spacing w:after="0"/>
              <w:rPr>
                <w:sz w:val="4"/>
                <w:szCs w:val="4"/>
                <w:color w:val="auto"/>
              </w:rPr>
            </w:pPr>
          </w:p>
        </w:tc>
        <w:tc>
          <w:tcPr>
            <w:tcW w:w="2740" w:type="dxa"/>
            <w:vAlign w:val="bottom"/>
            <w:vMerge w:val="continue"/>
          </w:tcPr>
          <w:p>
            <w:pPr>
              <w:spacing w:after="0"/>
              <w:rPr>
                <w:sz w:val="4"/>
                <w:szCs w:val="4"/>
                <w:color w:val="auto"/>
              </w:rPr>
            </w:pPr>
          </w:p>
        </w:tc>
        <w:tc>
          <w:tcPr>
            <w:tcW w:w="3080" w:type="dxa"/>
            <w:vAlign w:val="bottom"/>
          </w:tcPr>
          <w:p>
            <w:pPr>
              <w:spacing w:after="0"/>
              <w:rPr>
                <w:sz w:val="4"/>
                <w:szCs w:val="4"/>
                <w:color w:val="auto"/>
              </w:rPr>
            </w:pPr>
          </w:p>
        </w:tc>
        <w:tc>
          <w:tcPr>
            <w:tcW w:w="104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40"/>
        </w:trPr>
        <w:tc>
          <w:tcPr>
            <w:tcW w:w="800" w:type="dxa"/>
            <w:vAlign w:val="bottom"/>
            <w:tcBorders>
              <w:bottom w:val="single" w:sz="8" w:color="9A9A9A"/>
            </w:tcBorders>
          </w:tcPr>
          <w:p>
            <w:pPr>
              <w:spacing w:after="0"/>
              <w:rPr>
                <w:sz w:val="12"/>
                <w:szCs w:val="12"/>
                <w:color w:val="auto"/>
              </w:rPr>
            </w:pPr>
          </w:p>
        </w:tc>
        <w:tc>
          <w:tcPr>
            <w:tcW w:w="3060" w:type="dxa"/>
            <w:vAlign w:val="bottom"/>
            <w:tcBorders>
              <w:bottom w:val="single" w:sz="8" w:color="9A9A9A"/>
            </w:tcBorders>
          </w:tcPr>
          <w:p>
            <w:pPr>
              <w:spacing w:after="0"/>
              <w:rPr>
                <w:sz w:val="12"/>
                <w:szCs w:val="12"/>
                <w:color w:val="auto"/>
              </w:rPr>
            </w:pPr>
          </w:p>
        </w:tc>
        <w:tc>
          <w:tcPr>
            <w:tcW w:w="2740" w:type="dxa"/>
            <w:vAlign w:val="bottom"/>
            <w:tcBorders>
              <w:bottom w:val="single" w:sz="8" w:color="9A9A9A"/>
            </w:tcBorders>
          </w:tcPr>
          <w:p>
            <w:pPr>
              <w:spacing w:after="0"/>
              <w:rPr>
                <w:sz w:val="12"/>
                <w:szCs w:val="12"/>
                <w:color w:val="auto"/>
              </w:rPr>
            </w:pPr>
          </w:p>
        </w:tc>
        <w:tc>
          <w:tcPr>
            <w:tcW w:w="3080" w:type="dxa"/>
            <w:vAlign w:val="bottom"/>
            <w:tcBorders>
              <w:bottom w:val="single" w:sz="8" w:color="9A9A9A"/>
            </w:tcBorders>
          </w:tcPr>
          <w:p>
            <w:pPr>
              <w:spacing w:after="0"/>
              <w:rPr>
                <w:sz w:val="12"/>
                <w:szCs w:val="12"/>
                <w:color w:val="auto"/>
              </w:rPr>
            </w:pPr>
          </w:p>
        </w:tc>
        <w:tc>
          <w:tcPr>
            <w:tcW w:w="1040" w:type="dxa"/>
            <w:vAlign w:val="bottom"/>
            <w:tcBorders>
              <w:bottom w:val="single" w:sz="8" w:color="9A9A9A"/>
            </w:tcBorders>
          </w:tcPr>
          <w:p>
            <w:pPr>
              <w:spacing w:after="0"/>
              <w:rPr>
                <w:sz w:val="12"/>
                <w:szCs w:val="12"/>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6802755</wp:posOffset>
            </wp:positionH>
            <wp:positionV relativeFrom="paragraph">
              <wp:posOffset>-8255</wp:posOffset>
            </wp:positionV>
            <wp:extent cx="8255" cy="8890"/>
            <wp:wrapNone/>
            <wp:docPr id="463" name="Picture 4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3"/>
                    <pic:cNvPicPr>
                      <a:picLocks noChangeAspect="1" noChangeArrowheads="1"/>
                    </pic:cNvPicPr>
                  </pic:nvPicPr>
                  <pic:blipFill>
                    <a:blip r:embed="rId470">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wp:posOffset>
            </wp:positionV>
            <wp:extent cx="8890" cy="17145"/>
            <wp:wrapNone/>
            <wp:docPr id="464" name="Picture 4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4"/>
                    <pic:cNvPicPr>
                      <a:picLocks noChangeAspect="1" noChangeArrowheads="1"/>
                    </pic:cNvPicPr>
                  </pic:nvPicPr>
                  <pic:blipFill>
                    <a:blip r:embed="rId471">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sectPr>
          <w:pgSz w:w="11900" w:h="16838" w:orient="portrait"/>
          <w:cols w:equalWidth="0" w:num="1">
            <w:col w:w="10720"/>
          </w:cols>
          <w:pgMar w:left="320" w:top="131" w:right="859" w:bottom="1440" w:gutter="0" w:footer="0" w:header="0"/>
        </w:sectPr>
      </w:pPr>
    </w:p>
    <w:bookmarkStart w:id="108" w:name="page109"/>
    <w:bookmarkEnd w:id="108"/>
    <w:p>
      <w:pPr>
        <w:spacing w:after="0"/>
        <w:rPr>
          <w:rFonts w:ascii="Arial" w:cs="Arial" w:eastAsia="Arial" w:hAnsi="Arial"/>
          <w:sz w:val="14"/>
          <w:szCs w:val="14"/>
          <w:color w:val="003366"/>
        </w:rPr>
      </w:pPr>
      <w:hyperlink w:anchor="page77">
        <w:r>
          <w:rPr>
            <w:rFonts w:ascii="Arial" w:cs="Arial" w:eastAsia="Arial" w:hAnsi="Arial"/>
            <w:sz w:val="14"/>
            <w:szCs w:val="14"/>
            <w:color w:val="003366"/>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485140</wp:posOffset>
            </wp:positionH>
            <wp:positionV relativeFrom="paragraph">
              <wp:posOffset>356870</wp:posOffset>
            </wp:positionV>
            <wp:extent cx="5829300" cy="8255"/>
            <wp:wrapNone/>
            <wp:docPr id="465" name="Picture 4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5"/>
                    <pic:cNvPicPr>
                      <a:picLocks noChangeAspect="1" noChangeArrowheads="1"/>
                    </pic:cNvPicPr>
                  </pic:nvPicPr>
                  <pic:blipFill>
                    <a:blip r:embed="rId472">
                      <a:extLst>
                        <a:ext uri="{28A0092B-C50C-407E-A947-70E740481C1C}"/>
                      </a:extLst>
                    </a:blip>
                    <a:srcRect/>
                    <a:stretch>
                      <a:fillRect/>
                    </a:stretch>
                  </pic:blipFill>
                  <pic:spPr bwMode="auto">
                    <a:xfrm>
                      <a:off x="0" y="0"/>
                      <a:ext cx="582930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jc w:val="both"/>
        <w:ind w:left="1200" w:right="219" w:hanging="431"/>
        <w:spacing w:after="0" w:line="251" w:lineRule="auto"/>
        <w:rPr>
          <w:sz w:val="20"/>
          <w:szCs w:val="20"/>
          <w:color w:val="auto"/>
        </w:rPr>
      </w:pPr>
      <w:r>
        <w:rPr>
          <w:rFonts w:ascii="Arial" w:cs="Arial" w:eastAsia="Arial" w:hAnsi="Arial"/>
          <w:sz w:val="16"/>
          <w:szCs w:val="16"/>
          <w:color w:val="auto"/>
        </w:rPr>
        <w:t xml:space="preserve">33.12 If a question arises at a meeting of the </w:t>
      </w:r>
      <w:r>
        <w:rPr>
          <w:rFonts w:ascii="Arial" w:cs="Arial" w:eastAsia="Arial" w:hAnsi="Arial"/>
          <w:sz w:val="16"/>
          <w:szCs w:val="16"/>
          <w:color w:val="auto"/>
          <w:strike w:val="1"/>
        </w:rPr>
        <w:t>Directors</w:t>
      </w:r>
      <w:r>
        <w:rPr>
          <w:rFonts w:ascii="Arial" w:cs="Arial" w:eastAsia="Arial" w:hAnsi="Arial"/>
          <w:sz w:val="16"/>
          <w:szCs w:val="16"/>
          <w:u w:val="single" w:color="auto"/>
          <w:color w:val="auto"/>
        </w:rPr>
        <w:t>Board</w:t>
      </w:r>
      <w:r>
        <w:rPr>
          <w:rFonts w:ascii="Arial" w:cs="Arial" w:eastAsia="Arial" w:hAnsi="Arial"/>
          <w:sz w:val="16"/>
          <w:szCs w:val="16"/>
          <w:color w:val="auto"/>
        </w:rPr>
        <w:t xml:space="preserve">, or a meeting of a committee of the </w:t>
      </w:r>
      <w:r>
        <w:rPr>
          <w:rFonts w:ascii="Arial" w:cs="Arial" w:eastAsia="Arial" w:hAnsi="Arial"/>
          <w:sz w:val="16"/>
          <w:szCs w:val="16"/>
          <w:color w:val="auto"/>
          <w:strike w:val="1"/>
        </w:rPr>
        <w:t>Directors</w:t>
      </w:r>
      <w:r>
        <w:rPr>
          <w:rFonts w:ascii="Arial" w:cs="Arial" w:eastAsia="Arial" w:hAnsi="Arial"/>
          <w:sz w:val="16"/>
          <w:szCs w:val="16"/>
          <w:u w:val="single" w:color="auto"/>
          <w:color w:val="auto"/>
        </w:rPr>
        <w:t>Board</w:t>
      </w:r>
      <w:r>
        <w:rPr>
          <w:rFonts w:ascii="Arial" w:cs="Arial" w:eastAsia="Arial" w:hAnsi="Arial"/>
          <w:sz w:val="16"/>
          <w:szCs w:val="16"/>
          <w:color w:val="auto"/>
        </w:rPr>
        <w:t>, as to the right of a Director to vote, the question may, before the conclusion of the meeting, be decided by a resolution of a majority of Directors present at the meeting (other than the Director concerned and any other Director having a like interest as such Director) and such resolution shall be final and conclusive.</w:t>
      </w:r>
    </w:p>
    <w:p>
      <w:pPr>
        <w:spacing w:after="0" w:line="61" w:lineRule="exact"/>
        <w:rPr>
          <w:sz w:val="20"/>
          <w:szCs w:val="20"/>
          <w:color w:val="auto"/>
        </w:rPr>
      </w:pPr>
    </w:p>
    <w:p>
      <w:pPr>
        <w:ind w:left="1200" w:hanging="436"/>
        <w:spacing w:after="0"/>
        <w:tabs>
          <w:tab w:leader="none" w:pos="1200" w:val="left"/>
        </w:tabs>
        <w:numPr>
          <w:ilvl w:val="0"/>
          <w:numId w:val="184"/>
        </w:numPr>
        <w:rPr>
          <w:rFonts w:ascii="Arial" w:cs="Arial" w:eastAsia="Arial" w:hAnsi="Arial"/>
          <w:sz w:val="16"/>
          <w:szCs w:val="16"/>
          <w:b w:val="1"/>
          <w:bCs w:val="1"/>
          <w:color w:val="auto"/>
        </w:rPr>
      </w:pPr>
      <w:r>
        <w:rPr>
          <w:rFonts w:ascii="Arial" w:cs="Arial" w:eastAsia="Arial" w:hAnsi="Arial"/>
          <w:sz w:val="16"/>
          <w:szCs w:val="16"/>
          <w:b w:val="1"/>
          <w:bCs w:val="1"/>
          <w:color w:val="auto"/>
        </w:rPr>
        <w:t>MINUTES</w:t>
      </w:r>
    </w:p>
    <w:p>
      <w:pPr>
        <w:spacing w:after="0" w:line="120" w:lineRule="exact"/>
        <w:rPr>
          <w:sz w:val="20"/>
          <w:szCs w:val="20"/>
          <w:color w:val="auto"/>
        </w:rPr>
      </w:pPr>
    </w:p>
    <w:p>
      <w:pPr>
        <w:ind w:left="760"/>
        <w:spacing w:after="0"/>
        <w:rPr>
          <w:sz w:val="20"/>
          <w:szCs w:val="20"/>
          <w:color w:val="auto"/>
        </w:rPr>
      </w:pPr>
      <w:r>
        <w:rPr>
          <w:rFonts w:ascii="Arial" w:cs="Arial" w:eastAsia="Arial" w:hAnsi="Arial"/>
          <w:sz w:val="16"/>
          <w:szCs w:val="16"/>
          <w:color w:val="auto"/>
        </w:rPr>
        <w:t>34.1  The Directors shall cause minutes to be made in books kept for the purpose:</w:t>
      </w:r>
    </w:p>
    <w:p>
      <w:pPr>
        <w:spacing w:after="0" w:line="86" w:lineRule="exact"/>
        <w:rPr>
          <w:sz w:val="20"/>
          <w:szCs w:val="20"/>
          <w:color w:val="auto"/>
        </w:rPr>
      </w:pPr>
    </w:p>
    <w:p>
      <w:pPr>
        <w:ind w:left="1620" w:hanging="424"/>
        <w:spacing w:after="0"/>
        <w:tabs>
          <w:tab w:leader="none" w:pos="1620" w:val="left"/>
        </w:tabs>
        <w:numPr>
          <w:ilvl w:val="0"/>
          <w:numId w:val="185"/>
        </w:numPr>
        <w:rPr>
          <w:rFonts w:ascii="Arial" w:cs="Arial" w:eastAsia="Arial" w:hAnsi="Arial"/>
          <w:sz w:val="16"/>
          <w:szCs w:val="16"/>
          <w:color w:val="auto"/>
        </w:rPr>
      </w:pPr>
      <w:r>
        <w:rPr>
          <w:rFonts w:ascii="Arial" w:cs="Arial" w:eastAsia="Arial" w:hAnsi="Arial"/>
          <w:sz w:val="16"/>
          <w:szCs w:val="16"/>
          <w:color w:val="auto"/>
        </w:rPr>
        <w:t>of all appointments of officers made by the Directors; and</w:t>
      </w:r>
    </w:p>
    <w:p>
      <w:pPr>
        <w:spacing w:after="0" w:line="99" w:lineRule="exact"/>
        <w:rPr>
          <w:rFonts w:ascii="Arial" w:cs="Arial" w:eastAsia="Arial" w:hAnsi="Arial"/>
          <w:sz w:val="16"/>
          <w:szCs w:val="16"/>
          <w:color w:val="auto"/>
        </w:rPr>
      </w:pPr>
    </w:p>
    <w:p>
      <w:pPr>
        <w:ind w:left="1620" w:right="199" w:hanging="424"/>
        <w:spacing w:after="0" w:line="293" w:lineRule="auto"/>
        <w:tabs>
          <w:tab w:leader="none" w:pos="1620" w:val="left"/>
        </w:tabs>
        <w:numPr>
          <w:ilvl w:val="0"/>
          <w:numId w:val="185"/>
        </w:numPr>
        <w:rPr>
          <w:rFonts w:ascii="Arial" w:cs="Arial" w:eastAsia="Arial" w:hAnsi="Arial"/>
          <w:sz w:val="15"/>
          <w:szCs w:val="15"/>
          <w:color w:val="auto"/>
        </w:rPr>
      </w:pPr>
      <w:r>
        <w:rPr>
          <w:rFonts w:ascii="Arial" w:cs="Arial" w:eastAsia="Arial" w:hAnsi="Arial"/>
          <w:sz w:val="15"/>
          <w:szCs w:val="15"/>
          <w:color w:val="auto"/>
        </w:rPr>
        <w:t>of all proceedings at meetings of the Company, of the holders of any class of shares in the capital of the Company, and of the Board, and of committees of the Board, including the names of the Directors present at each such meeting.</w:t>
      </w:r>
    </w:p>
    <w:p>
      <w:pPr>
        <w:spacing w:after="0" w:line="51" w:lineRule="exact"/>
        <w:rPr>
          <w:sz w:val="20"/>
          <w:szCs w:val="20"/>
          <w:color w:val="auto"/>
        </w:rPr>
      </w:pPr>
    </w:p>
    <w:p>
      <w:pPr>
        <w:jc w:val="center"/>
        <w:ind w:left="500" w:right="580"/>
        <w:spacing w:after="0" w:line="260" w:lineRule="auto"/>
        <w:rPr>
          <w:sz w:val="20"/>
          <w:szCs w:val="20"/>
          <w:color w:val="auto"/>
        </w:rPr>
      </w:pPr>
      <w:r>
        <w:rPr>
          <w:rFonts w:ascii="Arial" w:cs="Arial" w:eastAsia="Arial" w:hAnsi="Arial"/>
          <w:sz w:val="16"/>
          <w:szCs w:val="16"/>
          <w:color w:val="auto"/>
        </w:rPr>
        <w:t xml:space="preserve">34.2  Any such minutes, if purporting to be signed by the </w:t>
      </w:r>
      <w:r>
        <w:rPr>
          <w:rFonts w:ascii="Arial" w:cs="Arial" w:eastAsia="Arial" w:hAnsi="Arial"/>
          <w:sz w:val="16"/>
          <w:szCs w:val="16"/>
          <w:color w:val="auto"/>
          <w:strike w:val="1"/>
        </w:rPr>
        <w:t>chairman</w:t>
      </w:r>
      <w:r>
        <w:rPr>
          <w:rFonts w:ascii="Arial" w:cs="Arial" w:eastAsia="Arial" w:hAnsi="Arial"/>
          <w:sz w:val="16"/>
          <w:szCs w:val="16"/>
          <w:u w:val="single" w:color="auto"/>
          <w:color w:val="auto"/>
        </w:rPr>
        <w:t>chairperson</w:t>
      </w:r>
      <w:r>
        <w:rPr>
          <w:rFonts w:ascii="Arial" w:cs="Arial" w:eastAsia="Arial" w:hAnsi="Arial"/>
          <w:sz w:val="16"/>
          <w:szCs w:val="16"/>
          <w:color w:val="auto"/>
        </w:rPr>
        <w:t xml:space="preserve"> of the meeting to which they relate or of the meeting at which they are read, shall be sufficient evidence without any further proof of the facts therein stated.</w:t>
      </w:r>
    </w:p>
    <w:p>
      <w:pPr>
        <w:spacing w:after="0" w:line="40" w:lineRule="exact"/>
        <w:rPr>
          <w:sz w:val="20"/>
          <w:szCs w:val="20"/>
          <w:color w:val="auto"/>
        </w:rPr>
      </w:pPr>
    </w:p>
    <w:p>
      <w:pPr>
        <w:ind w:left="1200" w:hanging="436"/>
        <w:spacing w:after="0"/>
        <w:tabs>
          <w:tab w:leader="none" w:pos="1200" w:val="left"/>
        </w:tabs>
        <w:numPr>
          <w:ilvl w:val="0"/>
          <w:numId w:val="186"/>
        </w:numPr>
        <w:rPr>
          <w:rFonts w:ascii="Arial" w:cs="Arial" w:eastAsia="Arial" w:hAnsi="Arial"/>
          <w:sz w:val="16"/>
          <w:szCs w:val="16"/>
          <w:b w:val="1"/>
          <w:bCs w:val="1"/>
          <w:color w:val="auto"/>
        </w:rPr>
      </w:pPr>
      <w:r>
        <w:rPr>
          <w:rFonts w:ascii="Arial" w:cs="Arial" w:eastAsia="Arial" w:hAnsi="Arial"/>
          <w:sz w:val="16"/>
          <w:szCs w:val="16"/>
          <w:b w:val="1"/>
          <w:bCs w:val="1"/>
          <w:color w:val="auto"/>
        </w:rPr>
        <w:t>SECRETARY</w:t>
      </w:r>
    </w:p>
    <w:p>
      <w:pPr>
        <w:spacing w:after="0" w:line="119" w:lineRule="exact"/>
        <w:rPr>
          <w:rFonts w:ascii="Arial" w:cs="Arial" w:eastAsia="Arial" w:hAnsi="Arial"/>
          <w:sz w:val="16"/>
          <w:szCs w:val="16"/>
          <w:b w:val="1"/>
          <w:bCs w:val="1"/>
          <w:color w:val="auto"/>
        </w:rPr>
      </w:pPr>
    </w:p>
    <w:p>
      <w:pPr>
        <w:ind w:left="1200" w:right="279"/>
        <w:spacing w:after="0" w:line="251" w:lineRule="auto"/>
        <w:rPr>
          <w:rFonts w:ascii="Arial" w:cs="Arial" w:eastAsia="Arial" w:hAnsi="Arial"/>
          <w:sz w:val="16"/>
          <w:szCs w:val="16"/>
          <w:b w:val="1"/>
          <w:bCs w:val="1"/>
          <w:color w:val="auto"/>
        </w:rPr>
      </w:pPr>
      <w:r>
        <w:rPr>
          <w:rFonts w:ascii="Arial" w:cs="Arial" w:eastAsia="Arial" w:hAnsi="Arial"/>
          <w:sz w:val="16"/>
          <w:szCs w:val="16"/>
          <w:color w:val="auto"/>
        </w:rPr>
        <w:t xml:space="preserve">Subject to the provisions of the Companies Act, the </w:t>
      </w:r>
      <w:r>
        <w:rPr>
          <w:rFonts w:ascii="Arial" w:cs="Arial" w:eastAsia="Arial" w:hAnsi="Arial"/>
          <w:sz w:val="16"/>
          <w:szCs w:val="16"/>
          <w:color w:val="auto"/>
          <w:strike w:val="1"/>
        </w:rPr>
        <w:t>secretary</w:t>
      </w:r>
      <w:r>
        <w:rPr>
          <w:rFonts w:ascii="Arial" w:cs="Arial" w:eastAsia="Arial" w:hAnsi="Arial"/>
          <w:sz w:val="16"/>
          <w:szCs w:val="16"/>
          <w:u w:val="single" w:color="auto"/>
          <w:color w:val="auto"/>
        </w:rPr>
        <w:t>Company Secretary of the Company</w:t>
      </w:r>
      <w:r>
        <w:rPr>
          <w:rFonts w:ascii="Arial" w:cs="Arial" w:eastAsia="Arial" w:hAnsi="Arial"/>
          <w:sz w:val="16"/>
          <w:szCs w:val="16"/>
          <w:color w:val="auto"/>
        </w:rPr>
        <w:t xml:space="preserve"> shall be appointed by the Board for such term, at such remuneration and on such other conditions as they think fit. Any </w:t>
      </w:r>
      <w:r>
        <w:rPr>
          <w:rFonts w:ascii="Arial" w:cs="Arial" w:eastAsia="Arial" w:hAnsi="Arial"/>
          <w:sz w:val="16"/>
          <w:szCs w:val="16"/>
          <w:color w:val="auto"/>
          <w:strike w:val="1"/>
        </w:rPr>
        <w:t>secretary</w:t>
      </w:r>
      <w:r>
        <w:rPr>
          <w:rFonts w:ascii="Arial" w:cs="Arial" w:eastAsia="Arial" w:hAnsi="Arial"/>
          <w:sz w:val="16"/>
          <w:szCs w:val="16"/>
          <w:u w:val="single" w:color="auto"/>
          <w:color w:val="auto"/>
        </w:rPr>
        <w:t>such Company</w:t>
      </w:r>
      <w:r>
        <w:rPr>
          <w:rFonts w:ascii="Arial" w:cs="Arial" w:eastAsia="Arial" w:hAnsi="Arial"/>
          <w:sz w:val="16"/>
          <w:szCs w:val="16"/>
          <w:color w:val="auto"/>
        </w:rPr>
        <w:t xml:space="preserve"> </w:t>
      </w:r>
      <w:r>
        <w:rPr>
          <w:rFonts w:ascii="Arial" w:cs="Arial" w:eastAsia="Arial" w:hAnsi="Arial"/>
          <w:sz w:val="16"/>
          <w:szCs w:val="16"/>
          <w:u w:val="single" w:color="auto"/>
          <w:color w:val="auto"/>
        </w:rPr>
        <w:t>Secretary</w:t>
      </w:r>
      <w:r>
        <w:rPr>
          <w:rFonts w:ascii="Arial" w:cs="Arial" w:eastAsia="Arial" w:hAnsi="Arial"/>
          <w:sz w:val="16"/>
          <w:szCs w:val="16"/>
          <w:color w:val="auto"/>
        </w:rPr>
        <w:t xml:space="preserve"> so appointed may be removed by the Board but without prejudice to any claim for damages for breach of any contract of service between </w:t>
      </w:r>
      <w:r>
        <w:rPr>
          <w:rFonts w:ascii="Arial" w:cs="Arial" w:eastAsia="Arial" w:hAnsi="Arial"/>
          <w:sz w:val="16"/>
          <w:szCs w:val="16"/>
          <w:color w:val="auto"/>
          <w:strike w:val="1"/>
        </w:rPr>
        <w:t>him</w:t>
      </w:r>
      <w:r>
        <w:rPr>
          <w:rFonts w:ascii="Arial" w:cs="Arial" w:eastAsia="Arial" w:hAnsi="Arial"/>
          <w:sz w:val="16"/>
          <w:szCs w:val="16"/>
          <w:u w:val="single" w:color="auto"/>
          <w:color w:val="auto"/>
        </w:rPr>
        <w:t>them</w:t>
      </w:r>
      <w:r>
        <w:rPr>
          <w:rFonts w:ascii="Arial" w:cs="Arial" w:eastAsia="Arial" w:hAnsi="Arial"/>
          <w:sz w:val="16"/>
          <w:szCs w:val="16"/>
          <w:color w:val="auto"/>
        </w:rPr>
        <w:t xml:space="preserve"> and the Company.</w:t>
      </w:r>
    </w:p>
    <w:p>
      <w:pPr>
        <w:spacing w:after="0" w:line="60" w:lineRule="exact"/>
        <w:rPr>
          <w:rFonts w:ascii="Arial" w:cs="Arial" w:eastAsia="Arial" w:hAnsi="Arial"/>
          <w:sz w:val="16"/>
          <w:szCs w:val="16"/>
          <w:b w:val="1"/>
          <w:bCs w:val="1"/>
          <w:color w:val="auto"/>
        </w:rPr>
      </w:pPr>
    </w:p>
    <w:p>
      <w:pPr>
        <w:ind w:left="1200" w:hanging="436"/>
        <w:spacing w:after="0"/>
        <w:tabs>
          <w:tab w:leader="none" w:pos="1200" w:val="left"/>
        </w:tabs>
        <w:numPr>
          <w:ilvl w:val="0"/>
          <w:numId w:val="186"/>
        </w:numPr>
        <w:rPr>
          <w:rFonts w:ascii="Arial" w:cs="Arial" w:eastAsia="Arial" w:hAnsi="Arial"/>
          <w:sz w:val="16"/>
          <w:szCs w:val="16"/>
          <w:b w:val="1"/>
          <w:bCs w:val="1"/>
          <w:color w:val="auto"/>
        </w:rPr>
      </w:pPr>
      <w:r>
        <w:rPr>
          <w:rFonts w:ascii="Arial" w:cs="Arial" w:eastAsia="Arial" w:hAnsi="Arial"/>
          <w:sz w:val="16"/>
          <w:szCs w:val="16"/>
          <w:b w:val="1"/>
          <w:bCs w:val="1"/>
          <w:color w:val="auto"/>
        </w:rPr>
        <w:t>THE SEAL</w:t>
      </w:r>
    </w:p>
    <w:p>
      <w:pPr>
        <w:spacing w:after="0" w:line="106" w:lineRule="exact"/>
        <w:rPr>
          <w:sz w:val="20"/>
          <w:szCs w:val="20"/>
          <w:color w:val="auto"/>
        </w:rPr>
      </w:pPr>
    </w:p>
    <w:p>
      <w:pPr>
        <w:ind w:left="1200" w:right="259" w:hanging="431"/>
        <w:spacing w:after="0" w:line="253" w:lineRule="auto"/>
        <w:rPr>
          <w:sz w:val="20"/>
          <w:szCs w:val="20"/>
          <w:color w:val="auto"/>
        </w:rPr>
      </w:pPr>
      <w:r>
        <w:rPr>
          <w:rFonts w:ascii="Arial" w:cs="Arial" w:eastAsia="Arial" w:hAnsi="Arial"/>
          <w:sz w:val="16"/>
          <w:szCs w:val="16"/>
          <w:color w:val="auto"/>
        </w:rPr>
        <w:t>36.1 The seal</w:t>
      </w:r>
      <w:r>
        <w:rPr>
          <w:rFonts w:ascii="Arial" w:cs="Arial" w:eastAsia="Arial" w:hAnsi="Arial"/>
          <w:sz w:val="16"/>
          <w:szCs w:val="16"/>
          <w:u w:val="single" w:color="auto"/>
          <w:color w:val="auto"/>
        </w:rPr>
        <w:t>, if any,</w:t>
      </w:r>
      <w:r>
        <w:rPr>
          <w:rFonts w:ascii="Arial" w:cs="Arial" w:eastAsia="Arial" w:hAnsi="Arial"/>
          <w:sz w:val="16"/>
          <w:szCs w:val="16"/>
          <w:color w:val="auto"/>
        </w:rPr>
        <w:t xml:space="preserve"> shall be used only by the authority of a resolution of the Board or of a committee of the Board. The Board may determine whether any instrument to which the seal is affixed, shall be signed and, if it is to be signed, who shall sign it. Unless otherwise determined by the Board:</w:t>
      </w:r>
    </w:p>
    <w:p>
      <w:pPr>
        <w:spacing w:after="0" w:line="80" w:lineRule="exact"/>
        <w:rPr>
          <w:sz w:val="20"/>
          <w:szCs w:val="20"/>
          <w:color w:val="auto"/>
        </w:rPr>
      </w:pPr>
    </w:p>
    <w:p>
      <w:pPr>
        <w:ind w:left="1620" w:right="359" w:hanging="424"/>
        <w:spacing w:after="0" w:line="253" w:lineRule="auto"/>
        <w:tabs>
          <w:tab w:leader="none" w:pos="1620" w:val="left"/>
        </w:tabs>
        <w:numPr>
          <w:ilvl w:val="0"/>
          <w:numId w:val="187"/>
        </w:numPr>
        <w:rPr>
          <w:rFonts w:ascii="Arial" w:cs="Arial" w:eastAsia="Arial" w:hAnsi="Arial"/>
          <w:sz w:val="16"/>
          <w:szCs w:val="16"/>
          <w:color w:val="auto"/>
        </w:rPr>
      </w:pPr>
      <w:r>
        <w:rPr>
          <w:rFonts w:ascii="Arial" w:cs="Arial" w:eastAsia="Arial" w:hAnsi="Arial"/>
          <w:sz w:val="16"/>
          <w:szCs w:val="16"/>
          <w:color w:val="auto"/>
        </w:rPr>
        <w:t>share certificates and, subject to the provisions of any instrument constituting the same, certificates issued under the seal in respect of any debentures or other securities, need not be signed and any signature may be applied to any such certificate by any mechanical, electronic or other means or may be printed on it; and</w:t>
      </w:r>
    </w:p>
    <w:p>
      <w:pPr>
        <w:spacing w:after="0" w:line="79" w:lineRule="exact"/>
        <w:rPr>
          <w:rFonts w:ascii="Arial" w:cs="Arial" w:eastAsia="Arial" w:hAnsi="Arial"/>
          <w:sz w:val="16"/>
          <w:szCs w:val="16"/>
          <w:color w:val="auto"/>
        </w:rPr>
      </w:pPr>
    </w:p>
    <w:p>
      <w:pPr>
        <w:ind w:left="1620" w:right="499" w:hanging="424"/>
        <w:spacing w:after="0" w:line="253" w:lineRule="auto"/>
        <w:tabs>
          <w:tab w:leader="none" w:pos="1620" w:val="left"/>
        </w:tabs>
        <w:numPr>
          <w:ilvl w:val="0"/>
          <w:numId w:val="187"/>
        </w:numPr>
        <w:rPr>
          <w:rFonts w:ascii="Arial" w:cs="Arial" w:eastAsia="Arial" w:hAnsi="Arial"/>
          <w:sz w:val="16"/>
          <w:szCs w:val="16"/>
          <w:color w:val="auto"/>
        </w:rPr>
      </w:pPr>
      <w:r>
        <w:rPr>
          <w:rFonts w:ascii="Arial" w:cs="Arial" w:eastAsia="Arial" w:hAnsi="Arial"/>
          <w:sz w:val="16"/>
          <w:szCs w:val="16"/>
          <w:color w:val="auto"/>
        </w:rPr>
        <w:t>every other instrument to which the seal is affixed shall be signed by two authorised persons or by a Director in the presence of a witness who attests the signature and for this purpose an authorised person is any Director or the secretary of the Company.</w:t>
      </w:r>
    </w:p>
    <w:p>
      <w:pPr>
        <w:spacing w:after="0" w:line="66" w:lineRule="exact"/>
        <w:rPr>
          <w:sz w:val="20"/>
          <w:szCs w:val="20"/>
          <w:color w:val="auto"/>
        </w:rPr>
      </w:pPr>
    </w:p>
    <w:p>
      <w:pPr>
        <w:ind w:left="1200" w:right="239" w:hanging="431"/>
        <w:spacing w:after="0" w:line="273" w:lineRule="auto"/>
        <w:rPr>
          <w:sz w:val="20"/>
          <w:szCs w:val="20"/>
          <w:color w:val="auto"/>
        </w:rPr>
      </w:pPr>
      <w:r>
        <w:rPr>
          <w:rFonts w:ascii="Arial" w:cs="Arial" w:eastAsia="Arial" w:hAnsi="Arial"/>
          <w:sz w:val="15"/>
          <w:szCs w:val="15"/>
          <w:color w:val="auto"/>
        </w:rPr>
        <w:t>36.2 Any document may be executed under the seal by impressing the seal by mechanical means or by printing the seal or a facsimile of it on the document or by applying the seal or a facsimile of it by any other means to the document. A document executed, with the authority of a resolution of the Board, in any manner permitted by section 44(2) of the Companies Act and expressed (in whatever form of words) to be executed by the Company has the same effect as if executed under the seal.</w:t>
      </w:r>
    </w:p>
    <w:p>
      <w:pPr>
        <w:spacing w:after="0" w:line="66" w:lineRule="exact"/>
        <w:rPr>
          <w:sz w:val="20"/>
          <w:szCs w:val="20"/>
          <w:color w:val="auto"/>
        </w:rPr>
      </w:pPr>
    </w:p>
    <w:p>
      <w:pPr>
        <w:ind w:left="760"/>
        <w:spacing w:after="0"/>
        <w:rPr>
          <w:sz w:val="20"/>
          <w:szCs w:val="20"/>
          <w:color w:val="auto"/>
        </w:rPr>
      </w:pPr>
      <w:r>
        <w:rPr>
          <w:rFonts w:ascii="Arial" w:cs="Arial" w:eastAsia="Arial" w:hAnsi="Arial"/>
          <w:sz w:val="16"/>
          <w:szCs w:val="16"/>
          <w:color w:val="auto"/>
        </w:rPr>
        <w:t>36.3  Subject to the provisions of the Companies Act, the Company may have an official seal for use in any place.</w:t>
      </w:r>
    </w:p>
    <w:p>
      <w:pPr>
        <w:spacing w:after="0" w:line="80" w:lineRule="exact"/>
        <w:rPr>
          <w:sz w:val="20"/>
          <w:szCs w:val="20"/>
          <w:color w:val="auto"/>
        </w:rPr>
      </w:pPr>
    </w:p>
    <w:p>
      <w:pPr>
        <w:ind w:left="1200" w:hanging="436"/>
        <w:spacing w:after="0"/>
        <w:tabs>
          <w:tab w:leader="none" w:pos="1200" w:val="left"/>
        </w:tabs>
        <w:numPr>
          <w:ilvl w:val="0"/>
          <w:numId w:val="188"/>
        </w:numPr>
        <w:rPr>
          <w:rFonts w:ascii="Arial" w:cs="Arial" w:eastAsia="Arial" w:hAnsi="Arial"/>
          <w:sz w:val="16"/>
          <w:szCs w:val="16"/>
          <w:b w:val="1"/>
          <w:bCs w:val="1"/>
          <w:color w:val="auto"/>
        </w:rPr>
      </w:pPr>
      <w:r>
        <w:rPr>
          <w:rFonts w:ascii="Arial" w:cs="Arial" w:eastAsia="Arial" w:hAnsi="Arial"/>
          <w:sz w:val="16"/>
          <w:szCs w:val="16"/>
          <w:b w:val="1"/>
          <w:bCs w:val="1"/>
          <w:color w:val="auto"/>
        </w:rPr>
        <w:t>REGISTERS</w:t>
      </w:r>
    </w:p>
    <w:p>
      <w:pPr>
        <w:spacing w:after="0" w:line="106" w:lineRule="exact"/>
        <w:rPr>
          <w:sz w:val="20"/>
          <w:szCs w:val="20"/>
          <w:color w:val="auto"/>
        </w:rPr>
      </w:pPr>
    </w:p>
    <w:p>
      <w:pPr>
        <w:ind w:left="1200" w:right="359" w:hanging="431"/>
        <w:spacing w:after="0" w:line="260" w:lineRule="auto"/>
        <w:rPr>
          <w:sz w:val="20"/>
          <w:szCs w:val="20"/>
          <w:color w:val="auto"/>
        </w:rPr>
      </w:pPr>
      <w:r>
        <w:rPr>
          <w:rFonts w:ascii="Arial" w:cs="Arial" w:eastAsia="Arial" w:hAnsi="Arial"/>
          <w:sz w:val="16"/>
          <w:szCs w:val="16"/>
          <w:color w:val="auto"/>
        </w:rPr>
        <w:t>37.1 Subject to the provisions of the Companies Act, the Company may keep an overseas or local register in any place, and the Board may make, amend and revoke any regulations it thinks fit about the keeping of that register.</w:t>
      </w:r>
    </w:p>
    <w:p>
      <w:pPr>
        <w:spacing w:after="0" w:line="74" w:lineRule="exact"/>
        <w:rPr>
          <w:sz w:val="20"/>
          <w:szCs w:val="20"/>
          <w:color w:val="auto"/>
        </w:rPr>
      </w:pPr>
    </w:p>
    <w:p>
      <w:pPr>
        <w:ind w:left="1200" w:right="399" w:hanging="431"/>
        <w:spacing w:after="0" w:line="260" w:lineRule="auto"/>
        <w:rPr>
          <w:sz w:val="20"/>
          <w:szCs w:val="20"/>
          <w:color w:val="auto"/>
        </w:rPr>
      </w:pPr>
      <w:r>
        <w:rPr>
          <w:rFonts w:ascii="Arial" w:cs="Arial" w:eastAsia="Arial" w:hAnsi="Arial"/>
          <w:sz w:val="16"/>
          <w:szCs w:val="16"/>
          <w:color w:val="auto"/>
        </w:rPr>
        <w:t>37.2 Any Director or the secretary or any other person appointed by the Board for the purpose shall have power to authenticate and certify as true copies of and extracts from:</w:t>
      </w:r>
    </w:p>
    <w:p>
      <w:pPr>
        <w:spacing w:after="0" w:line="60" w:lineRule="exact"/>
        <w:rPr>
          <w:sz w:val="20"/>
          <w:szCs w:val="20"/>
          <w:color w:val="auto"/>
        </w:rPr>
      </w:pPr>
    </w:p>
    <w:p>
      <w:pPr>
        <w:ind w:left="1620" w:hanging="424"/>
        <w:spacing w:after="0"/>
        <w:tabs>
          <w:tab w:leader="none" w:pos="1620" w:val="left"/>
        </w:tabs>
        <w:numPr>
          <w:ilvl w:val="0"/>
          <w:numId w:val="189"/>
        </w:numPr>
        <w:rPr>
          <w:rFonts w:ascii="Arial" w:cs="Arial" w:eastAsia="Arial" w:hAnsi="Arial"/>
          <w:sz w:val="16"/>
          <w:szCs w:val="16"/>
          <w:color w:val="auto"/>
        </w:rPr>
      </w:pPr>
      <w:r>
        <w:rPr>
          <w:rFonts w:ascii="Arial" w:cs="Arial" w:eastAsia="Arial" w:hAnsi="Arial"/>
          <w:sz w:val="16"/>
          <w:szCs w:val="16"/>
          <w:color w:val="auto"/>
        </w:rPr>
        <w:t>any document comprising or affecting the constitution of the Company, whether in hard copy form or electronic form;</w:t>
      </w:r>
    </w:p>
    <w:p>
      <w:pPr>
        <w:spacing w:after="0" w:line="99" w:lineRule="exact"/>
        <w:rPr>
          <w:rFonts w:ascii="Arial" w:cs="Arial" w:eastAsia="Arial" w:hAnsi="Arial"/>
          <w:sz w:val="16"/>
          <w:szCs w:val="16"/>
          <w:color w:val="auto"/>
        </w:rPr>
      </w:pPr>
    </w:p>
    <w:p>
      <w:pPr>
        <w:ind w:left="1620" w:right="299" w:hanging="424"/>
        <w:spacing w:after="0" w:line="260" w:lineRule="auto"/>
        <w:tabs>
          <w:tab w:leader="none" w:pos="1620" w:val="left"/>
        </w:tabs>
        <w:numPr>
          <w:ilvl w:val="0"/>
          <w:numId w:val="189"/>
        </w:numPr>
        <w:rPr>
          <w:rFonts w:ascii="Arial" w:cs="Arial" w:eastAsia="Arial" w:hAnsi="Arial"/>
          <w:sz w:val="16"/>
          <w:szCs w:val="16"/>
          <w:color w:val="auto"/>
        </w:rPr>
      </w:pPr>
      <w:r>
        <w:rPr>
          <w:rFonts w:ascii="Arial" w:cs="Arial" w:eastAsia="Arial" w:hAnsi="Arial"/>
          <w:sz w:val="16"/>
          <w:szCs w:val="16"/>
          <w:color w:val="auto"/>
        </w:rPr>
        <w:t>any resolution passed by the Company, the holders of any class of shares in the capital of the Company, the Board or any committee of the Board, whether in hard copy form or electronic form; and</w:t>
      </w:r>
    </w:p>
    <w:p>
      <w:pPr>
        <w:spacing w:after="0" w:line="73" w:lineRule="exact"/>
        <w:rPr>
          <w:rFonts w:ascii="Arial" w:cs="Arial" w:eastAsia="Arial" w:hAnsi="Arial"/>
          <w:sz w:val="16"/>
          <w:szCs w:val="16"/>
          <w:color w:val="auto"/>
        </w:rPr>
      </w:pPr>
    </w:p>
    <w:p>
      <w:pPr>
        <w:ind w:left="1620" w:right="279" w:hanging="424"/>
        <w:spacing w:after="0" w:line="260" w:lineRule="auto"/>
        <w:tabs>
          <w:tab w:leader="none" w:pos="1620" w:val="left"/>
        </w:tabs>
        <w:numPr>
          <w:ilvl w:val="0"/>
          <w:numId w:val="189"/>
        </w:numPr>
        <w:rPr>
          <w:rFonts w:ascii="Arial" w:cs="Arial" w:eastAsia="Arial" w:hAnsi="Arial"/>
          <w:sz w:val="16"/>
          <w:szCs w:val="16"/>
          <w:color w:val="auto"/>
        </w:rPr>
      </w:pPr>
      <w:r>
        <w:rPr>
          <w:rFonts w:ascii="Arial" w:cs="Arial" w:eastAsia="Arial" w:hAnsi="Arial"/>
          <w:sz w:val="16"/>
          <w:szCs w:val="16"/>
          <w:color w:val="auto"/>
        </w:rPr>
        <w:t>any book, record and document relating to the business of the Company, whether in hard copy form or electronic form (including without limitation the accounts).</w:t>
      </w:r>
    </w:p>
    <w:p>
      <w:pPr>
        <w:spacing w:after="0" w:line="60" w:lineRule="exact"/>
        <w:rPr>
          <w:sz w:val="20"/>
          <w:szCs w:val="20"/>
          <w:color w:val="auto"/>
        </w:rPr>
      </w:pPr>
    </w:p>
    <w:p>
      <w:pPr>
        <w:ind w:left="1200" w:right="199"/>
        <w:spacing w:after="0" w:line="250" w:lineRule="auto"/>
        <w:rPr>
          <w:sz w:val="20"/>
          <w:szCs w:val="20"/>
          <w:color w:val="auto"/>
        </w:rPr>
      </w:pPr>
      <w:r>
        <w:rPr>
          <w:rFonts w:ascii="Arial" w:cs="Arial" w:eastAsia="Arial" w:hAnsi="Arial"/>
          <w:sz w:val="16"/>
          <w:szCs w:val="16"/>
          <w:color w:val="auto"/>
        </w:rPr>
        <w:t>If certified in this way, a document purporting to be a copy of a resolution, or the minutes or an extract from the minutes of a meeting of the Company, the holders of any class of shares in the capital of the Company, the Board or a committee of the Board, whether in hard copy form or electronic form, shall be conclusive evidence in favour of all persons dealing with the Company in reliance on it or them that the resolution was duly passed or that the minutes are, or the extract from the minutes is, a true and accurate record of any proceedings at a duly constituted meeting.</w:t>
      </w:r>
    </w:p>
    <w:p>
      <w:pPr>
        <w:spacing w:after="0" w:line="100" w:lineRule="exact"/>
        <w:rPr>
          <w:sz w:val="20"/>
          <w:szCs w:val="20"/>
          <w:color w:val="auto"/>
        </w:rPr>
      </w:pPr>
    </w:p>
    <w:p>
      <w:pPr>
        <w:ind w:left="480"/>
        <w:spacing w:after="0"/>
        <w:tabs>
          <w:tab w:leader="none" w:pos="4420" w:val="left"/>
          <w:tab w:leader="none" w:pos="8760" w:val="left"/>
        </w:tabs>
        <w:rPr>
          <w:sz w:val="20"/>
          <w:szCs w:val="20"/>
          <w:color w:val="auto"/>
        </w:rPr>
      </w:pPr>
      <w:r>
        <w:rPr>
          <w:rFonts w:ascii="Arial" w:cs="Arial" w:eastAsia="Arial" w:hAnsi="Arial"/>
          <w:sz w:val="28"/>
          <w:szCs w:val="28"/>
          <w:b w:val="1"/>
          <w:bCs w:val="1"/>
          <w:color w:val="000000"/>
          <w:vertAlign w:val="subscript"/>
        </w:rPr>
        <w:t>A-30</w:t>
      </w:r>
      <w:r>
        <w:rPr>
          <w:sz w:val="20"/>
          <w:szCs w:val="20"/>
          <w:color w:val="auto"/>
        </w:rPr>
        <w:tab/>
      </w:r>
      <w:r>
        <w:rPr>
          <w:rFonts w:ascii="Arial" w:cs="Arial" w:eastAsia="Arial" w:hAnsi="Arial"/>
          <w:sz w:val="13"/>
          <w:szCs w:val="13"/>
          <w:b w:val="1"/>
          <w:bCs w:val="1"/>
          <w:color w:val="4800E6"/>
        </w:rPr>
        <w:t xml:space="preserve">LIVANOVA </w:t>
      </w:r>
      <w:r>
        <w:rPr>
          <w:rFonts w:ascii="Arial" w:cs="Arial" w:eastAsia="Arial" w:hAnsi="Arial"/>
          <w:sz w:val="13"/>
          <w:szCs w:val="13"/>
          <w:color w:val="000000"/>
        </w:rPr>
        <w:t>|</w:t>
      </w:r>
      <w:r>
        <w:rPr>
          <w:rFonts w:ascii="Arial" w:cs="Arial" w:eastAsia="Arial" w:hAnsi="Arial"/>
          <w:sz w:val="13"/>
          <w:szCs w:val="13"/>
          <w:b w:val="1"/>
          <w:bCs w:val="1"/>
          <w:color w:val="4800E6"/>
        </w:rPr>
        <w:t xml:space="preserve"> </w:t>
      </w:r>
      <w:r>
        <w:rPr>
          <w:rFonts w:ascii="Arial" w:cs="Arial" w:eastAsia="Arial" w:hAnsi="Arial"/>
          <w:sz w:val="13"/>
          <w:szCs w:val="13"/>
          <w:color w:val="4800E6"/>
        </w:rPr>
        <w:t>2020</w:t>
      </w:r>
      <w:r>
        <w:rPr>
          <w:rFonts w:ascii="Arial" w:cs="Arial" w:eastAsia="Arial" w:hAnsi="Arial"/>
          <w:sz w:val="13"/>
          <w:szCs w:val="13"/>
          <w:b w:val="1"/>
          <w:bCs w:val="1"/>
          <w:color w:val="4800E6"/>
        </w:rPr>
        <w:t xml:space="preserve"> </w:t>
      </w:r>
      <w:r>
        <w:rPr>
          <w:rFonts w:ascii="Arial" w:cs="Arial" w:eastAsia="Arial" w:hAnsi="Arial"/>
          <w:sz w:val="13"/>
          <w:szCs w:val="13"/>
          <w:color w:val="000000"/>
        </w:rPr>
        <w:t>Proxy Statement</w:t>
      </w:r>
      <w:r>
        <w:rPr>
          <w:sz w:val="20"/>
          <w:szCs w:val="20"/>
          <w:color w:val="auto"/>
        </w:rPr>
        <w:tab/>
      </w:r>
      <w:r>
        <w:rPr>
          <w:rFonts w:ascii="Arial" w:cs="Arial" w:eastAsia="Arial" w:hAnsi="Arial"/>
          <w:sz w:val="12"/>
          <w:szCs w:val="12"/>
          <w:b w:val="1"/>
          <w:bCs w:val="1"/>
          <w:color w:val="4800E6"/>
        </w:rPr>
        <w:t>www.livanova.com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639445</wp:posOffset>
            </wp:positionH>
            <wp:positionV relativeFrom="paragraph">
              <wp:posOffset>-2540</wp:posOffset>
            </wp:positionV>
            <wp:extent cx="1954530" cy="8890"/>
            <wp:wrapNone/>
            <wp:docPr id="466" name="Picture 4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6"/>
                    <pic:cNvPicPr>
                      <a:picLocks noChangeAspect="1" noChangeArrowheads="1"/>
                    </pic:cNvPicPr>
                  </pic:nvPicPr>
                  <pic:blipFill>
                    <a:blip r:embed="rId473">
                      <a:extLst>
                        <a:ext uri="{28A0092B-C50C-407E-A947-70E740481C1C}"/>
                      </a:extLst>
                    </a:blip>
                    <a:srcRect/>
                    <a:stretch>
                      <a:fillRect/>
                    </a:stretch>
                  </pic:blipFill>
                  <pic:spPr bwMode="auto">
                    <a:xfrm>
                      <a:off x="0" y="0"/>
                      <a:ext cx="1954530" cy="8890"/>
                    </a:xfrm>
                    <a:prstGeom prst="rect">
                      <a:avLst/>
                    </a:prstGeom>
                    <a:noFill/>
                  </pic:spPr>
                </pic:pic>
              </a:graphicData>
            </a:graphic>
          </wp:anchor>
        </w:drawing>
        <w:drawing>
          <wp:anchor simplePos="0" relativeHeight="251657728" behindDoc="1" locked="0" layoutInCell="0" allowOverlap="1">
            <wp:simplePos x="0" y="0"/>
            <wp:positionH relativeFrom="column">
              <wp:posOffset>4316730</wp:posOffset>
            </wp:positionH>
            <wp:positionV relativeFrom="paragraph">
              <wp:posOffset>-2540</wp:posOffset>
            </wp:positionV>
            <wp:extent cx="1028700" cy="8890"/>
            <wp:wrapNone/>
            <wp:docPr id="467" name="Picture 4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7"/>
                    <pic:cNvPicPr>
                      <a:picLocks noChangeAspect="1" noChangeArrowheads="1"/>
                    </pic:cNvPicPr>
                  </pic:nvPicPr>
                  <pic:blipFill>
                    <a:blip r:embed="rId474">
                      <a:extLst>
                        <a:ext uri="{28A0092B-C50C-407E-A947-70E740481C1C}"/>
                      </a:extLst>
                    </a:blip>
                    <a:srcRect/>
                    <a:stretch>
                      <a:fillRect/>
                    </a:stretch>
                  </pic:blipFill>
                  <pic:spPr bwMode="auto">
                    <a:xfrm>
                      <a:off x="0" y="0"/>
                      <a:ext cx="102870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133985</wp:posOffset>
            </wp:positionV>
            <wp:extent cx="6806565" cy="17145"/>
            <wp:wrapNone/>
            <wp:docPr id="468" name="Picture 4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8"/>
                    <pic:cNvPicPr>
                      <a:picLocks noChangeAspect="1" noChangeArrowheads="1"/>
                    </pic:cNvPicPr>
                  </pic:nvPicPr>
                  <pic:blipFill>
                    <a:blip r:embed="rId475">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10139"/>
          </w:cols>
          <w:pgMar w:left="320" w:top="131" w:right="1440" w:bottom="1440" w:gutter="0" w:footer="0" w:header="0"/>
        </w:sectPr>
      </w:pPr>
    </w:p>
    <w:bookmarkStart w:id="109" w:name="page110"/>
    <w:bookmarkEnd w:id="109"/>
    <w:p>
      <w:pPr>
        <w:spacing w:after="0"/>
        <w:rPr>
          <w:rFonts w:ascii="Arial" w:cs="Arial" w:eastAsia="Arial" w:hAnsi="Arial"/>
          <w:sz w:val="14"/>
          <w:szCs w:val="14"/>
          <w:color w:val="003366"/>
        </w:rPr>
      </w:pPr>
      <w:hyperlink w:anchor="page77">
        <w:r>
          <w:rPr>
            <w:rFonts w:ascii="Arial" w:cs="Arial" w:eastAsia="Arial" w:hAnsi="Arial"/>
            <w:sz w:val="14"/>
            <w:szCs w:val="14"/>
            <w:color w:val="003366"/>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485140</wp:posOffset>
            </wp:positionH>
            <wp:positionV relativeFrom="paragraph">
              <wp:posOffset>356870</wp:posOffset>
            </wp:positionV>
            <wp:extent cx="5829300" cy="8255"/>
            <wp:wrapNone/>
            <wp:docPr id="469" name="Picture 4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9"/>
                    <pic:cNvPicPr>
                      <a:picLocks noChangeAspect="1" noChangeArrowheads="1"/>
                    </pic:cNvPicPr>
                  </pic:nvPicPr>
                  <pic:blipFill>
                    <a:blip r:embed="rId476">
                      <a:extLst>
                        <a:ext uri="{28A0092B-C50C-407E-A947-70E740481C1C}"/>
                      </a:extLst>
                    </a:blip>
                    <a:srcRect/>
                    <a:stretch>
                      <a:fillRect/>
                    </a:stretch>
                  </pic:blipFill>
                  <pic:spPr bwMode="auto">
                    <a:xfrm>
                      <a:off x="0" y="0"/>
                      <a:ext cx="582930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ind w:left="1200" w:hanging="436"/>
        <w:spacing w:after="0"/>
        <w:tabs>
          <w:tab w:leader="none" w:pos="1200" w:val="left"/>
        </w:tabs>
        <w:numPr>
          <w:ilvl w:val="0"/>
          <w:numId w:val="190"/>
        </w:numPr>
        <w:rPr>
          <w:rFonts w:ascii="Arial" w:cs="Arial" w:eastAsia="Arial" w:hAnsi="Arial"/>
          <w:sz w:val="16"/>
          <w:szCs w:val="16"/>
          <w:b w:val="1"/>
          <w:bCs w:val="1"/>
          <w:color w:val="auto"/>
        </w:rPr>
      </w:pPr>
      <w:r>
        <w:rPr>
          <w:rFonts w:ascii="Arial" w:cs="Arial" w:eastAsia="Arial" w:hAnsi="Arial"/>
          <w:sz w:val="16"/>
          <w:szCs w:val="16"/>
          <w:b w:val="1"/>
          <w:bCs w:val="1"/>
          <w:color w:val="auto"/>
        </w:rPr>
        <w:t>DIVIDENDS</w:t>
      </w:r>
    </w:p>
    <w:p>
      <w:pPr>
        <w:spacing w:after="0" w:line="120" w:lineRule="exact"/>
        <w:rPr>
          <w:sz w:val="20"/>
          <w:szCs w:val="20"/>
          <w:color w:val="auto"/>
        </w:rPr>
      </w:pPr>
    </w:p>
    <w:p>
      <w:pPr>
        <w:ind w:left="760"/>
        <w:spacing w:after="0"/>
        <w:rPr>
          <w:sz w:val="20"/>
          <w:szCs w:val="20"/>
          <w:color w:val="auto"/>
        </w:rPr>
      </w:pPr>
      <w:r>
        <w:rPr>
          <w:rFonts w:ascii="Arial" w:cs="Arial" w:eastAsia="Arial" w:hAnsi="Arial"/>
          <w:sz w:val="16"/>
          <w:szCs w:val="16"/>
          <w:color w:val="auto"/>
        </w:rPr>
        <w:t>38.1  The rights as regarding income attaching to the Ordinary Shares shall be as set out in this Article.</w:t>
      </w:r>
    </w:p>
    <w:p>
      <w:pPr>
        <w:spacing w:after="0" w:line="86" w:lineRule="exact"/>
        <w:rPr>
          <w:sz w:val="20"/>
          <w:szCs w:val="20"/>
          <w:color w:val="auto"/>
        </w:rPr>
      </w:pPr>
    </w:p>
    <w:p>
      <w:pPr>
        <w:ind w:left="1200" w:right="780" w:hanging="431"/>
        <w:spacing w:after="0" w:line="251" w:lineRule="auto"/>
        <w:rPr>
          <w:sz w:val="20"/>
          <w:szCs w:val="20"/>
          <w:color w:val="auto"/>
        </w:rPr>
      </w:pPr>
      <w:r>
        <w:rPr>
          <w:rFonts w:ascii="Arial" w:cs="Arial" w:eastAsia="Arial" w:hAnsi="Arial"/>
          <w:sz w:val="16"/>
          <w:szCs w:val="16"/>
          <w:color w:val="auto"/>
        </w:rPr>
        <w:t xml:space="preserve">38.2 Each Ordinary Share shall be entitled to receive all of the distributable profits available and declared by the </w:t>
      </w:r>
      <w:r>
        <w:rPr>
          <w:rFonts w:ascii="Arial" w:cs="Arial" w:eastAsia="Arial" w:hAnsi="Arial"/>
          <w:sz w:val="16"/>
          <w:szCs w:val="16"/>
          <w:color w:val="auto"/>
          <w:strike w:val="1"/>
        </w:rPr>
        <w:t>Directors</w:t>
      </w:r>
      <w:r>
        <w:rPr>
          <w:rFonts w:ascii="Arial" w:cs="Arial" w:eastAsia="Arial" w:hAnsi="Arial"/>
          <w:sz w:val="16"/>
          <w:szCs w:val="16"/>
          <w:u w:val="single" w:color="auto"/>
          <w:color w:val="auto"/>
        </w:rPr>
        <w:t>Board</w:t>
      </w:r>
      <w:r>
        <w:rPr>
          <w:rFonts w:ascii="Arial" w:cs="Arial" w:eastAsia="Arial" w:hAnsi="Arial"/>
          <w:sz w:val="16"/>
          <w:szCs w:val="16"/>
          <w:color w:val="auto"/>
        </w:rPr>
        <w:t xml:space="preserve"> for distribution by way of a dividend amongst the holders of the Ordinary Shares. Each Ordinary Share shall rank equally with all other Ordinary Shares in the capital of the Company for any dividend and shall receive its pro rata portion of any dividend rounded to the nearest whole number (such rounding to be in the sole discretion of the Board).</w:t>
      </w:r>
    </w:p>
    <w:p>
      <w:pPr>
        <w:spacing w:after="0" w:line="81" w:lineRule="exact"/>
        <w:rPr>
          <w:sz w:val="20"/>
          <w:szCs w:val="20"/>
          <w:color w:val="auto"/>
        </w:rPr>
      </w:pPr>
    </w:p>
    <w:p>
      <w:pPr>
        <w:jc w:val="right"/>
        <w:ind w:left="760" w:right="1000"/>
        <w:spacing w:after="0" w:line="293" w:lineRule="auto"/>
        <w:rPr>
          <w:sz w:val="20"/>
          <w:szCs w:val="20"/>
          <w:color w:val="auto"/>
        </w:rPr>
      </w:pPr>
      <w:r>
        <w:rPr>
          <w:rFonts w:ascii="Arial" w:cs="Arial" w:eastAsia="Arial" w:hAnsi="Arial"/>
          <w:sz w:val="15"/>
          <w:szCs w:val="15"/>
          <w:color w:val="auto"/>
        </w:rPr>
        <w:t xml:space="preserve">38.3  Subject to the provisions of the Companies Act, the Company may by ordinary resolution declare dividends in accordance with the respective rights of the members, but no dividend shall exceed the amount recommended by the </w:t>
      </w:r>
      <w:r>
        <w:rPr>
          <w:rFonts w:ascii="Arial" w:cs="Arial" w:eastAsia="Arial" w:hAnsi="Arial"/>
          <w:sz w:val="15"/>
          <w:szCs w:val="15"/>
          <w:color w:val="auto"/>
          <w:strike w:val="1"/>
        </w:rPr>
        <w:t>Directors</w:t>
      </w:r>
      <w:r>
        <w:rPr>
          <w:rFonts w:ascii="Arial" w:cs="Arial" w:eastAsia="Arial" w:hAnsi="Arial"/>
          <w:sz w:val="15"/>
          <w:szCs w:val="15"/>
          <w:u w:val="single" w:color="auto"/>
          <w:color w:val="auto"/>
        </w:rPr>
        <w:t>Board</w:t>
      </w:r>
      <w:r>
        <w:rPr>
          <w:rFonts w:ascii="Arial" w:cs="Arial" w:eastAsia="Arial" w:hAnsi="Arial"/>
          <w:sz w:val="15"/>
          <w:szCs w:val="15"/>
          <w:color w:val="auto"/>
        </w:rPr>
        <w:t>.</w:t>
      </w:r>
    </w:p>
    <w:p>
      <w:pPr>
        <w:spacing w:after="0" w:line="38" w:lineRule="exact"/>
        <w:rPr>
          <w:sz w:val="20"/>
          <w:szCs w:val="20"/>
          <w:color w:val="auto"/>
        </w:rPr>
      </w:pPr>
    </w:p>
    <w:p>
      <w:pPr>
        <w:ind w:left="1200" w:right="840" w:hanging="431"/>
        <w:spacing w:after="0" w:line="250" w:lineRule="auto"/>
        <w:rPr>
          <w:sz w:val="20"/>
          <w:szCs w:val="20"/>
          <w:color w:val="auto"/>
        </w:rPr>
      </w:pPr>
      <w:r>
        <w:rPr>
          <w:rFonts w:ascii="Arial" w:cs="Arial" w:eastAsia="Arial" w:hAnsi="Arial"/>
          <w:sz w:val="16"/>
          <w:szCs w:val="16"/>
          <w:color w:val="auto"/>
        </w:rPr>
        <w:t>38.4 Subject to the provisions of the Companies Act and to Article 38.8, the Board may pay interim dividends, whether or not satisfied wholly or partly by the distribution of assets including without limitation paid up shares or debentures of another body corporate, of such amounts and on such dates and in respect of such periods as they may think fit if it appears to them that they are justified by the profits of the Company available for distribution</w:t>
      </w:r>
      <w:r>
        <w:rPr>
          <w:rFonts w:ascii="Arial" w:cs="Arial" w:eastAsia="Arial" w:hAnsi="Arial"/>
          <w:sz w:val="16"/>
          <w:szCs w:val="16"/>
          <w:u w:val="single" w:color="auto"/>
          <w:color w:val="auto"/>
        </w:rPr>
        <w:t>.</w:t>
      </w:r>
      <w:r>
        <w:rPr>
          <w:rFonts w:ascii="Arial" w:cs="Arial" w:eastAsia="Arial" w:hAnsi="Arial"/>
          <w:sz w:val="16"/>
          <w:szCs w:val="16"/>
          <w:color w:val="auto"/>
        </w:rPr>
        <w:t xml:space="preserve"> If the share capital is divided into different classes, the Board may:</w:t>
      </w:r>
    </w:p>
    <w:p>
      <w:pPr>
        <w:spacing w:after="0" w:line="68" w:lineRule="exact"/>
        <w:rPr>
          <w:sz w:val="20"/>
          <w:szCs w:val="20"/>
          <w:color w:val="auto"/>
        </w:rPr>
      </w:pPr>
    </w:p>
    <w:p>
      <w:pPr>
        <w:ind w:left="1620" w:right="820" w:hanging="424"/>
        <w:spacing w:after="0" w:line="253" w:lineRule="auto"/>
        <w:tabs>
          <w:tab w:leader="none" w:pos="1620" w:val="left"/>
        </w:tabs>
        <w:numPr>
          <w:ilvl w:val="0"/>
          <w:numId w:val="191"/>
        </w:numPr>
        <w:rPr>
          <w:rFonts w:ascii="Arial" w:cs="Arial" w:eastAsia="Arial" w:hAnsi="Arial"/>
          <w:sz w:val="16"/>
          <w:szCs w:val="16"/>
          <w:color w:val="auto"/>
        </w:rPr>
      </w:pPr>
      <w:r>
        <w:rPr>
          <w:rFonts w:ascii="Arial" w:cs="Arial" w:eastAsia="Arial" w:hAnsi="Arial"/>
          <w:sz w:val="16"/>
          <w:szCs w:val="16"/>
          <w:color w:val="auto"/>
        </w:rPr>
        <w:t>pay interim dividends on shares which confer deferred or non-preferred rights with regard to dividend as well as on shares which confer preferential rights with regard to dividend, but no interim dividend shall be paid on shares carrying deferred or non-preferred rights if at the time of payment, any preferential dividend is in arrears; and</w:t>
      </w:r>
    </w:p>
    <w:p>
      <w:pPr>
        <w:spacing w:after="0" w:line="79" w:lineRule="exact"/>
        <w:rPr>
          <w:rFonts w:ascii="Arial" w:cs="Arial" w:eastAsia="Arial" w:hAnsi="Arial"/>
          <w:sz w:val="16"/>
          <w:szCs w:val="16"/>
          <w:color w:val="auto"/>
        </w:rPr>
      </w:pPr>
    </w:p>
    <w:p>
      <w:pPr>
        <w:ind w:left="1620" w:right="1000" w:hanging="424"/>
        <w:spacing w:after="0" w:line="260" w:lineRule="auto"/>
        <w:tabs>
          <w:tab w:leader="none" w:pos="1620" w:val="left"/>
        </w:tabs>
        <w:numPr>
          <w:ilvl w:val="0"/>
          <w:numId w:val="191"/>
        </w:numPr>
        <w:rPr>
          <w:rFonts w:ascii="Arial" w:cs="Arial" w:eastAsia="Arial" w:hAnsi="Arial"/>
          <w:sz w:val="16"/>
          <w:szCs w:val="16"/>
          <w:color w:val="auto"/>
        </w:rPr>
      </w:pPr>
      <w:r>
        <w:rPr>
          <w:rFonts w:ascii="Arial" w:cs="Arial" w:eastAsia="Arial" w:hAnsi="Arial"/>
          <w:sz w:val="16"/>
          <w:szCs w:val="16"/>
          <w:color w:val="auto"/>
        </w:rPr>
        <w:t>pay at intervals settled by them any dividend payable at a fixed rate if it appears to them that the profits available for distribution justify the payment;</w:t>
      </w:r>
    </w:p>
    <w:p>
      <w:pPr>
        <w:spacing w:after="0" w:line="60" w:lineRule="exact"/>
        <w:rPr>
          <w:sz w:val="20"/>
          <w:szCs w:val="20"/>
          <w:color w:val="auto"/>
        </w:rPr>
      </w:pPr>
    </w:p>
    <w:p>
      <w:pPr>
        <w:ind w:left="1200" w:right="840"/>
        <w:spacing w:after="0" w:line="269" w:lineRule="auto"/>
        <w:rPr>
          <w:sz w:val="20"/>
          <w:szCs w:val="20"/>
          <w:color w:val="auto"/>
        </w:rPr>
      </w:pPr>
      <w:r>
        <w:rPr>
          <w:rFonts w:ascii="Arial" w:cs="Arial" w:eastAsia="Arial" w:hAnsi="Arial"/>
          <w:sz w:val="15"/>
          <w:szCs w:val="15"/>
          <w:color w:val="auto"/>
        </w:rPr>
        <w:t xml:space="preserve">If the Board acts in good faith they shall not incur any liability to the holders of shares conferring preferred rights for any loss they may suffer by the lawful payment of an interim dividend on any shares having deferred or non-preferred rights. </w:t>
      </w:r>
      <w:r>
        <w:rPr>
          <w:rFonts w:ascii="Arial" w:cs="Arial" w:eastAsia="Arial" w:hAnsi="Arial"/>
          <w:sz w:val="15"/>
          <w:szCs w:val="15"/>
          <w:color w:val="auto"/>
          <w:strike w:val="1"/>
        </w:rPr>
        <w:t>Where</w:t>
      </w:r>
      <w:r>
        <w:rPr>
          <w:rFonts w:ascii="Arial" w:cs="Arial" w:eastAsia="Arial" w:hAnsi="Arial"/>
          <w:sz w:val="15"/>
          <w:szCs w:val="15"/>
          <w:color w:val="auto"/>
        </w:rPr>
        <w:t xml:space="preserve"> </w:t>
      </w:r>
      <w:r>
        <w:rPr>
          <w:rFonts w:ascii="Arial" w:cs="Arial" w:eastAsia="Arial" w:hAnsi="Arial"/>
          <w:sz w:val="15"/>
          <w:szCs w:val="15"/>
          <w:color w:val="auto"/>
          <w:strike w:val="1"/>
        </w:rPr>
        <w:t>any distribution is satisfied wholly or partly by the distribution of assets, where any difficulty arises in regard to such distribution, the Directors may settle the same as they think fit and in particular (but without limitation) may issue fractional certificates (or ignore fractions) and fix the value for distribution of any assets, and may determine that cash shall be paid to any member on the basis of the value so fixed in order to adjust the rights of members, and may vest any assets in trustees.</w:t>
      </w:r>
    </w:p>
    <w:p>
      <w:pPr>
        <w:spacing w:after="0" w:line="69" w:lineRule="exact"/>
        <w:rPr>
          <w:sz w:val="20"/>
          <w:szCs w:val="20"/>
          <w:color w:val="auto"/>
        </w:rPr>
      </w:pPr>
    </w:p>
    <w:p>
      <w:pPr>
        <w:ind w:left="1200" w:right="1220" w:hanging="431"/>
        <w:spacing w:after="0" w:line="260" w:lineRule="auto"/>
        <w:rPr>
          <w:sz w:val="20"/>
          <w:szCs w:val="20"/>
          <w:color w:val="auto"/>
        </w:rPr>
      </w:pPr>
      <w:r>
        <w:rPr>
          <w:rFonts w:ascii="Arial" w:cs="Arial" w:eastAsia="Arial" w:hAnsi="Arial"/>
          <w:sz w:val="16"/>
          <w:szCs w:val="16"/>
          <w:color w:val="auto"/>
        </w:rPr>
        <w:t>38.5 Dividends may be declared and paid in any currency or currencies that the Board shall determine. The Board may also determine the exchange rate and the relevant date for determining the value of any dividend in any currency.</w:t>
      </w:r>
    </w:p>
    <w:p>
      <w:pPr>
        <w:spacing w:after="0" w:line="60" w:lineRule="exact"/>
        <w:rPr>
          <w:sz w:val="20"/>
          <w:szCs w:val="20"/>
          <w:color w:val="auto"/>
        </w:rPr>
      </w:pPr>
    </w:p>
    <w:p>
      <w:pPr>
        <w:ind w:left="1200" w:right="860" w:hanging="431"/>
        <w:spacing w:after="0" w:line="248" w:lineRule="auto"/>
        <w:rPr>
          <w:sz w:val="20"/>
          <w:szCs w:val="20"/>
          <w:color w:val="auto"/>
        </w:rPr>
      </w:pPr>
      <w:r>
        <w:rPr>
          <w:rFonts w:ascii="Arial" w:cs="Arial" w:eastAsia="Arial" w:hAnsi="Arial"/>
          <w:sz w:val="16"/>
          <w:szCs w:val="16"/>
          <w:color w:val="auto"/>
        </w:rPr>
        <w:t>38.6 Subject to the provisions of the Companies Act and except as otherwise provided by these Articles or the rights attached to shares, all dividends shall be declared and paid according to the amounts paid up on the shares on which the dividend is paid. If any share is issued on terms that it ranks for dividend as from a particular date, it shall rank for dividend accordingly In any other case (and except as aforesaid), dividends shall be apportioned and paid proportionately to the amounts paid up on the shares during any portion or portions of the period in respect of which the dividend is paid. For the purpose of this Article 38.6, an amount paid up on a share in advance of a call shall be treated, in relation to any dividend declared after the payment but before the call, as not paid up on the share.</w:t>
      </w:r>
    </w:p>
    <w:p>
      <w:pPr>
        <w:spacing w:after="0" w:line="87" w:lineRule="exact"/>
        <w:rPr>
          <w:sz w:val="20"/>
          <w:szCs w:val="20"/>
          <w:color w:val="auto"/>
        </w:rPr>
      </w:pPr>
    </w:p>
    <w:p>
      <w:pPr>
        <w:ind w:left="1200" w:right="920" w:hanging="431"/>
        <w:spacing w:after="0" w:line="269" w:lineRule="auto"/>
        <w:rPr>
          <w:sz w:val="20"/>
          <w:szCs w:val="20"/>
          <w:color w:val="auto"/>
        </w:rPr>
      </w:pPr>
      <w:r>
        <w:rPr>
          <w:rFonts w:ascii="Arial" w:cs="Arial" w:eastAsia="Arial" w:hAnsi="Arial"/>
          <w:sz w:val="15"/>
          <w:szCs w:val="15"/>
          <w:color w:val="auto"/>
        </w:rPr>
        <w:t xml:space="preserve">38.7 Subject to Article 38.8, a general meeting declaring a dividend may, upon the recommendation of the Board, by ordinary resolution direct that it shall be satisfied wholly or partly by the distribution of assets including without limitation paid up shares or debentures of another body corporate. Where any difficulty arises in regard to the distribution, the </w:t>
      </w:r>
      <w:r>
        <w:rPr>
          <w:rFonts w:ascii="Arial" w:cs="Arial" w:eastAsia="Arial" w:hAnsi="Arial"/>
          <w:sz w:val="15"/>
          <w:szCs w:val="15"/>
          <w:color w:val="auto"/>
          <w:strike w:val="1"/>
        </w:rPr>
        <w:t>Directors</w:t>
      </w:r>
      <w:r>
        <w:rPr>
          <w:rFonts w:ascii="Arial" w:cs="Arial" w:eastAsia="Arial" w:hAnsi="Arial"/>
          <w:sz w:val="15"/>
          <w:szCs w:val="15"/>
          <w:u w:val="single" w:color="auto"/>
          <w:color w:val="auto"/>
        </w:rPr>
        <w:t>Board</w:t>
      </w:r>
      <w:r>
        <w:rPr>
          <w:rFonts w:ascii="Arial" w:cs="Arial" w:eastAsia="Arial" w:hAnsi="Arial"/>
          <w:sz w:val="15"/>
          <w:szCs w:val="15"/>
          <w:color w:val="auto"/>
        </w:rPr>
        <w:t xml:space="preserve"> may settle the same as they think fit and in particular (but without limitation) may issue fractional certificates (or ignore fractions) and fix the value for distribution of any assets, and may determine that cash shall be paid to any member on the basis of the value so fixed in order to adjust the rights of members, and may vest any assets in trustees.</w:t>
      </w:r>
    </w:p>
    <w:p>
      <w:pPr>
        <w:spacing w:after="0" w:line="55" w:lineRule="exact"/>
        <w:rPr>
          <w:sz w:val="20"/>
          <w:szCs w:val="20"/>
          <w:color w:val="auto"/>
        </w:rPr>
      </w:pPr>
    </w:p>
    <w:p>
      <w:pPr>
        <w:jc w:val="both"/>
        <w:ind w:left="1200" w:right="940" w:hanging="431"/>
        <w:spacing w:after="0" w:line="278" w:lineRule="auto"/>
        <w:rPr>
          <w:sz w:val="20"/>
          <w:szCs w:val="20"/>
          <w:color w:val="auto"/>
        </w:rPr>
      </w:pPr>
      <w:r>
        <w:rPr>
          <w:rFonts w:ascii="Arial" w:cs="Arial" w:eastAsia="Arial" w:hAnsi="Arial"/>
          <w:sz w:val="15"/>
          <w:szCs w:val="15"/>
          <w:color w:val="auto"/>
        </w:rPr>
        <w:t xml:space="preserve">38.8 Unless otherwise recommended by </w:t>
      </w:r>
      <w:r>
        <w:rPr>
          <w:rFonts w:ascii="Arial" w:cs="Arial" w:eastAsia="Arial" w:hAnsi="Arial"/>
          <w:sz w:val="15"/>
          <w:szCs w:val="15"/>
          <w:color w:val="auto"/>
          <w:strike w:val="1"/>
        </w:rPr>
        <w:t>two-thirds of</w:t>
      </w:r>
      <w:r>
        <w:rPr>
          <w:rFonts w:ascii="Arial" w:cs="Arial" w:eastAsia="Arial" w:hAnsi="Arial"/>
          <w:sz w:val="15"/>
          <w:szCs w:val="15"/>
          <w:color w:val="auto"/>
        </w:rPr>
        <w:t xml:space="preserve"> the Board and approved by an ordinary resolution of the Company, where the securities of another body corporate are distributed, they must only be distributed to holders of Ordinary Shares on the basis that the holders of Ordinary Shares receive the identical class of securities on an equal per share basis.</w:t>
      </w:r>
    </w:p>
    <w:p>
      <w:pPr>
        <w:spacing w:after="0" w:line="49" w:lineRule="exact"/>
        <w:rPr>
          <w:sz w:val="20"/>
          <w:szCs w:val="20"/>
          <w:color w:val="auto"/>
        </w:rPr>
      </w:pPr>
    </w:p>
    <w:p>
      <w:pPr>
        <w:ind w:left="760"/>
        <w:spacing w:after="0"/>
        <w:rPr>
          <w:sz w:val="20"/>
          <w:szCs w:val="20"/>
          <w:color w:val="auto"/>
        </w:rPr>
      </w:pPr>
      <w:r>
        <w:rPr>
          <w:rFonts w:ascii="Arial" w:cs="Arial" w:eastAsia="Arial" w:hAnsi="Arial"/>
          <w:sz w:val="16"/>
          <w:szCs w:val="16"/>
          <w:color w:val="auto"/>
        </w:rPr>
        <w:t>38.9  Any dividend or other money payable in respect of a share may be paid:</w:t>
      </w:r>
    </w:p>
    <w:p>
      <w:pPr>
        <w:spacing w:after="0" w:line="100" w:lineRule="exact"/>
        <w:rPr>
          <w:sz w:val="20"/>
          <w:szCs w:val="20"/>
          <w:color w:val="auto"/>
        </w:rPr>
      </w:pPr>
    </w:p>
    <w:p>
      <w:pPr>
        <w:ind w:left="1620" w:hanging="424"/>
        <w:spacing w:after="0"/>
        <w:tabs>
          <w:tab w:leader="none" w:pos="1620" w:val="left"/>
        </w:tabs>
        <w:numPr>
          <w:ilvl w:val="0"/>
          <w:numId w:val="192"/>
        </w:numPr>
        <w:rPr>
          <w:rFonts w:ascii="Arial" w:cs="Arial" w:eastAsia="Arial" w:hAnsi="Arial"/>
          <w:sz w:val="16"/>
          <w:szCs w:val="16"/>
          <w:color w:val="auto"/>
        </w:rPr>
      </w:pPr>
      <w:r>
        <w:rPr>
          <w:rFonts w:ascii="Arial" w:cs="Arial" w:eastAsia="Arial" w:hAnsi="Arial"/>
          <w:sz w:val="16"/>
          <w:szCs w:val="16"/>
          <w:color w:val="auto"/>
        </w:rPr>
        <w:t>in cash;</w:t>
      </w:r>
    </w:p>
    <w:p>
      <w:pPr>
        <w:spacing w:after="0" w:line="86" w:lineRule="exact"/>
        <w:rPr>
          <w:rFonts w:ascii="Arial" w:cs="Arial" w:eastAsia="Arial" w:hAnsi="Arial"/>
          <w:sz w:val="16"/>
          <w:szCs w:val="16"/>
          <w:color w:val="auto"/>
        </w:rPr>
      </w:pPr>
    </w:p>
    <w:p>
      <w:pPr>
        <w:ind w:left="1620" w:hanging="424"/>
        <w:spacing w:after="0"/>
        <w:tabs>
          <w:tab w:leader="none" w:pos="1620" w:val="left"/>
        </w:tabs>
        <w:numPr>
          <w:ilvl w:val="0"/>
          <w:numId w:val="192"/>
        </w:numPr>
        <w:rPr>
          <w:rFonts w:ascii="Arial" w:cs="Arial" w:eastAsia="Arial" w:hAnsi="Arial"/>
          <w:sz w:val="16"/>
          <w:szCs w:val="16"/>
          <w:color w:val="auto"/>
        </w:rPr>
      </w:pPr>
      <w:r>
        <w:rPr>
          <w:rFonts w:ascii="Arial" w:cs="Arial" w:eastAsia="Arial" w:hAnsi="Arial"/>
          <w:sz w:val="16"/>
          <w:szCs w:val="16"/>
          <w:color w:val="auto"/>
        </w:rPr>
        <w:t>by cheque or warrant made payable to or to the order of the holder or person entitled to payment;</w:t>
      </w:r>
    </w:p>
    <w:p>
      <w:pPr>
        <w:spacing w:after="0" w:line="86" w:lineRule="exact"/>
        <w:rPr>
          <w:rFonts w:ascii="Arial" w:cs="Arial" w:eastAsia="Arial" w:hAnsi="Arial"/>
          <w:sz w:val="16"/>
          <w:szCs w:val="16"/>
          <w:color w:val="auto"/>
        </w:rPr>
      </w:pPr>
    </w:p>
    <w:p>
      <w:pPr>
        <w:ind w:left="1620" w:right="1020" w:hanging="424"/>
        <w:spacing w:after="0" w:line="260" w:lineRule="auto"/>
        <w:tabs>
          <w:tab w:leader="none" w:pos="1620" w:val="left"/>
        </w:tabs>
        <w:numPr>
          <w:ilvl w:val="0"/>
          <w:numId w:val="192"/>
        </w:numPr>
        <w:rPr>
          <w:rFonts w:ascii="Arial" w:cs="Arial" w:eastAsia="Arial" w:hAnsi="Arial"/>
          <w:sz w:val="16"/>
          <w:szCs w:val="16"/>
          <w:color w:val="auto"/>
        </w:rPr>
      </w:pPr>
      <w:r>
        <w:rPr>
          <w:rFonts w:ascii="Arial" w:cs="Arial" w:eastAsia="Arial" w:hAnsi="Arial"/>
          <w:sz w:val="16"/>
          <w:szCs w:val="16"/>
          <w:color w:val="auto"/>
        </w:rPr>
        <w:t>by direct debit, bank or other funds transfer system to the holder or person entitled to payment or, if practicable, to a person designated by notice to the Company by the holder or person entitled to payment; or</w:t>
      </w:r>
    </w:p>
    <w:p>
      <w:pPr>
        <w:spacing w:after="0" w:line="73" w:lineRule="exact"/>
        <w:rPr>
          <w:rFonts w:ascii="Arial" w:cs="Arial" w:eastAsia="Arial" w:hAnsi="Arial"/>
          <w:sz w:val="16"/>
          <w:szCs w:val="16"/>
          <w:color w:val="auto"/>
        </w:rPr>
      </w:pPr>
    </w:p>
    <w:p>
      <w:pPr>
        <w:ind w:left="1620" w:right="1160" w:hanging="424"/>
        <w:spacing w:after="0" w:line="260" w:lineRule="auto"/>
        <w:tabs>
          <w:tab w:leader="none" w:pos="1620" w:val="left"/>
        </w:tabs>
        <w:numPr>
          <w:ilvl w:val="0"/>
          <w:numId w:val="192"/>
        </w:numPr>
        <w:rPr>
          <w:rFonts w:ascii="Arial" w:cs="Arial" w:eastAsia="Arial" w:hAnsi="Arial"/>
          <w:sz w:val="16"/>
          <w:szCs w:val="16"/>
          <w:color w:val="auto"/>
        </w:rPr>
      </w:pPr>
      <w:r>
        <w:rPr>
          <w:rFonts w:ascii="Arial" w:cs="Arial" w:eastAsia="Arial" w:hAnsi="Arial"/>
          <w:sz w:val="16"/>
          <w:szCs w:val="16"/>
          <w:color w:val="auto"/>
        </w:rPr>
        <w:t>by any other method approved by the Board and agreed (in such form as the Company thinks appropriate) by the holder or person entitled to payment.</w:t>
      </w:r>
    </w:p>
    <w:p>
      <w:pPr>
        <w:spacing w:after="0" w:line="74" w:lineRule="exact"/>
        <w:rPr>
          <w:sz w:val="20"/>
          <w:szCs w:val="20"/>
          <w:color w:val="auto"/>
        </w:rPr>
      </w:pPr>
    </w:p>
    <w:p>
      <w:pPr>
        <w:ind w:left="1200" w:right="980"/>
        <w:spacing w:after="0" w:line="260" w:lineRule="auto"/>
        <w:rPr>
          <w:sz w:val="20"/>
          <w:szCs w:val="20"/>
          <w:color w:val="auto"/>
        </w:rPr>
      </w:pPr>
      <w:r>
        <w:rPr>
          <w:rFonts w:ascii="Arial" w:cs="Arial" w:eastAsia="Arial" w:hAnsi="Arial"/>
          <w:sz w:val="16"/>
          <w:szCs w:val="16"/>
          <w:color w:val="auto"/>
        </w:rPr>
        <w:t>For uncertificated shares, any payment may be made by means of the relevant system (subject always to the facilities and requirements of the relevant system) and such payment may be made by the Company or any other person on its</w:t>
      </w:r>
    </w:p>
    <w:p>
      <w:pPr>
        <w:spacing w:after="0" w:line="279" w:lineRule="exact"/>
        <w:rPr>
          <w:sz w:val="20"/>
          <w:szCs w:val="20"/>
          <w:color w:val="auto"/>
        </w:rPr>
      </w:pPr>
    </w:p>
    <w:tbl>
      <w:tblPr>
        <w:tblLayout w:type="fixed"/>
        <w:tblInd w:w="0" w:type="dxa"/>
        <w:tblCellMar>
          <w:top w:w="0" w:type="dxa"/>
          <w:left w:w="0" w:type="dxa"/>
          <w:bottom w:w="0" w:type="dxa"/>
          <w:right w:w="0" w:type="dxa"/>
        </w:tblCellMar>
      </w:tblPr>
      <w:tr>
        <w:trPr>
          <w:trHeight w:val="116"/>
        </w:trPr>
        <w:tc>
          <w:tcPr>
            <w:tcW w:w="800" w:type="dxa"/>
            <w:vAlign w:val="bottom"/>
            <w:vMerge w:val="restart"/>
          </w:tcPr>
          <w:p>
            <w:pPr>
              <w:spacing w:after="0"/>
              <w:rPr>
                <w:sz w:val="10"/>
                <w:szCs w:val="10"/>
                <w:color w:val="auto"/>
              </w:rPr>
            </w:pPr>
          </w:p>
        </w:tc>
        <w:tc>
          <w:tcPr>
            <w:tcW w:w="3060" w:type="dxa"/>
            <w:vAlign w:val="bottom"/>
            <w:tcBorders>
              <w:bottom w:val="single" w:sz="8" w:color="auto"/>
            </w:tcBorders>
          </w:tcPr>
          <w:p>
            <w:pPr>
              <w:spacing w:after="0"/>
              <w:rPr>
                <w:sz w:val="10"/>
                <w:szCs w:val="10"/>
                <w:color w:val="auto"/>
              </w:rPr>
            </w:pPr>
          </w:p>
        </w:tc>
        <w:tc>
          <w:tcPr>
            <w:tcW w:w="2740" w:type="dxa"/>
            <w:vAlign w:val="bottom"/>
            <w:vMerge w:val="restart"/>
          </w:tcPr>
          <w:p>
            <w:pPr>
              <w:ind w:left="380"/>
              <w:spacing w:after="0"/>
              <w:rPr>
                <w:sz w:val="20"/>
                <w:szCs w:val="20"/>
                <w:color w:val="auto"/>
              </w:rPr>
            </w:pPr>
            <w:r>
              <w:rPr>
                <w:rFonts w:ascii="Arial" w:cs="Arial" w:eastAsia="Arial" w:hAnsi="Arial"/>
                <w:sz w:val="13"/>
                <w:szCs w:val="13"/>
                <w:b w:val="1"/>
                <w:bCs w:val="1"/>
                <w:color w:val="4800E6"/>
              </w:rPr>
              <w:t xml:space="preserve">LIVANOVA </w:t>
            </w:r>
            <w:r>
              <w:rPr>
                <w:rFonts w:ascii="Arial" w:cs="Arial" w:eastAsia="Arial" w:hAnsi="Arial"/>
                <w:sz w:val="13"/>
                <w:szCs w:val="13"/>
                <w:color w:val="000000"/>
              </w:rPr>
              <w:t>|</w:t>
            </w:r>
            <w:r>
              <w:rPr>
                <w:rFonts w:ascii="Arial" w:cs="Arial" w:eastAsia="Arial" w:hAnsi="Arial"/>
                <w:sz w:val="13"/>
                <w:szCs w:val="13"/>
                <w:b w:val="1"/>
                <w:bCs w:val="1"/>
                <w:color w:val="4800E6"/>
              </w:rPr>
              <w:t xml:space="preserve"> </w:t>
            </w:r>
            <w:r>
              <w:rPr>
                <w:rFonts w:ascii="Arial" w:cs="Arial" w:eastAsia="Arial" w:hAnsi="Arial"/>
                <w:sz w:val="13"/>
                <w:szCs w:val="13"/>
                <w:color w:val="4800E6"/>
              </w:rPr>
              <w:t>2020</w:t>
            </w:r>
            <w:r>
              <w:rPr>
                <w:rFonts w:ascii="Arial" w:cs="Arial" w:eastAsia="Arial" w:hAnsi="Arial"/>
                <w:sz w:val="13"/>
                <w:szCs w:val="13"/>
                <w:b w:val="1"/>
                <w:bCs w:val="1"/>
                <w:color w:val="4800E6"/>
              </w:rPr>
              <w:t xml:space="preserve"> </w:t>
            </w:r>
            <w:r>
              <w:rPr>
                <w:rFonts w:ascii="Arial" w:cs="Arial" w:eastAsia="Arial" w:hAnsi="Arial"/>
                <w:sz w:val="13"/>
                <w:szCs w:val="13"/>
                <w:color w:val="000000"/>
              </w:rPr>
              <w:t>Proxy Statement</w:t>
            </w:r>
          </w:p>
        </w:tc>
        <w:tc>
          <w:tcPr>
            <w:tcW w:w="3080" w:type="dxa"/>
            <w:vAlign w:val="bottom"/>
            <w:tcBorders>
              <w:bottom w:val="single" w:sz="8" w:color="auto"/>
            </w:tcBorders>
          </w:tcPr>
          <w:p>
            <w:pPr>
              <w:spacing w:after="0"/>
              <w:rPr>
                <w:sz w:val="10"/>
                <w:szCs w:val="10"/>
                <w:color w:val="auto"/>
              </w:rPr>
            </w:pPr>
          </w:p>
        </w:tc>
        <w:tc>
          <w:tcPr>
            <w:tcW w:w="1040" w:type="dxa"/>
            <w:vAlign w:val="bottom"/>
            <w:vMerge w:val="restart"/>
          </w:tcPr>
          <w:p>
            <w:pPr>
              <w:ind w:left="200"/>
              <w:spacing w:after="0"/>
              <w:rPr>
                <w:sz w:val="20"/>
                <w:szCs w:val="20"/>
                <w:color w:val="auto"/>
              </w:rPr>
            </w:pPr>
            <w:r>
              <w:rPr>
                <w:rFonts w:ascii="Arial" w:cs="Arial" w:eastAsia="Arial" w:hAnsi="Arial"/>
                <w:sz w:val="14"/>
                <w:szCs w:val="14"/>
                <w:b w:val="1"/>
                <w:bCs w:val="1"/>
                <w:color w:val="auto"/>
              </w:rPr>
              <w:t>A-31</w:t>
            </w:r>
          </w:p>
        </w:tc>
        <w:tc>
          <w:tcPr>
            <w:tcW w:w="0" w:type="dxa"/>
            <w:vAlign w:val="bottom"/>
          </w:tcPr>
          <w:p>
            <w:pPr>
              <w:spacing w:after="0"/>
              <w:rPr>
                <w:sz w:val="1"/>
                <w:szCs w:val="1"/>
                <w:color w:val="auto"/>
              </w:rPr>
            </w:pPr>
          </w:p>
        </w:tc>
      </w:tr>
      <w:tr>
        <w:trPr>
          <w:trHeight w:val="63"/>
        </w:trPr>
        <w:tc>
          <w:tcPr>
            <w:tcW w:w="800" w:type="dxa"/>
            <w:vAlign w:val="bottom"/>
            <w:vMerge w:val="continue"/>
          </w:tcPr>
          <w:p>
            <w:pPr>
              <w:spacing w:after="0"/>
              <w:rPr>
                <w:sz w:val="5"/>
                <w:szCs w:val="5"/>
                <w:color w:val="auto"/>
              </w:rPr>
            </w:pPr>
          </w:p>
        </w:tc>
        <w:tc>
          <w:tcPr>
            <w:tcW w:w="3060" w:type="dxa"/>
            <w:vAlign w:val="bottom"/>
          </w:tcPr>
          <w:p>
            <w:pPr>
              <w:spacing w:after="0"/>
              <w:rPr>
                <w:sz w:val="5"/>
                <w:szCs w:val="5"/>
                <w:color w:val="auto"/>
              </w:rPr>
            </w:pPr>
          </w:p>
        </w:tc>
        <w:tc>
          <w:tcPr>
            <w:tcW w:w="2740" w:type="dxa"/>
            <w:vAlign w:val="bottom"/>
            <w:vMerge w:val="continue"/>
          </w:tcPr>
          <w:p>
            <w:pPr>
              <w:spacing w:after="0"/>
              <w:rPr>
                <w:sz w:val="5"/>
                <w:szCs w:val="5"/>
                <w:color w:val="auto"/>
              </w:rPr>
            </w:pPr>
          </w:p>
        </w:tc>
        <w:tc>
          <w:tcPr>
            <w:tcW w:w="3080" w:type="dxa"/>
            <w:vAlign w:val="bottom"/>
          </w:tcPr>
          <w:p>
            <w:pPr>
              <w:spacing w:after="0"/>
              <w:rPr>
                <w:sz w:val="5"/>
                <w:szCs w:val="5"/>
                <w:color w:val="auto"/>
              </w:rPr>
            </w:pPr>
          </w:p>
        </w:tc>
        <w:tc>
          <w:tcPr>
            <w:tcW w:w="104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40"/>
        </w:trPr>
        <w:tc>
          <w:tcPr>
            <w:tcW w:w="800" w:type="dxa"/>
            <w:vAlign w:val="bottom"/>
            <w:tcBorders>
              <w:bottom w:val="single" w:sz="8" w:color="9A9A9A"/>
            </w:tcBorders>
          </w:tcPr>
          <w:p>
            <w:pPr>
              <w:spacing w:after="0"/>
              <w:rPr>
                <w:sz w:val="12"/>
                <w:szCs w:val="12"/>
                <w:color w:val="auto"/>
              </w:rPr>
            </w:pPr>
          </w:p>
        </w:tc>
        <w:tc>
          <w:tcPr>
            <w:tcW w:w="3060" w:type="dxa"/>
            <w:vAlign w:val="bottom"/>
            <w:tcBorders>
              <w:bottom w:val="single" w:sz="8" w:color="9A9A9A"/>
            </w:tcBorders>
          </w:tcPr>
          <w:p>
            <w:pPr>
              <w:spacing w:after="0"/>
              <w:rPr>
                <w:sz w:val="12"/>
                <w:szCs w:val="12"/>
                <w:color w:val="auto"/>
              </w:rPr>
            </w:pPr>
          </w:p>
        </w:tc>
        <w:tc>
          <w:tcPr>
            <w:tcW w:w="2740" w:type="dxa"/>
            <w:vAlign w:val="bottom"/>
            <w:tcBorders>
              <w:bottom w:val="single" w:sz="8" w:color="9A9A9A"/>
            </w:tcBorders>
          </w:tcPr>
          <w:p>
            <w:pPr>
              <w:spacing w:after="0"/>
              <w:rPr>
                <w:sz w:val="12"/>
                <w:szCs w:val="12"/>
                <w:color w:val="auto"/>
              </w:rPr>
            </w:pPr>
          </w:p>
        </w:tc>
        <w:tc>
          <w:tcPr>
            <w:tcW w:w="3080" w:type="dxa"/>
            <w:vAlign w:val="bottom"/>
            <w:tcBorders>
              <w:bottom w:val="single" w:sz="8" w:color="9A9A9A"/>
            </w:tcBorders>
          </w:tcPr>
          <w:p>
            <w:pPr>
              <w:spacing w:after="0"/>
              <w:rPr>
                <w:sz w:val="12"/>
                <w:szCs w:val="12"/>
                <w:color w:val="auto"/>
              </w:rPr>
            </w:pPr>
          </w:p>
        </w:tc>
        <w:tc>
          <w:tcPr>
            <w:tcW w:w="1040" w:type="dxa"/>
            <w:vAlign w:val="bottom"/>
            <w:tcBorders>
              <w:bottom w:val="single" w:sz="8" w:color="9A9A9A"/>
            </w:tcBorders>
          </w:tcPr>
          <w:p>
            <w:pPr>
              <w:spacing w:after="0"/>
              <w:rPr>
                <w:sz w:val="12"/>
                <w:szCs w:val="12"/>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6802755</wp:posOffset>
            </wp:positionH>
            <wp:positionV relativeFrom="paragraph">
              <wp:posOffset>-7620</wp:posOffset>
            </wp:positionV>
            <wp:extent cx="8255" cy="8255"/>
            <wp:wrapNone/>
            <wp:docPr id="470" name="Picture 4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0"/>
                    <pic:cNvPicPr>
                      <a:picLocks noChangeAspect="1" noChangeArrowheads="1"/>
                    </pic:cNvPicPr>
                  </pic:nvPicPr>
                  <pic:blipFill>
                    <a:blip r:embed="rId47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wp:posOffset>
            </wp:positionV>
            <wp:extent cx="8890" cy="17145"/>
            <wp:wrapNone/>
            <wp:docPr id="471" name="Picture 4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1"/>
                    <pic:cNvPicPr>
                      <a:picLocks noChangeAspect="1" noChangeArrowheads="1"/>
                    </pic:cNvPicPr>
                  </pic:nvPicPr>
                  <pic:blipFill>
                    <a:blip r:embed="rId478">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sectPr>
          <w:pgSz w:w="11900" w:h="16838" w:orient="portrait"/>
          <w:cols w:equalWidth="0" w:num="1">
            <w:col w:w="10720"/>
          </w:cols>
          <w:pgMar w:left="320" w:top="131" w:right="859" w:bottom="1440" w:gutter="0" w:footer="0" w:header="0"/>
        </w:sectPr>
      </w:pPr>
    </w:p>
    <w:bookmarkStart w:id="110" w:name="page111"/>
    <w:bookmarkEnd w:id="110"/>
    <w:p>
      <w:pPr>
        <w:spacing w:after="0"/>
        <w:rPr>
          <w:rFonts w:ascii="Arial" w:cs="Arial" w:eastAsia="Arial" w:hAnsi="Arial"/>
          <w:sz w:val="14"/>
          <w:szCs w:val="14"/>
          <w:color w:val="003366"/>
        </w:rPr>
      </w:pPr>
      <w:hyperlink w:anchor="page77">
        <w:r>
          <w:rPr>
            <w:rFonts w:ascii="Arial" w:cs="Arial" w:eastAsia="Arial" w:hAnsi="Arial"/>
            <w:sz w:val="14"/>
            <w:szCs w:val="14"/>
            <w:color w:val="003366"/>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485140</wp:posOffset>
            </wp:positionH>
            <wp:positionV relativeFrom="paragraph">
              <wp:posOffset>356870</wp:posOffset>
            </wp:positionV>
            <wp:extent cx="5829300" cy="8255"/>
            <wp:wrapNone/>
            <wp:docPr id="472" name="Picture 4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2"/>
                    <pic:cNvPicPr>
                      <a:picLocks noChangeAspect="1" noChangeArrowheads="1"/>
                    </pic:cNvPicPr>
                  </pic:nvPicPr>
                  <pic:blipFill>
                    <a:blip r:embed="rId479">
                      <a:extLst>
                        <a:ext uri="{28A0092B-C50C-407E-A947-70E740481C1C}"/>
                      </a:extLst>
                    </a:blip>
                    <a:srcRect/>
                    <a:stretch>
                      <a:fillRect/>
                    </a:stretch>
                  </pic:blipFill>
                  <pic:spPr bwMode="auto">
                    <a:xfrm>
                      <a:off x="0" y="0"/>
                      <a:ext cx="582930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ind w:left="1200" w:right="319"/>
        <w:spacing w:after="0" w:line="253" w:lineRule="auto"/>
        <w:rPr>
          <w:sz w:val="20"/>
          <w:szCs w:val="20"/>
          <w:color w:val="auto"/>
        </w:rPr>
      </w:pPr>
      <w:r>
        <w:rPr>
          <w:rFonts w:ascii="Arial" w:cs="Arial" w:eastAsia="Arial" w:hAnsi="Arial"/>
          <w:sz w:val="16"/>
          <w:szCs w:val="16"/>
          <w:color w:val="auto"/>
        </w:rPr>
        <w:t xml:space="preserve">behalf sending an instruction to the </w:t>
      </w:r>
      <w:r>
        <w:rPr>
          <w:rFonts w:ascii="Arial" w:cs="Arial" w:eastAsia="Arial" w:hAnsi="Arial"/>
          <w:sz w:val="16"/>
          <w:szCs w:val="16"/>
          <w:color w:val="auto"/>
          <w:strike w:val="1"/>
        </w:rPr>
        <w:t>operator of the relevant system</w:t>
      </w:r>
      <w:r>
        <w:rPr>
          <w:rFonts w:ascii="Arial" w:cs="Arial" w:eastAsia="Arial" w:hAnsi="Arial"/>
          <w:sz w:val="16"/>
          <w:szCs w:val="16"/>
          <w:u w:val="single" w:color="auto"/>
          <w:color w:val="auto"/>
        </w:rPr>
        <w:t>Operator</w:t>
      </w:r>
      <w:r>
        <w:rPr>
          <w:rFonts w:ascii="Arial" w:cs="Arial" w:eastAsia="Arial" w:hAnsi="Arial"/>
          <w:sz w:val="16"/>
          <w:szCs w:val="16"/>
          <w:color w:val="auto"/>
        </w:rPr>
        <w:t xml:space="preserve"> to credit the cash memorandum account of the holder or joint holder of such shares or, if permitted by the Company, of such person as the holder or joint holders may in writing direct.</w:t>
      </w:r>
    </w:p>
    <w:p>
      <w:pPr>
        <w:spacing w:after="0" w:line="80" w:lineRule="exact"/>
        <w:rPr>
          <w:sz w:val="20"/>
          <w:szCs w:val="20"/>
          <w:color w:val="auto"/>
        </w:rPr>
      </w:pPr>
    </w:p>
    <w:p>
      <w:pPr>
        <w:ind w:left="760"/>
        <w:spacing w:after="0"/>
        <w:rPr>
          <w:sz w:val="20"/>
          <w:szCs w:val="20"/>
          <w:color w:val="auto"/>
        </w:rPr>
      </w:pPr>
      <w:r>
        <w:rPr>
          <w:rFonts w:ascii="Arial" w:cs="Arial" w:eastAsia="Arial" w:hAnsi="Arial"/>
          <w:sz w:val="16"/>
          <w:szCs w:val="16"/>
          <w:color w:val="auto"/>
        </w:rPr>
        <w:t>38.10 If two or more persons are registered as joint holders of any share, or are entitled by transmission jointly to a share, the</w:t>
      </w:r>
    </w:p>
    <w:p>
      <w:pPr>
        <w:spacing w:after="0" w:line="5" w:lineRule="exact"/>
        <w:rPr>
          <w:sz w:val="20"/>
          <w:szCs w:val="20"/>
          <w:color w:val="auto"/>
        </w:rPr>
      </w:pPr>
    </w:p>
    <w:p>
      <w:pPr>
        <w:ind w:left="1200"/>
        <w:spacing w:after="0"/>
        <w:rPr>
          <w:sz w:val="20"/>
          <w:szCs w:val="20"/>
          <w:color w:val="auto"/>
        </w:rPr>
      </w:pPr>
      <w:r>
        <w:rPr>
          <w:rFonts w:ascii="Arial" w:cs="Arial" w:eastAsia="Arial" w:hAnsi="Arial"/>
          <w:sz w:val="16"/>
          <w:szCs w:val="16"/>
          <w:color w:val="auto"/>
        </w:rPr>
        <w:t>Company may:</w:t>
      </w:r>
    </w:p>
    <w:p>
      <w:pPr>
        <w:spacing w:after="0" w:line="100" w:lineRule="exact"/>
        <w:rPr>
          <w:sz w:val="20"/>
          <w:szCs w:val="20"/>
          <w:color w:val="auto"/>
        </w:rPr>
      </w:pPr>
    </w:p>
    <w:p>
      <w:pPr>
        <w:ind w:left="1620" w:right="399" w:hanging="424"/>
        <w:spacing w:after="0" w:line="260" w:lineRule="auto"/>
        <w:tabs>
          <w:tab w:leader="none" w:pos="1620" w:val="left"/>
        </w:tabs>
        <w:numPr>
          <w:ilvl w:val="0"/>
          <w:numId w:val="193"/>
        </w:numPr>
        <w:rPr>
          <w:rFonts w:ascii="Arial" w:cs="Arial" w:eastAsia="Arial" w:hAnsi="Arial"/>
          <w:sz w:val="16"/>
          <w:szCs w:val="16"/>
          <w:color w:val="auto"/>
        </w:rPr>
      </w:pPr>
      <w:r>
        <w:rPr>
          <w:rFonts w:ascii="Arial" w:cs="Arial" w:eastAsia="Arial" w:hAnsi="Arial"/>
          <w:sz w:val="16"/>
          <w:szCs w:val="16"/>
          <w:color w:val="auto"/>
        </w:rPr>
        <w:t>pay any dividend or other moneys payable in respect of the share to any one of them and any one of them may give effectual receipt for the payment; and</w:t>
      </w:r>
    </w:p>
    <w:p>
      <w:pPr>
        <w:spacing w:after="0" w:line="60" w:lineRule="exact"/>
        <w:rPr>
          <w:rFonts w:ascii="Arial" w:cs="Arial" w:eastAsia="Arial" w:hAnsi="Arial"/>
          <w:sz w:val="16"/>
          <w:szCs w:val="16"/>
          <w:color w:val="auto"/>
        </w:rPr>
      </w:pPr>
    </w:p>
    <w:p>
      <w:pPr>
        <w:ind w:left="1620" w:right="559" w:hanging="424"/>
        <w:spacing w:after="0" w:line="260" w:lineRule="auto"/>
        <w:tabs>
          <w:tab w:leader="none" w:pos="1620" w:val="left"/>
        </w:tabs>
        <w:numPr>
          <w:ilvl w:val="0"/>
          <w:numId w:val="193"/>
        </w:numPr>
        <w:rPr>
          <w:rFonts w:ascii="Arial" w:cs="Arial" w:eastAsia="Arial" w:hAnsi="Arial"/>
          <w:sz w:val="16"/>
          <w:szCs w:val="16"/>
          <w:color w:val="auto"/>
        </w:rPr>
      </w:pPr>
      <w:r>
        <w:rPr>
          <w:rFonts w:ascii="Arial" w:cs="Arial" w:eastAsia="Arial" w:hAnsi="Arial"/>
          <w:sz w:val="16"/>
          <w:szCs w:val="16"/>
          <w:color w:val="auto"/>
        </w:rPr>
        <w:t>for the purpose of Article 38.9, rely in relation to the share on the written direction, designation or agreement of, or notice to the Company by, any one of them.</w:t>
      </w:r>
    </w:p>
    <w:p>
      <w:pPr>
        <w:spacing w:after="0" w:line="74" w:lineRule="exact"/>
        <w:rPr>
          <w:sz w:val="20"/>
          <w:szCs w:val="20"/>
          <w:color w:val="auto"/>
        </w:rPr>
      </w:pPr>
    </w:p>
    <w:p>
      <w:pPr>
        <w:ind w:left="760"/>
        <w:spacing w:after="0"/>
        <w:rPr>
          <w:sz w:val="20"/>
          <w:szCs w:val="20"/>
          <w:color w:val="auto"/>
        </w:rPr>
      </w:pPr>
      <w:r>
        <w:rPr>
          <w:rFonts w:ascii="Arial" w:cs="Arial" w:eastAsia="Arial" w:hAnsi="Arial"/>
          <w:sz w:val="16"/>
          <w:szCs w:val="16"/>
          <w:color w:val="auto"/>
        </w:rPr>
        <w:t>38.11 A cheque or warrant may be sent by post:</w:t>
      </w:r>
    </w:p>
    <w:p>
      <w:pPr>
        <w:spacing w:after="0" w:line="100" w:lineRule="exact"/>
        <w:rPr>
          <w:sz w:val="20"/>
          <w:szCs w:val="20"/>
          <w:color w:val="auto"/>
        </w:rPr>
      </w:pPr>
    </w:p>
    <w:p>
      <w:pPr>
        <w:ind w:left="1620" w:hanging="424"/>
        <w:spacing w:after="0"/>
        <w:tabs>
          <w:tab w:leader="none" w:pos="1620" w:val="left"/>
        </w:tabs>
        <w:numPr>
          <w:ilvl w:val="0"/>
          <w:numId w:val="194"/>
        </w:numPr>
        <w:rPr>
          <w:rFonts w:ascii="Arial" w:cs="Arial" w:eastAsia="Arial" w:hAnsi="Arial"/>
          <w:sz w:val="16"/>
          <w:szCs w:val="16"/>
          <w:color w:val="auto"/>
        </w:rPr>
      </w:pPr>
      <w:r>
        <w:rPr>
          <w:rFonts w:ascii="Arial" w:cs="Arial" w:eastAsia="Arial" w:hAnsi="Arial"/>
          <w:sz w:val="16"/>
          <w:szCs w:val="16"/>
          <w:color w:val="auto"/>
        </w:rPr>
        <w:t>where a share is held by a sole holder, to the registered address of the holder of the share;</w:t>
      </w:r>
    </w:p>
    <w:p>
      <w:pPr>
        <w:spacing w:after="0" w:line="86" w:lineRule="exact"/>
        <w:rPr>
          <w:rFonts w:ascii="Arial" w:cs="Arial" w:eastAsia="Arial" w:hAnsi="Arial"/>
          <w:sz w:val="16"/>
          <w:szCs w:val="16"/>
          <w:color w:val="auto"/>
        </w:rPr>
      </w:pPr>
    </w:p>
    <w:p>
      <w:pPr>
        <w:ind w:left="1620" w:right="399" w:hanging="424"/>
        <w:spacing w:after="0" w:line="260" w:lineRule="auto"/>
        <w:tabs>
          <w:tab w:leader="none" w:pos="1620" w:val="left"/>
        </w:tabs>
        <w:numPr>
          <w:ilvl w:val="0"/>
          <w:numId w:val="194"/>
        </w:numPr>
        <w:rPr>
          <w:rFonts w:ascii="Arial" w:cs="Arial" w:eastAsia="Arial" w:hAnsi="Arial"/>
          <w:sz w:val="16"/>
          <w:szCs w:val="16"/>
          <w:color w:val="auto"/>
        </w:rPr>
      </w:pPr>
      <w:r>
        <w:rPr>
          <w:rFonts w:ascii="Arial" w:cs="Arial" w:eastAsia="Arial" w:hAnsi="Arial"/>
          <w:sz w:val="16"/>
          <w:szCs w:val="16"/>
          <w:color w:val="auto"/>
        </w:rPr>
        <w:t xml:space="preserve">if two or more persons are the holders of the share, to the registered address of the person who is first named in the register </w:t>
      </w:r>
      <w:r>
        <w:rPr>
          <w:rFonts w:ascii="Arial" w:cs="Arial" w:eastAsia="Arial" w:hAnsi="Arial"/>
          <w:sz w:val="16"/>
          <w:szCs w:val="16"/>
          <w:color w:val="auto"/>
          <w:strike w:val="1"/>
        </w:rPr>
        <w:t>of members</w:t>
      </w:r>
      <w:r>
        <w:rPr>
          <w:rFonts w:ascii="Arial" w:cs="Arial" w:eastAsia="Arial" w:hAnsi="Arial"/>
          <w:sz w:val="16"/>
          <w:szCs w:val="16"/>
          <w:color w:val="auto"/>
        </w:rPr>
        <w:t>;</w:t>
      </w:r>
    </w:p>
    <w:p>
      <w:pPr>
        <w:spacing w:after="0" w:line="73" w:lineRule="exact"/>
        <w:rPr>
          <w:rFonts w:ascii="Arial" w:cs="Arial" w:eastAsia="Arial" w:hAnsi="Arial"/>
          <w:sz w:val="16"/>
          <w:szCs w:val="16"/>
          <w:color w:val="auto"/>
        </w:rPr>
      </w:pPr>
    </w:p>
    <w:p>
      <w:pPr>
        <w:ind w:left="1620" w:right="419" w:hanging="424"/>
        <w:spacing w:after="0" w:line="260" w:lineRule="auto"/>
        <w:tabs>
          <w:tab w:leader="none" w:pos="1620" w:val="left"/>
        </w:tabs>
        <w:numPr>
          <w:ilvl w:val="0"/>
          <w:numId w:val="194"/>
        </w:numPr>
        <w:rPr>
          <w:rFonts w:ascii="Arial" w:cs="Arial" w:eastAsia="Arial" w:hAnsi="Arial"/>
          <w:sz w:val="16"/>
          <w:szCs w:val="16"/>
          <w:color w:val="auto"/>
        </w:rPr>
      </w:pPr>
      <w:r>
        <w:rPr>
          <w:rFonts w:ascii="Arial" w:cs="Arial" w:eastAsia="Arial" w:hAnsi="Arial"/>
          <w:sz w:val="16"/>
          <w:szCs w:val="16"/>
          <w:color w:val="auto"/>
        </w:rPr>
        <w:t>if two or more persons are holders of the share or are jointly entitled to it by reason of the death or bankruptcy of the holder or otherwise by operation of law, as if it were a notice to be sent under Article 45.12; or</w:t>
      </w:r>
    </w:p>
    <w:p>
      <w:pPr>
        <w:spacing w:after="0" w:line="73" w:lineRule="exact"/>
        <w:rPr>
          <w:rFonts w:ascii="Arial" w:cs="Arial" w:eastAsia="Arial" w:hAnsi="Arial"/>
          <w:sz w:val="16"/>
          <w:szCs w:val="16"/>
          <w:color w:val="auto"/>
        </w:rPr>
      </w:pPr>
    </w:p>
    <w:p>
      <w:pPr>
        <w:ind w:left="1620" w:right="879" w:hanging="424"/>
        <w:spacing w:after="0" w:line="260" w:lineRule="auto"/>
        <w:tabs>
          <w:tab w:leader="none" w:pos="1620" w:val="left"/>
        </w:tabs>
        <w:numPr>
          <w:ilvl w:val="0"/>
          <w:numId w:val="194"/>
        </w:numPr>
        <w:rPr>
          <w:rFonts w:ascii="Arial" w:cs="Arial" w:eastAsia="Arial" w:hAnsi="Arial"/>
          <w:sz w:val="16"/>
          <w:szCs w:val="16"/>
          <w:color w:val="auto"/>
        </w:rPr>
      </w:pPr>
      <w:r>
        <w:rPr>
          <w:rFonts w:ascii="Arial" w:cs="Arial" w:eastAsia="Arial" w:hAnsi="Arial"/>
          <w:sz w:val="16"/>
          <w:szCs w:val="16"/>
          <w:color w:val="auto"/>
        </w:rPr>
        <w:t>in any case to such person and to such address as the person entitled to payment may direct by notice to the Company.</w:t>
      </w:r>
    </w:p>
    <w:p>
      <w:pPr>
        <w:spacing w:after="0" w:line="60" w:lineRule="exact"/>
        <w:rPr>
          <w:sz w:val="20"/>
          <w:szCs w:val="20"/>
          <w:color w:val="auto"/>
        </w:rPr>
      </w:pPr>
    </w:p>
    <w:p>
      <w:pPr>
        <w:ind w:left="1200" w:right="199" w:hanging="431"/>
        <w:spacing w:after="0" w:line="270" w:lineRule="auto"/>
        <w:rPr>
          <w:sz w:val="20"/>
          <w:szCs w:val="20"/>
          <w:color w:val="auto"/>
        </w:rPr>
      </w:pPr>
      <w:r>
        <w:rPr>
          <w:rFonts w:ascii="Arial" w:cs="Arial" w:eastAsia="Arial" w:hAnsi="Arial"/>
          <w:sz w:val="15"/>
          <w:szCs w:val="15"/>
          <w:color w:val="auto"/>
        </w:rPr>
        <w:t xml:space="preserve">38.12 Every cheque or warrant shall be made payable to the order of or to the person or persons entitled or to such other person as the person or persons entitled may by notice direct and payment of the cheque or warrant shall be a good discharge to the Company. Every cheque or warrant sent or transfer of funds made by the relevant bank or relevant system in accordance with these Articles shall be at the risk of the holder or person entitled. The Company shall have no responsibility for any sums lost or delayed in the course of payment by any method used by the Company in accordance with Article </w:t>
      </w:r>
      <w:r>
        <w:rPr>
          <w:rFonts w:ascii="Arial" w:cs="Arial" w:eastAsia="Arial" w:hAnsi="Arial"/>
          <w:sz w:val="15"/>
          <w:szCs w:val="15"/>
          <w:color w:val="auto"/>
          <w:strike w:val="1"/>
        </w:rPr>
        <w:t>38.9</w:t>
      </w:r>
      <w:r>
        <w:rPr>
          <w:rFonts w:ascii="Arial" w:cs="Arial" w:eastAsia="Arial" w:hAnsi="Arial"/>
          <w:sz w:val="15"/>
          <w:szCs w:val="15"/>
          <w:color w:val="auto"/>
        </w:rPr>
        <w:t>38.9.</w:t>
      </w:r>
    </w:p>
    <w:p>
      <w:pPr>
        <w:spacing w:after="0" w:line="69" w:lineRule="exact"/>
        <w:rPr>
          <w:sz w:val="20"/>
          <w:szCs w:val="20"/>
          <w:color w:val="auto"/>
        </w:rPr>
      </w:pPr>
    </w:p>
    <w:p>
      <w:pPr>
        <w:ind w:left="1200" w:right="319" w:hanging="431"/>
        <w:spacing w:after="0" w:line="260" w:lineRule="auto"/>
        <w:rPr>
          <w:sz w:val="20"/>
          <w:szCs w:val="20"/>
          <w:color w:val="auto"/>
        </w:rPr>
      </w:pPr>
      <w:r>
        <w:rPr>
          <w:rFonts w:ascii="Arial" w:cs="Arial" w:eastAsia="Arial" w:hAnsi="Arial"/>
          <w:sz w:val="16"/>
          <w:szCs w:val="16"/>
          <w:color w:val="auto"/>
        </w:rPr>
        <w:t>38.13 The Company may cease to send any cheque or warrant (or to use any other method of payment) for any dividend payable in respect of a share if:</w:t>
      </w:r>
    </w:p>
    <w:p>
      <w:pPr>
        <w:spacing w:after="0" w:line="74" w:lineRule="exact"/>
        <w:rPr>
          <w:sz w:val="20"/>
          <w:szCs w:val="20"/>
          <w:color w:val="auto"/>
        </w:rPr>
      </w:pPr>
    </w:p>
    <w:p>
      <w:pPr>
        <w:ind w:left="1620" w:right="719" w:hanging="424"/>
        <w:spacing w:after="0" w:line="260" w:lineRule="auto"/>
        <w:tabs>
          <w:tab w:leader="none" w:pos="1620" w:val="left"/>
        </w:tabs>
        <w:numPr>
          <w:ilvl w:val="0"/>
          <w:numId w:val="195"/>
        </w:numPr>
        <w:rPr>
          <w:rFonts w:ascii="Arial" w:cs="Arial" w:eastAsia="Arial" w:hAnsi="Arial"/>
          <w:sz w:val="16"/>
          <w:szCs w:val="16"/>
          <w:color w:val="auto"/>
        </w:rPr>
      </w:pPr>
      <w:r>
        <w:rPr>
          <w:rFonts w:ascii="Arial" w:cs="Arial" w:eastAsia="Arial" w:hAnsi="Arial"/>
          <w:sz w:val="16"/>
          <w:szCs w:val="16"/>
          <w:color w:val="auto"/>
        </w:rPr>
        <w:t>in respect of at least two consecutive dividends payable on that share the cheque or warrant has been returned undelivered or remains uncashed (or that other method of payment has failed); or</w:t>
      </w:r>
    </w:p>
    <w:p>
      <w:pPr>
        <w:spacing w:after="0" w:line="60" w:lineRule="exact"/>
        <w:rPr>
          <w:rFonts w:ascii="Arial" w:cs="Arial" w:eastAsia="Arial" w:hAnsi="Arial"/>
          <w:sz w:val="16"/>
          <w:szCs w:val="16"/>
          <w:color w:val="auto"/>
        </w:rPr>
      </w:pPr>
    </w:p>
    <w:p>
      <w:pPr>
        <w:ind w:left="1620" w:hanging="424"/>
        <w:spacing w:after="0"/>
        <w:tabs>
          <w:tab w:leader="none" w:pos="1620" w:val="left"/>
        </w:tabs>
        <w:numPr>
          <w:ilvl w:val="0"/>
          <w:numId w:val="195"/>
        </w:numPr>
        <w:rPr>
          <w:rFonts w:ascii="Arial" w:cs="Arial" w:eastAsia="Arial" w:hAnsi="Arial"/>
          <w:sz w:val="16"/>
          <w:szCs w:val="16"/>
          <w:color w:val="auto"/>
        </w:rPr>
      </w:pPr>
      <w:r>
        <w:rPr>
          <w:rFonts w:ascii="Arial" w:cs="Arial" w:eastAsia="Arial" w:hAnsi="Arial"/>
          <w:sz w:val="16"/>
          <w:szCs w:val="16"/>
          <w:color w:val="auto"/>
        </w:rPr>
        <w:t>following one such occasion, reasonable enquiries have failed to establish any new address of the holder;</w:t>
      </w:r>
    </w:p>
    <w:p>
      <w:pPr>
        <w:spacing w:after="0" w:line="100" w:lineRule="exact"/>
        <w:rPr>
          <w:sz w:val="20"/>
          <w:szCs w:val="20"/>
          <w:color w:val="auto"/>
        </w:rPr>
      </w:pPr>
    </w:p>
    <w:p>
      <w:pPr>
        <w:jc w:val="both"/>
        <w:ind w:left="1200" w:right="259"/>
        <w:spacing w:after="0" w:line="253" w:lineRule="auto"/>
        <w:rPr>
          <w:sz w:val="20"/>
          <w:szCs w:val="20"/>
          <w:color w:val="auto"/>
        </w:rPr>
      </w:pPr>
      <w:r>
        <w:rPr>
          <w:rFonts w:ascii="Arial" w:cs="Arial" w:eastAsia="Arial" w:hAnsi="Arial"/>
          <w:sz w:val="16"/>
          <w:szCs w:val="16"/>
          <w:color w:val="auto"/>
        </w:rPr>
        <w:t>but, subject to the provisions of these Articles, shall recommence sending cheques or warrants (or using another method of payment) for dividends payable on that share if the person or persons entitled so request and have supplied in writing a new address or account to be used for that purpose.</w:t>
      </w:r>
    </w:p>
    <w:p>
      <w:pPr>
        <w:spacing w:after="0" w:line="80" w:lineRule="exact"/>
        <w:rPr>
          <w:sz w:val="20"/>
          <w:szCs w:val="20"/>
          <w:color w:val="auto"/>
        </w:rPr>
      </w:pPr>
    </w:p>
    <w:p>
      <w:pPr>
        <w:ind w:left="1200" w:right="639" w:hanging="431"/>
        <w:spacing w:after="0" w:line="251" w:lineRule="auto"/>
        <w:rPr>
          <w:sz w:val="20"/>
          <w:szCs w:val="20"/>
          <w:color w:val="auto"/>
        </w:rPr>
      </w:pPr>
      <w:r>
        <w:rPr>
          <w:rFonts w:ascii="Arial" w:cs="Arial" w:eastAsia="Arial" w:hAnsi="Arial"/>
          <w:sz w:val="16"/>
          <w:szCs w:val="16"/>
          <w:color w:val="auto"/>
        </w:rPr>
        <w:t xml:space="preserve">38.14 The Board may deduct from any dividend or other moneys payable to any member in respect of a share any moneys presently payable by </w:t>
      </w:r>
      <w:r>
        <w:rPr>
          <w:rFonts w:ascii="Arial" w:cs="Arial" w:eastAsia="Arial" w:hAnsi="Arial"/>
          <w:sz w:val="16"/>
          <w:szCs w:val="16"/>
          <w:color w:val="auto"/>
          <w:strike w:val="1"/>
        </w:rPr>
        <w:t>him</w:t>
      </w:r>
      <w:r>
        <w:rPr>
          <w:rFonts w:ascii="Arial" w:cs="Arial" w:eastAsia="Arial" w:hAnsi="Arial"/>
          <w:sz w:val="16"/>
          <w:szCs w:val="16"/>
          <w:u w:val="single" w:color="auto"/>
          <w:color w:val="auto"/>
        </w:rPr>
        <w:t>them</w:t>
      </w:r>
      <w:r>
        <w:rPr>
          <w:rFonts w:ascii="Arial" w:cs="Arial" w:eastAsia="Arial" w:hAnsi="Arial"/>
          <w:sz w:val="16"/>
          <w:szCs w:val="16"/>
          <w:color w:val="auto"/>
        </w:rPr>
        <w:t xml:space="preserve"> to the Company in respect of that share. Where a person is entitled by transmission to a share, the Board may retain any dividend payable in respect of that share until that person (or that person’s transferee) becomes the holder of that share.</w:t>
      </w:r>
    </w:p>
    <w:p>
      <w:pPr>
        <w:spacing w:after="0" w:line="67" w:lineRule="exact"/>
        <w:rPr>
          <w:sz w:val="20"/>
          <w:szCs w:val="20"/>
          <w:color w:val="auto"/>
        </w:rPr>
      </w:pPr>
    </w:p>
    <w:p>
      <w:pPr>
        <w:ind w:left="1200" w:right="819" w:hanging="431"/>
        <w:spacing w:after="0" w:line="260" w:lineRule="auto"/>
        <w:rPr>
          <w:sz w:val="20"/>
          <w:szCs w:val="20"/>
          <w:color w:val="auto"/>
        </w:rPr>
      </w:pPr>
      <w:r>
        <w:rPr>
          <w:rFonts w:ascii="Arial" w:cs="Arial" w:eastAsia="Arial" w:hAnsi="Arial"/>
          <w:sz w:val="16"/>
          <w:szCs w:val="16"/>
          <w:color w:val="auto"/>
        </w:rPr>
        <w:t>38.15 No dividend or other money payable in respect of a share shall bear interest against the Company, unless otherwise provided by the rights attached to the share.</w:t>
      </w:r>
    </w:p>
    <w:p>
      <w:pPr>
        <w:spacing w:after="0" w:line="74" w:lineRule="exact"/>
        <w:rPr>
          <w:sz w:val="20"/>
          <w:szCs w:val="20"/>
          <w:color w:val="auto"/>
        </w:rPr>
      </w:pPr>
    </w:p>
    <w:p>
      <w:pPr>
        <w:ind w:left="1200" w:right="219" w:hanging="431"/>
        <w:spacing w:after="0" w:line="251" w:lineRule="auto"/>
        <w:rPr>
          <w:sz w:val="20"/>
          <w:szCs w:val="20"/>
          <w:color w:val="auto"/>
        </w:rPr>
      </w:pPr>
      <w:r>
        <w:rPr>
          <w:rFonts w:ascii="Arial" w:cs="Arial" w:eastAsia="Arial" w:hAnsi="Arial"/>
          <w:sz w:val="16"/>
          <w:szCs w:val="16"/>
          <w:color w:val="auto"/>
        </w:rPr>
        <w:t xml:space="preserve">38.16 Any dividend which has remained unclaimed for 12 years from the date when it became due for payment shall, if the </w:t>
      </w:r>
      <w:r>
        <w:rPr>
          <w:rFonts w:ascii="Arial" w:cs="Arial" w:eastAsia="Arial" w:hAnsi="Arial"/>
          <w:sz w:val="16"/>
          <w:szCs w:val="16"/>
          <w:color w:val="auto"/>
          <w:strike w:val="1"/>
        </w:rPr>
        <w:t>Directors</w:t>
      </w:r>
      <w:r>
        <w:rPr>
          <w:rFonts w:ascii="Arial" w:cs="Arial" w:eastAsia="Arial" w:hAnsi="Arial"/>
          <w:sz w:val="16"/>
          <w:szCs w:val="16"/>
          <w:u w:val="single" w:color="auto"/>
          <w:color w:val="auto"/>
        </w:rPr>
        <w:t>Board</w:t>
      </w:r>
      <w:r>
        <w:rPr>
          <w:rFonts w:ascii="Arial" w:cs="Arial" w:eastAsia="Arial" w:hAnsi="Arial"/>
          <w:sz w:val="16"/>
          <w:szCs w:val="16"/>
          <w:color w:val="auto"/>
        </w:rPr>
        <w:t xml:space="preserve"> so resolve, be forfeited and cease to remain owing by the Company. The payment of any unclaimed dividend or other money payable in respect of a share may (but need not) be paid by the Company into an account separate from the Company’s own account. Such payment shall not constitute the Company a trustee in respect of it.</w:t>
      </w:r>
    </w:p>
    <w:p>
      <w:pPr>
        <w:spacing w:after="0" w:line="47" w:lineRule="exact"/>
        <w:rPr>
          <w:sz w:val="20"/>
          <w:szCs w:val="20"/>
          <w:color w:val="auto"/>
        </w:rPr>
      </w:pPr>
    </w:p>
    <w:p>
      <w:pPr>
        <w:ind w:left="1200" w:hanging="436"/>
        <w:spacing w:after="0"/>
        <w:tabs>
          <w:tab w:leader="none" w:pos="1200" w:val="left"/>
        </w:tabs>
        <w:numPr>
          <w:ilvl w:val="0"/>
          <w:numId w:val="196"/>
        </w:numPr>
        <w:rPr>
          <w:rFonts w:ascii="Arial" w:cs="Arial" w:eastAsia="Arial" w:hAnsi="Arial"/>
          <w:sz w:val="16"/>
          <w:szCs w:val="16"/>
          <w:b w:val="1"/>
          <w:bCs w:val="1"/>
          <w:color w:val="auto"/>
        </w:rPr>
      </w:pPr>
      <w:r>
        <w:rPr>
          <w:rFonts w:ascii="Arial" w:cs="Arial" w:eastAsia="Arial" w:hAnsi="Arial"/>
          <w:sz w:val="16"/>
          <w:szCs w:val="16"/>
          <w:b w:val="1"/>
          <w:bCs w:val="1"/>
          <w:color w:val="auto"/>
        </w:rPr>
        <w:t>SCRIP DIVIDENDS</w:t>
      </w:r>
    </w:p>
    <w:p>
      <w:pPr>
        <w:spacing w:after="0" w:line="120" w:lineRule="exact"/>
        <w:rPr>
          <w:sz w:val="20"/>
          <w:szCs w:val="20"/>
          <w:color w:val="auto"/>
        </w:rPr>
      </w:pPr>
    </w:p>
    <w:p>
      <w:pPr>
        <w:ind w:left="1200" w:right="199" w:hanging="431"/>
        <w:spacing w:after="0" w:line="253" w:lineRule="auto"/>
        <w:rPr>
          <w:sz w:val="20"/>
          <w:szCs w:val="20"/>
          <w:color w:val="auto"/>
        </w:rPr>
      </w:pPr>
      <w:r>
        <w:rPr>
          <w:rFonts w:ascii="Arial" w:cs="Arial" w:eastAsia="Arial" w:hAnsi="Arial"/>
          <w:sz w:val="16"/>
          <w:szCs w:val="16"/>
          <w:color w:val="auto"/>
        </w:rPr>
        <w:t>39.1 The Board may offer any holder of shares the right to elect to receive shares, credited as fully paid, instead of cash in respect of the whole (or some part, to be determined by the Board) of all or any dividend subject to the following terms and conditions:</w:t>
      </w:r>
    </w:p>
    <w:p>
      <w:pPr>
        <w:spacing w:after="0" w:line="80" w:lineRule="exact"/>
        <w:rPr>
          <w:sz w:val="20"/>
          <w:szCs w:val="20"/>
          <w:color w:val="auto"/>
        </w:rPr>
      </w:pPr>
    </w:p>
    <w:p>
      <w:pPr>
        <w:ind w:left="1620" w:right="279" w:hanging="424"/>
        <w:spacing w:after="0" w:line="251" w:lineRule="auto"/>
        <w:tabs>
          <w:tab w:leader="none" w:pos="1620" w:val="left"/>
        </w:tabs>
        <w:numPr>
          <w:ilvl w:val="0"/>
          <w:numId w:val="197"/>
        </w:numPr>
        <w:rPr>
          <w:rFonts w:ascii="Arial" w:cs="Arial" w:eastAsia="Arial" w:hAnsi="Arial"/>
          <w:sz w:val="16"/>
          <w:szCs w:val="16"/>
          <w:color w:val="auto"/>
        </w:rPr>
      </w:pPr>
      <w:r>
        <w:rPr>
          <w:rFonts w:ascii="Arial" w:cs="Arial" w:eastAsia="Arial" w:hAnsi="Arial"/>
          <w:sz w:val="16"/>
          <w:szCs w:val="16"/>
          <w:color w:val="auto"/>
        </w:rPr>
        <w:t>Each holder of shares shall be entitled to that number of new shares as are together as nearly as possible equal in value to (but not greater than) the cash amount (disregarding any tax credit) of the dividend that such holder would have received by way of dividend but elects to forego (each a “</w:t>
      </w:r>
      <w:r>
        <w:rPr>
          <w:rFonts w:ascii="Arial" w:cs="Arial" w:eastAsia="Arial" w:hAnsi="Arial"/>
          <w:sz w:val="16"/>
          <w:szCs w:val="16"/>
          <w:b w:val="1"/>
          <w:bCs w:val="1"/>
          <w:color w:val="auto"/>
        </w:rPr>
        <w:t>new share</w:t>
      </w:r>
      <w:r>
        <w:rPr>
          <w:rFonts w:ascii="Arial" w:cs="Arial" w:eastAsia="Arial" w:hAnsi="Arial"/>
          <w:sz w:val="16"/>
          <w:szCs w:val="16"/>
          <w:color w:val="auto"/>
          <w:strike w:val="1"/>
        </w:rPr>
        <w:t>).</w:t>
      </w:r>
      <w:r>
        <w:rPr>
          <w:rFonts w:ascii="Arial" w:cs="Arial" w:eastAsia="Arial" w:hAnsi="Arial"/>
          <w:sz w:val="16"/>
          <w:szCs w:val="16"/>
          <w:color w:val="auto"/>
        </w:rPr>
        <w:t>”</w:t>
      </w:r>
      <w:r>
        <w:rPr>
          <w:rFonts w:ascii="Arial" w:cs="Arial" w:eastAsia="Arial" w:hAnsi="Arial"/>
          <w:sz w:val="16"/>
          <w:szCs w:val="16"/>
          <w:u w:val="single" w:color="auto"/>
          <w:color w:val="auto"/>
        </w:rPr>
        <w:t>).</w:t>
      </w:r>
      <w:r>
        <w:rPr>
          <w:rFonts w:ascii="Arial" w:cs="Arial" w:eastAsia="Arial" w:hAnsi="Arial"/>
          <w:sz w:val="16"/>
          <w:szCs w:val="16"/>
          <w:color w:val="auto"/>
        </w:rPr>
        <w:t xml:space="preserve"> For this purpose, the value of each new share shall be:</w:t>
      </w:r>
    </w:p>
    <w:p>
      <w:pPr>
        <w:spacing w:after="0" w:line="100" w:lineRule="exact"/>
        <w:rPr>
          <w:sz w:val="20"/>
          <w:szCs w:val="20"/>
          <w:color w:val="auto"/>
        </w:rPr>
      </w:pPr>
    </w:p>
    <w:p>
      <w:pPr>
        <w:ind w:left="480"/>
        <w:spacing w:after="0"/>
        <w:tabs>
          <w:tab w:leader="none" w:pos="4420" w:val="left"/>
          <w:tab w:leader="none" w:pos="8760" w:val="left"/>
        </w:tabs>
        <w:rPr>
          <w:sz w:val="20"/>
          <w:szCs w:val="20"/>
          <w:color w:val="auto"/>
        </w:rPr>
      </w:pPr>
      <w:r>
        <w:rPr>
          <w:rFonts w:ascii="Arial" w:cs="Arial" w:eastAsia="Arial" w:hAnsi="Arial"/>
          <w:sz w:val="28"/>
          <w:szCs w:val="28"/>
          <w:b w:val="1"/>
          <w:bCs w:val="1"/>
          <w:color w:val="000000"/>
          <w:vertAlign w:val="subscript"/>
        </w:rPr>
        <w:t>A-32</w:t>
      </w:r>
      <w:r>
        <w:rPr>
          <w:sz w:val="20"/>
          <w:szCs w:val="20"/>
          <w:color w:val="auto"/>
        </w:rPr>
        <w:tab/>
      </w:r>
      <w:r>
        <w:rPr>
          <w:rFonts w:ascii="Arial" w:cs="Arial" w:eastAsia="Arial" w:hAnsi="Arial"/>
          <w:sz w:val="13"/>
          <w:szCs w:val="13"/>
          <w:b w:val="1"/>
          <w:bCs w:val="1"/>
          <w:color w:val="4800E6"/>
        </w:rPr>
        <w:t xml:space="preserve">LIVANOVA </w:t>
      </w:r>
      <w:r>
        <w:rPr>
          <w:rFonts w:ascii="Arial" w:cs="Arial" w:eastAsia="Arial" w:hAnsi="Arial"/>
          <w:sz w:val="13"/>
          <w:szCs w:val="13"/>
          <w:color w:val="000000"/>
        </w:rPr>
        <w:t>|</w:t>
      </w:r>
      <w:r>
        <w:rPr>
          <w:rFonts w:ascii="Arial" w:cs="Arial" w:eastAsia="Arial" w:hAnsi="Arial"/>
          <w:sz w:val="13"/>
          <w:szCs w:val="13"/>
          <w:b w:val="1"/>
          <w:bCs w:val="1"/>
          <w:color w:val="4800E6"/>
        </w:rPr>
        <w:t xml:space="preserve"> </w:t>
      </w:r>
      <w:r>
        <w:rPr>
          <w:rFonts w:ascii="Arial" w:cs="Arial" w:eastAsia="Arial" w:hAnsi="Arial"/>
          <w:sz w:val="13"/>
          <w:szCs w:val="13"/>
          <w:color w:val="4800E6"/>
        </w:rPr>
        <w:t>2020</w:t>
      </w:r>
      <w:r>
        <w:rPr>
          <w:rFonts w:ascii="Arial" w:cs="Arial" w:eastAsia="Arial" w:hAnsi="Arial"/>
          <w:sz w:val="13"/>
          <w:szCs w:val="13"/>
          <w:b w:val="1"/>
          <w:bCs w:val="1"/>
          <w:color w:val="4800E6"/>
        </w:rPr>
        <w:t xml:space="preserve"> </w:t>
      </w:r>
      <w:r>
        <w:rPr>
          <w:rFonts w:ascii="Arial" w:cs="Arial" w:eastAsia="Arial" w:hAnsi="Arial"/>
          <w:sz w:val="13"/>
          <w:szCs w:val="13"/>
          <w:color w:val="000000"/>
        </w:rPr>
        <w:t>Proxy Statement</w:t>
      </w:r>
      <w:r>
        <w:rPr>
          <w:sz w:val="20"/>
          <w:szCs w:val="20"/>
          <w:color w:val="auto"/>
        </w:rPr>
        <w:tab/>
      </w:r>
      <w:r>
        <w:rPr>
          <w:rFonts w:ascii="Arial" w:cs="Arial" w:eastAsia="Arial" w:hAnsi="Arial"/>
          <w:sz w:val="12"/>
          <w:szCs w:val="12"/>
          <w:b w:val="1"/>
          <w:bCs w:val="1"/>
          <w:color w:val="4800E6"/>
        </w:rPr>
        <w:t>www.livanova.com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639445</wp:posOffset>
            </wp:positionH>
            <wp:positionV relativeFrom="paragraph">
              <wp:posOffset>-11430</wp:posOffset>
            </wp:positionV>
            <wp:extent cx="1954530" cy="8890"/>
            <wp:wrapNone/>
            <wp:docPr id="473" name="Picture 4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3"/>
                    <pic:cNvPicPr>
                      <a:picLocks noChangeAspect="1" noChangeArrowheads="1"/>
                    </pic:cNvPicPr>
                  </pic:nvPicPr>
                  <pic:blipFill>
                    <a:blip r:embed="rId480">
                      <a:extLst>
                        <a:ext uri="{28A0092B-C50C-407E-A947-70E740481C1C}"/>
                      </a:extLst>
                    </a:blip>
                    <a:srcRect/>
                    <a:stretch>
                      <a:fillRect/>
                    </a:stretch>
                  </pic:blipFill>
                  <pic:spPr bwMode="auto">
                    <a:xfrm>
                      <a:off x="0" y="0"/>
                      <a:ext cx="1954530" cy="8890"/>
                    </a:xfrm>
                    <a:prstGeom prst="rect">
                      <a:avLst/>
                    </a:prstGeom>
                    <a:noFill/>
                  </pic:spPr>
                </pic:pic>
              </a:graphicData>
            </a:graphic>
          </wp:anchor>
        </w:drawing>
        <w:drawing>
          <wp:anchor simplePos="0" relativeHeight="251657728" behindDoc="1" locked="0" layoutInCell="0" allowOverlap="1">
            <wp:simplePos x="0" y="0"/>
            <wp:positionH relativeFrom="column">
              <wp:posOffset>4316730</wp:posOffset>
            </wp:positionH>
            <wp:positionV relativeFrom="paragraph">
              <wp:posOffset>-11430</wp:posOffset>
            </wp:positionV>
            <wp:extent cx="1028700" cy="8890"/>
            <wp:wrapNone/>
            <wp:docPr id="474" name="Picture 4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4"/>
                    <pic:cNvPicPr>
                      <a:picLocks noChangeAspect="1" noChangeArrowheads="1"/>
                    </pic:cNvPicPr>
                  </pic:nvPicPr>
                  <pic:blipFill>
                    <a:blip r:embed="rId481">
                      <a:extLst>
                        <a:ext uri="{28A0092B-C50C-407E-A947-70E740481C1C}"/>
                      </a:extLst>
                    </a:blip>
                    <a:srcRect/>
                    <a:stretch>
                      <a:fillRect/>
                    </a:stretch>
                  </pic:blipFill>
                  <pic:spPr bwMode="auto">
                    <a:xfrm>
                      <a:off x="0" y="0"/>
                      <a:ext cx="102870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125095</wp:posOffset>
            </wp:positionV>
            <wp:extent cx="6806565" cy="17145"/>
            <wp:wrapNone/>
            <wp:docPr id="475" name="Picture 4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5"/>
                    <pic:cNvPicPr>
                      <a:picLocks noChangeAspect="1" noChangeArrowheads="1"/>
                    </pic:cNvPicPr>
                  </pic:nvPicPr>
                  <pic:blipFill>
                    <a:blip r:embed="rId482">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10139"/>
          </w:cols>
          <w:pgMar w:left="320" w:top="131" w:right="1440" w:bottom="1440" w:gutter="0" w:footer="0" w:header="0"/>
        </w:sectPr>
      </w:pPr>
    </w:p>
    <w:bookmarkStart w:id="111" w:name="page112"/>
    <w:bookmarkEnd w:id="111"/>
    <w:p>
      <w:pPr>
        <w:spacing w:after="0"/>
        <w:rPr>
          <w:rFonts w:ascii="Arial" w:cs="Arial" w:eastAsia="Arial" w:hAnsi="Arial"/>
          <w:sz w:val="14"/>
          <w:szCs w:val="14"/>
          <w:color w:val="003366"/>
        </w:rPr>
      </w:pPr>
      <w:hyperlink w:anchor="page77">
        <w:r>
          <w:rPr>
            <w:rFonts w:ascii="Arial" w:cs="Arial" w:eastAsia="Arial" w:hAnsi="Arial"/>
            <w:sz w:val="14"/>
            <w:szCs w:val="14"/>
            <w:color w:val="003366"/>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485140</wp:posOffset>
            </wp:positionH>
            <wp:positionV relativeFrom="paragraph">
              <wp:posOffset>356870</wp:posOffset>
            </wp:positionV>
            <wp:extent cx="5829300" cy="8255"/>
            <wp:wrapNone/>
            <wp:docPr id="476" name="Picture 4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6"/>
                    <pic:cNvPicPr>
                      <a:picLocks noChangeAspect="1" noChangeArrowheads="1"/>
                    </pic:cNvPicPr>
                  </pic:nvPicPr>
                  <pic:blipFill>
                    <a:blip r:embed="rId483">
                      <a:extLst>
                        <a:ext uri="{28A0092B-C50C-407E-A947-70E740481C1C}"/>
                      </a:extLst>
                    </a:blip>
                    <a:srcRect/>
                    <a:stretch>
                      <a:fillRect/>
                    </a:stretch>
                  </pic:blipFill>
                  <pic:spPr bwMode="auto">
                    <a:xfrm>
                      <a:off x="0" y="0"/>
                      <a:ext cx="582930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ind w:left="2060" w:right="860" w:hanging="432"/>
        <w:spacing w:after="0" w:line="250" w:lineRule="auto"/>
        <w:tabs>
          <w:tab w:leader="none" w:pos="2060" w:val="left"/>
        </w:tabs>
        <w:numPr>
          <w:ilvl w:val="0"/>
          <w:numId w:val="198"/>
        </w:numPr>
        <w:rPr>
          <w:rFonts w:ascii="Arial" w:cs="Arial" w:eastAsia="Arial" w:hAnsi="Arial"/>
          <w:sz w:val="16"/>
          <w:szCs w:val="16"/>
          <w:color w:val="auto"/>
        </w:rPr>
      </w:pPr>
      <w:r>
        <w:rPr>
          <w:rFonts w:ascii="Arial" w:cs="Arial" w:eastAsia="Arial" w:hAnsi="Arial"/>
          <w:sz w:val="16"/>
          <w:szCs w:val="16"/>
          <w:color w:val="auto"/>
        </w:rPr>
        <w:t xml:space="preserve">equal to the average quotation for the relevant shares in the capital of the Company, that is, the average of the closing prices for those shares on the </w:t>
      </w:r>
      <w:r>
        <w:rPr>
          <w:rFonts w:ascii="Arial" w:cs="Arial" w:eastAsia="Arial" w:hAnsi="Arial"/>
          <w:sz w:val="16"/>
          <w:szCs w:val="16"/>
          <w:color w:val="auto"/>
          <w:strike w:val="1"/>
        </w:rPr>
        <w:t>NASDAQ, or the London Stock</w:t>
      </w:r>
      <w:r>
        <w:rPr>
          <w:rFonts w:ascii="Arial" w:cs="Arial" w:eastAsia="Arial" w:hAnsi="Arial"/>
          <w:sz w:val="16"/>
          <w:szCs w:val="16"/>
          <w:color w:val="auto"/>
        </w:rPr>
        <w:t xml:space="preserve"> Exchange </w:t>
      </w:r>
      <w:r>
        <w:rPr>
          <w:rFonts w:ascii="Arial" w:cs="Arial" w:eastAsia="Arial" w:hAnsi="Arial"/>
          <w:sz w:val="16"/>
          <w:szCs w:val="16"/>
          <w:color w:val="auto"/>
          <w:strike w:val="1"/>
        </w:rPr>
        <w:t>or other exchange</w:t>
      </w:r>
      <w:r>
        <w:rPr>
          <w:rFonts w:ascii="Arial" w:cs="Arial" w:eastAsia="Arial" w:hAnsi="Arial"/>
          <w:sz w:val="16"/>
          <w:szCs w:val="16"/>
          <w:color w:val="auto"/>
        </w:rPr>
        <w:t xml:space="preserve"> or quotation service on which the Company’s shares are listed or quoted as derived from such source as the Board may deem appropriate, on the day on which such shares are first quoted ex the relevant dividend and the four subsequent business days; or</w:t>
      </w:r>
    </w:p>
    <w:p>
      <w:pPr>
        <w:spacing w:after="0" w:line="81" w:lineRule="exact"/>
        <w:rPr>
          <w:rFonts w:ascii="Arial" w:cs="Arial" w:eastAsia="Arial" w:hAnsi="Arial"/>
          <w:sz w:val="16"/>
          <w:szCs w:val="16"/>
          <w:color w:val="auto"/>
        </w:rPr>
      </w:pPr>
    </w:p>
    <w:p>
      <w:pPr>
        <w:ind w:left="2060" w:hanging="432"/>
        <w:spacing w:after="0"/>
        <w:tabs>
          <w:tab w:leader="none" w:pos="2060" w:val="left"/>
        </w:tabs>
        <w:numPr>
          <w:ilvl w:val="0"/>
          <w:numId w:val="198"/>
        </w:numPr>
        <w:rPr>
          <w:rFonts w:ascii="Arial" w:cs="Arial" w:eastAsia="Arial" w:hAnsi="Arial"/>
          <w:sz w:val="16"/>
          <w:szCs w:val="16"/>
          <w:color w:val="auto"/>
        </w:rPr>
      </w:pPr>
      <w:r>
        <w:rPr>
          <w:rFonts w:ascii="Arial" w:cs="Arial" w:eastAsia="Arial" w:hAnsi="Arial"/>
          <w:sz w:val="16"/>
          <w:szCs w:val="16"/>
          <w:color w:val="auto"/>
        </w:rPr>
        <w:t>calculated in any other manner the Board considers fit;</w:t>
      </w:r>
    </w:p>
    <w:p>
      <w:pPr>
        <w:spacing w:after="0" w:line="100" w:lineRule="exact"/>
        <w:rPr>
          <w:sz w:val="20"/>
          <w:szCs w:val="20"/>
          <w:color w:val="auto"/>
        </w:rPr>
      </w:pPr>
    </w:p>
    <w:p>
      <w:pPr>
        <w:ind w:left="1620" w:right="980"/>
        <w:spacing w:after="0" w:line="260" w:lineRule="auto"/>
        <w:rPr>
          <w:sz w:val="20"/>
          <w:szCs w:val="20"/>
          <w:color w:val="auto"/>
        </w:rPr>
      </w:pPr>
      <w:r>
        <w:rPr>
          <w:rFonts w:ascii="Arial" w:cs="Arial" w:eastAsia="Arial" w:hAnsi="Arial"/>
          <w:sz w:val="16"/>
          <w:szCs w:val="16"/>
          <w:color w:val="auto"/>
        </w:rPr>
        <w:t>but shall never be less than the par value of the new share. A certificate or report by the auditors as to the value of a new share in respect of any dividend shall be conclusive evidence of that value.</w:t>
      </w:r>
    </w:p>
    <w:p>
      <w:pPr>
        <w:spacing w:after="0" w:line="74" w:lineRule="exact"/>
        <w:rPr>
          <w:sz w:val="20"/>
          <w:szCs w:val="20"/>
          <w:color w:val="auto"/>
        </w:rPr>
      </w:pPr>
    </w:p>
    <w:p>
      <w:pPr>
        <w:ind w:left="1620" w:hanging="424"/>
        <w:spacing w:after="0"/>
        <w:tabs>
          <w:tab w:leader="none" w:pos="1620" w:val="left"/>
        </w:tabs>
        <w:numPr>
          <w:ilvl w:val="1"/>
          <w:numId w:val="199"/>
        </w:numPr>
        <w:rPr>
          <w:rFonts w:ascii="Arial" w:cs="Arial" w:eastAsia="Arial" w:hAnsi="Arial"/>
          <w:sz w:val="16"/>
          <w:szCs w:val="16"/>
          <w:color w:val="auto"/>
        </w:rPr>
      </w:pPr>
      <w:r>
        <w:rPr>
          <w:rFonts w:ascii="Arial" w:cs="Arial" w:eastAsia="Arial" w:hAnsi="Arial"/>
          <w:sz w:val="16"/>
          <w:szCs w:val="16"/>
          <w:color w:val="auto"/>
        </w:rPr>
        <w:t>Each holder of shares shall only be entitled to new Ordinary Shares.</w:t>
      </w:r>
    </w:p>
    <w:p>
      <w:pPr>
        <w:spacing w:after="0" w:line="86" w:lineRule="exact"/>
        <w:rPr>
          <w:rFonts w:ascii="Arial" w:cs="Arial" w:eastAsia="Arial" w:hAnsi="Arial"/>
          <w:sz w:val="16"/>
          <w:szCs w:val="16"/>
          <w:color w:val="auto"/>
        </w:rPr>
      </w:pPr>
    </w:p>
    <w:p>
      <w:pPr>
        <w:ind w:left="1620" w:right="840" w:hanging="424"/>
        <w:spacing w:after="0" w:line="249" w:lineRule="auto"/>
        <w:tabs>
          <w:tab w:leader="none" w:pos="1620" w:val="left"/>
        </w:tabs>
        <w:numPr>
          <w:ilvl w:val="1"/>
          <w:numId w:val="199"/>
        </w:numPr>
        <w:rPr>
          <w:rFonts w:ascii="Arial" w:cs="Arial" w:eastAsia="Arial" w:hAnsi="Arial"/>
          <w:sz w:val="16"/>
          <w:szCs w:val="16"/>
          <w:color w:val="auto"/>
        </w:rPr>
      </w:pPr>
      <w:r>
        <w:rPr>
          <w:rFonts w:ascii="Arial" w:cs="Arial" w:eastAsia="Arial" w:hAnsi="Arial"/>
          <w:sz w:val="16"/>
          <w:szCs w:val="16"/>
          <w:color w:val="auto"/>
        </w:rPr>
        <w:t>On or as soon as possible after announcing that any dividend is to be declared or recommended, the Board, if it intends to offer an election in respect of that dividend, shall also announce that intention. If, after determining the basis of allotment, the Board decides to proceed with the offer, it shall notify the holders of shares of the terms and conditions of the right of election offered to them, specifying the procedure to be followed and place at which, and the latest time by which, elections or notices amending or terminating existing elections must be delivered in order to be effective.</w:t>
      </w:r>
    </w:p>
    <w:p>
      <w:pPr>
        <w:spacing w:after="0" w:line="83" w:lineRule="exact"/>
        <w:rPr>
          <w:rFonts w:ascii="Arial" w:cs="Arial" w:eastAsia="Arial" w:hAnsi="Arial"/>
          <w:sz w:val="16"/>
          <w:szCs w:val="16"/>
          <w:color w:val="auto"/>
        </w:rPr>
      </w:pPr>
    </w:p>
    <w:p>
      <w:pPr>
        <w:ind w:left="1620" w:right="1040" w:hanging="424"/>
        <w:spacing w:after="0" w:line="260" w:lineRule="auto"/>
        <w:tabs>
          <w:tab w:leader="none" w:pos="1620" w:val="left"/>
        </w:tabs>
        <w:numPr>
          <w:ilvl w:val="1"/>
          <w:numId w:val="199"/>
        </w:numPr>
        <w:rPr>
          <w:rFonts w:ascii="Arial" w:cs="Arial" w:eastAsia="Arial" w:hAnsi="Arial"/>
          <w:sz w:val="16"/>
          <w:szCs w:val="16"/>
          <w:color w:val="auto"/>
        </w:rPr>
      </w:pPr>
      <w:r>
        <w:rPr>
          <w:rFonts w:ascii="Arial" w:cs="Arial" w:eastAsia="Arial" w:hAnsi="Arial"/>
          <w:sz w:val="16"/>
          <w:szCs w:val="16"/>
          <w:color w:val="auto"/>
        </w:rPr>
        <w:t>The Board shall not proceed with any election unless the Board has sufficient authority to allot shares and sufficient reserves or funds that may be appropriated to give effect to it after the basis of allotment is determined.</w:t>
      </w:r>
    </w:p>
    <w:p>
      <w:pPr>
        <w:spacing w:after="0" w:line="73" w:lineRule="exact"/>
        <w:rPr>
          <w:rFonts w:ascii="Arial" w:cs="Arial" w:eastAsia="Arial" w:hAnsi="Arial"/>
          <w:sz w:val="16"/>
          <w:szCs w:val="16"/>
          <w:color w:val="auto"/>
        </w:rPr>
      </w:pPr>
    </w:p>
    <w:p>
      <w:pPr>
        <w:jc w:val="both"/>
        <w:ind w:left="1620" w:right="820" w:hanging="424"/>
        <w:spacing w:after="0" w:line="253" w:lineRule="auto"/>
        <w:tabs>
          <w:tab w:leader="none" w:pos="1620" w:val="left"/>
        </w:tabs>
        <w:numPr>
          <w:ilvl w:val="1"/>
          <w:numId w:val="199"/>
        </w:numPr>
        <w:rPr>
          <w:rFonts w:ascii="Arial" w:cs="Arial" w:eastAsia="Arial" w:hAnsi="Arial"/>
          <w:sz w:val="16"/>
          <w:szCs w:val="16"/>
          <w:color w:val="auto"/>
        </w:rPr>
      </w:pPr>
      <w:r>
        <w:rPr>
          <w:rFonts w:ascii="Arial" w:cs="Arial" w:eastAsia="Arial" w:hAnsi="Arial"/>
          <w:sz w:val="16"/>
          <w:szCs w:val="16"/>
          <w:color w:val="auto"/>
        </w:rPr>
        <w:t>The Board may exclude from any offer any holders of shares where the Board believes the making of the offer to them would or might involve the contravention of the laws of any territory or that for any other reason the offer should not be made to them.</w:t>
      </w:r>
    </w:p>
    <w:p>
      <w:pPr>
        <w:spacing w:after="0" w:line="79" w:lineRule="exact"/>
        <w:rPr>
          <w:rFonts w:ascii="Arial" w:cs="Arial" w:eastAsia="Arial" w:hAnsi="Arial"/>
          <w:sz w:val="16"/>
          <w:szCs w:val="16"/>
          <w:color w:val="auto"/>
        </w:rPr>
      </w:pPr>
    </w:p>
    <w:p>
      <w:pPr>
        <w:ind w:left="1620" w:right="780" w:hanging="424"/>
        <w:spacing w:after="0" w:line="248" w:lineRule="auto"/>
        <w:tabs>
          <w:tab w:leader="none" w:pos="1620" w:val="left"/>
        </w:tabs>
        <w:numPr>
          <w:ilvl w:val="1"/>
          <w:numId w:val="199"/>
        </w:numPr>
        <w:rPr>
          <w:rFonts w:ascii="Arial" w:cs="Arial" w:eastAsia="Arial" w:hAnsi="Arial"/>
          <w:sz w:val="16"/>
          <w:szCs w:val="16"/>
          <w:color w:val="auto"/>
        </w:rPr>
      </w:pPr>
      <w:r>
        <w:rPr>
          <w:rFonts w:ascii="Arial" w:cs="Arial" w:eastAsia="Arial" w:hAnsi="Arial"/>
          <w:sz w:val="16"/>
          <w:szCs w:val="16"/>
          <w:color w:val="auto"/>
        </w:rPr>
        <w:t>The dividend (or that part of the dividend in respect of which a right of election has been offered) shall not be payable in cash on shares in respect of which an election has been made (the “</w:t>
      </w:r>
      <w:r>
        <w:rPr>
          <w:rFonts w:ascii="Arial" w:cs="Arial" w:eastAsia="Arial" w:hAnsi="Arial"/>
          <w:sz w:val="16"/>
          <w:szCs w:val="16"/>
          <w:b w:val="1"/>
          <w:bCs w:val="1"/>
          <w:color w:val="auto"/>
        </w:rPr>
        <w:t>elected</w:t>
      </w:r>
      <w:r>
        <w:rPr>
          <w:rFonts w:ascii="Arial" w:cs="Arial" w:eastAsia="Arial" w:hAnsi="Arial"/>
          <w:sz w:val="16"/>
          <w:szCs w:val="16"/>
          <w:color w:val="auto"/>
        </w:rPr>
        <w:t xml:space="preserve"> </w:t>
      </w:r>
      <w:r>
        <w:rPr>
          <w:rFonts w:ascii="Arial" w:cs="Arial" w:eastAsia="Arial" w:hAnsi="Arial"/>
          <w:sz w:val="16"/>
          <w:szCs w:val="16"/>
          <w:color w:val="auto"/>
          <w:strike w:val="1"/>
        </w:rPr>
        <w:t>ordinary</w:t>
      </w:r>
      <w:r>
        <w:rPr>
          <w:rFonts w:ascii="Arial" w:cs="Arial" w:eastAsia="Arial" w:hAnsi="Arial"/>
          <w:sz w:val="16"/>
          <w:szCs w:val="16"/>
          <w:color w:val="auto"/>
        </w:rPr>
        <w:t xml:space="preserve"> </w:t>
      </w:r>
      <w:r>
        <w:rPr>
          <w:rFonts w:ascii="Arial" w:cs="Arial" w:eastAsia="Arial" w:hAnsi="Arial"/>
          <w:sz w:val="16"/>
          <w:szCs w:val="16"/>
          <w:b w:val="1"/>
          <w:bCs w:val="1"/>
          <w:color w:val="auto"/>
        </w:rPr>
        <w:t>shares</w:t>
      </w:r>
      <w:r>
        <w:rPr>
          <w:rFonts w:ascii="Arial" w:cs="Arial" w:eastAsia="Arial" w:hAnsi="Arial"/>
          <w:sz w:val="16"/>
          <w:szCs w:val="16"/>
          <w:color w:val="auto"/>
          <w:strike w:val="1"/>
        </w:rPr>
        <w:t>)</w:t>
      </w:r>
      <w:r>
        <w:rPr>
          <w:rFonts w:ascii="Arial" w:cs="Arial" w:eastAsia="Arial" w:hAnsi="Arial"/>
          <w:sz w:val="16"/>
          <w:szCs w:val="16"/>
          <w:color w:val="auto"/>
        </w:rPr>
        <w:t>”</w:t>
      </w:r>
      <w:r>
        <w:rPr>
          <w:rFonts w:ascii="Arial" w:cs="Arial" w:eastAsia="Arial" w:hAnsi="Arial"/>
          <w:sz w:val="16"/>
          <w:szCs w:val="16"/>
          <w:u w:val="single" w:color="auto"/>
          <w:color w:val="auto"/>
        </w:rPr>
        <w:t>)</w:t>
      </w:r>
      <w:r>
        <w:rPr>
          <w:rFonts w:ascii="Arial" w:cs="Arial" w:eastAsia="Arial" w:hAnsi="Arial"/>
          <w:sz w:val="16"/>
          <w:szCs w:val="16"/>
          <w:color w:val="auto"/>
        </w:rPr>
        <w:t xml:space="preserve"> and instead such number of new shares shall be allotted to each holder of elected </w:t>
      </w:r>
      <w:r>
        <w:rPr>
          <w:rFonts w:ascii="Arial" w:cs="Arial" w:eastAsia="Arial" w:hAnsi="Arial"/>
          <w:sz w:val="16"/>
          <w:szCs w:val="16"/>
          <w:color w:val="auto"/>
          <w:strike w:val="1"/>
        </w:rPr>
        <w:t>ordinary</w:t>
      </w:r>
      <w:r>
        <w:rPr>
          <w:rFonts w:ascii="Arial" w:cs="Arial" w:eastAsia="Arial" w:hAnsi="Arial"/>
          <w:sz w:val="16"/>
          <w:szCs w:val="16"/>
          <w:color w:val="auto"/>
        </w:rPr>
        <w:t xml:space="preserve"> shares as is arrived at on the basis stated in paragraph (a) of this Article 39.1. For that purpose the Board shall appropriate out of any amount for the time being standing to the credit of any reserve or fund (including without limitation the profit and loss account), whether or not it is available for distribution, a sum equal to the aggregate nominal amount of the new shares to be allotted and apply it in paying up in full the appropriate number of new shares for allotment and distribution to each holder of elected shares as is arrived at on the basis stated in paragraph (a) of this Article 39.1.</w:t>
      </w:r>
    </w:p>
    <w:p>
      <w:pPr>
        <w:spacing w:after="0" w:line="69" w:lineRule="exact"/>
        <w:rPr>
          <w:rFonts w:ascii="Arial" w:cs="Arial" w:eastAsia="Arial" w:hAnsi="Arial"/>
          <w:sz w:val="16"/>
          <w:szCs w:val="16"/>
          <w:color w:val="auto"/>
        </w:rPr>
      </w:pPr>
    </w:p>
    <w:p>
      <w:pPr>
        <w:ind w:left="1620" w:right="900" w:hanging="424"/>
        <w:spacing w:after="0" w:line="316" w:lineRule="auto"/>
        <w:tabs>
          <w:tab w:leader="none" w:pos="1620" w:val="left"/>
        </w:tabs>
        <w:numPr>
          <w:ilvl w:val="1"/>
          <w:numId w:val="199"/>
        </w:numPr>
        <w:rPr>
          <w:rFonts w:ascii="Arial" w:cs="Arial" w:eastAsia="Arial" w:hAnsi="Arial"/>
          <w:sz w:val="15"/>
          <w:szCs w:val="15"/>
          <w:color w:val="auto"/>
        </w:rPr>
      </w:pPr>
      <w:r>
        <w:rPr>
          <w:rFonts w:ascii="Arial" w:cs="Arial" w:eastAsia="Arial" w:hAnsi="Arial"/>
          <w:sz w:val="15"/>
          <w:szCs w:val="15"/>
          <w:color w:val="auto"/>
        </w:rPr>
        <w:t xml:space="preserve">The new shares when allotted shall rank </w:t>
      </w:r>
      <w:r>
        <w:rPr>
          <w:rFonts w:ascii="Arial" w:cs="Arial" w:eastAsia="Arial" w:hAnsi="Arial"/>
          <w:sz w:val="15"/>
          <w:szCs w:val="15"/>
          <w:i w:val="1"/>
          <w:iCs w:val="1"/>
          <w:color w:val="auto"/>
        </w:rPr>
        <w:t>pari passu</w:t>
      </w:r>
      <w:r>
        <w:rPr>
          <w:rFonts w:ascii="Arial" w:cs="Arial" w:eastAsia="Arial" w:hAnsi="Arial"/>
          <w:sz w:val="15"/>
          <w:szCs w:val="15"/>
          <w:color w:val="auto"/>
        </w:rPr>
        <w:t xml:space="preserve"> in all respects with the fully paid shares of the same class then in issue except that they shall not be entitled to participate in the relevant dividend in lieu of which they were allotted.</w:t>
      </w:r>
    </w:p>
    <w:p>
      <w:pPr>
        <w:spacing w:after="0" w:line="20" w:lineRule="exact"/>
        <w:rPr>
          <w:rFonts w:ascii="Arial" w:cs="Arial" w:eastAsia="Arial" w:hAnsi="Arial"/>
          <w:sz w:val="15"/>
          <w:szCs w:val="15"/>
          <w:color w:val="auto"/>
        </w:rPr>
      </w:pPr>
    </w:p>
    <w:p>
      <w:pPr>
        <w:ind w:left="1620" w:right="860" w:hanging="424"/>
        <w:spacing w:after="0" w:line="250" w:lineRule="auto"/>
        <w:tabs>
          <w:tab w:leader="none" w:pos="1620" w:val="left"/>
        </w:tabs>
        <w:numPr>
          <w:ilvl w:val="1"/>
          <w:numId w:val="199"/>
        </w:numPr>
        <w:rPr>
          <w:rFonts w:ascii="Arial" w:cs="Arial" w:eastAsia="Arial" w:hAnsi="Arial"/>
          <w:sz w:val="16"/>
          <w:szCs w:val="16"/>
          <w:color w:val="auto"/>
        </w:rPr>
      </w:pPr>
      <w:r>
        <w:rPr>
          <w:rFonts w:ascii="Arial" w:cs="Arial" w:eastAsia="Arial" w:hAnsi="Arial"/>
          <w:sz w:val="16"/>
          <w:szCs w:val="16"/>
          <w:color w:val="auto"/>
        </w:rPr>
        <w:t>No fraction of a share shall be allotted. The Board may make such provisions as it thinks fit for any fractional entitlements including without limitation payment in cash to holders in respect of their fractional entitlements, provision for the accrual, retention or accumulation of all or part of the benefit of fractional entitlements to or by the Company or to or by or on behalf of any holder or the application of any accrual, retention or accumulation to the allotment of fully paid shares to any holder.</w:t>
      </w:r>
    </w:p>
    <w:p>
      <w:pPr>
        <w:spacing w:after="0" w:line="81" w:lineRule="exact"/>
        <w:rPr>
          <w:rFonts w:ascii="Arial" w:cs="Arial" w:eastAsia="Arial" w:hAnsi="Arial"/>
          <w:sz w:val="16"/>
          <w:szCs w:val="16"/>
          <w:color w:val="auto"/>
        </w:rPr>
      </w:pPr>
    </w:p>
    <w:p>
      <w:pPr>
        <w:ind w:left="1620" w:right="860" w:hanging="424"/>
        <w:spacing w:after="0" w:line="250" w:lineRule="auto"/>
        <w:tabs>
          <w:tab w:leader="none" w:pos="1620" w:val="left"/>
        </w:tabs>
        <w:numPr>
          <w:ilvl w:val="1"/>
          <w:numId w:val="199"/>
        </w:numPr>
        <w:rPr>
          <w:rFonts w:ascii="Arial" w:cs="Arial" w:eastAsia="Arial" w:hAnsi="Arial"/>
          <w:sz w:val="16"/>
          <w:szCs w:val="16"/>
          <w:color w:val="auto"/>
        </w:rPr>
      </w:pPr>
      <w:r>
        <w:rPr>
          <w:rFonts w:ascii="Arial" w:cs="Arial" w:eastAsia="Arial" w:hAnsi="Arial"/>
          <w:sz w:val="16"/>
          <w:szCs w:val="16"/>
          <w:color w:val="auto"/>
        </w:rPr>
        <w:t>The Board may do all acts and things it considers necessary or expedient to give effect to the allotment and issue of any share pursuant to this Article 39.1 or otherwise in connection with any offer made pursuant to this Article 39.1 and may authorise any person, acting on behalf of the holders concerned, to enter into an agreement with the Company providing for such allotment or issue and incidental matters Any agreement made under such authority shall be effective and binding on all concerned.</w:t>
      </w:r>
    </w:p>
    <w:p>
      <w:pPr>
        <w:spacing w:after="0" w:line="81" w:lineRule="exact"/>
        <w:rPr>
          <w:rFonts w:ascii="Arial" w:cs="Arial" w:eastAsia="Arial" w:hAnsi="Arial"/>
          <w:sz w:val="16"/>
          <w:szCs w:val="16"/>
          <w:color w:val="auto"/>
        </w:rPr>
      </w:pPr>
    </w:p>
    <w:p>
      <w:pPr>
        <w:ind w:left="1620" w:hanging="424"/>
        <w:spacing w:after="0"/>
        <w:tabs>
          <w:tab w:leader="none" w:pos="1620" w:val="left"/>
        </w:tabs>
        <w:numPr>
          <w:ilvl w:val="1"/>
          <w:numId w:val="199"/>
        </w:numPr>
        <w:rPr>
          <w:rFonts w:ascii="Arial" w:cs="Arial" w:eastAsia="Arial" w:hAnsi="Arial"/>
          <w:sz w:val="16"/>
          <w:szCs w:val="16"/>
          <w:color w:val="auto"/>
        </w:rPr>
      </w:pPr>
      <w:r>
        <w:rPr>
          <w:rFonts w:ascii="Arial" w:cs="Arial" w:eastAsia="Arial" w:hAnsi="Arial"/>
          <w:sz w:val="16"/>
          <w:szCs w:val="16"/>
          <w:color w:val="auto"/>
        </w:rPr>
        <w:t>The Board may, at its discretion, amend, suspend or terminate any offer pursuant to the above.</w:t>
      </w:r>
    </w:p>
    <w:p>
      <w:pPr>
        <w:spacing w:after="0" w:line="79" w:lineRule="exact"/>
        <w:rPr>
          <w:rFonts w:ascii="Arial" w:cs="Arial" w:eastAsia="Arial" w:hAnsi="Arial"/>
          <w:sz w:val="16"/>
          <w:szCs w:val="16"/>
          <w:color w:val="auto"/>
        </w:rPr>
      </w:pPr>
    </w:p>
    <w:p>
      <w:pPr>
        <w:ind w:left="1200" w:hanging="436"/>
        <w:spacing w:after="0"/>
        <w:tabs>
          <w:tab w:leader="none" w:pos="1200" w:val="left"/>
        </w:tabs>
        <w:numPr>
          <w:ilvl w:val="0"/>
          <w:numId w:val="200"/>
        </w:numPr>
        <w:rPr>
          <w:rFonts w:ascii="Arial" w:cs="Arial" w:eastAsia="Arial" w:hAnsi="Arial"/>
          <w:sz w:val="16"/>
          <w:szCs w:val="16"/>
          <w:b w:val="1"/>
          <w:bCs w:val="1"/>
          <w:color w:val="auto"/>
        </w:rPr>
      </w:pPr>
      <w:r>
        <w:rPr>
          <w:rFonts w:ascii="Arial" w:cs="Arial" w:eastAsia="Arial" w:hAnsi="Arial"/>
          <w:sz w:val="16"/>
          <w:szCs w:val="16"/>
          <w:b w:val="1"/>
          <w:bCs w:val="1"/>
          <w:color w:val="auto"/>
        </w:rPr>
        <w:t>CAPITALISATION OF PROFITS</w:t>
      </w:r>
    </w:p>
    <w:p>
      <w:pPr>
        <w:spacing w:after="0" w:line="120" w:lineRule="exact"/>
        <w:rPr>
          <w:sz w:val="20"/>
          <w:szCs w:val="20"/>
          <w:color w:val="auto"/>
        </w:rPr>
      </w:pPr>
    </w:p>
    <w:p>
      <w:pPr>
        <w:ind w:left="1200" w:right="920" w:hanging="431"/>
        <w:spacing w:after="0" w:line="251" w:lineRule="auto"/>
        <w:rPr>
          <w:sz w:val="20"/>
          <w:szCs w:val="20"/>
          <w:color w:val="auto"/>
        </w:rPr>
      </w:pPr>
      <w:r>
        <w:rPr>
          <w:rFonts w:ascii="Arial" w:cs="Arial" w:eastAsia="Arial" w:hAnsi="Arial"/>
          <w:sz w:val="16"/>
          <w:szCs w:val="16"/>
          <w:color w:val="auto"/>
        </w:rPr>
        <w:t>40.1 The Board may, subject to the provisions of this Article 40.1, Article 40.2 and Article 40.3 inclusive, resolve to capitalise any undistributed profits of the Company not required for paying any preferential dividend (whether or not they are available for distribution) or any sum standing to the credit of any reserve or fund of the Company (including without limitation the Company’s share premium account and capital redemption reserve, if any) and:</w:t>
      </w:r>
    </w:p>
    <w:p>
      <w:pPr>
        <w:spacing w:after="0" w:line="67" w:lineRule="exact"/>
        <w:rPr>
          <w:sz w:val="20"/>
          <w:szCs w:val="20"/>
          <w:color w:val="auto"/>
        </w:rPr>
      </w:pPr>
    </w:p>
    <w:p>
      <w:pPr>
        <w:ind w:left="1620" w:right="780" w:hanging="424"/>
        <w:spacing w:after="0" w:line="250" w:lineRule="auto"/>
        <w:tabs>
          <w:tab w:leader="none" w:pos="1620" w:val="left"/>
        </w:tabs>
        <w:numPr>
          <w:ilvl w:val="0"/>
          <w:numId w:val="201"/>
        </w:numPr>
        <w:rPr>
          <w:rFonts w:ascii="Arial" w:cs="Arial" w:eastAsia="Arial" w:hAnsi="Arial"/>
          <w:sz w:val="16"/>
          <w:szCs w:val="16"/>
          <w:color w:val="auto"/>
        </w:rPr>
      </w:pPr>
      <w:r>
        <w:rPr>
          <w:rFonts w:ascii="Arial" w:cs="Arial" w:eastAsia="Arial" w:hAnsi="Arial"/>
          <w:sz w:val="16"/>
          <w:szCs w:val="16"/>
          <w:color w:val="auto"/>
        </w:rPr>
        <w:t>appropriate the sum resolved to be capitalised to the members or any class of members on the record date specified in the relevant resolution who would have been entitled to it if it were distributed by way of dividend and in proportion to the nominal amounts of the shares (whether or not fully paid) held by them respectively which would entitle them to participate in a distribution of that sum if the shares were fully paid and the sum were then distributable and were distributed by way of dividend;</w:t>
      </w:r>
    </w:p>
    <w:p>
      <w:pPr>
        <w:spacing w:after="0" w:line="287" w:lineRule="exact"/>
        <w:rPr>
          <w:sz w:val="20"/>
          <w:szCs w:val="20"/>
          <w:color w:val="auto"/>
        </w:rPr>
      </w:pPr>
    </w:p>
    <w:tbl>
      <w:tblPr>
        <w:tblLayout w:type="fixed"/>
        <w:tblInd w:w="0" w:type="dxa"/>
        <w:tblCellMar>
          <w:top w:w="0" w:type="dxa"/>
          <w:left w:w="0" w:type="dxa"/>
          <w:bottom w:w="0" w:type="dxa"/>
          <w:right w:w="0" w:type="dxa"/>
        </w:tblCellMar>
      </w:tblPr>
      <w:tr>
        <w:trPr>
          <w:trHeight w:val="130"/>
        </w:trPr>
        <w:tc>
          <w:tcPr>
            <w:tcW w:w="800" w:type="dxa"/>
            <w:vAlign w:val="bottom"/>
            <w:vMerge w:val="restart"/>
          </w:tcPr>
          <w:p>
            <w:pPr>
              <w:spacing w:after="0"/>
              <w:rPr>
                <w:sz w:val="11"/>
                <w:szCs w:val="11"/>
                <w:color w:val="auto"/>
              </w:rPr>
            </w:pPr>
          </w:p>
        </w:tc>
        <w:tc>
          <w:tcPr>
            <w:tcW w:w="3060" w:type="dxa"/>
            <w:vAlign w:val="bottom"/>
            <w:tcBorders>
              <w:bottom w:val="single" w:sz="8" w:color="auto"/>
            </w:tcBorders>
          </w:tcPr>
          <w:p>
            <w:pPr>
              <w:spacing w:after="0"/>
              <w:rPr>
                <w:sz w:val="11"/>
                <w:szCs w:val="11"/>
                <w:color w:val="auto"/>
              </w:rPr>
            </w:pPr>
          </w:p>
        </w:tc>
        <w:tc>
          <w:tcPr>
            <w:tcW w:w="2740" w:type="dxa"/>
            <w:vAlign w:val="bottom"/>
            <w:vMerge w:val="restart"/>
          </w:tcPr>
          <w:p>
            <w:pPr>
              <w:ind w:left="380"/>
              <w:spacing w:after="0"/>
              <w:rPr>
                <w:sz w:val="20"/>
                <w:szCs w:val="20"/>
                <w:color w:val="auto"/>
              </w:rPr>
            </w:pPr>
            <w:r>
              <w:rPr>
                <w:rFonts w:ascii="Arial" w:cs="Arial" w:eastAsia="Arial" w:hAnsi="Arial"/>
                <w:sz w:val="13"/>
                <w:szCs w:val="13"/>
                <w:b w:val="1"/>
                <w:bCs w:val="1"/>
                <w:color w:val="4800E6"/>
              </w:rPr>
              <w:t xml:space="preserve">LIVANOVA </w:t>
            </w:r>
            <w:r>
              <w:rPr>
                <w:rFonts w:ascii="Arial" w:cs="Arial" w:eastAsia="Arial" w:hAnsi="Arial"/>
                <w:sz w:val="13"/>
                <w:szCs w:val="13"/>
                <w:color w:val="000000"/>
              </w:rPr>
              <w:t>|</w:t>
            </w:r>
            <w:r>
              <w:rPr>
                <w:rFonts w:ascii="Arial" w:cs="Arial" w:eastAsia="Arial" w:hAnsi="Arial"/>
                <w:sz w:val="13"/>
                <w:szCs w:val="13"/>
                <w:b w:val="1"/>
                <w:bCs w:val="1"/>
                <w:color w:val="4800E6"/>
              </w:rPr>
              <w:t xml:space="preserve"> </w:t>
            </w:r>
            <w:r>
              <w:rPr>
                <w:rFonts w:ascii="Arial" w:cs="Arial" w:eastAsia="Arial" w:hAnsi="Arial"/>
                <w:sz w:val="13"/>
                <w:szCs w:val="13"/>
                <w:color w:val="4800E6"/>
              </w:rPr>
              <w:t>2020</w:t>
            </w:r>
            <w:r>
              <w:rPr>
                <w:rFonts w:ascii="Arial" w:cs="Arial" w:eastAsia="Arial" w:hAnsi="Arial"/>
                <w:sz w:val="13"/>
                <w:szCs w:val="13"/>
                <w:b w:val="1"/>
                <w:bCs w:val="1"/>
                <w:color w:val="4800E6"/>
              </w:rPr>
              <w:t xml:space="preserve"> </w:t>
            </w:r>
            <w:r>
              <w:rPr>
                <w:rFonts w:ascii="Arial" w:cs="Arial" w:eastAsia="Arial" w:hAnsi="Arial"/>
                <w:sz w:val="13"/>
                <w:szCs w:val="13"/>
                <w:color w:val="000000"/>
              </w:rPr>
              <w:t>Proxy Statement</w:t>
            </w:r>
          </w:p>
        </w:tc>
        <w:tc>
          <w:tcPr>
            <w:tcW w:w="3080" w:type="dxa"/>
            <w:vAlign w:val="bottom"/>
            <w:tcBorders>
              <w:bottom w:val="single" w:sz="8" w:color="auto"/>
            </w:tcBorders>
          </w:tcPr>
          <w:p>
            <w:pPr>
              <w:spacing w:after="0"/>
              <w:rPr>
                <w:sz w:val="11"/>
                <w:szCs w:val="11"/>
                <w:color w:val="auto"/>
              </w:rPr>
            </w:pPr>
          </w:p>
        </w:tc>
        <w:tc>
          <w:tcPr>
            <w:tcW w:w="1040" w:type="dxa"/>
            <w:vAlign w:val="bottom"/>
            <w:vMerge w:val="restart"/>
          </w:tcPr>
          <w:p>
            <w:pPr>
              <w:ind w:left="200"/>
              <w:spacing w:after="0"/>
              <w:rPr>
                <w:sz w:val="20"/>
                <w:szCs w:val="20"/>
                <w:color w:val="auto"/>
              </w:rPr>
            </w:pPr>
            <w:r>
              <w:rPr>
                <w:rFonts w:ascii="Arial" w:cs="Arial" w:eastAsia="Arial" w:hAnsi="Arial"/>
                <w:sz w:val="14"/>
                <w:szCs w:val="14"/>
                <w:b w:val="1"/>
                <w:bCs w:val="1"/>
                <w:color w:val="auto"/>
              </w:rPr>
              <w:t>A-33</w:t>
            </w:r>
          </w:p>
        </w:tc>
        <w:tc>
          <w:tcPr>
            <w:tcW w:w="0" w:type="dxa"/>
            <w:vAlign w:val="bottom"/>
          </w:tcPr>
          <w:p>
            <w:pPr>
              <w:spacing w:after="0"/>
              <w:rPr>
                <w:sz w:val="1"/>
                <w:szCs w:val="1"/>
                <w:color w:val="auto"/>
              </w:rPr>
            </w:pPr>
          </w:p>
        </w:tc>
      </w:tr>
      <w:tr>
        <w:trPr>
          <w:trHeight w:val="49"/>
        </w:trPr>
        <w:tc>
          <w:tcPr>
            <w:tcW w:w="800" w:type="dxa"/>
            <w:vAlign w:val="bottom"/>
            <w:vMerge w:val="continue"/>
          </w:tcPr>
          <w:p>
            <w:pPr>
              <w:spacing w:after="0"/>
              <w:rPr>
                <w:sz w:val="4"/>
                <w:szCs w:val="4"/>
                <w:color w:val="auto"/>
              </w:rPr>
            </w:pPr>
          </w:p>
        </w:tc>
        <w:tc>
          <w:tcPr>
            <w:tcW w:w="3060" w:type="dxa"/>
            <w:vAlign w:val="bottom"/>
          </w:tcPr>
          <w:p>
            <w:pPr>
              <w:spacing w:after="0"/>
              <w:rPr>
                <w:sz w:val="4"/>
                <w:szCs w:val="4"/>
                <w:color w:val="auto"/>
              </w:rPr>
            </w:pPr>
          </w:p>
        </w:tc>
        <w:tc>
          <w:tcPr>
            <w:tcW w:w="2740" w:type="dxa"/>
            <w:vAlign w:val="bottom"/>
            <w:vMerge w:val="continue"/>
          </w:tcPr>
          <w:p>
            <w:pPr>
              <w:spacing w:after="0"/>
              <w:rPr>
                <w:sz w:val="4"/>
                <w:szCs w:val="4"/>
                <w:color w:val="auto"/>
              </w:rPr>
            </w:pPr>
          </w:p>
        </w:tc>
        <w:tc>
          <w:tcPr>
            <w:tcW w:w="3080" w:type="dxa"/>
            <w:vAlign w:val="bottom"/>
          </w:tcPr>
          <w:p>
            <w:pPr>
              <w:spacing w:after="0"/>
              <w:rPr>
                <w:sz w:val="4"/>
                <w:szCs w:val="4"/>
                <w:color w:val="auto"/>
              </w:rPr>
            </w:pPr>
          </w:p>
        </w:tc>
        <w:tc>
          <w:tcPr>
            <w:tcW w:w="104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54"/>
        </w:trPr>
        <w:tc>
          <w:tcPr>
            <w:tcW w:w="800" w:type="dxa"/>
            <w:vAlign w:val="bottom"/>
            <w:tcBorders>
              <w:bottom w:val="single" w:sz="8" w:color="9A9A9A"/>
            </w:tcBorders>
          </w:tcPr>
          <w:p>
            <w:pPr>
              <w:spacing w:after="0"/>
              <w:rPr>
                <w:sz w:val="13"/>
                <w:szCs w:val="13"/>
                <w:color w:val="auto"/>
              </w:rPr>
            </w:pPr>
          </w:p>
        </w:tc>
        <w:tc>
          <w:tcPr>
            <w:tcW w:w="3060" w:type="dxa"/>
            <w:vAlign w:val="bottom"/>
            <w:tcBorders>
              <w:bottom w:val="single" w:sz="8" w:color="9A9A9A"/>
            </w:tcBorders>
          </w:tcPr>
          <w:p>
            <w:pPr>
              <w:spacing w:after="0"/>
              <w:rPr>
                <w:sz w:val="13"/>
                <w:szCs w:val="13"/>
                <w:color w:val="auto"/>
              </w:rPr>
            </w:pPr>
          </w:p>
        </w:tc>
        <w:tc>
          <w:tcPr>
            <w:tcW w:w="2740" w:type="dxa"/>
            <w:vAlign w:val="bottom"/>
            <w:tcBorders>
              <w:bottom w:val="single" w:sz="8" w:color="9A9A9A"/>
            </w:tcBorders>
          </w:tcPr>
          <w:p>
            <w:pPr>
              <w:spacing w:after="0"/>
              <w:rPr>
                <w:sz w:val="13"/>
                <w:szCs w:val="13"/>
                <w:color w:val="auto"/>
              </w:rPr>
            </w:pPr>
          </w:p>
        </w:tc>
        <w:tc>
          <w:tcPr>
            <w:tcW w:w="3080" w:type="dxa"/>
            <w:vAlign w:val="bottom"/>
            <w:tcBorders>
              <w:bottom w:val="single" w:sz="8" w:color="9A9A9A"/>
            </w:tcBorders>
          </w:tcPr>
          <w:p>
            <w:pPr>
              <w:spacing w:after="0"/>
              <w:rPr>
                <w:sz w:val="13"/>
                <w:szCs w:val="13"/>
                <w:color w:val="auto"/>
              </w:rPr>
            </w:pPr>
          </w:p>
        </w:tc>
        <w:tc>
          <w:tcPr>
            <w:tcW w:w="1040" w:type="dxa"/>
            <w:vAlign w:val="bottom"/>
            <w:tcBorders>
              <w:bottom w:val="single" w:sz="8" w:color="9A9A9A"/>
            </w:tcBorders>
          </w:tcPr>
          <w:p>
            <w:pPr>
              <w:spacing w:after="0"/>
              <w:rPr>
                <w:sz w:val="13"/>
                <w:szCs w:val="1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6802755</wp:posOffset>
            </wp:positionH>
            <wp:positionV relativeFrom="paragraph">
              <wp:posOffset>-8255</wp:posOffset>
            </wp:positionV>
            <wp:extent cx="8255" cy="8890"/>
            <wp:wrapNone/>
            <wp:docPr id="477" name="Picture 4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7"/>
                    <pic:cNvPicPr>
                      <a:picLocks noChangeAspect="1" noChangeArrowheads="1"/>
                    </pic:cNvPicPr>
                  </pic:nvPicPr>
                  <pic:blipFill>
                    <a:blip r:embed="rId484">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wp:posOffset>
            </wp:positionV>
            <wp:extent cx="8890" cy="17145"/>
            <wp:wrapNone/>
            <wp:docPr id="478" name="Picture 4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8"/>
                    <pic:cNvPicPr>
                      <a:picLocks noChangeAspect="1" noChangeArrowheads="1"/>
                    </pic:cNvPicPr>
                  </pic:nvPicPr>
                  <pic:blipFill>
                    <a:blip r:embed="rId485">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sectPr>
          <w:pgSz w:w="11900" w:h="16838" w:orient="portrait"/>
          <w:cols w:equalWidth="0" w:num="1">
            <w:col w:w="10720"/>
          </w:cols>
          <w:pgMar w:left="320" w:top="131" w:right="859" w:bottom="1440" w:gutter="0" w:footer="0" w:header="0"/>
        </w:sectPr>
      </w:pPr>
    </w:p>
    <w:bookmarkStart w:id="112" w:name="page113"/>
    <w:bookmarkEnd w:id="112"/>
    <w:p>
      <w:pPr>
        <w:spacing w:after="0"/>
        <w:rPr>
          <w:rFonts w:ascii="Arial" w:cs="Arial" w:eastAsia="Arial" w:hAnsi="Arial"/>
          <w:sz w:val="14"/>
          <w:szCs w:val="14"/>
          <w:color w:val="003366"/>
        </w:rPr>
      </w:pPr>
      <w:hyperlink w:anchor="page77">
        <w:r>
          <w:rPr>
            <w:rFonts w:ascii="Arial" w:cs="Arial" w:eastAsia="Arial" w:hAnsi="Arial"/>
            <w:sz w:val="14"/>
            <w:szCs w:val="14"/>
            <w:color w:val="003366"/>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485140</wp:posOffset>
            </wp:positionH>
            <wp:positionV relativeFrom="paragraph">
              <wp:posOffset>356870</wp:posOffset>
            </wp:positionV>
            <wp:extent cx="5829300" cy="8255"/>
            <wp:wrapNone/>
            <wp:docPr id="479" name="Picture 4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9"/>
                    <pic:cNvPicPr>
                      <a:picLocks noChangeAspect="1" noChangeArrowheads="1"/>
                    </pic:cNvPicPr>
                  </pic:nvPicPr>
                  <pic:blipFill>
                    <a:blip r:embed="rId486">
                      <a:extLst>
                        <a:ext uri="{28A0092B-C50C-407E-A947-70E740481C1C}"/>
                      </a:extLst>
                    </a:blip>
                    <a:srcRect/>
                    <a:stretch>
                      <a:fillRect/>
                    </a:stretch>
                  </pic:blipFill>
                  <pic:spPr bwMode="auto">
                    <a:xfrm>
                      <a:off x="0" y="0"/>
                      <a:ext cx="582930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ind w:left="1620" w:right="259" w:hanging="424"/>
        <w:spacing w:after="0" w:line="250" w:lineRule="auto"/>
        <w:tabs>
          <w:tab w:leader="none" w:pos="1620" w:val="left"/>
        </w:tabs>
        <w:numPr>
          <w:ilvl w:val="0"/>
          <w:numId w:val="202"/>
        </w:numPr>
        <w:rPr>
          <w:rFonts w:ascii="Arial" w:cs="Arial" w:eastAsia="Arial" w:hAnsi="Arial"/>
          <w:sz w:val="16"/>
          <w:szCs w:val="16"/>
          <w:color w:val="auto"/>
        </w:rPr>
      </w:pPr>
      <w:r>
        <w:rPr>
          <w:rFonts w:ascii="Arial" w:cs="Arial" w:eastAsia="Arial" w:hAnsi="Arial"/>
          <w:sz w:val="16"/>
          <w:szCs w:val="16"/>
          <w:color w:val="auto"/>
        </w:rPr>
        <w:t>apply such sum on their behalf either in or towards paying up the amounts, if any, for the time being unpaid on any shares held by them respectively, or in paying up in full shares, debentures or other obligations of the Company of a nominal amount equal to that sum but the share premium account, the capital redemption reserve, and any profits which are not available for distribution may, for the purposes of this Article 40.1, only be applied in paying up shares to be allotted to members credited as fully paid;</w:t>
      </w:r>
    </w:p>
    <w:p>
      <w:pPr>
        <w:spacing w:after="0" w:line="81" w:lineRule="exact"/>
        <w:rPr>
          <w:rFonts w:ascii="Arial" w:cs="Arial" w:eastAsia="Arial" w:hAnsi="Arial"/>
          <w:sz w:val="16"/>
          <w:szCs w:val="16"/>
          <w:color w:val="auto"/>
        </w:rPr>
      </w:pPr>
    </w:p>
    <w:p>
      <w:pPr>
        <w:ind w:left="1620" w:right="219" w:hanging="424"/>
        <w:spacing w:after="0" w:line="260" w:lineRule="auto"/>
        <w:tabs>
          <w:tab w:leader="none" w:pos="1620" w:val="left"/>
        </w:tabs>
        <w:numPr>
          <w:ilvl w:val="0"/>
          <w:numId w:val="202"/>
        </w:numPr>
        <w:rPr>
          <w:rFonts w:ascii="Arial" w:cs="Arial" w:eastAsia="Arial" w:hAnsi="Arial"/>
          <w:sz w:val="16"/>
          <w:szCs w:val="16"/>
          <w:color w:val="auto"/>
        </w:rPr>
      </w:pPr>
      <w:r>
        <w:rPr>
          <w:rFonts w:ascii="Arial" w:cs="Arial" w:eastAsia="Arial" w:hAnsi="Arial"/>
          <w:sz w:val="16"/>
          <w:szCs w:val="16"/>
          <w:color w:val="auto"/>
        </w:rPr>
        <w:t>allot the shares, debentures or other obligations credited as fully paid to those members or as they may direct, in those proportions, or partly in one way and partly in the other;</w:t>
      </w:r>
    </w:p>
    <w:p>
      <w:pPr>
        <w:spacing w:after="0" w:line="73" w:lineRule="exact"/>
        <w:rPr>
          <w:rFonts w:ascii="Arial" w:cs="Arial" w:eastAsia="Arial" w:hAnsi="Arial"/>
          <w:sz w:val="16"/>
          <w:szCs w:val="16"/>
          <w:color w:val="auto"/>
        </w:rPr>
      </w:pPr>
    </w:p>
    <w:p>
      <w:pPr>
        <w:ind w:left="1620" w:right="199" w:hanging="424"/>
        <w:spacing w:after="0" w:line="260" w:lineRule="auto"/>
        <w:tabs>
          <w:tab w:leader="none" w:pos="1620" w:val="left"/>
        </w:tabs>
        <w:numPr>
          <w:ilvl w:val="0"/>
          <w:numId w:val="202"/>
        </w:numPr>
        <w:rPr>
          <w:rFonts w:ascii="Arial" w:cs="Arial" w:eastAsia="Arial" w:hAnsi="Arial"/>
          <w:sz w:val="16"/>
          <w:szCs w:val="16"/>
          <w:color w:val="auto"/>
        </w:rPr>
      </w:pPr>
      <w:r>
        <w:rPr>
          <w:rFonts w:ascii="Arial" w:cs="Arial" w:eastAsia="Arial" w:hAnsi="Arial"/>
          <w:sz w:val="16"/>
          <w:szCs w:val="16"/>
          <w:color w:val="auto"/>
        </w:rPr>
        <w:t xml:space="preserve">resolve that any shares so allotted to any member in respect of a holding by </w:t>
      </w:r>
      <w:r>
        <w:rPr>
          <w:rFonts w:ascii="Arial" w:cs="Arial" w:eastAsia="Arial" w:hAnsi="Arial"/>
          <w:sz w:val="16"/>
          <w:szCs w:val="16"/>
          <w:color w:val="auto"/>
          <w:strike w:val="1"/>
        </w:rPr>
        <w:t>him</w:t>
      </w:r>
      <w:r>
        <w:rPr>
          <w:rFonts w:ascii="Arial" w:cs="Arial" w:eastAsia="Arial" w:hAnsi="Arial"/>
          <w:sz w:val="16"/>
          <w:szCs w:val="16"/>
          <w:u w:val="single" w:color="auto"/>
          <w:color w:val="auto"/>
        </w:rPr>
        <w:t>them</w:t>
      </w:r>
      <w:r>
        <w:rPr>
          <w:rFonts w:ascii="Arial" w:cs="Arial" w:eastAsia="Arial" w:hAnsi="Arial"/>
          <w:sz w:val="16"/>
          <w:szCs w:val="16"/>
          <w:color w:val="auto"/>
        </w:rPr>
        <w:t xml:space="preserve"> of any partly paid shares shall so long as such shares remain partly paid rank for dividend only to the extent that the latter shares rank for dividend;</w:t>
      </w:r>
    </w:p>
    <w:p>
      <w:pPr>
        <w:spacing w:after="0" w:line="73" w:lineRule="exact"/>
        <w:rPr>
          <w:rFonts w:ascii="Arial" w:cs="Arial" w:eastAsia="Arial" w:hAnsi="Arial"/>
          <w:sz w:val="16"/>
          <w:szCs w:val="16"/>
          <w:color w:val="auto"/>
        </w:rPr>
      </w:pPr>
    </w:p>
    <w:p>
      <w:pPr>
        <w:ind w:left="1620" w:right="339" w:hanging="424"/>
        <w:spacing w:after="0" w:line="250" w:lineRule="auto"/>
        <w:tabs>
          <w:tab w:leader="none" w:pos="1620" w:val="left"/>
        </w:tabs>
        <w:numPr>
          <w:ilvl w:val="0"/>
          <w:numId w:val="202"/>
        </w:numPr>
        <w:rPr>
          <w:rFonts w:ascii="Arial" w:cs="Arial" w:eastAsia="Arial" w:hAnsi="Arial"/>
          <w:sz w:val="16"/>
          <w:szCs w:val="16"/>
          <w:color w:val="auto"/>
        </w:rPr>
      </w:pPr>
      <w:r>
        <w:rPr>
          <w:rFonts w:ascii="Arial" w:cs="Arial" w:eastAsia="Arial" w:hAnsi="Arial"/>
          <w:sz w:val="16"/>
          <w:szCs w:val="16"/>
          <w:color w:val="auto"/>
        </w:rPr>
        <w:t>where shares or debentures become, or would otherwise become, distributable under this Article 40.1 in fractions, make such provision as the Board thinks fit for any fractional entitlements including without limitation authorising their sale and transfer to any person, resolving that the distribution be made as nearly as practicable in the correct proportion but not exactly so, ignoring fractions altogether or resolving that cash payments be made to any members in order to adjust the rights of all parties;</w:t>
      </w:r>
    </w:p>
    <w:p>
      <w:pPr>
        <w:spacing w:after="0" w:line="81" w:lineRule="exact"/>
        <w:rPr>
          <w:rFonts w:ascii="Arial" w:cs="Arial" w:eastAsia="Arial" w:hAnsi="Arial"/>
          <w:sz w:val="16"/>
          <w:szCs w:val="16"/>
          <w:color w:val="auto"/>
        </w:rPr>
      </w:pPr>
    </w:p>
    <w:p>
      <w:pPr>
        <w:ind w:left="1620" w:right="299" w:hanging="424"/>
        <w:spacing w:after="0" w:line="260" w:lineRule="auto"/>
        <w:tabs>
          <w:tab w:leader="none" w:pos="1620" w:val="left"/>
        </w:tabs>
        <w:numPr>
          <w:ilvl w:val="0"/>
          <w:numId w:val="202"/>
        </w:numPr>
        <w:rPr>
          <w:rFonts w:ascii="Arial" w:cs="Arial" w:eastAsia="Arial" w:hAnsi="Arial"/>
          <w:sz w:val="16"/>
          <w:szCs w:val="16"/>
          <w:color w:val="auto"/>
        </w:rPr>
      </w:pPr>
      <w:r>
        <w:rPr>
          <w:rFonts w:ascii="Arial" w:cs="Arial" w:eastAsia="Arial" w:hAnsi="Arial"/>
          <w:sz w:val="16"/>
          <w:szCs w:val="16"/>
          <w:color w:val="auto"/>
        </w:rPr>
        <w:t>authorise any person to enter on behalf of all the members concerned into an agreement with the Company providing for either:</w:t>
      </w:r>
    </w:p>
    <w:p>
      <w:pPr>
        <w:spacing w:after="0" w:line="60" w:lineRule="exact"/>
        <w:rPr>
          <w:rFonts w:ascii="Arial" w:cs="Arial" w:eastAsia="Arial" w:hAnsi="Arial"/>
          <w:sz w:val="16"/>
          <w:szCs w:val="16"/>
          <w:color w:val="auto"/>
        </w:rPr>
      </w:pPr>
    </w:p>
    <w:p>
      <w:pPr>
        <w:ind w:left="2060" w:right="879" w:hanging="432"/>
        <w:spacing w:after="0" w:line="260" w:lineRule="auto"/>
        <w:tabs>
          <w:tab w:leader="none" w:pos="2060" w:val="left"/>
        </w:tabs>
        <w:numPr>
          <w:ilvl w:val="1"/>
          <w:numId w:val="202"/>
        </w:numPr>
        <w:rPr>
          <w:rFonts w:ascii="Arial" w:cs="Arial" w:eastAsia="Arial" w:hAnsi="Arial"/>
          <w:sz w:val="16"/>
          <w:szCs w:val="16"/>
          <w:color w:val="auto"/>
        </w:rPr>
      </w:pPr>
      <w:r>
        <w:rPr>
          <w:rFonts w:ascii="Arial" w:cs="Arial" w:eastAsia="Arial" w:hAnsi="Arial"/>
          <w:sz w:val="16"/>
          <w:szCs w:val="16"/>
          <w:color w:val="auto"/>
        </w:rPr>
        <w:t>the allotment to members respectively, credited as fully paid, of any further shares, debentures or other obligations to which they are entitled upon such capitalisation; or</w:t>
      </w:r>
    </w:p>
    <w:p>
      <w:pPr>
        <w:spacing w:after="0" w:line="73" w:lineRule="exact"/>
        <w:rPr>
          <w:rFonts w:ascii="Arial" w:cs="Arial" w:eastAsia="Arial" w:hAnsi="Arial"/>
          <w:sz w:val="16"/>
          <w:szCs w:val="16"/>
          <w:color w:val="auto"/>
        </w:rPr>
      </w:pPr>
    </w:p>
    <w:p>
      <w:pPr>
        <w:ind w:left="2060" w:right="279" w:hanging="432"/>
        <w:spacing w:after="0" w:line="253" w:lineRule="auto"/>
        <w:tabs>
          <w:tab w:leader="none" w:pos="2060" w:val="left"/>
        </w:tabs>
        <w:numPr>
          <w:ilvl w:val="1"/>
          <w:numId w:val="202"/>
        </w:numPr>
        <w:rPr>
          <w:rFonts w:ascii="Arial" w:cs="Arial" w:eastAsia="Arial" w:hAnsi="Arial"/>
          <w:sz w:val="16"/>
          <w:szCs w:val="16"/>
          <w:color w:val="auto"/>
        </w:rPr>
      </w:pPr>
      <w:r>
        <w:rPr>
          <w:rFonts w:ascii="Arial" w:cs="Arial" w:eastAsia="Arial" w:hAnsi="Arial"/>
          <w:sz w:val="16"/>
          <w:szCs w:val="16"/>
          <w:color w:val="auto"/>
        </w:rPr>
        <w:t>the payment up by the Company on behalf of the members of the amounts, or any part of the amounts, remaining unpaid on their existing shares by the application of their respective proportions of the sums resolved to be capitalised,</w:t>
      </w:r>
    </w:p>
    <w:p>
      <w:pPr>
        <w:spacing w:after="0" w:line="80" w:lineRule="exact"/>
        <w:rPr>
          <w:sz w:val="20"/>
          <w:szCs w:val="20"/>
          <w:color w:val="auto"/>
        </w:rPr>
      </w:pPr>
    </w:p>
    <w:p>
      <w:pPr>
        <w:ind w:left="1620"/>
        <w:spacing w:after="0"/>
        <w:rPr>
          <w:sz w:val="20"/>
          <w:szCs w:val="20"/>
          <w:color w:val="auto"/>
        </w:rPr>
      </w:pPr>
      <w:r>
        <w:rPr>
          <w:rFonts w:ascii="Arial" w:cs="Arial" w:eastAsia="Arial" w:hAnsi="Arial"/>
          <w:sz w:val="16"/>
          <w:szCs w:val="16"/>
          <w:color w:val="auto"/>
        </w:rPr>
        <w:t>and any agreement made under such authority being binding on all such members</w:t>
      </w:r>
      <w:r>
        <w:rPr>
          <w:rFonts w:ascii="Arial" w:cs="Arial" w:eastAsia="Arial" w:hAnsi="Arial"/>
          <w:sz w:val="16"/>
          <w:szCs w:val="16"/>
          <w:color w:val="auto"/>
          <w:strike w:val="1"/>
        </w:rPr>
        <w:t>,</w:t>
      </w:r>
      <w:r>
        <w:rPr>
          <w:rFonts w:ascii="Arial" w:cs="Arial" w:eastAsia="Arial" w:hAnsi="Arial"/>
          <w:sz w:val="16"/>
          <w:szCs w:val="16"/>
          <w:u w:val="single" w:color="auto"/>
          <w:color w:val="auto"/>
        </w:rPr>
        <w:t>;</w:t>
      </w:r>
      <w:r>
        <w:rPr>
          <w:rFonts w:ascii="Arial" w:cs="Arial" w:eastAsia="Arial" w:hAnsi="Arial"/>
          <w:sz w:val="16"/>
          <w:szCs w:val="16"/>
          <w:color w:val="auto"/>
        </w:rPr>
        <w:t xml:space="preserve"> and</w:t>
      </w:r>
    </w:p>
    <w:p>
      <w:pPr>
        <w:spacing w:after="0" w:line="100" w:lineRule="exact"/>
        <w:rPr>
          <w:sz w:val="20"/>
          <w:szCs w:val="20"/>
          <w:color w:val="auto"/>
        </w:rPr>
      </w:pPr>
    </w:p>
    <w:p>
      <w:pPr>
        <w:ind w:left="1620" w:hanging="424"/>
        <w:spacing w:after="0"/>
        <w:tabs>
          <w:tab w:leader="none" w:pos="1620" w:val="left"/>
        </w:tabs>
        <w:numPr>
          <w:ilvl w:val="0"/>
          <w:numId w:val="203"/>
        </w:numPr>
        <w:rPr>
          <w:rFonts w:ascii="Arial" w:cs="Arial" w:eastAsia="Arial" w:hAnsi="Arial"/>
          <w:sz w:val="16"/>
          <w:szCs w:val="16"/>
          <w:color w:val="auto"/>
        </w:rPr>
      </w:pPr>
      <w:r>
        <w:rPr>
          <w:rFonts w:ascii="Arial" w:cs="Arial" w:eastAsia="Arial" w:hAnsi="Arial"/>
          <w:sz w:val="16"/>
          <w:szCs w:val="16"/>
          <w:color w:val="auto"/>
        </w:rPr>
        <w:t>generally do all acts and things required to give effect to such resolution as aforesaid.</w:t>
      </w:r>
    </w:p>
    <w:p>
      <w:pPr>
        <w:spacing w:after="0" w:line="86" w:lineRule="exact"/>
        <w:rPr>
          <w:sz w:val="20"/>
          <w:szCs w:val="20"/>
          <w:color w:val="auto"/>
        </w:rPr>
      </w:pPr>
    </w:p>
    <w:p>
      <w:pPr>
        <w:ind w:left="1200" w:right="239" w:hanging="431"/>
        <w:spacing w:after="0" w:line="249" w:lineRule="auto"/>
        <w:rPr>
          <w:sz w:val="20"/>
          <w:szCs w:val="20"/>
          <w:color w:val="auto"/>
        </w:rPr>
      </w:pPr>
      <w:r>
        <w:rPr>
          <w:rFonts w:ascii="Arial" w:cs="Arial" w:eastAsia="Arial" w:hAnsi="Arial"/>
          <w:sz w:val="16"/>
          <w:szCs w:val="16"/>
          <w:color w:val="auto"/>
        </w:rPr>
        <w:t xml:space="preserve">40.2 </w:t>
      </w:r>
      <w:r>
        <w:rPr>
          <w:rFonts w:ascii="Arial" w:cs="Arial" w:eastAsia="Arial" w:hAnsi="Arial"/>
          <w:sz w:val="16"/>
          <w:szCs w:val="16"/>
          <w:color w:val="auto"/>
          <w:strike w:val="1"/>
        </w:rPr>
        <w:t>In</w:t>
      </w:r>
      <w:r>
        <w:rPr>
          <w:rFonts w:ascii="Arial" w:cs="Arial" w:eastAsia="Arial" w:hAnsi="Arial"/>
          <w:sz w:val="16"/>
          <w:szCs w:val="16"/>
          <w:u w:val="single" w:color="auto"/>
          <w:color w:val="auto"/>
        </w:rPr>
        <w:t>Subject to Article 40.3, in</w:t>
      </w:r>
      <w:r>
        <w:rPr>
          <w:rFonts w:ascii="Arial" w:cs="Arial" w:eastAsia="Arial" w:hAnsi="Arial"/>
          <w:sz w:val="16"/>
          <w:szCs w:val="16"/>
          <w:color w:val="auto"/>
        </w:rPr>
        <w:t xml:space="preserve"> exercising its authority under Article 40.1, unless recommended by </w:t>
      </w:r>
      <w:r>
        <w:rPr>
          <w:rFonts w:ascii="Arial" w:cs="Arial" w:eastAsia="Arial" w:hAnsi="Arial"/>
          <w:sz w:val="16"/>
          <w:szCs w:val="16"/>
          <w:color w:val="auto"/>
          <w:strike w:val="1"/>
        </w:rPr>
        <w:t>two-thirds of</w:t>
      </w:r>
      <w:r>
        <w:rPr>
          <w:rFonts w:ascii="Arial" w:cs="Arial" w:eastAsia="Arial" w:hAnsi="Arial"/>
          <w:sz w:val="16"/>
          <w:szCs w:val="16"/>
          <w:color w:val="auto"/>
        </w:rPr>
        <w:t xml:space="preserve"> the Board and approved by an ordinary resolution of the Company, the Board may only resolve to capitalise any undistributed profits of the Company not required for paying any preferential dividend (whether or not they are available for distribution) or any sum standing to the credit of any reserve or fund of the Company (including without limitation the Company’s share premium account and capital redemption reserve, if any) and to issue and allot Ordinary Shares, as otherwise contemplated by Article </w:t>
      </w:r>
      <w:r>
        <w:rPr>
          <w:rFonts w:ascii="Arial" w:cs="Arial" w:eastAsia="Arial" w:hAnsi="Arial"/>
          <w:sz w:val="16"/>
          <w:szCs w:val="16"/>
          <w:color w:val="auto"/>
          <w:strike w:val="1"/>
        </w:rPr>
        <w:t>40.1</w:t>
      </w:r>
      <w:r>
        <w:rPr>
          <w:rFonts w:ascii="Arial" w:cs="Arial" w:eastAsia="Arial" w:hAnsi="Arial"/>
          <w:sz w:val="16"/>
          <w:szCs w:val="16"/>
          <w:u w:val="single" w:color="auto"/>
          <w:color w:val="auto"/>
        </w:rPr>
        <w:t>40.1</w:t>
      </w:r>
      <w:r>
        <w:rPr>
          <w:rFonts w:ascii="Arial" w:cs="Arial" w:eastAsia="Arial" w:hAnsi="Arial"/>
          <w:sz w:val="16"/>
          <w:szCs w:val="16"/>
          <w:color w:val="auto"/>
        </w:rPr>
        <w:t>, to holders of Ordinary Shares on an equal per share basis.</w:t>
      </w:r>
    </w:p>
    <w:p>
      <w:pPr>
        <w:spacing w:after="0" w:line="83" w:lineRule="exact"/>
        <w:rPr>
          <w:sz w:val="20"/>
          <w:szCs w:val="20"/>
          <w:color w:val="auto"/>
        </w:rPr>
      </w:pPr>
    </w:p>
    <w:p>
      <w:pPr>
        <w:ind w:left="760"/>
        <w:spacing w:after="0"/>
        <w:rPr>
          <w:sz w:val="20"/>
          <w:szCs w:val="20"/>
          <w:color w:val="auto"/>
        </w:rPr>
      </w:pPr>
      <w:r>
        <w:rPr>
          <w:rFonts w:ascii="Arial" w:cs="Arial" w:eastAsia="Arial" w:hAnsi="Arial"/>
          <w:sz w:val="16"/>
          <w:szCs w:val="16"/>
          <w:color w:val="auto"/>
        </w:rPr>
        <w:t>40.3</w:t>
      </w:r>
    </w:p>
    <w:p>
      <w:pPr>
        <w:spacing w:after="0" w:line="100" w:lineRule="exact"/>
        <w:rPr>
          <w:sz w:val="20"/>
          <w:szCs w:val="20"/>
          <w:color w:val="auto"/>
        </w:rPr>
      </w:pPr>
    </w:p>
    <w:p>
      <w:pPr>
        <w:ind w:left="1620" w:right="259" w:hanging="424"/>
        <w:spacing w:after="0" w:line="262" w:lineRule="auto"/>
        <w:tabs>
          <w:tab w:leader="none" w:pos="1620" w:val="left"/>
        </w:tabs>
        <w:numPr>
          <w:ilvl w:val="0"/>
          <w:numId w:val="204"/>
        </w:numPr>
        <w:rPr>
          <w:rFonts w:ascii="Arial" w:cs="Arial" w:eastAsia="Arial" w:hAnsi="Arial"/>
          <w:sz w:val="15"/>
          <w:szCs w:val="15"/>
          <w:color w:val="auto"/>
        </w:rPr>
      </w:pPr>
      <w:r>
        <w:rPr>
          <w:rFonts w:ascii="Arial" w:cs="Arial" w:eastAsia="Arial" w:hAnsi="Arial"/>
          <w:sz w:val="15"/>
          <w:szCs w:val="15"/>
          <w:color w:val="auto"/>
        </w:rPr>
        <w:t xml:space="preserve">Where, pursuant to </w:t>
      </w:r>
      <w:r>
        <w:rPr>
          <w:rFonts w:ascii="Arial" w:cs="Arial" w:eastAsia="Arial" w:hAnsi="Arial"/>
          <w:sz w:val="15"/>
          <w:szCs w:val="15"/>
          <w:color w:val="auto"/>
          <w:strike w:val="1"/>
        </w:rPr>
        <w:t>an employees</w:t>
      </w:r>
      <w:r>
        <w:rPr>
          <w:rFonts w:ascii="Arial" w:cs="Arial" w:eastAsia="Arial" w:hAnsi="Arial"/>
          <w:sz w:val="15"/>
          <w:szCs w:val="15"/>
          <w:color w:val="auto"/>
        </w:rPr>
        <w:t>’</w:t>
      </w:r>
      <w:r>
        <w:rPr>
          <w:rFonts w:ascii="Arial" w:cs="Arial" w:eastAsia="Arial" w:hAnsi="Arial"/>
          <w:sz w:val="15"/>
          <w:szCs w:val="15"/>
          <w:u w:val="single" w:color="auto"/>
          <w:color w:val="auto"/>
        </w:rPr>
        <w:t>a</w:t>
      </w:r>
      <w:r>
        <w:rPr>
          <w:rFonts w:ascii="Arial" w:cs="Arial" w:eastAsia="Arial" w:hAnsi="Arial"/>
          <w:sz w:val="15"/>
          <w:szCs w:val="15"/>
          <w:color w:val="auto"/>
        </w:rPr>
        <w:t xml:space="preserve"> share </w:t>
      </w:r>
      <w:r>
        <w:rPr>
          <w:rFonts w:ascii="Arial" w:cs="Arial" w:eastAsia="Arial" w:hAnsi="Arial"/>
          <w:sz w:val="15"/>
          <w:szCs w:val="15"/>
          <w:u w:val="single" w:color="auto"/>
          <w:color w:val="auto"/>
        </w:rPr>
        <w:t>incentive</w:t>
      </w:r>
      <w:r>
        <w:rPr>
          <w:rFonts w:ascii="Arial" w:cs="Arial" w:eastAsia="Arial" w:hAnsi="Arial"/>
          <w:sz w:val="15"/>
          <w:szCs w:val="15"/>
          <w:color w:val="auto"/>
        </w:rPr>
        <w:t xml:space="preserve"> scheme </w:t>
      </w:r>
      <w:r>
        <w:rPr>
          <w:rFonts w:ascii="Arial" w:cs="Arial" w:eastAsia="Arial" w:hAnsi="Arial"/>
          <w:sz w:val="15"/>
          <w:szCs w:val="15"/>
          <w:color w:val="auto"/>
          <w:strike w:val="1"/>
        </w:rPr>
        <w:t>(within the meaning</w:t>
      </w:r>
      <w:r>
        <w:rPr>
          <w:rFonts w:ascii="Arial" w:cs="Arial" w:eastAsia="Arial" w:hAnsi="Arial"/>
          <w:sz w:val="15"/>
          <w:szCs w:val="15"/>
          <w:u w:val="single" w:color="auto"/>
          <w:color w:val="auto"/>
        </w:rPr>
        <w:t>approved by shareholders</w:t>
      </w:r>
      <w:r>
        <w:rPr>
          <w:rFonts w:ascii="Arial" w:cs="Arial" w:eastAsia="Arial" w:hAnsi="Arial"/>
          <w:sz w:val="15"/>
          <w:szCs w:val="15"/>
          <w:color w:val="auto"/>
        </w:rPr>
        <w:t xml:space="preserve"> of </w:t>
      </w:r>
      <w:r>
        <w:rPr>
          <w:rFonts w:ascii="Arial" w:cs="Arial" w:eastAsia="Arial" w:hAnsi="Arial"/>
          <w:sz w:val="15"/>
          <w:szCs w:val="15"/>
          <w:color w:val="auto"/>
          <w:strike w:val="1"/>
        </w:rPr>
        <w:t>section</w:t>
      </w:r>
      <w:r>
        <w:rPr>
          <w:rFonts w:ascii="Arial" w:cs="Arial" w:eastAsia="Arial" w:hAnsi="Arial"/>
          <w:sz w:val="15"/>
          <w:szCs w:val="15"/>
          <w:color w:val="auto"/>
        </w:rPr>
        <w:t xml:space="preserve"> </w:t>
      </w:r>
      <w:r>
        <w:rPr>
          <w:rFonts w:ascii="Arial" w:cs="Arial" w:eastAsia="Arial" w:hAnsi="Arial"/>
          <w:sz w:val="15"/>
          <w:szCs w:val="15"/>
          <w:color w:val="auto"/>
          <w:strike w:val="1"/>
        </w:rPr>
        <w:t>1166 of the Companies Act)</w:t>
      </w:r>
      <w:r>
        <w:rPr>
          <w:rFonts w:ascii="Arial" w:cs="Arial" w:eastAsia="Arial" w:hAnsi="Arial"/>
          <w:sz w:val="15"/>
          <w:szCs w:val="15"/>
          <w:u w:val="single" w:color="auto"/>
          <w:color w:val="auto"/>
        </w:rPr>
        <w:t>the Company,</w:t>
      </w:r>
      <w:r>
        <w:rPr>
          <w:rFonts w:ascii="Arial" w:cs="Arial" w:eastAsia="Arial" w:hAnsi="Arial"/>
          <w:sz w:val="15"/>
          <w:szCs w:val="15"/>
          <w:color w:val="auto"/>
        </w:rPr>
        <w:t xml:space="preserve"> the Company has granted awards (“</w:t>
      </w:r>
      <w:r>
        <w:rPr>
          <w:rFonts w:ascii="Arial" w:cs="Arial" w:eastAsia="Arial" w:hAnsi="Arial"/>
          <w:sz w:val="15"/>
          <w:szCs w:val="15"/>
          <w:b w:val="1"/>
          <w:bCs w:val="1"/>
          <w:color w:val="auto"/>
        </w:rPr>
        <w:t>awards</w:t>
      </w:r>
      <w:r>
        <w:rPr>
          <w:rFonts w:ascii="Arial" w:cs="Arial" w:eastAsia="Arial" w:hAnsi="Arial"/>
          <w:sz w:val="15"/>
          <w:szCs w:val="15"/>
          <w:color w:val="auto"/>
        </w:rPr>
        <w:t xml:space="preserve">” </w:t>
      </w:r>
      <w:r>
        <w:rPr>
          <w:rFonts w:ascii="Arial" w:cs="Arial" w:eastAsia="Arial" w:hAnsi="Arial"/>
          <w:sz w:val="15"/>
          <w:szCs w:val="15"/>
          <w:u w:val="single" w:color="auto"/>
          <w:color w:val="auto"/>
        </w:rPr>
        <w:t>for the purposes of this Article</w:t>
      </w:r>
      <w:r>
        <w:rPr>
          <w:rFonts w:ascii="Arial" w:cs="Arial" w:eastAsia="Arial" w:hAnsi="Arial"/>
          <w:sz w:val="15"/>
          <w:szCs w:val="15"/>
          <w:color w:val="auto"/>
        </w:rPr>
        <w:t xml:space="preserve"> </w:t>
      </w:r>
      <w:r>
        <w:rPr>
          <w:rFonts w:ascii="Arial" w:cs="Arial" w:eastAsia="Arial" w:hAnsi="Arial"/>
          <w:sz w:val="15"/>
          <w:szCs w:val="15"/>
          <w:u w:val="single" w:color="auto"/>
          <w:color w:val="auto"/>
        </w:rPr>
        <w:t>40.3</w:t>
      </w:r>
      <w:r>
        <w:rPr>
          <w:rFonts w:ascii="Arial" w:cs="Arial" w:eastAsia="Arial" w:hAnsi="Arial"/>
          <w:sz w:val="15"/>
          <w:szCs w:val="15"/>
          <w:color w:val="auto"/>
        </w:rPr>
        <w:t xml:space="preserve"> being options or other incentive awards, including, without limitation, stock appreciation rights, restricted</w:t>
      </w:r>
    </w:p>
    <w:p>
      <w:pPr>
        <w:spacing w:after="0" w:line="2" w:lineRule="exact"/>
        <w:rPr>
          <w:rFonts w:ascii="Arial" w:cs="Arial" w:eastAsia="Arial" w:hAnsi="Arial"/>
          <w:sz w:val="15"/>
          <w:szCs w:val="15"/>
          <w:color w:val="auto"/>
        </w:rPr>
      </w:pPr>
    </w:p>
    <w:p>
      <w:pPr>
        <w:ind w:left="1620" w:right="199"/>
        <w:spacing w:after="0" w:line="247" w:lineRule="auto"/>
        <w:rPr>
          <w:rFonts w:ascii="Arial" w:cs="Arial" w:eastAsia="Arial" w:hAnsi="Arial"/>
          <w:sz w:val="15"/>
          <w:szCs w:val="15"/>
          <w:color w:val="auto"/>
        </w:rPr>
      </w:pPr>
      <w:r>
        <w:rPr>
          <w:rFonts w:ascii="Arial" w:cs="Arial" w:eastAsia="Arial" w:hAnsi="Arial"/>
          <w:sz w:val="16"/>
          <w:szCs w:val="16"/>
          <w:color w:val="auto"/>
        </w:rPr>
        <w:t>stock units, performance stock units and restricted stock awards) to subscribe for or with respect to shares on terms which provide (</w:t>
      </w:r>
      <w:r>
        <w:rPr>
          <w:rFonts w:ascii="Arial" w:cs="Arial" w:eastAsia="Arial" w:hAnsi="Arial"/>
          <w:sz w:val="16"/>
          <w:szCs w:val="16"/>
          <w:i w:val="1"/>
          <w:iCs w:val="1"/>
          <w:color w:val="auto"/>
        </w:rPr>
        <w:t>inter</w:t>
      </w:r>
      <w:r>
        <w:rPr>
          <w:rFonts w:ascii="Arial" w:cs="Arial" w:eastAsia="Arial" w:hAnsi="Arial"/>
          <w:sz w:val="16"/>
          <w:szCs w:val="16"/>
          <w:color w:val="auto"/>
        </w:rPr>
        <w:t xml:space="preserve"> </w:t>
      </w:r>
      <w:r>
        <w:rPr>
          <w:rFonts w:ascii="Arial" w:cs="Arial" w:eastAsia="Arial" w:hAnsi="Arial"/>
          <w:sz w:val="16"/>
          <w:szCs w:val="16"/>
          <w:color w:val="auto"/>
          <w:strike w:val="1"/>
        </w:rPr>
        <w:t>aim</w:t>
      </w:r>
      <w:r>
        <w:rPr>
          <w:rFonts w:ascii="Arial" w:cs="Arial" w:eastAsia="Arial" w:hAnsi="Arial"/>
          <w:sz w:val="16"/>
          <w:szCs w:val="16"/>
          <w:i w:val="1"/>
          <w:iCs w:val="1"/>
          <w:u w:val="single" w:color="auto"/>
          <w:color w:val="auto"/>
        </w:rPr>
        <w:t>alia</w:t>
      </w:r>
      <w:r>
        <w:rPr>
          <w:rFonts w:ascii="Arial" w:cs="Arial" w:eastAsia="Arial" w:hAnsi="Arial"/>
          <w:sz w:val="16"/>
          <w:szCs w:val="16"/>
          <w:color w:val="auto"/>
        </w:rPr>
        <w:t xml:space="preserve">) for adjustments to the subscription, exercise or base price payable on the exercise of such award or to the number of shares to be allotted upon the exercise, or with respect to, such award, in the event of any increase or reduction in, or other reorganisation of, the Company’s issued share capital and an otherwise appropriate adjustment would result in the subscription, exercise or base price for any share being less than its nominal value, then, subject to the provisions of the Companies Act, the </w:t>
      </w:r>
      <w:r>
        <w:rPr>
          <w:rFonts w:ascii="Arial" w:cs="Arial" w:eastAsia="Arial" w:hAnsi="Arial"/>
          <w:sz w:val="16"/>
          <w:szCs w:val="16"/>
          <w:color w:val="auto"/>
          <w:strike w:val="1"/>
        </w:rPr>
        <w:t>Directors</w:t>
      </w:r>
      <w:r>
        <w:rPr>
          <w:rFonts w:ascii="Arial" w:cs="Arial" w:eastAsia="Arial" w:hAnsi="Arial"/>
          <w:sz w:val="16"/>
          <w:szCs w:val="16"/>
          <w:u w:val="single" w:color="auto"/>
          <w:color w:val="auto"/>
        </w:rPr>
        <w:t>Board</w:t>
      </w:r>
      <w:r>
        <w:rPr>
          <w:rFonts w:ascii="Arial" w:cs="Arial" w:eastAsia="Arial" w:hAnsi="Arial"/>
          <w:sz w:val="16"/>
          <w:szCs w:val="16"/>
          <w:color w:val="auto"/>
        </w:rPr>
        <w:t xml:space="preserve"> may, on the exercise of any of the awards concerned and payment of the subscription, exercise or base price which would have applied had such adjustment been made, capitalise any such profits or other sum as is mentioned in Article 40.1 above (as if such Article 40.1 did not make reference to Article 40.2) to the extent necessary to pay up the unpaid balance of the nominal value of the shares which fall to be allotted on the exercise of such awards and apply such amount in paying up such balance and allot shares fully paid accordingly. The provisions of Article 40.1 shall apply mutatis mutandis to this Article 40.3(a) as if Article 40.1 did not make reference to Article 40.2.</w:t>
      </w:r>
    </w:p>
    <w:p>
      <w:pPr>
        <w:spacing w:after="0" w:line="76" w:lineRule="exact"/>
        <w:rPr>
          <w:rFonts w:ascii="Arial" w:cs="Arial" w:eastAsia="Arial" w:hAnsi="Arial"/>
          <w:sz w:val="15"/>
          <w:szCs w:val="15"/>
          <w:color w:val="auto"/>
        </w:rPr>
      </w:pPr>
    </w:p>
    <w:p>
      <w:pPr>
        <w:ind w:left="1620" w:right="279" w:hanging="424"/>
        <w:spacing w:after="0" w:line="248" w:lineRule="auto"/>
        <w:tabs>
          <w:tab w:leader="none" w:pos="1620" w:val="left"/>
        </w:tabs>
        <w:numPr>
          <w:ilvl w:val="0"/>
          <w:numId w:val="204"/>
        </w:numPr>
        <w:rPr>
          <w:rFonts w:ascii="Arial" w:cs="Arial" w:eastAsia="Arial" w:hAnsi="Arial"/>
          <w:sz w:val="16"/>
          <w:szCs w:val="16"/>
          <w:color w:val="auto"/>
        </w:rPr>
      </w:pPr>
      <w:r>
        <w:rPr>
          <w:rFonts w:ascii="Arial" w:cs="Arial" w:eastAsia="Arial" w:hAnsi="Arial"/>
          <w:sz w:val="16"/>
          <w:szCs w:val="16"/>
          <w:color w:val="auto"/>
        </w:rPr>
        <w:t xml:space="preserve">Where, pursuant to </w:t>
      </w:r>
      <w:r>
        <w:rPr>
          <w:rFonts w:ascii="Arial" w:cs="Arial" w:eastAsia="Arial" w:hAnsi="Arial"/>
          <w:sz w:val="16"/>
          <w:szCs w:val="16"/>
          <w:color w:val="auto"/>
          <w:strike w:val="1"/>
        </w:rPr>
        <w:t>an employees</w:t>
      </w:r>
      <w:r>
        <w:rPr>
          <w:rFonts w:ascii="Arial" w:cs="Arial" w:eastAsia="Arial" w:hAnsi="Arial"/>
          <w:sz w:val="16"/>
          <w:szCs w:val="16"/>
          <w:color w:val="auto"/>
        </w:rPr>
        <w:t>’</w:t>
      </w:r>
      <w:r>
        <w:rPr>
          <w:rFonts w:ascii="Arial" w:cs="Arial" w:eastAsia="Arial" w:hAnsi="Arial"/>
          <w:sz w:val="16"/>
          <w:szCs w:val="16"/>
          <w:u w:val="single" w:color="auto"/>
          <w:color w:val="auto"/>
        </w:rPr>
        <w:t>a</w:t>
      </w:r>
      <w:r>
        <w:rPr>
          <w:rFonts w:ascii="Arial" w:cs="Arial" w:eastAsia="Arial" w:hAnsi="Arial"/>
          <w:sz w:val="16"/>
          <w:szCs w:val="16"/>
          <w:color w:val="auto"/>
        </w:rPr>
        <w:t xml:space="preserve"> share </w:t>
      </w:r>
      <w:r>
        <w:rPr>
          <w:rFonts w:ascii="Arial" w:cs="Arial" w:eastAsia="Arial" w:hAnsi="Arial"/>
          <w:sz w:val="16"/>
          <w:szCs w:val="16"/>
          <w:u w:val="single" w:color="auto"/>
          <w:color w:val="auto"/>
        </w:rPr>
        <w:t>incentive</w:t>
      </w:r>
      <w:r>
        <w:rPr>
          <w:rFonts w:ascii="Arial" w:cs="Arial" w:eastAsia="Arial" w:hAnsi="Arial"/>
          <w:sz w:val="16"/>
          <w:szCs w:val="16"/>
          <w:color w:val="auto"/>
        </w:rPr>
        <w:t xml:space="preserve"> scheme </w:t>
      </w:r>
      <w:r>
        <w:rPr>
          <w:rFonts w:ascii="Arial" w:cs="Arial" w:eastAsia="Arial" w:hAnsi="Arial"/>
          <w:sz w:val="16"/>
          <w:szCs w:val="16"/>
          <w:color w:val="auto"/>
          <w:strike w:val="1"/>
        </w:rPr>
        <w:t>(within the meaning</w:t>
      </w:r>
      <w:r>
        <w:rPr>
          <w:rFonts w:ascii="Arial" w:cs="Arial" w:eastAsia="Arial" w:hAnsi="Arial"/>
          <w:sz w:val="16"/>
          <w:szCs w:val="16"/>
          <w:u w:val="single" w:color="auto"/>
          <w:color w:val="auto"/>
        </w:rPr>
        <w:t>approved by shareholders</w:t>
      </w:r>
      <w:r>
        <w:rPr>
          <w:rFonts w:ascii="Arial" w:cs="Arial" w:eastAsia="Arial" w:hAnsi="Arial"/>
          <w:sz w:val="16"/>
          <w:szCs w:val="16"/>
          <w:color w:val="auto"/>
        </w:rPr>
        <w:t xml:space="preserve"> of </w:t>
      </w:r>
      <w:r>
        <w:rPr>
          <w:rFonts w:ascii="Arial" w:cs="Arial" w:eastAsia="Arial" w:hAnsi="Arial"/>
          <w:sz w:val="16"/>
          <w:szCs w:val="16"/>
          <w:color w:val="auto"/>
          <w:strike w:val="1"/>
        </w:rPr>
        <w:t>section</w:t>
      </w:r>
      <w:r>
        <w:rPr>
          <w:rFonts w:ascii="Arial" w:cs="Arial" w:eastAsia="Arial" w:hAnsi="Arial"/>
          <w:sz w:val="16"/>
          <w:szCs w:val="16"/>
          <w:color w:val="auto"/>
        </w:rPr>
        <w:t xml:space="preserve"> </w:t>
      </w:r>
      <w:r>
        <w:rPr>
          <w:rFonts w:ascii="Arial" w:cs="Arial" w:eastAsia="Arial" w:hAnsi="Arial"/>
          <w:sz w:val="16"/>
          <w:szCs w:val="16"/>
          <w:color w:val="auto"/>
          <w:strike w:val="1"/>
        </w:rPr>
        <w:t>1166 of the Companies Act)</w:t>
      </w:r>
      <w:r>
        <w:rPr>
          <w:rFonts w:ascii="Arial" w:cs="Arial" w:eastAsia="Arial" w:hAnsi="Arial"/>
          <w:sz w:val="16"/>
          <w:szCs w:val="16"/>
          <w:u w:val="single" w:color="auto"/>
          <w:color w:val="auto"/>
        </w:rPr>
        <w:t>the Company,</w:t>
      </w:r>
      <w:r>
        <w:rPr>
          <w:rFonts w:ascii="Arial" w:cs="Arial" w:eastAsia="Arial" w:hAnsi="Arial"/>
          <w:sz w:val="16"/>
          <w:szCs w:val="16"/>
          <w:color w:val="auto"/>
        </w:rPr>
        <w:t xml:space="preserve"> the Company has granted awards </w:t>
      </w:r>
      <w:r>
        <w:rPr>
          <w:rFonts w:ascii="Arial" w:cs="Arial" w:eastAsia="Arial" w:hAnsi="Arial"/>
          <w:sz w:val="16"/>
          <w:szCs w:val="16"/>
          <w:color w:val="auto"/>
          <w:strike w:val="1"/>
        </w:rPr>
        <w:t>(</w:t>
      </w:r>
      <w:r>
        <w:rPr>
          <w:rFonts w:ascii="Arial" w:cs="Arial" w:eastAsia="Arial" w:hAnsi="Arial"/>
          <w:sz w:val="16"/>
          <w:szCs w:val="16"/>
          <w:color w:val="auto"/>
        </w:rPr>
        <w:t>“</w:t>
      </w:r>
      <w:r>
        <w:rPr>
          <w:rFonts w:ascii="Arial" w:cs="Arial" w:eastAsia="Arial" w:hAnsi="Arial"/>
          <w:sz w:val="16"/>
          <w:szCs w:val="16"/>
          <w:color w:val="auto"/>
          <w:strike w:val="1"/>
        </w:rPr>
        <w:t>awards</w:t>
      </w:r>
      <w:r>
        <w:rPr>
          <w:rFonts w:ascii="Arial" w:cs="Arial" w:eastAsia="Arial" w:hAnsi="Arial"/>
          <w:sz w:val="16"/>
          <w:szCs w:val="16"/>
          <w:color w:val="auto"/>
        </w:rPr>
        <w:t xml:space="preserve">” </w:t>
      </w:r>
      <w:r>
        <w:rPr>
          <w:rFonts w:ascii="Arial" w:cs="Arial" w:eastAsia="Arial" w:hAnsi="Arial"/>
          <w:sz w:val="16"/>
          <w:szCs w:val="16"/>
          <w:color w:val="auto"/>
          <w:strike w:val="1"/>
        </w:rPr>
        <w:t>being options or other</w:t>
      </w:r>
      <w:r>
        <w:rPr>
          <w:rFonts w:ascii="Arial" w:cs="Arial" w:eastAsia="Arial" w:hAnsi="Arial"/>
          <w:sz w:val="16"/>
          <w:szCs w:val="16"/>
          <w:color w:val="auto"/>
        </w:rPr>
        <w:t xml:space="preserve"> </w:t>
      </w:r>
      <w:r>
        <w:rPr>
          <w:rFonts w:ascii="Arial" w:cs="Arial" w:eastAsia="Arial" w:hAnsi="Arial"/>
          <w:sz w:val="16"/>
          <w:szCs w:val="16"/>
          <w:color w:val="auto"/>
          <w:strike w:val="1"/>
        </w:rPr>
        <w:t>incentive awards, including, without limitation, stock appreciation rights, restricted stock units, performance stock units and restricted stock awards) to subscribe for or with respect to shares, then, subject to the provisions of the Companies Act, the Directors</w:t>
      </w:r>
      <w:r>
        <w:rPr>
          <w:rFonts w:ascii="Arial" w:cs="Arial" w:eastAsia="Arial" w:hAnsi="Arial"/>
          <w:sz w:val="16"/>
          <w:szCs w:val="16"/>
          <w:u w:val="single" w:color="auto"/>
          <w:color w:val="auto"/>
          <w:strike w:val="1"/>
        </w:rPr>
        <w:t>Board</w:t>
      </w:r>
      <w:r>
        <w:rPr>
          <w:rFonts w:ascii="Arial" w:cs="Arial" w:eastAsia="Arial" w:hAnsi="Arial"/>
          <w:sz w:val="16"/>
          <w:szCs w:val="16"/>
          <w:color w:val="auto"/>
          <w:strike w:val="1"/>
        </w:rPr>
        <w:t xml:space="preserve"> may, on the grant, exercise or vesting of any of the awards concerned, capitalise any such profits or other sum as is mentioned in Article 40.1 above (as if such Article 40.1 did not make reference to Article 40.2) to the extent necessary to pay up the unpaid balance of the nominal value of the shares</w:t>
      </w:r>
    </w:p>
    <w:p>
      <w:pPr>
        <w:spacing w:after="0" w:line="106" w:lineRule="exact"/>
        <w:rPr>
          <w:sz w:val="20"/>
          <w:szCs w:val="20"/>
          <w:color w:val="auto"/>
        </w:rPr>
      </w:pPr>
    </w:p>
    <w:p>
      <w:pPr>
        <w:ind w:left="480"/>
        <w:spacing w:after="0"/>
        <w:tabs>
          <w:tab w:leader="none" w:pos="4420" w:val="left"/>
          <w:tab w:leader="none" w:pos="8760" w:val="left"/>
        </w:tabs>
        <w:rPr>
          <w:sz w:val="20"/>
          <w:szCs w:val="20"/>
          <w:color w:val="auto"/>
        </w:rPr>
      </w:pPr>
      <w:r>
        <w:rPr>
          <w:rFonts w:ascii="Arial" w:cs="Arial" w:eastAsia="Arial" w:hAnsi="Arial"/>
          <w:sz w:val="28"/>
          <w:szCs w:val="28"/>
          <w:b w:val="1"/>
          <w:bCs w:val="1"/>
          <w:color w:val="000000"/>
          <w:vertAlign w:val="subscript"/>
        </w:rPr>
        <w:t>A-34</w:t>
      </w:r>
      <w:r>
        <w:rPr>
          <w:sz w:val="20"/>
          <w:szCs w:val="20"/>
          <w:color w:val="auto"/>
        </w:rPr>
        <w:tab/>
      </w:r>
      <w:r>
        <w:rPr>
          <w:rFonts w:ascii="Arial" w:cs="Arial" w:eastAsia="Arial" w:hAnsi="Arial"/>
          <w:sz w:val="13"/>
          <w:szCs w:val="13"/>
          <w:b w:val="1"/>
          <w:bCs w:val="1"/>
          <w:color w:val="4800E6"/>
        </w:rPr>
        <w:t xml:space="preserve">LIVANOVA </w:t>
      </w:r>
      <w:r>
        <w:rPr>
          <w:rFonts w:ascii="Arial" w:cs="Arial" w:eastAsia="Arial" w:hAnsi="Arial"/>
          <w:sz w:val="13"/>
          <w:szCs w:val="13"/>
          <w:color w:val="000000"/>
        </w:rPr>
        <w:t>|</w:t>
      </w:r>
      <w:r>
        <w:rPr>
          <w:rFonts w:ascii="Arial" w:cs="Arial" w:eastAsia="Arial" w:hAnsi="Arial"/>
          <w:sz w:val="13"/>
          <w:szCs w:val="13"/>
          <w:b w:val="1"/>
          <w:bCs w:val="1"/>
          <w:color w:val="4800E6"/>
        </w:rPr>
        <w:t xml:space="preserve"> </w:t>
      </w:r>
      <w:r>
        <w:rPr>
          <w:rFonts w:ascii="Arial" w:cs="Arial" w:eastAsia="Arial" w:hAnsi="Arial"/>
          <w:sz w:val="13"/>
          <w:szCs w:val="13"/>
          <w:color w:val="4800E6"/>
        </w:rPr>
        <w:t>2020</w:t>
      </w:r>
      <w:r>
        <w:rPr>
          <w:rFonts w:ascii="Arial" w:cs="Arial" w:eastAsia="Arial" w:hAnsi="Arial"/>
          <w:sz w:val="13"/>
          <w:szCs w:val="13"/>
          <w:b w:val="1"/>
          <w:bCs w:val="1"/>
          <w:color w:val="4800E6"/>
        </w:rPr>
        <w:t xml:space="preserve"> </w:t>
      </w:r>
      <w:r>
        <w:rPr>
          <w:rFonts w:ascii="Arial" w:cs="Arial" w:eastAsia="Arial" w:hAnsi="Arial"/>
          <w:sz w:val="13"/>
          <w:szCs w:val="13"/>
          <w:color w:val="000000"/>
        </w:rPr>
        <w:t>Proxy Statement</w:t>
      </w:r>
      <w:r>
        <w:rPr>
          <w:sz w:val="20"/>
          <w:szCs w:val="20"/>
          <w:color w:val="auto"/>
        </w:rPr>
        <w:tab/>
      </w:r>
      <w:r>
        <w:rPr>
          <w:rFonts w:ascii="Arial" w:cs="Arial" w:eastAsia="Arial" w:hAnsi="Arial"/>
          <w:sz w:val="12"/>
          <w:szCs w:val="12"/>
          <w:b w:val="1"/>
          <w:bCs w:val="1"/>
          <w:color w:val="4800E6"/>
        </w:rPr>
        <w:t>www.livanova.com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639445</wp:posOffset>
            </wp:positionH>
            <wp:positionV relativeFrom="paragraph">
              <wp:posOffset>-2540</wp:posOffset>
            </wp:positionV>
            <wp:extent cx="1954530" cy="8890"/>
            <wp:wrapNone/>
            <wp:docPr id="480" name="Picture 4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0"/>
                    <pic:cNvPicPr>
                      <a:picLocks noChangeAspect="1" noChangeArrowheads="1"/>
                    </pic:cNvPicPr>
                  </pic:nvPicPr>
                  <pic:blipFill>
                    <a:blip r:embed="rId487">
                      <a:extLst>
                        <a:ext uri="{28A0092B-C50C-407E-A947-70E740481C1C}"/>
                      </a:extLst>
                    </a:blip>
                    <a:srcRect/>
                    <a:stretch>
                      <a:fillRect/>
                    </a:stretch>
                  </pic:blipFill>
                  <pic:spPr bwMode="auto">
                    <a:xfrm>
                      <a:off x="0" y="0"/>
                      <a:ext cx="1954530" cy="8890"/>
                    </a:xfrm>
                    <a:prstGeom prst="rect">
                      <a:avLst/>
                    </a:prstGeom>
                    <a:noFill/>
                  </pic:spPr>
                </pic:pic>
              </a:graphicData>
            </a:graphic>
          </wp:anchor>
        </w:drawing>
        <w:drawing>
          <wp:anchor simplePos="0" relativeHeight="251657728" behindDoc="1" locked="0" layoutInCell="0" allowOverlap="1">
            <wp:simplePos x="0" y="0"/>
            <wp:positionH relativeFrom="column">
              <wp:posOffset>4316730</wp:posOffset>
            </wp:positionH>
            <wp:positionV relativeFrom="paragraph">
              <wp:posOffset>-2540</wp:posOffset>
            </wp:positionV>
            <wp:extent cx="1028700" cy="8890"/>
            <wp:wrapNone/>
            <wp:docPr id="481" name="Picture 4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1"/>
                    <pic:cNvPicPr>
                      <a:picLocks noChangeAspect="1" noChangeArrowheads="1"/>
                    </pic:cNvPicPr>
                  </pic:nvPicPr>
                  <pic:blipFill>
                    <a:blip r:embed="rId488">
                      <a:extLst>
                        <a:ext uri="{28A0092B-C50C-407E-A947-70E740481C1C}"/>
                      </a:extLst>
                    </a:blip>
                    <a:srcRect/>
                    <a:stretch>
                      <a:fillRect/>
                    </a:stretch>
                  </pic:blipFill>
                  <pic:spPr bwMode="auto">
                    <a:xfrm>
                      <a:off x="0" y="0"/>
                      <a:ext cx="102870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133985</wp:posOffset>
            </wp:positionV>
            <wp:extent cx="6806565" cy="17145"/>
            <wp:wrapNone/>
            <wp:docPr id="482" name="Picture 4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2"/>
                    <pic:cNvPicPr>
                      <a:picLocks noChangeAspect="1" noChangeArrowheads="1"/>
                    </pic:cNvPicPr>
                  </pic:nvPicPr>
                  <pic:blipFill>
                    <a:blip r:embed="rId489">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10139"/>
          </w:cols>
          <w:pgMar w:left="320" w:top="131" w:right="1440" w:bottom="1440" w:gutter="0" w:footer="0" w:header="0"/>
        </w:sectPr>
      </w:pPr>
    </w:p>
    <w:bookmarkStart w:id="113" w:name="page114"/>
    <w:bookmarkEnd w:id="113"/>
    <w:p>
      <w:pPr>
        <w:spacing w:after="0"/>
        <w:rPr>
          <w:rFonts w:ascii="Arial" w:cs="Arial" w:eastAsia="Arial" w:hAnsi="Arial"/>
          <w:sz w:val="14"/>
          <w:szCs w:val="14"/>
          <w:color w:val="003366"/>
        </w:rPr>
      </w:pPr>
      <w:hyperlink w:anchor="page77">
        <w:r>
          <w:rPr>
            <w:rFonts w:ascii="Arial" w:cs="Arial" w:eastAsia="Arial" w:hAnsi="Arial"/>
            <w:sz w:val="14"/>
            <w:szCs w:val="14"/>
            <w:color w:val="003366"/>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485140</wp:posOffset>
            </wp:positionH>
            <wp:positionV relativeFrom="paragraph">
              <wp:posOffset>356870</wp:posOffset>
            </wp:positionV>
            <wp:extent cx="5829300" cy="8255"/>
            <wp:wrapNone/>
            <wp:docPr id="483" name="Picture 4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3"/>
                    <pic:cNvPicPr>
                      <a:picLocks noChangeAspect="1" noChangeArrowheads="1"/>
                    </pic:cNvPicPr>
                  </pic:nvPicPr>
                  <pic:blipFill>
                    <a:blip r:embed="rId490">
                      <a:extLst>
                        <a:ext uri="{28A0092B-C50C-407E-A947-70E740481C1C}"/>
                      </a:extLst>
                    </a:blip>
                    <a:srcRect/>
                    <a:stretch>
                      <a:fillRect/>
                    </a:stretch>
                  </pic:blipFill>
                  <pic:spPr bwMode="auto">
                    <a:xfrm>
                      <a:off x="0" y="0"/>
                      <a:ext cx="582930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ind w:left="1620" w:right="1120"/>
        <w:spacing w:after="0" w:line="253" w:lineRule="auto"/>
        <w:rPr>
          <w:sz w:val="20"/>
          <w:szCs w:val="20"/>
          <w:color w:val="auto"/>
        </w:rPr>
      </w:pPr>
      <w:r>
        <w:rPr>
          <w:rFonts w:ascii="Arial" w:cs="Arial" w:eastAsia="Arial" w:hAnsi="Arial"/>
          <w:sz w:val="16"/>
          <w:szCs w:val="16"/>
          <w:color w:val="auto"/>
        </w:rPr>
        <w:t>which fall to be allotted on the grant, exercise or vesting of such awards and apply such amount in paying up such balance and allot shares fully paid accordingly. The provisions of Article 40.1 shall apply mutatis mutandis to this Article 40.3(b) as if Article 40.1 did not make reference to Article 40.2.</w:t>
      </w:r>
    </w:p>
    <w:p>
      <w:pPr>
        <w:spacing w:after="0" w:line="80" w:lineRule="exact"/>
        <w:rPr>
          <w:sz w:val="20"/>
          <w:szCs w:val="20"/>
          <w:color w:val="auto"/>
        </w:rPr>
      </w:pPr>
    </w:p>
    <w:p>
      <w:pPr>
        <w:ind w:left="1620" w:right="1180" w:hanging="424"/>
        <w:spacing w:after="0" w:line="260" w:lineRule="auto"/>
        <w:tabs>
          <w:tab w:leader="none" w:pos="1620" w:val="left"/>
        </w:tabs>
        <w:numPr>
          <w:ilvl w:val="1"/>
          <w:numId w:val="205"/>
        </w:numPr>
        <w:rPr>
          <w:rFonts w:ascii="Arial" w:cs="Arial" w:eastAsia="Arial" w:hAnsi="Arial"/>
          <w:sz w:val="16"/>
          <w:szCs w:val="16"/>
          <w:color w:val="auto"/>
        </w:rPr>
      </w:pPr>
      <w:r>
        <w:rPr>
          <w:rFonts w:ascii="Arial" w:cs="Arial" w:eastAsia="Arial" w:hAnsi="Arial"/>
          <w:sz w:val="16"/>
          <w:szCs w:val="16"/>
          <w:u w:val="single" w:color="auto"/>
          <w:color w:val="auto"/>
        </w:rPr>
        <w:t>Subject to the provisions of the Companies Act, the Board may, in connection with the exercise of any warrant (or other right) to subscribe for shares granted by the Company:</w:t>
      </w:r>
    </w:p>
    <w:p>
      <w:pPr>
        <w:spacing w:after="0" w:line="73" w:lineRule="exact"/>
        <w:rPr>
          <w:rFonts w:ascii="Arial" w:cs="Arial" w:eastAsia="Arial" w:hAnsi="Arial"/>
          <w:sz w:val="16"/>
          <w:szCs w:val="16"/>
          <w:color w:val="auto"/>
        </w:rPr>
      </w:pPr>
    </w:p>
    <w:p>
      <w:pPr>
        <w:ind w:left="2060" w:right="840" w:hanging="432"/>
        <w:spacing w:after="0" w:line="253" w:lineRule="auto"/>
        <w:tabs>
          <w:tab w:leader="none" w:pos="2060" w:val="left"/>
        </w:tabs>
        <w:numPr>
          <w:ilvl w:val="2"/>
          <w:numId w:val="205"/>
        </w:numPr>
        <w:rPr>
          <w:rFonts w:ascii="Arial" w:cs="Arial" w:eastAsia="Arial" w:hAnsi="Arial"/>
          <w:sz w:val="16"/>
          <w:szCs w:val="16"/>
          <w:color w:val="auto"/>
        </w:rPr>
      </w:pPr>
      <w:r>
        <w:rPr>
          <w:rFonts w:ascii="Arial" w:cs="Arial" w:eastAsia="Arial" w:hAnsi="Arial"/>
          <w:sz w:val="16"/>
          <w:szCs w:val="16"/>
          <w:u w:val="single" w:color="auto"/>
          <w:color w:val="auto"/>
        </w:rPr>
        <w:t>capitalise any undistributed profits of the Company (whether or not they are available for distribution) and/or any sum standing to the credit of any reserve or fund of the Company (including without limitation any share premium account, capital redemption reserve, merger relief reserve and/or revaluation reserve);</w:t>
      </w:r>
    </w:p>
    <w:p>
      <w:pPr>
        <w:spacing w:after="0" w:line="66" w:lineRule="exact"/>
        <w:rPr>
          <w:rFonts w:ascii="Arial" w:cs="Arial" w:eastAsia="Arial" w:hAnsi="Arial"/>
          <w:sz w:val="16"/>
          <w:szCs w:val="16"/>
          <w:color w:val="auto"/>
        </w:rPr>
      </w:pPr>
    </w:p>
    <w:p>
      <w:pPr>
        <w:ind w:left="2060" w:right="1040" w:hanging="432"/>
        <w:spacing w:after="0" w:line="260" w:lineRule="auto"/>
        <w:tabs>
          <w:tab w:leader="none" w:pos="2060" w:val="left"/>
        </w:tabs>
        <w:numPr>
          <w:ilvl w:val="2"/>
          <w:numId w:val="205"/>
        </w:numPr>
        <w:rPr>
          <w:rFonts w:ascii="Arial" w:cs="Arial" w:eastAsia="Arial" w:hAnsi="Arial"/>
          <w:sz w:val="16"/>
          <w:szCs w:val="16"/>
          <w:color w:val="auto"/>
        </w:rPr>
      </w:pPr>
      <w:r>
        <w:rPr>
          <w:rFonts w:ascii="Arial" w:cs="Arial" w:eastAsia="Arial" w:hAnsi="Arial"/>
          <w:sz w:val="16"/>
          <w:szCs w:val="16"/>
          <w:u w:val="single" w:color="auto"/>
          <w:color w:val="auto"/>
        </w:rPr>
        <w:t>apply any capitalised sum in paying up the nominal value of shares to be allotted on the exercise of any such warrant (or other right to subscribe); and</w:t>
      </w:r>
    </w:p>
    <w:p>
      <w:pPr>
        <w:spacing w:after="0" w:line="73" w:lineRule="exact"/>
        <w:rPr>
          <w:rFonts w:ascii="Arial" w:cs="Arial" w:eastAsia="Arial" w:hAnsi="Arial"/>
          <w:sz w:val="16"/>
          <w:szCs w:val="16"/>
          <w:color w:val="auto"/>
        </w:rPr>
      </w:pPr>
    </w:p>
    <w:p>
      <w:pPr>
        <w:ind w:left="2060" w:right="1040" w:hanging="432"/>
        <w:spacing w:after="0" w:line="260" w:lineRule="auto"/>
        <w:tabs>
          <w:tab w:leader="none" w:pos="2060" w:val="left"/>
        </w:tabs>
        <w:numPr>
          <w:ilvl w:val="2"/>
          <w:numId w:val="205"/>
        </w:numPr>
        <w:rPr>
          <w:rFonts w:ascii="Arial" w:cs="Arial" w:eastAsia="Arial" w:hAnsi="Arial"/>
          <w:sz w:val="16"/>
          <w:szCs w:val="16"/>
          <w:color w:val="auto"/>
        </w:rPr>
      </w:pPr>
      <w:r>
        <w:rPr>
          <w:rFonts w:ascii="Arial" w:cs="Arial" w:eastAsia="Arial" w:hAnsi="Arial"/>
          <w:sz w:val="16"/>
          <w:szCs w:val="16"/>
          <w:u w:val="single" w:color="auto"/>
          <w:color w:val="auto"/>
        </w:rPr>
        <w:t>allot shares credited as fully paid to the person(s) entitled under the warrant (or other right to subscribe) or as they may direct.</w:t>
      </w:r>
    </w:p>
    <w:p>
      <w:pPr>
        <w:spacing w:after="0" w:line="53" w:lineRule="exact"/>
        <w:rPr>
          <w:rFonts w:ascii="Arial" w:cs="Arial" w:eastAsia="Arial" w:hAnsi="Arial"/>
          <w:sz w:val="16"/>
          <w:szCs w:val="16"/>
          <w:color w:val="auto"/>
        </w:rPr>
      </w:pPr>
    </w:p>
    <w:p>
      <w:pPr>
        <w:ind w:left="1200" w:hanging="436"/>
        <w:spacing w:after="0"/>
        <w:tabs>
          <w:tab w:leader="none" w:pos="1200" w:val="left"/>
        </w:tabs>
        <w:numPr>
          <w:ilvl w:val="0"/>
          <w:numId w:val="206"/>
        </w:numPr>
        <w:rPr>
          <w:rFonts w:ascii="Arial" w:cs="Arial" w:eastAsia="Arial" w:hAnsi="Arial"/>
          <w:sz w:val="16"/>
          <w:szCs w:val="16"/>
          <w:b w:val="1"/>
          <w:bCs w:val="1"/>
          <w:color w:val="auto"/>
        </w:rPr>
      </w:pPr>
      <w:r>
        <w:rPr>
          <w:rFonts w:ascii="Arial" w:cs="Arial" w:eastAsia="Arial" w:hAnsi="Arial"/>
          <w:sz w:val="16"/>
          <w:szCs w:val="16"/>
          <w:b w:val="1"/>
          <w:bCs w:val="1"/>
          <w:color w:val="auto"/>
        </w:rPr>
        <w:t>RETURN OF CAPITAL</w:t>
      </w:r>
    </w:p>
    <w:p>
      <w:pPr>
        <w:spacing w:after="0" w:line="106" w:lineRule="exact"/>
        <w:rPr>
          <w:sz w:val="20"/>
          <w:szCs w:val="20"/>
          <w:color w:val="auto"/>
        </w:rPr>
      </w:pPr>
    </w:p>
    <w:p>
      <w:pPr>
        <w:ind w:left="760"/>
        <w:spacing w:after="0"/>
        <w:rPr>
          <w:sz w:val="20"/>
          <w:szCs w:val="20"/>
          <w:color w:val="auto"/>
        </w:rPr>
      </w:pPr>
      <w:r>
        <w:rPr>
          <w:rFonts w:ascii="Arial" w:cs="Arial" w:eastAsia="Arial" w:hAnsi="Arial"/>
          <w:sz w:val="16"/>
          <w:szCs w:val="16"/>
          <w:color w:val="auto"/>
        </w:rPr>
        <w:t>41.1  The rights as regards return of capital attaching to the Ordinary Shares shall be as set out in this Article.</w:t>
      </w:r>
    </w:p>
    <w:p>
      <w:pPr>
        <w:spacing w:after="0" w:line="100" w:lineRule="exact"/>
        <w:rPr>
          <w:sz w:val="20"/>
          <w:szCs w:val="20"/>
          <w:color w:val="auto"/>
        </w:rPr>
      </w:pPr>
    </w:p>
    <w:p>
      <w:pPr>
        <w:ind w:left="1200" w:right="1200" w:hanging="431"/>
        <w:spacing w:after="0" w:line="253" w:lineRule="auto"/>
        <w:rPr>
          <w:sz w:val="20"/>
          <w:szCs w:val="20"/>
          <w:color w:val="auto"/>
        </w:rPr>
      </w:pPr>
      <w:r>
        <w:rPr>
          <w:rFonts w:ascii="Arial" w:cs="Arial" w:eastAsia="Arial" w:hAnsi="Arial"/>
          <w:sz w:val="16"/>
          <w:szCs w:val="16"/>
          <w:color w:val="auto"/>
        </w:rPr>
        <w:t>41.2 On a return of capital on a liquidation, reduction of capital or otherwise, the surplus assets of the Company available for distribution among the members shall be applied in the same order of priority as applies in respect of dividends and distributions set out in Article 38 (or as close thereto as is possible).</w:t>
      </w:r>
    </w:p>
    <w:p>
      <w:pPr>
        <w:spacing w:after="0" w:line="60" w:lineRule="exact"/>
        <w:rPr>
          <w:sz w:val="20"/>
          <w:szCs w:val="20"/>
          <w:color w:val="auto"/>
        </w:rPr>
      </w:pPr>
    </w:p>
    <w:p>
      <w:pPr>
        <w:ind w:left="1200" w:hanging="436"/>
        <w:spacing w:after="0"/>
        <w:tabs>
          <w:tab w:leader="none" w:pos="1200" w:val="left"/>
        </w:tabs>
        <w:numPr>
          <w:ilvl w:val="0"/>
          <w:numId w:val="207"/>
        </w:numPr>
        <w:rPr>
          <w:rFonts w:ascii="Arial" w:cs="Arial" w:eastAsia="Arial" w:hAnsi="Arial"/>
          <w:sz w:val="16"/>
          <w:szCs w:val="16"/>
          <w:b w:val="1"/>
          <w:bCs w:val="1"/>
          <w:color w:val="auto"/>
        </w:rPr>
      </w:pPr>
      <w:r>
        <w:rPr>
          <w:rFonts w:ascii="Arial" w:cs="Arial" w:eastAsia="Arial" w:hAnsi="Arial"/>
          <w:sz w:val="16"/>
          <w:szCs w:val="16"/>
          <w:b w:val="1"/>
          <w:bCs w:val="1"/>
          <w:color w:val="auto"/>
        </w:rPr>
        <w:t>CHANGE OF THE COMPANY’S NAME</w:t>
      </w:r>
    </w:p>
    <w:p>
      <w:pPr>
        <w:spacing w:after="0" w:line="106" w:lineRule="exact"/>
        <w:rPr>
          <w:rFonts w:ascii="Arial" w:cs="Arial" w:eastAsia="Arial" w:hAnsi="Arial"/>
          <w:sz w:val="16"/>
          <w:szCs w:val="16"/>
          <w:b w:val="1"/>
          <w:bCs w:val="1"/>
          <w:color w:val="auto"/>
        </w:rPr>
      </w:pPr>
    </w:p>
    <w:p>
      <w:pPr>
        <w:ind w:left="1200"/>
        <w:spacing w:after="0"/>
        <w:rPr>
          <w:rFonts w:ascii="Arial" w:cs="Arial" w:eastAsia="Arial" w:hAnsi="Arial"/>
          <w:sz w:val="16"/>
          <w:szCs w:val="16"/>
          <w:b w:val="1"/>
          <w:bCs w:val="1"/>
          <w:color w:val="auto"/>
        </w:rPr>
      </w:pPr>
      <w:r>
        <w:rPr>
          <w:rFonts w:ascii="Arial" w:cs="Arial" w:eastAsia="Arial" w:hAnsi="Arial"/>
          <w:sz w:val="16"/>
          <w:szCs w:val="16"/>
          <w:color w:val="auto"/>
        </w:rPr>
        <w:t>The Company’s name may be changed by resolution of the Board.</w:t>
      </w:r>
    </w:p>
    <w:p>
      <w:pPr>
        <w:spacing w:after="0" w:line="79" w:lineRule="exact"/>
        <w:rPr>
          <w:rFonts w:ascii="Arial" w:cs="Arial" w:eastAsia="Arial" w:hAnsi="Arial"/>
          <w:sz w:val="16"/>
          <w:szCs w:val="16"/>
          <w:b w:val="1"/>
          <w:bCs w:val="1"/>
          <w:color w:val="auto"/>
        </w:rPr>
      </w:pPr>
    </w:p>
    <w:p>
      <w:pPr>
        <w:ind w:left="1200" w:hanging="436"/>
        <w:spacing w:after="0"/>
        <w:tabs>
          <w:tab w:leader="none" w:pos="1200" w:val="left"/>
        </w:tabs>
        <w:numPr>
          <w:ilvl w:val="0"/>
          <w:numId w:val="207"/>
        </w:numPr>
        <w:rPr>
          <w:rFonts w:ascii="Arial" w:cs="Arial" w:eastAsia="Arial" w:hAnsi="Arial"/>
          <w:sz w:val="16"/>
          <w:szCs w:val="16"/>
          <w:b w:val="1"/>
          <w:bCs w:val="1"/>
          <w:color w:val="auto"/>
        </w:rPr>
      </w:pPr>
      <w:r>
        <w:rPr>
          <w:rFonts w:ascii="Arial" w:cs="Arial" w:eastAsia="Arial" w:hAnsi="Arial"/>
          <w:sz w:val="16"/>
          <w:szCs w:val="16"/>
          <w:b w:val="1"/>
          <w:bCs w:val="1"/>
          <w:color w:val="auto"/>
        </w:rPr>
        <w:t>RECORD DATES</w:t>
      </w:r>
    </w:p>
    <w:p>
      <w:pPr>
        <w:spacing w:after="0" w:line="120" w:lineRule="exact"/>
        <w:rPr>
          <w:sz w:val="20"/>
          <w:szCs w:val="20"/>
          <w:color w:val="auto"/>
        </w:rPr>
      </w:pPr>
    </w:p>
    <w:p>
      <w:pPr>
        <w:ind w:left="1200" w:right="840" w:hanging="431"/>
        <w:spacing w:after="0" w:line="260" w:lineRule="auto"/>
        <w:rPr>
          <w:sz w:val="20"/>
          <w:szCs w:val="20"/>
          <w:color w:val="auto"/>
        </w:rPr>
      </w:pPr>
      <w:r>
        <w:rPr>
          <w:rFonts w:ascii="Arial" w:cs="Arial" w:eastAsia="Arial" w:hAnsi="Arial"/>
          <w:sz w:val="16"/>
          <w:szCs w:val="16"/>
          <w:color w:val="auto"/>
        </w:rPr>
        <w:t xml:space="preserve">43.1 Notwithstanding any other provision of these Articles, and subject to the Companies Act, but without prejudice to any special rights attached to any shares, the Company or the </w:t>
      </w:r>
      <w:r>
        <w:rPr>
          <w:rFonts w:ascii="Arial" w:cs="Arial" w:eastAsia="Arial" w:hAnsi="Arial"/>
          <w:sz w:val="16"/>
          <w:szCs w:val="16"/>
          <w:color w:val="auto"/>
          <w:strike w:val="1"/>
        </w:rPr>
        <w:t>Directors</w:t>
      </w:r>
      <w:r>
        <w:rPr>
          <w:rFonts w:ascii="Arial" w:cs="Arial" w:eastAsia="Arial" w:hAnsi="Arial"/>
          <w:sz w:val="16"/>
          <w:szCs w:val="16"/>
          <w:u w:val="single" w:color="auto"/>
          <w:color w:val="auto"/>
        </w:rPr>
        <w:t>Board</w:t>
      </w:r>
      <w:r>
        <w:rPr>
          <w:rFonts w:ascii="Arial" w:cs="Arial" w:eastAsia="Arial" w:hAnsi="Arial"/>
          <w:sz w:val="16"/>
          <w:szCs w:val="16"/>
          <w:color w:val="auto"/>
        </w:rPr>
        <w:t xml:space="preserve"> may:</w:t>
      </w:r>
    </w:p>
    <w:p>
      <w:pPr>
        <w:spacing w:after="0" w:line="60" w:lineRule="exact"/>
        <w:rPr>
          <w:sz w:val="20"/>
          <w:szCs w:val="20"/>
          <w:color w:val="auto"/>
        </w:rPr>
      </w:pPr>
    </w:p>
    <w:p>
      <w:pPr>
        <w:ind w:left="1620" w:right="920" w:hanging="424"/>
        <w:spacing w:after="0" w:line="260" w:lineRule="auto"/>
        <w:tabs>
          <w:tab w:leader="none" w:pos="1620" w:val="left"/>
        </w:tabs>
        <w:numPr>
          <w:ilvl w:val="1"/>
          <w:numId w:val="208"/>
        </w:numPr>
        <w:rPr>
          <w:rFonts w:ascii="Arial" w:cs="Arial" w:eastAsia="Arial" w:hAnsi="Arial"/>
          <w:sz w:val="16"/>
          <w:szCs w:val="16"/>
          <w:color w:val="auto"/>
        </w:rPr>
      </w:pPr>
      <w:r>
        <w:rPr>
          <w:rFonts w:ascii="Arial" w:cs="Arial" w:eastAsia="Arial" w:hAnsi="Arial"/>
          <w:sz w:val="16"/>
          <w:szCs w:val="16"/>
          <w:color w:val="auto"/>
        </w:rPr>
        <w:t>fix any date as the record date for any dividend, distribution, allotment or issue, which shall not be more than 60 days prior to such action;</w:t>
      </w:r>
    </w:p>
    <w:p>
      <w:pPr>
        <w:spacing w:after="0" w:line="73" w:lineRule="exact"/>
        <w:rPr>
          <w:rFonts w:ascii="Arial" w:cs="Arial" w:eastAsia="Arial" w:hAnsi="Arial"/>
          <w:sz w:val="16"/>
          <w:szCs w:val="16"/>
          <w:color w:val="auto"/>
        </w:rPr>
      </w:pPr>
    </w:p>
    <w:p>
      <w:pPr>
        <w:ind w:left="1620" w:right="780" w:hanging="424"/>
        <w:spacing w:after="0" w:line="249" w:lineRule="auto"/>
        <w:tabs>
          <w:tab w:leader="none" w:pos="1620" w:val="left"/>
        </w:tabs>
        <w:numPr>
          <w:ilvl w:val="1"/>
          <w:numId w:val="208"/>
        </w:numPr>
        <w:rPr>
          <w:rFonts w:ascii="Arial" w:cs="Arial" w:eastAsia="Arial" w:hAnsi="Arial"/>
          <w:sz w:val="16"/>
          <w:szCs w:val="16"/>
          <w:color w:val="auto"/>
        </w:rPr>
      </w:pPr>
      <w:r>
        <w:rPr>
          <w:rFonts w:ascii="Arial" w:cs="Arial" w:eastAsia="Arial" w:hAnsi="Arial"/>
          <w:sz w:val="16"/>
          <w:szCs w:val="16"/>
          <w:color w:val="auto"/>
        </w:rPr>
        <w:t>for the purpose of determining which persons are entitled to attend and vote at a general meeting of the Company, or a separate general meeting of the holders of any class of shares in the capital of the Company, and how many votes such persons may cast, specify in the notice of meeting a time by which a person must be entered on the register in order to have the right to attend or vote at the meeting provided that such time shall not be more than 60 days nor less than 10 days before the date of such meeting and changes to the register after the time specified by virtue of this Article 43.1 shall be disregarded in determining the rights of any person to attend or vote at the meeting; and</w:t>
      </w:r>
    </w:p>
    <w:p>
      <w:pPr>
        <w:spacing w:after="0" w:line="83" w:lineRule="exact"/>
        <w:rPr>
          <w:rFonts w:ascii="Arial" w:cs="Arial" w:eastAsia="Arial" w:hAnsi="Arial"/>
          <w:sz w:val="16"/>
          <w:szCs w:val="16"/>
          <w:color w:val="auto"/>
        </w:rPr>
      </w:pPr>
    </w:p>
    <w:p>
      <w:pPr>
        <w:ind w:left="1620" w:right="820" w:hanging="424"/>
        <w:spacing w:after="0" w:line="251" w:lineRule="auto"/>
        <w:tabs>
          <w:tab w:leader="none" w:pos="1620" w:val="left"/>
        </w:tabs>
        <w:numPr>
          <w:ilvl w:val="1"/>
          <w:numId w:val="208"/>
        </w:numPr>
        <w:rPr>
          <w:rFonts w:ascii="Arial" w:cs="Arial" w:eastAsia="Arial" w:hAnsi="Arial"/>
          <w:sz w:val="16"/>
          <w:szCs w:val="16"/>
          <w:color w:val="auto"/>
        </w:rPr>
      </w:pPr>
      <w:r>
        <w:rPr>
          <w:rFonts w:ascii="Arial" w:cs="Arial" w:eastAsia="Arial" w:hAnsi="Arial"/>
          <w:sz w:val="16"/>
          <w:szCs w:val="16"/>
          <w:color w:val="auto"/>
        </w:rPr>
        <w:t xml:space="preserve">for the purposes of sending notices to any one or more members (including, without limitation, notices of general meetings, or separate general meetings of the holders of any class of shares in the capital of the Company), give such notices by reference to the register </w:t>
      </w:r>
      <w:r>
        <w:rPr>
          <w:rFonts w:ascii="Arial" w:cs="Arial" w:eastAsia="Arial" w:hAnsi="Arial"/>
          <w:sz w:val="16"/>
          <w:szCs w:val="16"/>
          <w:color w:val="auto"/>
          <w:strike w:val="1"/>
        </w:rPr>
        <w:t>of members</w:t>
      </w:r>
      <w:r>
        <w:rPr>
          <w:rFonts w:ascii="Arial" w:cs="Arial" w:eastAsia="Arial" w:hAnsi="Arial"/>
          <w:sz w:val="16"/>
          <w:szCs w:val="16"/>
          <w:color w:val="auto"/>
        </w:rPr>
        <w:t xml:space="preserve"> as it stands at the close of business on a day determined by the Company or the Board, which day may not be more than 60 days before the day that such notices are sent.</w:t>
      </w:r>
    </w:p>
    <w:p>
      <w:pPr>
        <w:spacing w:after="0" w:line="47" w:lineRule="exact"/>
        <w:rPr>
          <w:rFonts w:ascii="Arial" w:cs="Arial" w:eastAsia="Arial" w:hAnsi="Arial"/>
          <w:sz w:val="16"/>
          <w:szCs w:val="16"/>
          <w:color w:val="auto"/>
        </w:rPr>
      </w:pPr>
    </w:p>
    <w:p>
      <w:pPr>
        <w:ind w:left="1200" w:hanging="436"/>
        <w:spacing w:after="0"/>
        <w:tabs>
          <w:tab w:leader="none" w:pos="1200" w:val="left"/>
        </w:tabs>
        <w:numPr>
          <w:ilvl w:val="0"/>
          <w:numId w:val="209"/>
        </w:numPr>
        <w:rPr>
          <w:rFonts w:ascii="Arial" w:cs="Arial" w:eastAsia="Arial" w:hAnsi="Arial"/>
          <w:sz w:val="16"/>
          <w:szCs w:val="16"/>
          <w:b w:val="1"/>
          <w:bCs w:val="1"/>
          <w:color w:val="auto"/>
        </w:rPr>
      </w:pPr>
      <w:r>
        <w:rPr>
          <w:rFonts w:ascii="Arial" w:cs="Arial" w:eastAsia="Arial" w:hAnsi="Arial"/>
          <w:sz w:val="16"/>
          <w:szCs w:val="16"/>
          <w:b w:val="1"/>
          <w:bCs w:val="1"/>
          <w:color w:val="auto"/>
        </w:rPr>
        <w:t>ACCOUNTS</w:t>
      </w:r>
    </w:p>
    <w:p>
      <w:pPr>
        <w:spacing w:after="0" w:line="120" w:lineRule="exact"/>
        <w:rPr>
          <w:sz w:val="20"/>
          <w:szCs w:val="20"/>
          <w:color w:val="auto"/>
        </w:rPr>
      </w:pPr>
    </w:p>
    <w:p>
      <w:pPr>
        <w:ind w:left="1200" w:right="840" w:hanging="431"/>
        <w:spacing w:after="0" w:line="253" w:lineRule="auto"/>
        <w:rPr>
          <w:sz w:val="20"/>
          <w:szCs w:val="20"/>
          <w:color w:val="auto"/>
        </w:rPr>
      </w:pPr>
      <w:r>
        <w:rPr>
          <w:rFonts w:ascii="Arial" w:cs="Arial" w:eastAsia="Arial" w:hAnsi="Arial"/>
          <w:sz w:val="16"/>
          <w:szCs w:val="16"/>
          <w:color w:val="auto"/>
        </w:rPr>
        <w:t xml:space="preserve">44.1 No member (as such, other than a Director) shall have any right to inspect any accounting record or other document of the Company, unless </w:t>
      </w:r>
      <w:r>
        <w:rPr>
          <w:rFonts w:ascii="Arial" w:cs="Arial" w:eastAsia="Arial" w:hAnsi="Arial"/>
          <w:sz w:val="16"/>
          <w:szCs w:val="16"/>
          <w:color w:val="auto"/>
          <w:strike w:val="1"/>
        </w:rPr>
        <w:t>he is</w:t>
      </w:r>
      <w:r>
        <w:rPr>
          <w:rFonts w:ascii="Arial" w:cs="Arial" w:eastAsia="Arial" w:hAnsi="Arial"/>
          <w:sz w:val="16"/>
          <w:szCs w:val="16"/>
          <w:u w:val="single" w:color="auto"/>
          <w:color w:val="auto"/>
        </w:rPr>
        <w:t>they are</w:t>
      </w:r>
      <w:r>
        <w:rPr>
          <w:rFonts w:ascii="Arial" w:cs="Arial" w:eastAsia="Arial" w:hAnsi="Arial"/>
          <w:sz w:val="16"/>
          <w:szCs w:val="16"/>
          <w:color w:val="auto"/>
        </w:rPr>
        <w:t xml:space="preserve"> authorised to do so by statute, by order of the court, by the Board or by ordinary resolution of the Company.</w:t>
      </w:r>
    </w:p>
    <w:p>
      <w:pPr>
        <w:spacing w:after="0" w:line="66" w:lineRule="exact"/>
        <w:rPr>
          <w:sz w:val="20"/>
          <w:szCs w:val="20"/>
          <w:color w:val="auto"/>
        </w:rPr>
      </w:pPr>
    </w:p>
    <w:p>
      <w:pPr>
        <w:ind w:left="1200" w:right="780" w:hanging="431"/>
        <w:spacing w:after="0" w:line="249" w:lineRule="auto"/>
        <w:rPr>
          <w:sz w:val="20"/>
          <w:szCs w:val="20"/>
          <w:color w:val="auto"/>
        </w:rPr>
      </w:pPr>
      <w:r>
        <w:rPr>
          <w:rFonts w:ascii="Arial" w:cs="Arial" w:eastAsia="Arial" w:hAnsi="Arial"/>
          <w:sz w:val="16"/>
          <w:szCs w:val="16"/>
          <w:color w:val="auto"/>
        </w:rPr>
        <w:t>44.2 Subject to the Companies Act, a copy of the Company’s annual accounts and reports for that financial year shall, at least 21 clear days before the date of the meeting at which copies of those documents are to be laid in accordance with the provisions of the Companies Act, be sent to every member and to every holder of the Company’s debentures, and to every person who is entitled to receive notice of meetings from the Company under the provisions of the Companies Act or of these Articles or, in the case of joint holders of any share or debenture, to one of the joint holders. A copy need not be sent to a person for whom the Company does not have a current address.</w:t>
      </w:r>
    </w:p>
    <w:p>
      <w:pPr>
        <w:spacing w:after="0" w:line="83" w:lineRule="exact"/>
        <w:rPr>
          <w:sz w:val="20"/>
          <w:szCs w:val="20"/>
          <w:color w:val="auto"/>
        </w:rPr>
      </w:pPr>
    </w:p>
    <w:p>
      <w:pPr>
        <w:ind w:left="1200" w:right="880" w:hanging="431"/>
        <w:spacing w:after="0" w:line="251" w:lineRule="auto"/>
        <w:rPr>
          <w:sz w:val="20"/>
          <w:szCs w:val="20"/>
          <w:color w:val="auto"/>
        </w:rPr>
      </w:pPr>
      <w:r>
        <w:rPr>
          <w:rFonts w:ascii="Arial" w:cs="Arial" w:eastAsia="Arial" w:hAnsi="Arial"/>
          <w:sz w:val="16"/>
          <w:szCs w:val="16"/>
          <w:color w:val="auto"/>
        </w:rPr>
        <w:t>44.3 Subject to the Companies Act, the requirements of Article 44.2 shall be deemed satisfied in relation to any person by sending to the person, instead of such copies, a summary financial statement derived from the Company’s annual accounts and directors’ report, which shall be in the form and containing the information prescribed by the Companies Act and any regulations made under the Companies Act.</w:t>
      </w: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130"/>
        </w:trPr>
        <w:tc>
          <w:tcPr>
            <w:tcW w:w="800" w:type="dxa"/>
            <w:vAlign w:val="bottom"/>
            <w:vMerge w:val="restart"/>
          </w:tcPr>
          <w:p>
            <w:pPr>
              <w:spacing w:after="0"/>
              <w:rPr>
                <w:sz w:val="11"/>
                <w:szCs w:val="11"/>
                <w:color w:val="auto"/>
              </w:rPr>
            </w:pPr>
          </w:p>
        </w:tc>
        <w:tc>
          <w:tcPr>
            <w:tcW w:w="3060" w:type="dxa"/>
            <w:vAlign w:val="bottom"/>
            <w:tcBorders>
              <w:bottom w:val="single" w:sz="8" w:color="auto"/>
            </w:tcBorders>
          </w:tcPr>
          <w:p>
            <w:pPr>
              <w:spacing w:after="0"/>
              <w:rPr>
                <w:sz w:val="11"/>
                <w:szCs w:val="11"/>
                <w:color w:val="auto"/>
              </w:rPr>
            </w:pPr>
          </w:p>
        </w:tc>
        <w:tc>
          <w:tcPr>
            <w:tcW w:w="2740" w:type="dxa"/>
            <w:vAlign w:val="bottom"/>
            <w:vMerge w:val="restart"/>
          </w:tcPr>
          <w:p>
            <w:pPr>
              <w:ind w:left="380"/>
              <w:spacing w:after="0"/>
              <w:rPr>
                <w:sz w:val="20"/>
                <w:szCs w:val="20"/>
                <w:color w:val="auto"/>
              </w:rPr>
            </w:pPr>
            <w:r>
              <w:rPr>
                <w:rFonts w:ascii="Arial" w:cs="Arial" w:eastAsia="Arial" w:hAnsi="Arial"/>
                <w:sz w:val="13"/>
                <w:szCs w:val="13"/>
                <w:b w:val="1"/>
                <w:bCs w:val="1"/>
                <w:color w:val="4800E6"/>
              </w:rPr>
              <w:t xml:space="preserve">LIVANOVA </w:t>
            </w:r>
            <w:r>
              <w:rPr>
                <w:rFonts w:ascii="Arial" w:cs="Arial" w:eastAsia="Arial" w:hAnsi="Arial"/>
                <w:sz w:val="13"/>
                <w:szCs w:val="13"/>
                <w:color w:val="000000"/>
              </w:rPr>
              <w:t>|</w:t>
            </w:r>
            <w:r>
              <w:rPr>
                <w:rFonts w:ascii="Arial" w:cs="Arial" w:eastAsia="Arial" w:hAnsi="Arial"/>
                <w:sz w:val="13"/>
                <w:szCs w:val="13"/>
                <w:b w:val="1"/>
                <w:bCs w:val="1"/>
                <w:color w:val="4800E6"/>
              </w:rPr>
              <w:t xml:space="preserve"> </w:t>
            </w:r>
            <w:r>
              <w:rPr>
                <w:rFonts w:ascii="Arial" w:cs="Arial" w:eastAsia="Arial" w:hAnsi="Arial"/>
                <w:sz w:val="13"/>
                <w:szCs w:val="13"/>
                <w:color w:val="4800E6"/>
              </w:rPr>
              <w:t>2020</w:t>
            </w:r>
            <w:r>
              <w:rPr>
                <w:rFonts w:ascii="Arial" w:cs="Arial" w:eastAsia="Arial" w:hAnsi="Arial"/>
                <w:sz w:val="13"/>
                <w:szCs w:val="13"/>
                <w:b w:val="1"/>
                <w:bCs w:val="1"/>
                <w:color w:val="4800E6"/>
              </w:rPr>
              <w:t xml:space="preserve"> </w:t>
            </w:r>
            <w:r>
              <w:rPr>
                <w:rFonts w:ascii="Arial" w:cs="Arial" w:eastAsia="Arial" w:hAnsi="Arial"/>
                <w:sz w:val="13"/>
                <w:szCs w:val="13"/>
                <w:color w:val="000000"/>
              </w:rPr>
              <w:t>Proxy Statement</w:t>
            </w:r>
          </w:p>
        </w:tc>
        <w:tc>
          <w:tcPr>
            <w:tcW w:w="3080" w:type="dxa"/>
            <w:vAlign w:val="bottom"/>
            <w:tcBorders>
              <w:bottom w:val="single" w:sz="8" w:color="auto"/>
            </w:tcBorders>
          </w:tcPr>
          <w:p>
            <w:pPr>
              <w:spacing w:after="0"/>
              <w:rPr>
                <w:sz w:val="11"/>
                <w:szCs w:val="11"/>
                <w:color w:val="auto"/>
              </w:rPr>
            </w:pPr>
          </w:p>
        </w:tc>
        <w:tc>
          <w:tcPr>
            <w:tcW w:w="1040" w:type="dxa"/>
            <w:vAlign w:val="bottom"/>
            <w:vMerge w:val="restart"/>
          </w:tcPr>
          <w:p>
            <w:pPr>
              <w:ind w:left="200"/>
              <w:spacing w:after="0"/>
              <w:rPr>
                <w:sz w:val="20"/>
                <w:szCs w:val="20"/>
                <w:color w:val="auto"/>
              </w:rPr>
            </w:pPr>
            <w:r>
              <w:rPr>
                <w:rFonts w:ascii="Arial" w:cs="Arial" w:eastAsia="Arial" w:hAnsi="Arial"/>
                <w:sz w:val="14"/>
                <w:szCs w:val="14"/>
                <w:b w:val="1"/>
                <w:bCs w:val="1"/>
                <w:color w:val="auto"/>
              </w:rPr>
              <w:t>A-35</w:t>
            </w:r>
          </w:p>
        </w:tc>
        <w:tc>
          <w:tcPr>
            <w:tcW w:w="0" w:type="dxa"/>
            <w:vAlign w:val="bottom"/>
          </w:tcPr>
          <w:p>
            <w:pPr>
              <w:spacing w:after="0"/>
              <w:rPr>
                <w:sz w:val="1"/>
                <w:szCs w:val="1"/>
                <w:color w:val="auto"/>
              </w:rPr>
            </w:pPr>
          </w:p>
        </w:tc>
      </w:tr>
      <w:tr>
        <w:trPr>
          <w:trHeight w:val="49"/>
        </w:trPr>
        <w:tc>
          <w:tcPr>
            <w:tcW w:w="800" w:type="dxa"/>
            <w:vAlign w:val="bottom"/>
            <w:vMerge w:val="continue"/>
          </w:tcPr>
          <w:p>
            <w:pPr>
              <w:spacing w:after="0"/>
              <w:rPr>
                <w:sz w:val="4"/>
                <w:szCs w:val="4"/>
                <w:color w:val="auto"/>
              </w:rPr>
            </w:pPr>
          </w:p>
        </w:tc>
        <w:tc>
          <w:tcPr>
            <w:tcW w:w="3060" w:type="dxa"/>
            <w:vAlign w:val="bottom"/>
          </w:tcPr>
          <w:p>
            <w:pPr>
              <w:spacing w:after="0"/>
              <w:rPr>
                <w:sz w:val="4"/>
                <w:szCs w:val="4"/>
                <w:color w:val="auto"/>
              </w:rPr>
            </w:pPr>
          </w:p>
        </w:tc>
        <w:tc>
          <w:tcPr>
            <w:tcW w:w="2740" w:type="dxa"/>
            <w:vAlign w:val="bottom"/>
            <w:vMerge w:val="continue"/>
          </w:tcPr>
          <w:p>
            <w:pPr>
              <w:spacing w:after="0"/>
              <w:rPr>
                <w:sz w:val="4"/>
                <w:szCs w:val="4"/>
                <w:color w:val="auto"/>
              </w:rPr>
            </w:pPr>
          </w:p>
        </w:tc>
        <w:tc>
          <w:tcPr>
            <w:tcW w:w="3080" w:type="dxa"/>
            <w:vAlign w:val="bottom"/>
          </w:tcPr>
          <w:p>
            <w:pPr>
              <w:spacing w:after="0"/>
              <w:rPr>
                <w:sz w:val="4"/>
                <w:szCs w:val="4"/>
                <w:color w:val="auto"/>
              </w:rPr>
            </w:pPr>
          </w:p>
        </w:tc>
        <w:tc>
          <w:tcPr>
            <w:tcW w:w="104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40"/>
        </w:trPr>
        <w:tc>
          <w:tcPr>
            <w:tcW w:w="800" w:type="dxa"/>
            <w:vAlign w:val="bottom"/>
            <w:tcBorders>
              <w:bottom w:val="single" w:sz="8" w:color="9A9A9A"/>
            </w:tcBorders>
          </w:tcPr>
          <w:p>
            <w:pPr>
              <w:spacing w:after="0"/>
              <w:rPr>
                <w:sz w:val="12"/>
                <w:szCs w:val="12"/>
                <w:color w:val="auto"/>
              </w:rPr>
            </w:pPr>
          </w:p>
        </w:tc>
        <w:tc>
          <w:tcPr>
            <w:tcW w:w="3060" w:type="dxa"/>
            <w:vAlign w:val="bottom"/>
            <w:tcBorders>
              <w:bottom w:val="single" w:sz="8" w:color="9A9A9A"/>
            </w:tcBorders>
          </w:tcPr>
          <w:p>
            <w:pPr>
              <w:spacing w:after="0"/>
              <w:rPr>
                <w:sz w:val="12"/>
                <w:szCs w:val="12"/>
                <w:color w:val="auto"/>
              </w:rPr>
            </w:pPr>
          </w:p>
        </w:tc>
        <w:tc>
          <w:tcPr>
            <w:tcW w:w="2740" w:type="dxa"/>
            <w:vAlign w:val="bottom"/>
            <w:tcBorders>
              <w:bottom w:val="single" w:sz="8" w:color="9A9A9A"/>
            </w:tcBorders>
          </w:tcPr>
          <w:p>
            <w:pPr>
              <w:spacing w:after="0"/>
              <w:rPr>
                <w:sz w:val="12"/>
                <w:szCs w:val="12"/>
                <w:color w:val="auto"/>
              </w:rPr>
            </w:pPr>
          </w:p>
        </w:tc>
        <w:tc>
          <w:tcPr>
            <w:tcW w:w="3080" w:type="dxa"/>
            <w:vAlign w:val="bottom"/>
            <w:tcBorders>
              <w:bottom w:val="single" w:sz="8" w:color="9A9A9A"/>
            </w:tcBorders>
          </w:tcPr>
          <w:p>
            <w:pPr>
              <w:spacing w:after="0"/>
              <w:rPr>
                <w:sz w:val="12"/>
                <w:szCs w:val="12"/>
                <w:color w:val="auto"/>
              </w:rPr>
            </w:pPr>
          </w:p>
        </w:tc>
        <w:tc>
          <w:tcPr>
            <w:tcW w:w="1040" w:type="dxa"/>
            <w:vAlign w:val="bottom"/>
            <w:tcBorders>
              <w:bottom w:val="single" w:sz="8" w:color="9A9A9A"/>
            </w:tcBorders>
          </w:tcPr>
          <w:p>
            <w:pPr>
              <w:spacing w:after="0"/>
              <w:rPr>
                <w:sz w:val="12"/>
                <w:szCs w:val="12"/>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6802755</wp:posOffset>
            </wp:positionH>
            <wp:positionV relativeFrom="paragraph">
              <wp:posOffset>-7620</wp:posOffset>
            </wp:positionV>
            <wp:extent cx="8255" cy="8255"/>
            <wp:wrapNone/>
            <wp:docPr id="484" name="Picture 4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4"/>
                    <pic:cNvPicPr>
                      <a:picLocks noChangeAspect="1" noChangeArrowheads="1"/>
                    </pic:cNvPicPr>
                  </pic:nvPicPr>
                  <pic:blipFill>
                    <a:blip r:embed="rId49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wp:posOffset>
            </wp:positionV>
            <wp:extent cx="8890" cy="17145"/>
            <wp:wrapNone/>
            <wp:docPr id="485" name="Picture 4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5"/>
                    <pic:cNvPicPr>
                      <a:picLocks noChangeAspect="1" noChangeArrowheads="1"/>
                    </pic:cNvPicPr>
                  </pic:nvPicPr>
                  <pic:blipFill>
                    <a:blip r:embed="rId492">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sectPr>
          <w:pgSz w:w="11900" w:h="16838" w:orient="portrait"/>
          <w:cols w:equalWidth="0" w:num="1">
            <w:col w:w="10720"/>
          </w:cols>
          <w:pgMar w:left="320" w:top="131" w:right="859" w:bottom="1440" w:gutter="0" w:footer="0" w:header="0"/>
        </w:sectPr>
      </w:pPr>
    </w:p>
    <w:bookmarkStart w:id="114" w:name="page115"/>
    <w:bookmarkEnd w:id="114"/>
    <w:p>
      <w:pPr>
        <w:spacing w:after="0"/>
        <w:rPr>
          <w:rFonts w:ascii="Arial" w:cs="Arial" w:eastAsia="Arial" w:hAnsi="Arial"/>
          <w:sz w:val="14"/>
          <w:szCs w:val="14"/>
          <w:color w:val="003366"/>
        </w:rPr>
      </w:pPr>
      <w:hyperlink w:anchor="page78">
        <w:r>
          <w:rPr>
            <w:rFonts w:ascii="Arial" w:cs="Arial" w:eastAsia="Arial" w:hAnsi="Arial"/>
            <w:sz w:val="14"/>
            <w:szCs w:val="14"/>
            <w:color w:val="003366"/>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485140</wp:posOffset>
            </wp:positionH>
            <wp:positionV relativeFrom="paragraph">
              <wp:posOffset>356870</wp:posOffset>
            </wp:positionV>
            <wp:extent cx="5829300" cy="8255"/>
            <wp:wrapNone/>
            <wp:docPr id="486" name="Picture 4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6"/>
                    <pic:cNvPicPr>
                      <a:picLocks noChangeAspect="1" noChangeArrowheads="1"/>
                    </pic:cNvPicPr>
                  </pic:nvPicPr>
                  <pic:blipFill>
                    <a:blip r:embed="rId493">
                      <a:extLst>
                        <a:ext uri="{28A0092B-C50C-407E-A947-70E740481C1C}"/>
                      </a:extLst>
                    </a:blip>
                    <a:srcRect/>
                    <a:stretch>
                      <a:fillRect/>
                    </a:stretch>
                  </pic:blipFill>
                  <pic:spPr bwMode="auto">
                    <a:xfrm>
                      <a:off x="0" y="0"/>
                      <a:ext cx="5829300" cy="8255"/>
                    </a:xfrm>
                    <a:prstGeom prst="rect">
                      <a:avLst/>
                    </a:prstGeom>
                    <a:noFill/>
                  </pic:spPr>
                </pic:pic>
              </a:graphicData>
            </a:graphic>
          </wp:anchor>
        </w:drawing>
      </w:r>
    </w:p>
    <w:p>
      <w:pPr>
        <w:sectPr>
          <w:pgSz w:w="11900" w:h="16838" w:orient="portrait"/>
          <w:cols w:equalWidth="0" w:num="1">
            <w:col w:w="10139"/>
          </w:cols>
          <w:pgMar w:left="320" w:top="131"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ind w:left="1200" w:hanging="436"/>
        <w:spacing w:after="0"/>
        <w:tabs>
          <w:tab w:leader="none" w:pos="1200" w:val="left"/>
        </w:tabs>
        <w:numPr>
          <w:ilvl w:val="0"/>
          <w:numId w:val="210"/>
        </w:numPr>
        <w:rPr>
          <w:rFonts w:ascii="Arial" w:cs="Arial" w:eastAsia="Arial" w:hAnsi="Arial"/>
          <w:sz w:val="16"/>
          <w:szCs w:val="16"/>
          <w:b w:val="1"/>
          <w:bCs w:val="1"/>
          <w:color w:val="auto"/>
        </w:rPr>
      </w:pPr>
      <w:r>
        <w:rPr>
          <w:rFonts w:ascii="Arial" w:cs="Arial" w:eastAsia="Arial" w:hAnsi="Arial"/>
          <w:sz w:val="16"/>
          <w:szCs w:val="16"/>
          <w:b w:val="1"/>
          <w:bCs w:val="1"/>
          <w:color w:val="auto"/>
        </w:rPr>
        <w:t>NOTICES AND OTHER COMMUNICATIONS</w:t>
      </w:r>
    </w:p>
    <w:p>
      <w:pPr>
        <w:spacing w:after="0" w:line="120" w:lineRule="exact"/>
        <w:rPr>
          <w:sz w:val="20"/>
          <w:szCs w:val="20"/>
          <w:color w:val="auto"/>
        </w:rPr>
      </w:pPr>
    </w:p>
    <w:p>
      <w:pPr>
        <w:ind w:left="1200" w:right="319" w:hanging="431"/>
        <w:spacing w:after="0" w:line="260" w:lineRule="auto"/>
        <w:rPr>
          <w:sz w:val="20"/>
          <w:szCs w:val="20"/>
          <w:color w:val="auto"/>
        </w:rPr>
      </w:pPr>
      <w:r>
        <w:rPr>
          <w:rFonts w:ascii="Arial" w:cs="Arial" w:eastAsia="Arial" w:hAnsi="Arial"/>
          <w:sz w:val="16"/>
          <w:szCs w:val="16"/>
          <w:color w:val="auto"/>
        </w:rPr>
        <w:t xml:space="preserve">45.1 Any notice to be given to or by any person pursuant to these Articles shall be in writing other than a notice calling a meeting of the </w:t>
      </w:r>
      <w:r>
        <w:rPr>
          <w:rFonts w:ascii="Arial" w:cs="Arial" w:eastAsia="Arial" w:hAnsi="Arial"/>
          <w:sz w:val="16"/>
          <w:szCs w:val="16"/>
          <w:color w:val="auto"/>
          <w:strike w:val="1"/>
        </w:rPr>
        <w:t>Directors</w:t>
      </w:r>
      <w:r>
        <w:rPr>
          <w:rFonts w:ascii="Arial" w:cs="Arial" w:eastAsia="Arial" w:hAnsi="Arial"/>
          <w:sz w:val="16"/>
          <w:szCs w:val="16"/>
          <w:u w:val="single" w:color="auto"/>
          <w:color w:val="auto"/>
        </w:rPr>
        <w:t>Board</w:t>
      </w:r>
      <w:r>
        <w:rPr>
          <w:rFonts w:ascii="Arial" w:cs="Arial" w:eastAsia="Arial" w:hAnsi="Arial"/>
          <w:sz w:val="16"/>
          <w:szCs w:val="16"/>
          <w:color w:val="auto"/>
        </w:rPr>
        <w:t xml:space="preserve"> which need not be in writing.</w:t>
      </w:r>
    </w:p>
    <w:p>
      <w:pPr>
        <w:spacing w:after="0" w:line="60" w:lineRule="exact"/>
        <w:rPr>
          <w:sz w:val="20"/>
          <w:szCs w:val="20"/>
          <w:color w:val="auto"/>
        </w:rPr>
      </w:pPr>
    </w:p>
    <w:p>
      <w:pPr>
        <w:ind w:left="760"/>
        <w:spacing w:after="0"/>
        <w:rPr>
          <w:sz w:val="20"/>
          <w:szCs w:val="20"/>
          <w:color w:val="auto"/>
        </w:rPr>
      </w:pPr>
      <w:r>
        <w:rPr>
          <w:rFonts w:ascii="Arial" w:cs="Arial" w:eastAsia="Arial" w:hAnsi="Arial"/>
          <w:sz w:val="16"/>
          <w:szCs w:val="16"/>
          <w:color w:val="auto"/>
        </w:rPr>
        <w:t>45.2  Any notice, document or information may (without prejudice to Articles 45.9 and 45.10) be given, sent or supplied by the</w:t>
      </w:r>
    </w:p>
    <w:p>
      <w:pPr>
        <w:spacing w:after="0" w:line="5" w:lineRule="exact"/>
        <w:rPr>
          <w:sz w:val="20"/>
          <w:szCs w:val="20"/>
          <w:color w:val="auto"/>
        </w:rPr>
      </w:pPr>
    </w:p>
    <w:p>
      <w:pPr>
        <w:ind w:left="1200"/>
        <w:spacing w:after="0"/>
        <w:rPr>
          <w:sz w:val="20"/>
          <w:szCs w:val="20"/>
          <w:color w:val="auto"/>
        </w:rPr>
      </w:pPr>
      <w:r>
        <w:rPr>
          <w:rFonts w:ascii="Arial" w:cs="Arial" w:eastAsia="Arial" w:hAnsi="Arial"/>
          <w:sz w:val="16"/>
          <w:szCs w:val="16"/>
          <w:color w:val="auto"/>
        </w:rPr>
        <w:t>Company to any member either:</w:t>
      </w:r>
    </w:p>
    <w:p>
      <w:pPr>
        <w:spacing w:after="0" w:line="100" w:lineRule="exact"/>
        <w:rPr>
          <w:sz w:val="20"/>
          <w:szCs w:val="20"/>
          <w:color w:val="auto"/>
        </w:rPr>
      </w:pPr>
    </w:p>
    <w:p>
      <w:pPr>
        <w:ind w:left="1620" w:hanging="424"/>
        <w:spacing w:after="0"/>
        <w:tabs>
          <w:tab w:leader="none" w:pos="1620" w:val="left"/>
        </w:tabs>
        <w:numPr>
          <w:ilvl w:val="0"/>
          <w:numId w:val="211"/>
        </w:numPr>
        <w:rPr>
          <w:rFonts w:ascii="Arial" w:cs="Arial" w:eastAsia="Arial" w:hAnsi="Arial"/>
          <w:sz w:val="16"/>
          <w:szCs w:val="16"/>
          <w:color w:val="auto"/>
        </w:rPr>
      </w:pPr>
      <w:r>
        <w:rPr>
          <w:rFonts w:ascii="Arial" w:cs="Arial" w:eastAsia="Arial" w:hAnsi="Arial"/>
          <w:sz w:val="16"/>
          <w:szCs w:val="16"/>
          <w:color w:val="auto"/>
        </w:rPr>
        <w:t>personally;</w:t>
      </w:r>
    </w:p>
    <w:p>
      <w:pPr>
        <w:spacing w:after="0" w:line="86" w:lineRule="exact"/>
        <w:rPr>
          <w:rFonts w:ascii="Arial" w:cs="Arial" w:eastAsia="Arial" w:hAnsi="Arial"/>
          <w:sz w:val="16"/>
          <w:szCs w:val="16"/>
          <w:color w:val="auto"/>
        </w:rPr>
      </w:pPr>
    </w:p>
    <w:p>
      <w:pPr>
        <w:ind w:left="1620" w:right="319" w:hanging="424"/>
        <w:spacing w:after="0" w:line="260" w:lineRule="auto"/>
        <w:tabs>
          <w:tab w:leader="none" w:pos="1620" w:val="left"/>
        </w:tabs>
        <w:numPr>
          <w:ilvl w:val="0"/>
          <w:numId w:val="211"/>
        </w:numPr>
        <w:rPr>
          <w:rFonts w:ascii="Arial" w:cs="Arial" w:eastAsia="Arial" w:hAnsi="Arial"/>
          <w:sz w:val="16"/>
          <w:szCs w:val="16"/>
          <w:color w:val="auto"/>
        </w:rPr>
      </w:pPr>
      <w:r>
        <w:rPr>
          <w:rFonts w:ascii="Arial" w:cs="Arial" w:eastAsia="Arial" w:hAnsi="Arial"/>
          <w:sz w:val="16"/>
          <w:szCs w:val="16"/>
          <w:color w:val="auto"/>
        </w:rPr>
        <w:t xml:space="preserve">by sending it by post in a prepaid envelope addressed to the member at </w:t>
      </w:r>
      <w:r>
        <w:rPr>
          <w:rFonts w:ascii="Arial" w:cs="Arial" w:eastAsia="Arial" w:hAnsi="Arial"/>
          <w:sz w:val="16"/>
          <w:szCs w:val="16"/>
          <w:color w:val="auto"/>
          <w:strike w:val="1"/>
        </w:rPr>
        <w:t>his</w:t>
      </w:r>
      <w:r>
        <w:rPr>
          <w:rFonts w:ascii="Arial" w:cs="Arial" w:eastAsia="Arial" w:hAnsi="Arial"/>
          <w:sz w:val="16"/>
          <w:szCs w:val="16"/>
          <w:u w:val="single" w:color="auto"/>
          <w:color w:val="auto"/>
        </w:rPr>
        <w:t>their</w:t>
      </w:r>
      <w:r>
        <w:rPr>
          <w:rFonts w:ascii="Arial" w:cs="Arial" w:eastAsia="Arial" w:hAnsi="Arial"/>
          <w:sz w:val="16"/>
          <w:szCs w:val="16"/>
          <w:color w:val="auto"/>
        </w:rPr>
        <w:t xml:space="preserve"> registered address or postal address given to the Company for that purpose, or by leaving it at that address;</w:t>
      </w:r>
    </w:p>
    <w:p>
      <w:pPr>
        <w:spacing w:after="0" w:line="60" w:lineRule="exact"/>
        <w:rPr>
          <w:rFonts w:ascii="Arial" w:cs="Arial" w:eastAsia="Arial" w:hAnsi="Arial"/>
          <w:sz w:val="16"/>
          <w:szCs w:val="16"/>
          <w:color w:val="auto"/>
        </w:rPr>
      </w:pPr>
    </w:p>
    <w:p>
      <w:pPr>
        <w:ind w:left="1620" w:hanging="424"/>
        <w:spacing w:after="0"/>
        <w:tabs>
          <w:tab w:leader="none" w:pos="1620" w:val="left"/>
        </w:tabs>
        <w:numPr>
          <w:ilvl w:val="0"/>
          <w:numId w:val="211"/>
        </w:numPr>
        <w:rPr>
          <w:rFonts w:ascii="Arial" w:cs="Arial" w:eastAsia="Arial" w:hAnsi="Arial"/>
          <w:sz w:val="16"/>
          <w:szCs w:val="16"/>
          <w:color w:val="auto"/>
        </w:rPr>
      </w:pPr>
      <w:r>
        <w:rPr>
          <w:rFonts w:ascii="Arial" w:cs="Arial" w:eastAsia="Arial" w:hAnsi="Arial"/>
          <w:sz w:val="16"/>
          <w:szCs w:val="16"/>
          <w:color w:val="auto"/>
        </w:rPr>
        <w:t>through a relevant system, where the notice, document or information relates to uncertificated shares;</w:t>
      </w:r>
    </w:p>
    <w:p>
      <w:pPr>
        <w:spacing w:after="0" w:line="99" w:lineRule="exact"/>
        <w:rPr>
          <w:rFonts w:ascii="Arial" w:cs="Arial" w:eastAsia="Arial" w:hAnsi="Arial"/>
          <w:sz w:val="16"/>
          <w:szCs w:val="16"/>
          <w:color w:val="auto"/>
        </w:rPr>
      </w:pPr>
    </w:p>
    <w:p>
      <w:pPr>
        <w:ind w:left="1620" w:right="419" w:hanging="424"/>
        <w:spacing w:after="0" w:line="260" w:lineRule="auto"/>
        <w:tabs>
          <w:tab w:leader="none" w:pos="1620" w:val="left"/>
        </w:tabs>
        <w:numPr>
          <w:ilvl w:val="0"/>
          <w:numId w:val="211"/>
        </w:numPr>
        <w:rPr>
          <w:rFonts w:ascii="Arial" w:cs="Arial" w:eastAsia="Arial" w:hAnsi="Arial"/>
          <w:sz w:val="16"/>
          <w:szCs w:val="16"/>
          <w:color w:val="auto"/>
        </w:rPr>
      </w:pPr>
      <w:r>
        <w:rPr>
          <w:rFonts w:ascii="Arial" w:cs="Arial" w:eastAsia="Arial" w:hAnsi="Arial"/>
          <w:sz w:val="16"/>
          <w:szCs w:val="16"/>
          <w:color w:val="auto"/>
        </w:rPr>
        <w:t>subject to Article 45.3, by sending it in electronic form to a person who has agreed (generally or specifically) that the notice, document or information may be sent or supplied in that form (and has not revoked that agreement); or</w:t>
      </w:r>
    </w:p>
    <w:p>
      <w:pPr>
        <w:spacing w:after="0" w:line="60" w:lineRule="exact"/>
        <w:rPr>
          <w:rFonts w:ascii="Arial" w:cs="Arial" w:eastAsia="Arial" w:hAnsi="Arial"/>
          <w:sz w:val="16"/>
          <w:szCs w:val="16"/>
          <w:color w:val="auto"/>
        </w:rPr>
      </w:pPr>
    </w:p>
    <w:p>
      <w:pPr>
        <w:ind w:left="1620" w:right="419" w:hanging="424"/>
        <w:spacing w:after="0" w:line="260" w:lineRule="auto"/>
        <w:tabs>
          <w:tab w:leader="none" w:pos="1620" w:val="left"/>
        </w:tabs>
        <w:numPr>
          <w:ilvl w:val="0"/>
          <w:numId w:val="211"/>
        </w:numPr>
        <w:rPr>
          <w:rFonts w:ascii="Arial" w:cs="Arial" w:eastAsia="Arial" w:hAnsi="Arial"/>
          <w:sz w:val="16"/>
          <w:szCs w:val="16"/>
          <w:color w:val="auto"/>
        </w:rPr>
      </w:pPr>
      <w:r>
        <w:rPr>
          <w:rFonts w:ascii="Arial" w:cs="Arial" w:eastAsia="Arial" w:hAnsi="Arial"/>
          <w:sz w:val="16"/>
          <w:szCs w:val="16"/>
          <w:color w:val="auto"/>
        </w:rPr>
        <w:t xml:space="preserve">subject to the provisions of the Companies Act </w:t>
      </w:r>
      <w:r>
        <w:rPr>
          <w:rFonts w:ascii="Arial" w:cs="Arial" w:eastAsia="Arial" w:hAnsi="Arial"/>
          <w:sz w:val="16"/>
          <w:szCs w:val="16"/>
          <w:u w:val="single" w:color="auto"/>
          <w:color w:val="auto"/>
        </w:rPr>
        <w:t>and the Exchange Act</w:t>
      </w:r>
      <w:r>
        <w:rPr>
          <w:rFonts w:ascii="Arial" w:cs="Arial" w:eastAsia="Arial" w:hAnsi="Arial"/>
          <w:sz w:val="16"/>
          <w:szCs w:val="16"/>
          <w:color w:val="auto"/>
        </w:rPr>
        <w:t xml:space="preserve">, by making it available on a website, provided that the requirements in </w:t>
      </w:r>
      <w:r>
        <w:rPr>
          <w:rFonts w:ascii="Arial" w:cs="Arial" w:eastAsia="Arial" w:hAnsi="Arial"/>
          <w:sz w:val="16"/>
          <w:szCs w:val="16"/>
          <w:color w:val="auto"/>
          <w:strike w:val="1"/>
        </w:rPr>
        <w:t>(</w:t>
      </w:r>
      <w:r>
        <w:rPr>
          <w:rFonts w:ascii="Arial" w:cs="Arial" w:eastAsia="Arial" w:hAnsi="Arial"/>
          <w:sz w:val="16"/>
          <w:szCs w:val="16"/>
          <w:u w:val="single" w:color="auto"/>
          <w:color w:val="auto"/>
        </w:rPr>
        <w:t>(</w:t>
      </w:r>
      <w:r>
        <w:rPr>
          <w:rFonts w:ascii="Arial" w:cs="Arial" w:eastAsia="Arial" w:hAnsi="Arial"/>
          <w:sz w:val="16"/>
          <w:szCs w:val="16"/>
          <w:color w:val="auto"/>
        </w:rPr>
        <w:t xml:space="preserve">i) to </w:t>
      </w:r>
      <w:r>
        <w:rPr>
          <w:rFonts w:ascii="Arial" w:cs="Arial" w:eastAsia="Arial" w:hAnsi="Arial"/>
          <w:sz w:val="16"/>
          <w:szCs w:val="16"/>
          <w:color w:val="auto"/>
          <w:strike w:val="1"/>
        </w:rPr>
        <w:t>(iv)</w:t>
      </w:r>
      <w:r>
        <w:rPr>
          <w:rFonts w:ascii="Arial" w:cs="Arial" w:eastAsia="Arial" w:hAnsi="Arial"/>
          <w:sz w:val="16"/>
          <w:szCs w:val="16"/>
          <w:u w:val="single" w:color="auto"/>
          <w:color w:val="auto"/>
        </w:rPr>
        <w:t>(iii)</w:t>
      </w:r>
      <w:r>
        <w:rPr>
          <w:rFonts w:ascii="Arial" w:cs="Arial" w:eastAsia="Arial" w:hAnsi="Arial"/>
          <w:sz w:val="16"/>
          <w:szCs w:val="16"/>
          <w:color w:val="auto"/>
        </w:rPr>
        <w:t xml:space="preserve"> below are satisfied.</w:t>
      </w:r>
    </w:p>
    <w:p>
      <w:pPr>
        <w:spacing w:after="0" w:line="74" w:lineRule="exact"/>
        <w:rPr>
          <w:sz w:val="20"/>
          <w:szCs w:val="20"/>
          <w:color w:val="auto"/>
        </w:rPr>
      </w:pPr>
    </w:p>
    <w:p>
      <w:pPr>
        <w:ind w:left="1200"/>
        <w:spacing w:after="0"/>
        <w:rPr>
          <w:sz w:val="20"/>
          <w:szCs w:val="20"/>
          <w:color w:val="auto"/>
        </w:rPr>
      </w:pPr>
      <w:r>
        <w:rPr>
          <w:rFonts w:ascii="Arial" w:cs="Arial" w:eastAsia="Arial" w:hAnsi="Arial"/>
          <w:sz w:val="16"/>
          <w:szCs w:val="16"/>
          <w:color w:val="auto"/>
        </w:rPr>
        <w:t xml:space="preserve">The requirements referred to in paragraph </w:t>
      </w:r>
      <w:r>
        <w:rPr>
          <w:rFonts w:ascii="Arial" w:cs="Arial" w:eastAsia="Arial" w:hAnsi="Arial"/>
          <w:sz w:val="16"/>
          <w:szCs w:val="16"/>
          <w:color w:val="auto"/>
          <w:strike w:val="1"/>
        </w:rPr>
        <w:t>(</w:t>
      </w:r>
      <w:r>
        <w:rPr>
          <w:rFonts w:ascii="Arial" w:cs="Arial" w:eastAsia="Arial" w:hAnsi="Arial"/>
          <w:sz w:val="16"/>
          <w:szCs w:val="16"/>
          <w:u w:val="single" w:color="auto"/>
          <w:color w:val="auto"/>
        </w:rPr>
        <w:t>(</w:t>
      </w:r>
      <w:r>
        <w:rPr>
          <w:rFonts w:ascii="Arial" w:cs="Arial" w:eastAsia="Arial" w:hAnsi="Arial"/>
          <w:sz w:val="16"/>
          <w:szCs w:val="16"/>
          <w:color w:val="auto"/>
        </w:rPr>
        <w:t>e) are that:</w:t>
      </w:r>
    </w:p>
    <w:p>
      <w:pPr>
        <w:spacing w:after="0" w:line="86" w:lineRule="exact"/>
        <w:rPr>
          <w:sz w:val="20"/>
          <w:szCs w:val="20"/>
          <w:color w:val="auto"/>
        </w:rPr>
      </w:pPr>
    </w:p>
    <w:p>
      <w:pPr>
        <w:ind w:left="2280" w:right="299" w:hanging="652"/>
        <w:spacing w:after="0" w:line="248" w:lineRule="auto"/>
        <w:tabs>
          <w:tab w:leader="none" w:pos="2280" w:val="left"/>
        </w:tabs>
        <w:numPr>
          <w:ilvl w:val="0"/>
          <w:numId w:val="212"/>
        </w:numPr>
        <w:rPr>
          <w:rFonts w:ascii="Arial" w:cs="Arial" w:eastAsia="Arial" w:hAnsi="Arial"/>
          <w:sz w:val="16"/>
          <w:szCs w:val="16"/>
          <w:color w:val="auto"/>
        </w:rPr>
      </w:pPr>
      <w:r>
        <w:rPr>
          <w:rFonts w:ascii="Arial" w:cs="Arial" w:eastAsia="Arial" w:hAnsi="Arial"/>
          <w:sz w:val="16"/>
          <w:szCs w:val="16"/>
          <w:color w:val="auto"/>
        </w:rPr>
        <w:t xml:space="preserve">the member has agreed (generally or specifically) that the notice, document or information may be sent or supplied to </w:t>
      </w:r>
      <w:r>
        <w:rPr>
          <w:rFonts w:ascii="Arial" w:cs="Arial" w:eastAsia="Arial" w:hAnsi="Arial"/>
          <w:sz w:val="16"/>
          <w:szCs w:val="16"/>
          <w:color w:val="auto"/>
          <w:strike w:val="1"/>
        </w:rPr>
        <w:t>him</w:t>
      </w:r>
      <w:r>
        <w:rPr>
          <w:rFonts w:ascii="Arial" w:cs="Arial" w:eastAsia="Arial" w:hAnsi="Arial"/>
          <w:sz w:val="16"/>
          <w:szCs w:val="16"/>
          <w:u w:val="single" w:color="auto"/>
          <w:color w:val="auto"/>
        </w:rPr>
        <w:t>them</w:t>
      </w:r>
      <w:r>
        <w:rPr>
          <w:rFonts w:ascii="Arial" w:cs="Arial" w:eastAsia="Arial" w:hAnsi="Arial"/>
          <w:sz w:val="16"/>
          <w:szCs w:val="16"/>
          <w:color w:val="auto"/>
        </w:rPr>
        <w:t xml:space="preserve"> by being made available on a website (and has not revoked that agreement), or the member has been asked by the Company to agree that the Company may send or supply notices, documents and information generally, or the notice, document or information in question, to </w:t>
      </w:r>
      <w:r>
        <w:rPr>
          <w:rFonts w:ascii="Arial" w:cs="Arial" w:eastAsia="Arial" w:hAnsi="Arial"/>
          <w:sz w:val="16"/>
          <w:szCs w:val="16"/>
          <w:color w:val="auto"/>
          <w:strike w:val="1"/>
        </w:rPr>
        <w:t>him</w:t>
      </w:r>
      <w:r>
        <w:rPr>
          <w:rFonts w:ascii="Arial" w:cs="Arial" w:eastAsia="Arial" w:hAnsi="Arial"/>
          <w:sz w:val="16"/>
          <w:szCs w:val="16"/>
          <w:u w:val="single" w:color="auto"/>
          <w:color w:val="auto"/>
        </w:rPr>
        <w:t>them</w:t>
      </w:r>
      <w:r>
        <w:rPr>
          <w:rFonts w:ascii="Arial" w:cs="Arial" w:eastAsia="Arial" w:hAnsi="Arial"/>
          <w:sz w:val="16"/>
          <w:szCs w:val="16"/>
          <w:color w:val="auto"/>
        </w:rPr>
        <w:t xml:space="preserve"> by making it available on a website and the Company has not received a response within the period of 28 days beginning on the date on which the Company’s request was sent and the member is therefore taken to have so agreed (and has not revoked that agreement);</w:t>
      </w:r>
    </w:p>
    <w:p>
      <w:pPr>
        <w:spacing w:after="0" w:line="86" w:lineRule="exact"/>
        <w:rPr>
          <w:rFonts w:ascii="Arial" w:cs="Arial" w:eastAsia="Arial" w:hAnsi="Arial"/>
          <w:sz w:val="16"/>
          <w:szCs w:val="16"/>
          <w:color w:val="auto"/>
        </w:rPr>
      </w:pPr>
    </w:p>
    <w:p>
      <w:pPr>
        <w:ind w:left="2280" w:right="299" w:hanging="652"/>
        <w:spacing w:after="0" w:line="251" w:lineRule="auto"/>
        <w:tabs>
          <w:tab w:leader="none" w:pos="2280" w:val="left"/>
        </w:tabs>
        <w:numPr>
          <w:ilvl w:val="0"/>
          <w:numId w:val="212"/>
        </w:numPr>
        <w:rPr>
          <w:rFonts w:ascii="Arial" w:cs="Arial" w:eastAsia="Arial" w:hAnsi="Arial"/>
          <w:sz w:val="16"/>
          <w:szCs w:val="16"/>
          <w:color w:val="auto"/>
        </w:rPr>
      </w:pPr>
      <w:r>
        <w:rPr>
          <w:rFonts w:ascii="Arial" w:cs="Arial" w:eastAsia="Arial" w:hAnsi="Arial"/>
          <w:sz w:val="16"/>
          <w:szCs w:val="16"/>
          <w:color w:val="auto"/>
          <w:strike w:val="1"/>
        </w:rPr>
        <w:t>the member is sent</w:t>
      </w:r>
      <w:r>
        <w:rPr>
          <w:rFonts w:ascii="Arial" w:cs="Arial" w:eastAsia="Arial" w:hAnsi="Arial"/>
          <w:sz w:val="16"/>
          <w:szCs w:val="16"/>
          <w:u w:val="single" w:color="auto"/>
          <w:color w:val="auto"/>
          <w:strike w:val="1"/>
        </w:rPr>
        <w:t>the member is the information required under the Companies Act and the Exchange Act,</w:t>
      </w:r>
      <w:r>
        <w:rPr>
          <w:rFonts w:ascii="Arial" w:cs="Arial" w:eastAsia="Arial" w:hAnsi="Arial"/>
          <w:sz w:val="16"/>
          <w:szCs w:val="16"/>
          <w:color w:val="auto"/>
          <w:strike w:val="1"/>
        </w:rPr>
        <w:t xml:space="preserve"> </w:t>
      </w:r>
      <w:r>
        <w:rPr>
          <w:rFonts w:ascii="Arial" w:cs="Arial" w:eastAsia="Arial" w:hAnsi="Arial"/>
          <w:sz w:val="16"/>
          <w:szCs w:val="16"/>
          <w:u w:val="single" w:color="auto"/>
          <w:color w:val="auto"/>
          <w:strike w:val="1"/>
        </w:rPr>
        <w:t>including but not limited to</w:t>
      </w:r>
      <w:r>
        <w:rPr>
          <w:rFonts w:ascii="Arial" w:cs="Arial" w:eastAsia="Arial" w:hAnsi="Arial"/>
          <w:sz w:val="16"/>
          <w:szCs w:val="16"/>
          <w:color w:val="auto"/>
          <w:strike w:val="1"/>
        </w:rPr>
        <w:t xml:space="preserve"> a notification of the presence of the notice, document or information on a website, the address of that website, the place on that website where it may be accessed, and how it may be accessed (“</w:t>
      </w:r>
      <w:r>
        <w:rPr>
          <w:rFonts w:ascii="Arial" w:cs="Arial" w:eastAsia="Arial" w:hAnsi="Arial"/>
          <w:sz w:val="16"/>
          <w:szCs w:val="16"/>
          <w:b w:val="1"/>
          <w:bCs w:val="1"/>
          <w:color w:val="auto"/>
          <w:strike w:val="1"/>
        </w:rPr>
        <w:t>notification of availability</w:t>
      </w:r>
      <w:r>
        <w:rPr>
          <w:rFonts w:ascii="Arial" w:cs="Arial" w:eastAsia="Arial" w:hAnsi="Arial"/>
          <w:sz w:val="16"/>
          <w:szCs w:val="16"/>
          <w:color w:val="auto"/>
          <w:strike w:val="1"/>
        </w:rPr>
        <w:t>”); and</w:t>
      </w:r>
    </w:p>
    <w:p>
      <w:pPr>
        <w:spacing w:after="0" w:line="67" w:lineRule="exact"/>
        <w:rPr>
          <w:rFonts w:ascii="Arial" w:cs="Arial" w:eastAsia="Arial" w:hAnsi="Arial"/>
          <w:sz w:val="16"/>
          <w:szCs w:val="16"/>
          <w:color w:val="auto"/>
        </w:rPr>
      </w:pPr>
    </w:p>
    <w:p>
      <w:pPr>
        <w:ind w:left="2280" w:right="319" w:hanging="652"/>
        <w:spacing w:after="0" w:line="253" w:lineRule="auto"/>
        <w:tabs>
          <w:tab w:leader="none" w:pos="2280" w:val="left"/>
        </w:tabs>
        <w:numPr>
          <w:ilvl w:val="0"/>
          <w:numId w:val="212"/>
        </w:numPr>
        <w:rPr>
          <w:rFonts w:ascii="Arial" w:cs="Arial" w:eastAsia="Arial" w:hAnsi="Arial"/>
          <w:sz w:val="16"/>
          <w:szCs w:val="16"/>
          <w:color w:val="auto"/>
          <w:strike w:val="1"/>
        </w:rPr>
      </w:pPr>
      <w:r>
        <w:rPr>
          <w:rFonts w:ascii="Arial" w:cs="Arial" w:eastAsia="Arial" w:hAnsi="Arial"/>
          <w:sz w:val="16"/>
          <w:szCs w:val="16"/>
          <w:color w:val="auto"/>
          <w:strike w:val="1"/>
        </w:rPr>
        <w:t>in the case of a notice of meeting, the notification of availability states that it concerns a notice of a company meeting, specifies the place, time and date of the meeting, and states whether it will be an annual general meeting, and</w:t>
      </w:r>
    </w:p>
    <w:p>
      <w:pPr>
        <w:spacing w:after="0" w:line="66" w:lineRule="exact"/>
        <w:rPr>
          <w:sz w:val="20"/>
          <w:szCs w:val="20"/>
          <w:color w:val="auto"/>
        </w:rPr>
      </w:pPr>
    </w:p>
    <w:p>
      <w:pPr>
        <w:ind w:left="2280" w:right="359" w:hanging="647"/>
        <w:spacing w:after="0" w:line="248" w:lineRule="auto"/>
        <w:tabs>
          <w:tab w:leader="none" w:pos="2260" w:val="left"/>
        </w:tabs>
        <w:rPr>
          <w:sz w:val="20"/>
          <w:szCs w:val="20"/>
          <w:color w:val="auto"/>
        </w:rPr>
      </w:pPr>
      <w:r>
        <w:rPr>
          <w:rFonts w:ascii="Arial" w:cs="Arial" w:eastAsia="Arial" w:hAnsi="Arial"/>
          <w:sz w:val="16"/>
          <w:szCs w:val="16"/>
          <w:color w:val="auto"/>
          <w:strike w:val="1"/>
        </w:rPr>
        <w:t>(iv)</w:t>
      </w:r>
      <w:r>
        <w:rPr>
          <w:rFonts w:ascii="Arial" w:cs="Arial" w:eastAsia="Arial" w:hAnsi="Arial"/>
          <w:sz w:val="16"/>
          <w:szCs w:val="16"/>
          <w:u w:val="single" w:color="auto"/>
          <w:color w:val="auto"/>
        </w:rPr>
        <w:t>(iii)</w:t>
      </w:r>
      <w:r>
        <w:rPr>
          <w:sz w:val="20"/>
          <w:szCs w:val="20"/>
          <w:color w:val="auto"/>
        </w:rPr>
        <w:tab/>
      </w:r>
      <w:r>
        <w:rPr>
          <w:rFonts w:ascii="Arial" w:cs="Arial" w:eastAsia="Arial" w:hAnsi="Arial"/>
          <w:sz w:val="16"/>
          <w:szCs w:val="16"/>
          <w:color w:val="auto"/>
        </w:rPr>
        <w:t>the notice, document or information continues to be published on that website, in the case of a notice of meeting, throughout the period beginning with the date of the notification of availability and ending with the conclusion of the meeting and in all other cases throughout the period specified by any applicable provision of the Companies Act, or, if no such period is specified, throughout the period of 28 days beginning with the date on which the notification of availability is sent to the member, save that if the notice, document or information is made available for part only of that period then failure to make it available throughout that period shall be disregarded where such failure is wholly attributable to circumstances which it would not be reasonable to have expected the Company to prevent or avoid.</w:t>
      </w:r>
    </w:p>
    <w:p>
      <w:pPr>
        <w:spacing w:after="0" w:line="86" w:lineRule="exact"/>
        <w:rPr>
          <w:sz w:val="20"/>
          <w:szCs w:val="20"/>
          <w:color w:val="auto"/>
        </w:rPr>
      </w:pPr>
    </w:p>
    <w:p>
      <w:pPr>
        <w:ind w:left="1200" w:right="219" w:hanging="431"/>
        <w:spacing w:after="0" w:line="253" w:lineRule="auto"/>
        <w:rPr>
          <w:sz w:val="20"/>
          <w:szCs w:val="20"/>
          <w:color w:val="auto"/>
        </w:rPr>
      </w:pPr>
      <w:r>
        <w:rPr>
          <w:rFonts w:ascii="Arial" w:cs="Arial" w:eastAsia="Arial" w:hAnsi="Arial"/>
          <w:sz w:val="16"/>
          <w:szCs w:val="16"/>
          <w:color w:val="auto"/>
        </w:rPr>
        <w:t>45.3 The Board may from time to time issue, endorse or adopt terms and conditions relating to the use of electronic means for the sending of notices, other documents and proxy appointments by the Company to members or persons entitled by transmission and by members or persons entitled by transmission to the Company.</w:t>
      </w:r>
    </w:p>
    <w:p>
      <w:pPr>
        <w:spacing w:after="0" w:line="66" w:lineRule="exact"/>
        <w:rPr>
          <w:sz w:val="20"/>
          <w:szCs w:val="20"/>
          <w:color w:val="auto"/>
        </w:rPr>
      </w:pPr>
    </w:p>
    <w:p>
      <w:pPr>
        <w:ind w:left="760"/>
        <w:spacing w:after="0"/>
        <w:rPr>
          <w:sz w:val="20"/>
          <w:szCs w:val="20"/>
          <w:color w:val="auto"/>
        </w:rPr>
      </w:pPr>
      <w:r>
        <w:rPr>
          <w:rFonts w:ascii="Arial" w:cs="Arial" w:eastAsia="Arial" w:hAnsi="Arial"/>
          <w:sz w:val="16"/>
          <w:szCs w:val="16"/>
          <w:color w:val="auto"/>
        </w:rPr>
        <w:t>45.4  In the case of joint holders of a share:</w:t>
      </w:r>
    </w:p>
    <w:p>
      <w:pPr>
        <w:spacing w:after="0" w:line="100" w:lineRule="exact"/>
        <w:rPr>
          <w:sz w:val="20"/>
          <w:szCs w:val="20"/>
          <w:color w:val="auto"/>
        </w:rPr>
      </w:pPr>
    </w:p>
    <w:p>
      <w:pPr>
        <w:ind w:left="1620" w:right="279" w:hanging="424"/>
        <w:spacing w:after="0" w:line="253" w:lineRule="auto"/>
        <w:tabs>
          <w:tab w:leader="none" w:pos="1620" w:val="left"/>
        </w:tabs>
        <w:numPr>
          <w:ilvl w:val="0"/>
          <w:numId w:val="213"/>
        </w:numPr>
        <w:rPr>
          <w:rFonts w:ascii="Arial" w:cs="Arial" w:eastAsia="Arial" w:hAnsi="Arial"/>
          <w:sz w:val="16"/>
          <w:szCs w:val="16"/>
          <w:color w:val="auto"/>
        </w:rPr>
      </w:pPr>
      <w:r>
        <w:rPr>
          <w:rFonts w:ascii="Arial" w:cs="Arial" w:eastAsia="Arial" w:hAnsi="Arial"/>
          <w:sz w:val="16"/>
          <w:szCs w:val="16"/>
          <w:color w:val="auto"/>
        </w:rPr>
        <w:t xml:space="preserve">it shall be sufficient for all notices, documents and other information to be given, sent or supplied to the joint holder whose name stands first in the register </w:t>
      </w:r>
      <w:r>
        <w:rPr>
          <w:rFonts w:ascii="Arial" w:cs="Arial" w:eastAsia="Arial" w:hAnsi="Arial"/>
          <w:sz w:val="16"/>
          <w:szCs w:val="16"/>
          <w:color w:val="auto"/>
          <w:strike w:val="1"/>
        </w:rPr>
        <w:t>of members</w:t>
      </w:r>
      <w:r>
        <w:rPr>
          <w:rFonts w:ascii="Arial" w:cs="Arial" w:eastAsia="Arial" w:hAnsi="Arial"/>
          <w:sz w:val="16"/>
          <w:szCs w:val="16"/>
          <w:color w:val="auto"/>
        </w:rPr>
        <w:t xml:space="preserve"> in respect of the joint holding (“</w:t>
      </w:r>
      <w:r>
        <w:rPr>
          <w:rFonts w:ascii="Arial" w:cs="Arial" w:eastAsia="Arial" w:hAnsi="Arial"/>
          <w:sz w:val="16"/>
          <w:szCs w:val="16"/>
          <w:b w:val="1"/>
          <w:bCs w:val="1"/>
          <w:color w:val="auto"/>
        </w:rPr>
        <w:t>first named holder</w:t>
      </w:r>
      <w:r>
        <w:rPr>
          <w:rFonts w:ascii="Arial" w:cs="Arial" w:eastAsia="Arial" w:hAnsi="Arial"/>
          <w:sz w:val="16"/>
          <w:szCs w:val="16"/>
          <w:color w:val="auto"/>
        </w:rPr>
        <w:t>”) only and any notice, document or other information so sent shall be deemed for all purposes sent to all the joint holders; and</w:t>
      </w:r>
    </w:p>
    <w:p>
      <w:pPr>
        <w:spacing w:after="0" w:line="66" w:lineRule="exact"/>
        <w:rPr>
          <w:rFonts w:ascii="Arial" w:cs="Arial" w:eastAsia="Arial" w:hAnsi="Arial"/>
          <w:sz w:val="16"/>
          <w:szCs w:val="16"/>
          <w:color w:val="auto"/>
        </w:rPr>
      </w:pPr>
    </w:p>
    <w:p>
      <w:pPr>
        <w:ind w:left="1620" w:right="519" w:hanging="424"/>
        <w:spacing w:after="0" w:line="260" w:lineRule="auto"/>
        <w:tabs>
          <w:tab w:leader="none" w:pos="1620" w:val="left"/>
        </w:tabs>
        <w:numPr>
          <w:ilvl w:val="0"/>
          <w:numId w:val="213"/>
        </w:numPr>
        <w:rPr>
          <w:rFonts w:ascii="Arial" w:cs="Arial" w:eastAsia="Arial" w:hAnsi="Arial"/>
          <w:sz w:val="16"/>
          <w:szCs w:val="16"/>
          <w:color w:val="auto"/>
        </w:rPr>
      </w:pPr>
      <w:r>
        <w:rPr>
          <w:rFonts w:ascii="Arial" w:cs="Arial" w:eastAsia="Arial" w:hAnsi="Arial"/>
          <w:sz w:val="16"/>
          <w:szCs w:val="16"/>
          <w:color w:val="auto"/>
        </w:rPr>
        <w:t>the agreement of the first named holder that notices, documents and information may be given, sent or supplied in electronic form or by being made available on a website shall be binding on all the joint holders.</w:t>
      </w:r>
    </w:p>
    <w:p>
      <w:pPr>
        <w:spacing w:after="0" w:line="74" w:lineRule="exact"/>
        <w:rPr>
          <w:sz w:val="20"/>
          <w:szCs w:val="20"/>
          <w:color w:val="auto"/>
        </w:rPr>
      </w:pPr>
    </w:p>
    <w:p>
      <w:pPr>
        <w:ind w:left="1200" w:right="319" w:hanging="431"/>
        <w:spacing w:after="0" w:line="260" w:lineRule="auto"/>
        <w:rPr>
          <w:sz w:val="20"/>
          <w:szCs w:val="20"/>
          <w:color w:val="auto"/>
        </w:rPr>
      </w:pPr>
      <w:r>
        <w:rPr>
          <w:rFonts w:ascii="Arial" w:cs="Arial" w:eastAsia="Arial" w:hAnsi="Arial"/>
          <w:sz w:val="16"/>
          <w:szCs w:val="16"/>
          <w:color w:val="auto"/>
        </w:rPr>
        <w:t>45.5 The Company may at any time and at its sole discretion choose to give, send or supply notices, documents and information only in hard copy form to some or all members.</w:t>
      </w:r>
    </w:p>
    <w:p>
      <w:pPr>
        <w:spacing w:after="0" w:line="60" w:lineRule="exact"/>
        <w:rPr>
          <w:sz w:val="20"/>
          <w:szCs w:val="20"/>
          <w:color w:val="auto"/>
        </w:rPr>
      </w:pPr>
    </w:p>
    <w:p>
      <w:pPr>
        <w:ind w:left="760"/>
        <w:spacing w:after="0"/>
        <w:rPr>
          <w:sz w:val="20"/>
          <w:szCs w:val="20"/>
          <w:color w:val="auto"/>
        </w:rPr>
      </w:pPr>
      <w:r>
        <w:rPr>
          <w:rFonts w:ascii="Arial" w:cs="Arial" w:eastAsia="Arial" w:hAnsi="Arial"/>
          <w:sz w:val="16"/>
          <w:szCs w:val="16"/>
          <w:color w:val="auto"/>
        </w:rPr>
        <w:t>45.6  For the avoidance of doubt, the provisions of Articles 45.1 to 45.5 are subject to Article 17.5.</w:t>
      </w:r>
    </w:p>
    <w:p>
      <w:pPr>
        <w:spacing w:after="0" w:line="100" w:lineRule="exact"/>
        <w:rPr>
          <w:sz w:val="20"/>
          <w:szCs w:val="20"/>
          <w:color w:val="auto"/>
        </w:rPr>
      </w:pPr>
    </w:p>
    <w:p>
      <w:pPr>
        <w:jc w:val="both"/>
        <w:ind w:left="1200" w:right="219" w:hanging="431"/>
        <w:spacing w:after="0" w:line="253" w:lineRule="auto"/>
        <w:rPr>
          <w:sz w:val="20"/>
          <w:szCs w:val="20"/>
          <w:color w:val="auto"/>
        </w:rPr>
      </w:pPr>
      <w:r>
        <w:rPr>
          <w:rFonts w:ascii="Arial" w:cs="Arial" w:eastAsia="Arial" w:hAnsi="Arial"/>
          <w:sz w:val="16"/>
          <w:szCs w:val="16"/>
          <w:color w:val="auto"/>
        </w:rPr>
        <w:t>45.7 A member present either in person or by proxy, or in the case of a corporate member by a duly authorised representative, at any meeting of the Company or of the holders of any class of shares shall be deemed to have received notice of the meeting and, where requisite, of the purposes for which it was called.</w:t>
      </w:r>
    </w:p>
    <w:p>
      <w:pPr>
        <w:spacing w:after="0" w:line="99" w:lineRule="exact"/>
        <w:rPr>
          <w:sz w:val="20"/>
          <w:szCs w:val="20"/>
          <w:color w:val="auto"/>
        </w:rPr>
      </w:pPr>
    </w:p>
    <w:p>
      <w:pPr>
        <w:ind w:left="480"/>
        <w:spacing w:after="0"/>
        <w:tabs>
          <w:tab w:leader="none" w:pos="4420" w:val="left"/>
          <w:tab w:leader="none" w:pos="8760" w:val="left"/>
        </w:tabs>
        <w:rPr>
          <w:sz w:val="20"/>
          <w:szCs w:val="20"/>
          <w:color w:val="auto"/>
        </w:rPr>
      </w:pPr>
      <w:r>
        <w:rPr>
          <w:rFonts w:ascii="Arial" w:cs="Arial" w:eastAsia="Arial" w:hAnsi="Arial"/>
          <w:sz w:val="28"/>
          <w:szCs w:val="28"/>
          <w:b w:val="1"/>
          <w:bCs w:val="1"/>
          <w:color w:val="000000"/>
          <w:vertAlign w:val="subscript"/>
        </w:rPr>
        <w:t>A-36</w:t>
      </w:r>
      <w:r>
        <w:rPr>
          <w:sz w:val="20"/>
          <w:szCs w:val="20"/>
          <w:color w:val="auto"/>
        </w:rPr>
        <w:tab/>
      </w:r>
      <w:r>
        <w:rPr>
          <w:rFonts w:ascii="Arial" w:cs="Arial" w:eastAsia="Arial" w:hAnsi="Arial"/>
          <w:sz w:val="13"/>
          <w:szCs w:val="13"/>
          <w:b w:val="1"/>
          <w:bCs w:val="1"/>
          <w:color w:val="4800E6"/>
        </w:rPr>
        <w:t xml:space="preserve">LIVANOVA </w:t>
      </w:r>
      <w:r>
        <w:rPr>
          <w:rFonts w:ascii="Arial" w:cs="Arial" w:eastAsia="Arial" w:hAnsi="Arial"/>
          <w:sz w:val="13"/>
          <w:szCs w:val="13"/>
          <w:color w:val="000000"/>
        </w:rPr>
        <w:t>|</w:t>
      </w:r>
      <w:r>
        <w:rPr>
          <w:rFonts w:ascii="Arial" w:cs="Arial" w:eastAsia="Arial" w:hAnsi="Arial"/>
          <w:sz w:val="13"/>
          <w:szCs w:val="13"/>
          <w:b w:val="1"/>
          <w:bCs w:val="1"/>
          <w:color w:val="4800E6"/>
        </w:rPr>
        <w:t xml:space="preserve"> </w:t>
      </w:r>
      <w:r>
        <w:rPr>
          <w:rFonts w:ascii="Arial" w:cs="Arial" w:eastAsia="Arial" w:hAnsi="Arial"/>
          <w:sz w:val="13"/>
          <w:szCs w:val="13"/>
          <w:color w:val="4800E6"/>
        </w:rPr>
        <w:t>2020</w:t>
      </w:r>
      <w:r>
        <w:rPr>
          <w:rFonts w:ascii="Arial" w:cs="Arial" w:eastAsia="Arial" w:hAnsi="Arial"/>
          <w:sz w:val="13"/>
          <w:szCs w:val="13"/>
          <w:b w:val="1"/>
          <w:bCs w:val="1"/>
          <w:color w:val="4800E6"/>
        </w:rPr>
        <w:t xml:space="preserve"> </w:t>
      </w:r>
      <w:r>
        <w:rPr>
          <w:rFonts w:ascii="Arial" w:cs="Arial" w:eastAsia="Arial" w:hAnsi="Arial"/>
          <w:sz w:val="13"/>
          <w:szCs w:val="13"/>
          <w:color w:val="000000"/>
        </w:rPr>
        <w:t>Proxy Statement</w:t>
      </w:r>
      <w:r>
        <w:rPr>
          <w:sz w:val="20"/>
          <w:szCs w:val="20"/>
          <w:color w:val="auto"/>
        </w:rPr>
        <w:tab/>
      </w:r>
      <w:r>
        <w:rPr>
          <w:rFonts w:ascii="Arial" w:cs="Arial" w:eastAsia="Arial" w:hAnsi="Arial"/>
          <w:sz w:val="12"/>
          <w:szCs w:val="12"/>
          <w:b w:val="1"/>
          <w:bCs w:val="1"/>
          <w:color w:val="4800E6"/>
        </w:rPr>
        <w:t>www.livanova.com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639445</wp:posOffset>
            </wp:positionH>
            <wp:positionV relativeFrom="paragraph">
              <wp:posOffset>-11430</wp:posOffset>
            </wp:positionV>
            <wp:extent cx="1954530" cy="8890"/>
            <wp:wrapNone/>
            <wp:docPr id="487" name="Picture 4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7"/>
                    <pic:cNvPicPr>
                      <a:picLocks noChangeAspect="1" noChangeArrowheads="1"/>
                    </pic:cNvPicPr>
                  </pic:nvPicPr>
                  <pic:blipFill>
                    <a:blip r:embed="rId494">
                      <a:extLst>
                        <a:ext uri="{28A0092B-C50C-407E-A947-70E740481C1C}"/>
                      </a:extLst>
                    </a:blip>
                    <a:srcRect/>
                    <a:stretch>
                      <a:fillRect/>
                    </a:stretch>
                  </pic:blipFill>
                  <pic:spPr bwMode="auto">
                    <a:xfrm>
                      <a:off x="0" y="0"/>
                      <a:ext cx="1954530" cy="8890"/>
                    </a:xfrm>
                    <a:prstGeom prst="rect">
                      <a:avLst/>
                    </a:prstGeom>
                    <a:noFill/>
                  </pic:spPr>
                </pic:pic>
              </a:graphicData>
            </a:graphic>
          </wp:anchor>
        </w:drawing>
        <w:drawing>
          <wp:anchor simplePos="0" relativeHeight="251657728" behindDoc="1" locked="0" layoutInCell="0" allowOverlap="1">
            <wp:simplePos x="0" y="0"/>
            <wp:positionH relativeFrom="column">
              <wp:posOffset>4316730</wp:posOffset>
            </wp:positionH>
            <wp:positionV relativeFrom="paragraph">
              <wp:posOffset>-11430</wp:posOffset>
            </wp:positionV>
            <wp:extent cx="1028700" cy="8890"/>
            <wp:wrapNone/>
            <wp:docPr id="488" name="Picture 4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8"/>
                    <pic:cNvPicPr>
                      <a:picLocks noChangeAspect="1" noChangeArrowheads="1"/>
                    </pic:cNvPicPr>
                  </pic:nvPicPr>
                  <pic:blipFill>
                    <a:blip r:embed="rId495">
                      <a:extLst>
                        <a:ext uri="{28A0092B-C50C-407E-A947-70E740481C1C}"/>
                      </a:extLst>
                    </a:blip>
                    <a:srcRect/>
                    <a:stretch>
                      <a:fillRect/>
                    </a:stretch>
                  </pic:blipFill>
                  <pic:spPr bwMode="auto">
                    <a:xfrm>
                      <a:off x="0" y="0"/>
                      <a:ext cx="102870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125095</wp:posOffset>
            </wp:positionV>
            <wp:extent cx="6806565" cy="17145"/>
            <wp:wrapNone/>
            <wp:docPr id="489" name="Picture 4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9"/>
                    <pic:cNvPicPr>
                      <a:picLocks noChangeAspect="1" noChangeArrowheads="1"/>
                    </pic:cNvPicPr>
                  </pic:nvPicPr>
                  <pic:blipFill>
                    <a:blip r:embed="rId496">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10139"/>
          </w:cols>
          <w:pgMar w:left="320" w:top="131" w:right="1440" w:bottom="1440" w:gutter="0" w:footer="0" w:header="0"/>
          <w:type w:val="continuous"/>
        </w:sectPr>
      </w:pPr>
    </w:p>
    <w:bookmarkStart w:id="115" w:name="page116"/>
    <w:bookmarkEnd w:id="115"/>
    <w:p>
      <w:pPr>
        <w:spacing w:after="0"/>
        <w:rPr>
          <w:rFonts w:ascii="Arial" w:cs="Arial" w:eastAsia="Arial" w:hAnsi="Arial"/>
          <w:sz w:val="14"/>
          <w:szCs w:val="14"/>
          <w:color w:val="003366"/>
        </w:rPr>
      </w:pPr>
      <w:hyperlink w:anchor="page78">
        <w:r>
          <w:rPr>
            <w:rFonts w:ascii="Arial" w:cs="Arial" w:eastAsia="Arial" w:hAnsi="Arial"/>
            <w:sz w:val="14"/>
            <w:szCs w:val="14"/>
            <w:color w:val="003366"/>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485140</wp:posOffset>
            </wp:positionH>
            <wp:positionV relativeFrom="paragraph">
              <wp:posOffset>356870</wp:posOffset>
            </wp:positionV>
            <wp:extent cx="5829300" cy="8255"/>
            <wp:wrapNone/>
            <wp:docPr id="490" name="Picture 4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0"/>
                    <pic:cNvPicPr>
                      <a:picLocks noChangeAspect="1" noChangeArrowheads="1"/>
                    </pic:cNvPicPr>
                  </pic:nvPicPr>
                  <pic:blipFill>
                    <a:blip r:embed="rId497">
                      <a:extLst>
                        <a:ext uri="{28A0092B-C50C-407E-A947-70E740481C1C}"/>
                      </a:extLst>
                    </a:blip>
                    <a:srcRect/>
                    <a:stretch>
                      <a:fillRect/>
                    </a:stretch>
                  </pic:blipFill>
                  <pic:spPr bwMode="auto">
                    <a:xfrm>
                      <a:off x="0" y="0"/>
                      <a:ext cx="582930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ind w:left="1200" w:right="800" w:hanging="431"/>
        <w:spacing w:after="0" w:line="253" w:lineRule="auto"/>
        <w:rPr>
          <w:sz w:val="20"/>
          <w:szCs w:val="20"/>
          <w:color w:val="auto"/>
        </w:rPr>
      </w:pPr>
      <w:r>
        <w:rPr>
          <w:rFonts w:ascii="Arial" w:cs="Arial" w:eastAsia="Arial" w:hAnsi="Arial"/>
          <w:sz w:val="16"/>
          <w:szCs w:val="16"/>
          <w:color w:val="auto"/>
        </w:rPr>
        <w:t xml:space="preserve">45.8 Every person who becomes entitled to a share shall be bound by any notice in respect of that share which, before </w:t>
      </w:r>
      <w:r>
        <w:rPr>
          <w:rFonts w:ascii="Arial" w:cs="Arial" w:eastAsia="Arial" w:hAnsi="Arial"/>
          <w:sz w:val="16"/>
          <w:szCs w:val="16"/>
          <w:color w:val="auto"/>
          <w:strike w:val="1"/>
        </w:rPr>
        <w:t>his</w:t>
      </w:r>
      <w:r>
        <w:rPr>
          <w:rFonts w:ascii="Arial" w:cs="Arial" w:eastAsia="Arial" w:hAnsi="Arial"/>
          <w:sz w:val="16"/>
          <w:szCs w:val="16"/>
          <w:u w:val="single" w:color="auto"/>
          <w:color w:val="auto"/>
        </w:rPr>
        <w:t>their</w:t>
      </w:r>
      <w:r>
        <w:rPr>
          <w:rFonts w:ascii="Arial" w:cs="Arial" w:eastAsia="Arial" w:hAnsi="Arial"/>
          <w:sz w:val="16"/>
          <w:szCs w:val="16"/>
          <w:color w:val="auto"/>
        </w:rPr>
        <w:t xml:space="preserve"> name is entered in the register </w:t>
      </w:r>
      <w:r>
        <w:rPr>
          <w:rFonts w:ascii="Arial" w:cs="Arial" w:eastAsia="Arial" w:hAnsi="Arial"/>
          <w:sz w:val="16"/>
          <w:szCs w:val="16"/>
          <w:color w:val="auto"/>
          <w:strike w:val="1"/>
        </w:rPr>
        <w:t>of members</w:t>
      </w:r>
      <w:r>
        <w:rPr>
          <w:rFonts w:ascii="Arial" w:cs="Arial" w:eastAsia="Arial" w:hAnsi="Arial"/>
          <w:sz w:val="16"/>
          <w:szCs w:val="16"/>
          <w:color w:val="auto"/>
        </w:rPr>
        <w:t xml:space="preserve">, has been given to the person from whom </w:t>
      </w:r>
      <w:r>
        <w:rPr>
          <w:rFonts w:ascii="Arial" w:cs="Arial" w:eastAsia="Arial" w:hAnsi="Arial"/>
          <w:sz w:val="16"/>
          <w:szCs w:val="16"/>
          <w:color w:val="auto"/>
          <w:strike w:val="1"/>
        </w:rPr>
        <w:t>he derives his</w:t>
      </w:r>
      <w:r>
        <w:rPr>
          <w:rFonts w:ascii="Arial" w:cs="Arial" w:eastAsia="Arial" w:hAnsi="Arial"/>
          <w:sz w:val="16"/>
          <w:szCs w:val="16"/>
          <w:u w:val="single" w:color="auto"/>
          <w:color w:val="auto"/>
        </w:rPr>
        <w:t>they derive their</w:t>
      </w:r>
      <w:r>
        <w:rPr>
          <w:rFonts w:ascii="Arial" w:cs="Arial" w:eastAsia="Arial" w:hAnsi="Arial"/>
          <w:sz w:val="16"/>
          <w:szCs w:val="16"/>
          <w:color w:val="auto"/>
        </w:rPr>
        <w:t xml:space="preserve"> title, but this Article 45.8 does not apply to a notice given under section 793 of the Companies Act.</w:t>
      </w:r>
    </w:p>
    <w:p>
      <w:pPr>
        <w:spacing w:after="0" w:line="80" w:lineRule="exact"/>
        <w:rPr>
          <w:sz w:val="20"/>
          <w:szCs w:val="20"/>
          <w:color w:val="auto"/>
        </w:rPr>
      </w:pPr>
    </w:p>
    <w:p>
      <w:pPr>
        <w:ind w:left="1200" w:right="920" w:hanging="431"/>
        <w:spacing w:after="0" w:line="251" w:lineRule="auto"/>
        <w:rPr>
          <w:sz w:val="20"/>
          <w:szCs w:val="20"/>
          <w:color w:val="auto"/>
        </w:rPr>
      </w:pPr>
      <w:r>
        <w:rPr>
          <w:rFonts w:ascii="Arial" w:cs="Arial" w:eastAsia="Arial" w:hAnsi="Arial"/>
          <w:sz w:val="16"/>
          <w:szCs w:val="16"/>
          <w:color w:val="auto"/>
        </w:rPr>
        <w:t>45.9 Subject to the Companies Act, where by reason of the suspension or curtailment of postal services, the Company is unable effectively to give notice of a general meeting, the general meeting may be convened by public announcement. The Company shall send a copy of the notice to members in the same manner as it sends notices under Articles 45.1 to 45.5 inclusive if at least seven clear days before the meeting the posting of notices again becomes practicable.</w:t>
      </w:r>
    </w:p>
    <w:p>
      <w:pPr>
        <w:spacing w:after="0" w:line="81" w:lineRule="exact"/>
        <w:rPr>
          <w:sz w:val="20"/>
          <w:szCs w:val="20"/>
          <w:color w:val="auto"/>
        </w:rPr>
      </w:pPr>
    </w:p>
    <w:p>
      <w:pPr>
        <w:ind w:left="1200" w:right="880" w:hanging="431"/>
        <w:spacing w:after="0" w:line="253" w:lineRule="auto"/>
        <w:rPr>
          <w:sz w:val="20"/>
          <w:szCs w:val="20"/>
          <w:color w:val="auto"/>
        </w:rPr>
      </w:pPr>
      <w:r>
        <w:rPr>
          <w:rFonts w:ascii="Arial" w:cs="Arial" w:eastAsia="Arial" w:hAnsi="Arial"/>
          <w:sz w:val="16"/>
          <w:szCs w:val="16"/>
          <w:color w:val="auto"/>
        </w:rPr>
        <w:t>45.10 Subject to the Companies Act, any notice, document or information to be given, sent or supplied by the Company to the members or any of them, not being a notice to which Article 45.9 applies, shall be sufficiently given, sent or supplied if given by public announcement.</w:t>
      </w:r>
    </w:p>
    <w:p>
      <w:pPr>
        <w:spacing w:after="0" w:line="80" w:lineRule="exact"/>
        <w:rPr>
          <w:sz w:val="20"/>
          <w:szCs w:val="20"/>
          <w:color w:val="auto"/>
        </w:rPr>
      </w:pPr>
    </w:p>
    <w:p>
      <w:pPr>
        <w:ind w:left="760"/>
        <w:spacing w:after="0"/>
        <w:rPr>
          <w:sz w:val="20"/>
          <w:szCs w:val="20"/>
          <w:color w:val="auto"/>
        </w:rPr>
      </w:pPr>
      <w:r>
        <w:rPr>
          <w:rFonts w:ascii="Arial" w:cs="Arial" w:eastAsia="Arial" w:hAnsi="Arial"/>
          <w:sz w:val="16"/>
          <w:szCs w:val="16"/>
          <w:color w:val="auto"/>
        </w:rPr>
        <w:t>45.11 Any notice, document or information given, sent or supplied by the Company to the members or any of them:</w:t>
      </w:r>
    </w:p>
    <w:p>
      <w:pPr>
        <w:spacing w:after="0" w:line="100" w:lineRule="exact"/>
        <w:rPr>
          <w:sz w:val="20"/>
          <w:szCs w:val="20"/>
          <w:color w:val="auto"/>
        </w:rPr>
      </w:pPr>
    </w:p>
    <w:p>
      <w:pPr>
        <w:ind w:left="1620" w:right="1100" w:hanging="424"/>
        <w:spacing w:after="0" w:line="260" w:lineRule="auto"/>
        <w:tabs>
          <w:tab w:leader="none" w:pos="1620" w:val="left"/>
        </w:tabs>
        <w:numPr>
          <w:ilvl w:val="0"/>
          <w:numId w:val="214"/>
        </w:numPr>
        <w:rPr>
          <w:rFonts w:ascii="Arial" w:cs="Arial" w:eastAsia="Arial" w:hAnsi="Arial"/>
          <w:sz w:val="16"/>
          <w:szCs w:val="16"/>
          <w:color w:val="auto"/>
        </w:rPr>
      </w:pPr>
      <w:r>
        <w:rPr>
          <w:rFonts w:ascii="Arial" w:cs="Arial" w:eastAsia="Arial" w:hAnsi="Arial"/>
          <w:sz w:val="16"/>
          <w:szCs w:val="16"/>
          <w:color w:val="auto"/>
        </w:rPr>
        <w:t xml:space="preserve">by hand shall be deemed to have been received by the member when it is handed to the member or left at </w:t>
      </w:r>
      <w:r>
        <w:rPr>
          <w:rFonts w:ascii="Arial" w:cs="Arial" w:eastAsia="Arial" w:hAnsi="Arial"/>
          <w:sz w:val="16"/>
          <w:szCs w:val="16"/>
          <w:color w:val="auto"/>
          <w:strike w:val="1"/>
        </w:rPr>
        <w:t>his</w:t>
      </w:r>
      <w:r>
        <w:rPr>
          <w:rFonts w:ascii="Arial" w:cs="Arial" w:eastAsia="Arial" w:hAnsi="Arial"/>
          <w:sz w:val="16"/>
          <w:szCs w:val="16"/>
          <w:u w:val="single" w:color="auto"/>
          <w:color w:val="auto"/>
        </w:rPr>
        <w:t>their</w:t>
      </w:r>
      <w:r>
        <w:rPr>
          <w:rFonts w:ascii="Arial" w:cs="Arial" w:eastAsia="Arial" w:hAnsi="Arial"/>
          <w:sz w:val="16"/>
          <w:szCs w:val="16"/>
          <w:color w:val="auto"/>
        </w:rPr>
        <w:t xml:space="preserve"> registered address;</w:t>
      </w:r>
    </w:p>
    <w:p>
      <w:pPr>
        <w:spacing w:after="0" w:line="60" w:lineRule="exact"/>
        <w:rPr>
          <w:rFonts w:ascii="Arial" w:cs="Arial" w:eastAsia="Arial" w:hAnsi="Arial"/>
          <w:sz w:val="16"/>
          <w:szCs w:val="16"/>
          <w:color w:val="auto"/>
        </w:rPr>
      </w:pPr>
    </w:p>
    <w:p>
      <w:pPr>
        <w:ind w:left="1620" w:right="820" w:hanging="424"/>
        <w:spacing w:after="0" w:line="250" w:lineRule="auto"/>
        <w:tabs>
          <w:tab w:leader="none" w:pos="1620" w:val="left"/>
        </w:tabs>
        <w:numPr>
          <w:ilvl w:val="0"/>
          <w:numId w:val="214"/>
        </w:numPr>
        <w:rPr>
          <w:rFonts w:ascii="Arial" w:cs="Arial" w:eastAsia="Arial" w:hAnsi="Arial"/>
          <w:sz w:val="16"/>
          <w:szCs w:val="16"/>
          <w:color w:val="auto"/>
        </w:rPr>
      </w:pPr>
      <w:r>
        <w:rPr>
          <w:rFonts w:ascii="Arial" w:cs="Arial" w:eastAsia="Arial" w:hAnsi="Arial"/>
          <w:sz w:val="16"/>
          <w:szCs w:val="16"/>
          <w:color w:val="auto"/>
        </w:rPr>
        <w:t xml:space="preserve">by post, shall be deemed to have been received </w:t>
      </w:r>
      <w:r>
        <w:rPr>
          <w:rFonts w:ascii="Arial" w:cs="Arial" w:eastAsia="Arial" w:hAnsi="Arial"/>
          <w:sz w:val="16"/>
          <w:szCs w:val="16"/>
          <w:u w:val="single" w:color="auto"/>
          <w:color w:val="auto"/>
        </w:rPr>
        <w:t>twenty four (</w:t>
      </w:r>
      <w:r>
        <w:rPr>
          <w:rFonts w:ascii="Arial" w:cs="Arial" w:eastAsia="Arial" w:hAnsi="Arial"/>
          <w:sz w:val="16"/>
          <w:szCs w:val="16"/>
          <w:color w:val="auto"/>
        </w:rPr>
        <w:t>24</w:t>
      </w:r>
      <w:r>
        <w:rPr>
          <w:rFonts w:ascii="Arial" w:cs="Arial" w:eastAsia="Arial" w:hAnsi="Arial"/>
          <w:sz w:val="16"/>
          <w:szCs w:val="16"/>
          <w:u w:val="single" w:color="auto"/>
          <w:color w:val="auto"/>
        </w:rPr>
        <w:t>)</w:t>
      </w:r>
      <w:r>
        <w:rPr>
          <w:rFonts w:ascii="Arial" w:cs="Arial" w:eastAsia="Arial" w:hAnsi="Arial"/>
          <w:sz w:val="16"/>
          <w:szCs w:val="16"/>
          <w:color w:val="auto"/>
        </w:rPr>
        <w:t xml:space="preserve"> hours after the time at which the envelope containing the notice, document or information was posted unless it was </w:t>
      </w:r>
      <w:r>
        <w:rPr>
          <w:rFonts w:ascii="Arial" w:cs="Arial" w:eastAsia="Arial" w:hAnsi="Arial"/>
          <w:sz w:val="16"/>
          <w:szCs w:val="16"/>
          <w:u w:val="single" w:color="auto"/>
          <w:color w:val="auto"/>
        </w:rPr>
        <w:t>(i)</w:t>
      </w:r>
      <w:r>
        <w:rPr>
          <w:rFonts w:ascii="Arial" w:cs="Arial" w:eastAsia="Arial" w:hAnsi="Arial"/>
          <w:sz w:val="16"/>
          <w:szCs w:val="16"/>
          <w:color w:val="auto"/>
        </w:rPr>
        <w:t xml:space="preserve"> sent by second class post </w:t>
      </w:r>
      <w:r>
        <w:rPr>
          <w:rFonts w:ascii="Arial" w:cs="Arial" w:eastAsia="Arial" w:hAnsi="Arial"/>
          <w:sz w:val="16"/>
          <w:szCs w:val="16"/>
          <w:color w:val="auto"/>
          <w:strike w:val="1"/>
        </w:rPr>
        <w:t>or</w:t>
      </w:r>
      <w:r>
        <w:rPr>
          <w:rFonts w:ascii="Arial" w:cs="Arial" w:eastAsia="Arial" w:hAnsi="Arial"/>
          <w:sz w:val="16"/>
          <w:szCs w:val="16"/>
          <w:u w:val="single" w:color="auto"/>
          <w:color w:val="auto"/>
        </w:rPr>
        <w:t>, (ii)</w:t>
      </w:r>
      <w:r>
        <w:rPr>
          <w:rFonts w:ascii="Arial" w:cs="Arial" w:eastAsia="Arial" w:hAnsi="Arial"/>
          <w:sz w:val="16"/>
          <w:szCs w:val="16"/>
          <w:color w:val="auto"/>
        </w:rPr>
        <w:t xml:space="preserve"> there is only one class of post, or </w:t>
      </w:r>
      <w:r>
        <w:rPr>
          <w:rFonts w:ascii="Arial" w:cs="Arial" w:eastAsia="Arial" w:hAnsi="Arial"/>
          <w:sz w:val="16"/>
          <w:szCs w:val="16"/>
          <w:u w:val="single" w:color="auto"/>
          <w:color w:val="auto"/>
        </w:rPr>
        <w:t>(iii)</w:t>
      </w:r>
      <w:r>
        <w:rPr>
          <w:rFonts w:ascii="Arial" w:cs="Arial" w:eastAsia="Arial" w:hAnsi="Arial"/>
          <w:sz w:val="16"/>
          <w:szCs w:val="16"/>
          <w:color w:val="auto"/>
        </w:rPr>
        <w:t xml:space="preserve"> it was sent by air mail to an address outside the United Kingdom, in which case it shall be deemed to have been received 48 hours after it was posted</w:t>
      </w:r>
      <w:r>
        <w:rPr>
          <w:rFonts w:ascii="Arial" w:cs="Arial" w:eastAsia="Arial" w:hAnsi="Arial"/>
          <w:sz w:val="16"/>
          <w:szCs w:val="16"/>
          <w:u w:val="single" w:color="auto"/>
          <w:color w:val="auto"/>
        </w:rPr>
        <w:t>.</w:t>
      </w:r>
      <w:r>
        <w:rPr>
          <w:rFonts w:ascii="Arial" w:cs="Arial" w:eastAsia="Arial" w:hAnsi="Arial"/>
          <w:sz w:val="16"/>
          <w:szCs w:val="16"/>
          <w:color w:val="auto"/>
        </w:rPr>
        <w:t xml:space="preserve"> Proof that the envelope was properly addressed, prepaid and posted shall be conclusive evidence that the notice, document or information was sent or supplied;</w:t>
      </w:r>
    </w:p>
    <w:p>
      <w:pPr>
        <w:spacing w:after="0" w:line="81" w:lineRule="exact"/>
        <w:rPr>
          <w:rFonts w:ascii="Arial" w:cs="Arial" w:eastAsia="Arial" w:hAnsi="Arial"/>
          <w:sz w:val="16"/>
          <w:szCs w:val="16"/>
          <w:color w:val="auto"/>
        </w:rPr>
      </w:pPr>
    </w:p>
    <w:p>
      <w:pPr>
        <w:ind w:left="1620" w:right="1320" w:hanging="424"/>
        <w:spacing w:after="0" w:line="253" w:lineRule="auto"/>
        <w:tabs>
          <w:tab w:leader="none" w:pos="1620" w:val="left"/>
        </w:tabs>
        <w:numPr>
          <w:ilvl w:val="0"/>
          <w:numId w:val="214"/>
        </w:numPr>
        <w:rPr>
          <w:rFonts w:ascii="Arial" w:cs="Arial" w:eastAsia="Arial" w:hAnsi="Arial"/>
          <w:sz w:val="16"/>
          <w:szCs w:val="16"/>
          <w:color w:val="auto"/>
        </w:rPr>
      </w:pPr>
      <w:r>
        <w:rPr>
          <w:rFonts w:ascii="Arial" w:cs="Arial" w:eastAsia="Arial" w:hAnsi="Arial"/>
          <w:sz w:val="16"/>
          <w:szCs w:val="16"/>
          <w:color w:val="auto"/>
        </w:rPr>
        <w:t>by means of a relevant system, shall be deemed to have been received when the Company</w:t>
      </w:r>
      <w:r>
        <w:rPr>
          <w:rFonts w:ascii="Arial" w:cs="Arial" w:eastAsia="Arial" w:hAnsi="Arial"/>
          <w:sz w:val="16"/>
          <w:szCs w:val="16"/>
          <w:u w:val="single" w:color="auto"/>
          <w:color w:val="auto"/>
        </w:rPr>
        <w:t>,</w:t>
      </w:r>
      <w:r>
        <w:rPr>
          <w:rFonts w:ascii="Arial" w:cs="Arial" w:eastAsia="Arial" w:hAnsi="Arial"/>
          <w:sz w:val="16"/>
          <w:szCs w:val="16"/>
          <w:color w:val="auto"/>
        </w:rPr>
        <w:t xml:space="preserve"> or any sponsoring system</w:t>
      </w:r>
      <w:r>
        <w:rPr>
          <w:rFonts w:ascii="Arial" w:cs="Arial" w:eastAsia="Arial" w:hAnsi="Arial"/>
          <w:sz w:val="16"/>
          <w:szCs w:val="16"/>
          <w:color w:val="auto"/>
          <w:strike w:val="1"/>
        </w:rPr>
        <w:t>-</w:t>
      </w:r>
      <w:r>
        <w:rPr>
          <w:rFonts w:ascii="Arial" w:cs="Arial" w:eastAsia="Arial" w:hAnsi="Arial"/>
          <w:sz w:val="16"/>
          <w:szCs w:val="16"/>
          <w:color w:val="auto"/>
        </w:rPr>
        <w:t xml:space="preserve"> participant acting on its behalf sends the issuer instructions relating to the notice, document or </w:t>
      </w:r>
      <w:r>
        <w:rPr>
          <w:rFonts w:ascii="Arial" w:cs="Arial" w:eastAsia="Arial" w:hAnsi="Arial"/>
          <w:sz w:val="16"/>
          <w:szCs w:val="16"/>
          <w:color w:val="auto"/>
          <w:strike w:val="1"/>
        </w:rPr>
        <w:t>other</w:t>
      </w:r>
      <w:r>
        <w:rPr>
          <w:rFonts w:ascii="Arial" w:cs="Arial" w:eastAsia="Arial" w:hAnsi="Arial"/>
          <w:sz w:val="16"/>
          <w:szCs w:val="16"/>
          <w:color w:val="auto"/>
        </w:rPr>
        <w:t xml:space="preserve"> information;</w:t>
      </w:r>
    </w:p>
    <w:p>
      <w:pPr>
        <w:spacing w:after="0" w:line="79" w:lineRule="exact"/>
        <w:rPr>
          <w:rFonts w:ascii="Arial" w:cs="Arial" w:eastAsia="Arial" w:hAnsi="Arial"/>
          <w:sz w:val="16"/>
          <w:szCs w:val="16"/>
          <w:color w:val="auto"/>
        </w:rPr>
      </w:pPr>
    </w:p>
    <w:p>
      <w:pPr>
        <w:ind w:left="1620" w:right="1180" w:hanging="424"/>
        <w:spacing w:after="0" w:line="260" w:lineRule="auto"/>
        <w:tabs>
          <w:tab w:leader="none" w:pos="1620" w:val="left"/>
        </w:tabs>
        <w:numPr>
          <w:ilvl w:val="0"/>
          <w:numId w:val="214"/>
        </w:numPr>
        <w:rPr>
          <w:rFonts w:ascii="Arial" w:cs="Arial" w:eastAsia="Arial" w:hAnsi="Arial"/>
          <w:sz w:val="16"/>
          <w:szCs w:val="16"/>
          <w:u w:val="single" w:color="auto"/>
          <w:color w:val="auto"/>
        </w:rPr>
      </w:pPr>
      <w:r>
        <w:rPr>
          <w:rFonts w:ascii="Arial" w:cs="Arial" w:eastAsia="Arial" w:hAnsi="Arial"/>
          <w:sz w:val="16"/>
          <w:szCs w:val="16"/>
          <w:u w:val="single" w:color="auto"/>
          <w:color w:val="auto"/>
        </w:rPr>
        <w:t>by means of a Depositary, shall be deemed to have been received twenty four (24) hours after the Company, or a person acting on the Company</w:t>
      </w:r>
      <w:r>
        <w:rPr>
          <w:rFonts w:ascii="Arial" w:cs="Arial" w:eastAsia="Arial" w:hAnsi="Arial"/>
          <w:sz w:val="16"/>
          <w:szCs w:val="16"/>
          <w:color w:val="auto"/>
        </w:rPr>
        <w:t>’</w:t>
      </w:r>
      <w:r>
        <w:rPr>
          <w:rFonts w:ascii="Arial" w:cs="Arial" w:eastAsia="Arial" w:hAnsi="Arial"/>
          <w:sz w:val="16"/>
          <w:szCs w:val="16"/>
          <w:u w:val="single" w:color="auto"/>
          <w:color w:val="auto"/>
        </w:rPr>
        <w:t>s behalf, gives the notice, document or information to the Depositary;</w:t>
      </w:r>
    </w:p>
    <w:p>
      <w:pPr>
        <w:spacing w:after="0" w:line="74" w:lineRule="exact"/>
        <w:rPr>
          <w:sz w:val="20"/>
          <w:szCs w:val="20"/>
          <w:color w:val="auto"/>
        </w:rPr>
      </w:pPr>
    </w:p>
    <w:p>
      <w:pPr>
        <w:ind w:left="1200"/>
        <w:spacing w:after="0"/>
        <w:rPr>
          <w:sz w:val="20"/>
          <w:szCs w:val="20"/>
          <w:color w:val="auto"/>
        </w:rPr>
      </w:pPr>
      <w:r>
        <w:rPr>
          <w:rFonts w:ascii="Arial" w:cs="Arial" w:eastAsia="Arial" w:hAnsi="Arial"/>
          <w:sz w:val="16"/>
          <w:szCs w:val="16"/>
          <w:color w:val="auto"/>
          <w:strike w:val="1"/>
        </w:rPr>
        <w:t>(d)</w:t>
      </w:r>
      <w:r>
        <w:rPr>
          <w:rFonts w:ascii="Arial" w:cs="Arial" w:eastAsia="Arial" w:hAnsi="Arial"/>
          <w:sz w:val="16"/>
          <w:szCs w:val="16"/>
          <w:u w:val="single" w:color="auto"/>
          <w:color w:val="auto"/>
        </w:rPr>
        <w:t>(e)</w:t>
      </w:r>
      <w:r>
        <w:rPr>
          <w:rFonts w:ascii="Arial" w:cs="Arial" w:eastAsia="Arial" w:hAnsi="Arial"/>
          <w:sz w:val="16"/>
          <w:szCs w:val="16"/>
          <w:color w:val="auto"/>
        </w:rPr>
        <w:t xml:space="preserve"> by advertisement, shall be deemed to have been received on the day on which the advertisement appears;</w:t>
      </w:r>
    </w:p>
    <w:p>
      <w:pPr>
        <w:spacing w:after="0" w:line="100" w:lineRule="exact"/>
        <w:rPr>
          <w:sz w:val="20"/>
          <w:szCs w:val="20"/>
          <w:color w:val="auto"/>
        </w:rPr>
      </w:pPr>
    </w:p>
    <w:p>
      <w:pPr>
        <w:ind w:left="1200"/>
        <w:spacing w:after="0"/>
        <w:rPr>
          <w:sz w:val="20"/>
          <w:szCs w:val="20"/>
          <w:color w:val="auto"/>
        </w:rPr>
      </w:pPr>
      <w:r>
        <w:rPr>
          <w:rFonts w:ascii="Arial" w:cs="Arial" w:eastAsia="Arial" w:hAnsi="Arial"/>
          <w:sz w:val="16"/>
          <w:szCs w:val="16"/>
          <w:color w:val="auto"/>
          <w:strike w:val="1"/>
        </w:rPr>
        <w:t>(e)</w:t>
      </w:r>
      <w:r>
        <w:rPr>
          <w:rFonts w:ascii="Arial" w:cs="Arial" w:eastAsia="Arial" w:hAnsi="Arial"/>
          <w:sz w:val="16"/>
          <w:szCs w:val="16"/>
          <w:u w:val="single" w:color="auto"/>
          <w:color w:val="auto"/>
        </w:rPr>
        <w:t>(f)</w:t>
      </w:r>
      <w:r>
        <w:rPr>
          <w:rFonts w:ascii="Arial" w:cs="Arial" w:eastAsia="Arial" w:hAnsi="Arial"/>
          <w:sz w:val="16"/>
          <w:szCs w:val="16"/>
          <w:color w:val="auto"/>
        </w:rPr>
        <w:t xml:space="preserve"> by electronic means, shall be deemed to have been received by the member on the day following that on which it was</w:t>
      </w:r>
    </w:p>
    <w:p>
      <w:pPr>
        <w:spacing w:after="0" w:line="5" w:lineRule="exact"/>
        <w:rPr>
          <w:sz w:val="20"/>
          <w:szCs w:val="20"/>
          <w:color w:val="auto"/>
        </w:rPr>
      </w:pPr>
    </w:p>
    <w:p>
      <w:pPr>
        <w:ind w:left="1620" w:right="820"/>
        <w:spacing w:after="0" w:line="249" w:lineRule="auto"/>
        <w:rPr>
          <w:sz w:val="20"/>
          <w:szCs w:val="20"/>
          <w:color w:val="auto"/>
        </w:rPr>
      </w:pPr>
      <w:r>
        <w:rPr>
          <w:rFonts w:ascii="Arial" w:cs="Arial" w:eastAsia="Arial" w:hAnsi="Arial"/>
          <w:sz w:val="16"/>
          <w:szCs w:val="16"/>
          <w:color w:val="auto"/>
        </w:rPr>
        <w:t>sent or supplied</w:t>
      </w:r>
      <w:r>
        <w:rPr>
          <w:rFonts w:ascii="Arial" w:cs="Arial" w:eastAsia="Arial" w:hAnsi="Arial"/>
          <w:sz w:val="16"/>
          <w:szCs w:val="16"/>
          <w:u w:val="single" w:color="auto"/>
          <w:color w:val="auto"/>
        </w:rPr>
        <w:t>.</w:t>
      </w:r>
      <w:r>
        <w:rPr>
          <w:rFonts w:ascii="Arial" w:cs="Arial" w:eastAsia="Arial" w:hAnsi="Arial"/>
          <w:sz w:val="16"/>
          <w:szCs w:val="16"/>
          <w:color w:val="auto"/>
        </w:rPr>
        <w:t xml:space="preserve"> Proof that a notice, document or information in electronic form was addressed to the electronic address provided by the member for the purpose of receiving communications from the Company shall be conclusive evidence that the notice, document or information was sent or supplied and such notice, document or information shall be deemed received by the member at that time notwithstanding that the Company becomes aware that the member has filed to receive the relevant notice, document or information for any reason and notwithstanding that the Company subsequently sends or supplies a hard copy of such document or information by post to the member; or</w:t>
      </w:r>
    </w:p>
    <w:p>
      <w:pPr>
        <w:spacing w:after="0" w:line="70" w:lineRule="exact"/>
        <w:rPr>
          <w:sz w:val="20"/>
          <w:szCs w:val="20"/>
          <w:color w:val="auto"/>
        </w:rPr>
      </w:pPr>
    </w:p>
    <w:p>
      <w:pPr>
        <w:ind w:left="1620" w:right="800" w:hanging="431"/>
        <w:spacing w:after="0" w:line="248" w:lineRule="auto"/>
        <w:rPr>
          <w:sz w:val="20"/>
          <w:szCs w:val="20"/>
          <w:color w:val="auto"/>
        </w:rPr>
      </w:pPr>
      <w:r>
        <w:rPr>
          <w:rFonts w:ascii="Arial" w:cs="Arial" w:eastAsia="Arial" w:hAnsi="Arial"/>
          <w:sz w:val="16"/>
          <w:szCs w:val="16"/>
          <w:color w:val="auto"/>
          <w:strike w:val="1"/>
        </w:rPr>
        <w:t>(f)</w:t>
      </w:r>
      <w:r>
        <w:rPr>
          <w:rFonts w:ascii="Arial" w:cs="Arial" w:eastAsia="Arial" w:hAnsi="Arial"/>
          <w:sz w:val="16"/>
          <w:szCs w:val="16"/>
          <w:u w:val="single" w:color="auto"/>
          <w:color w:val="auto"/>
        </w:rPr>
        <w:t>(g)</w:t>
      </w:r>
      <w:r>
        <w:rPr>
          <w:rFonts w:ascii="Arial" w:cs="Arial" w:eastAsia="Arial" w:hAnsi="Arial"/>
          <w:sz w:val="16"/>
          <w:szCs w:val="16"/>
          <w:color w:val="auto"/>
        </w:rPr>
        <w:t xml:space="preserve"> by making it available on a website, shall be deemed to have been received on the date on which the notice, document or information was first made available on the website or, if later, when the member is deemed to have been received notification of the fact that the notice, document or information was available on the website in accordance with this Article 45.11 and such notice, document or information shall be deemed received by the member on that day notwithstanding that the Company becomes aware that the member has </w:t>
      </w:r>
      <w:r>
        <w:rPr>
          <w:rFonts w:ascii="Arial" w:cs="Arial" w:eastAsia="Arial" w:hAnsi="Arial"/>
          <w:sz w:val="16"/>
          <w:szCs w:val="16"/>
          <w:color w:val="auto"/>
          <w:strike w:val="1"/>
        </w:rPr>
        <w:t>filed</w:t>
      </w:r>
      <w:r>
        <w:rPr>
          <w:rFonts w:ascii="Arial" w:cs="Arial" w:eastAsia="Arial" w:hAnsi="Arial"/>
          <w:sz w:val="16"/>
          <w:szCs w:val="16"/>
          <w:u w:val="single" w:color="auto"/>
          <w:color w:val="auto"/>
        </w:rPr>
        <w:t>failed</w:t>
      </w:r>
      <w:r>
        <w:rPr>
          <w:rFonts w:ascii="Arial" w:cs="Arial" w:eastAsia="Arial" w:hAnsi="Arial"/>
          <w:sz w:val="16"/>
          <w:szCs w:val="16"/>
          <w:color w:val="auto"/>
        </w:rPr>
        <w:t xml:space="preserve"> to receive the relevant document or information for any reason and notwithstanding that the Company subsequently sends a hard copy of such notice, document or information by post to the member.</w:t>
      </w:r>
    </w:p>
    <w:p>
      <w:pPr>
        <w:spacing w:after="0" w:line="87" w:lineRule="exact"/>
        <w:rPr>
          <w:sz w:val="20"/>
          <w:szCs w:val="20"/>
          <w:color w:val="auto"/>
        </w:rPr>
      </w:pPr>
    </w:p>
    <w:p>
      <w:pPr>
        <w:ind w:left="1200" w:right="780" w:hanging="431"/>
        <w:spacing w:after="0" w:line="248" w:lineRule="auto"/>
        <w:rPr>
          <w:sz w:val="20"/>
          <w:szCs w:val="20"/>
          <w:color w:val="auto"/>
        </w:rPr>
      </w:pPr>
      <w:r>
        <w:rPr>
          <w:rFonts w:ascii="Arial" w:cs="Arial" w:eastAsia="Arial" w:hAnsi="Arial"/>
          <w:sz w:val="16"/>
          <w:szCs w:val="16"/>
          <w:color w:val="auto"/>
        </w:rPr>
        <w:t>45.12 Any notice, document or information may be given, sent or supplied by the Company to the person entitled to a share in consequence of the death or bankruptcy of a member or otherwise by operation of law by sending or delivering it in any manner that the Company may choose authorised by these Articles for the sending of notice, document or information to a member addressed to that person by name, or by the title of representative of the deceased or trustee of the bankrupt or by any similar description, at the address, if any, as may be supplied for that purpose by the person claiming to be so entitled. Until such an address has been supplied, a notice may be given in any manner in which it might have been given if the death or bankruptcy or other event giving rise to the transmission had not occurred.</w:t>
      </w:r>
    </w:p>
    <w:p>
      <w:pPr>
        <w:spacing w:after="0" w:line="87" w:lineRule="exact"/>
        <w:rPr>
          <w:sz w:val="20"/>
          <w:szCs w:val="20"/>
          <w:color w:val="auto"/>
        </w:rPr>
      </w:pPr>
    </w:p>
    <w:p>
      <w:pPr>
        <w:ind w:left="1200" w:right="900" w:hanging="431"/>
        <w:spacing w:after="0" w:line="248" w:lineRule="auto"/>
        <w:rPr>
          <w:sz w:val="20"/>
          <w:szCs w:val="20"/>
          <w:color w:val="auto"/>
        </w:rPr>
      </w:pPr>
      <w:r>
        <w:rPr>
          <w:rFonts w:ascii="Arial" w:cs="Arial" w:eastAsia="Arial" w:hAnsi="Arial"/>
          <w:sz w:val="16"/>
          <w:szCs w:val="16"/>
          <w:color w:val="auto"/>
        </w:rPr>
        <w:t xml:space="preserve">45.13 If on three consecutive occasions, or on one occasion and reasonable enquiries have failed to establish the member’s address, notices, documents or information sent or supplied to a member by post have been returned undelivered, the member shall not be entitled to receive any subsequent notice, document or information until </w:t>
      </w:r>
      <w:r>
        <w:rPr>
          <w:rFonts w:ascii="Arial" w:cs="Arial" w:eastAsia="Arial" w:hAnsi="Arial"/>
          <w:sz w:val="16"/>
          <w:szCs w:val="16"/>
          <w:color w:val="auto"/>
          <w:strike w:val="1"/>
        </w:rPr>
        <w:t>he has</w:t>
      </w:r>
      <w:r>
        <w:rPr>
          <w:rFonts w:ascii="Arial" w:cs="Arial" w:eastAsia="Arial" w:hAnsi="Arial"/>
          <w:sz w:val="16"/>
          <w:szCs w:val="16"/>
          <w:u w:val="single" w:color="auto"/>
          <w:color w:val="auto"/>
        </w:rPr>
        <w:t>they have</w:t>
      </w:r>
      <w:r>
        <w:rPr>
          <w:rFonts w:ascii="Arial" w:cs="Arial" w:eastAsia="Arial" w:hAnsi="Arial"/>
          <w:sz w:val="16"/>
          <w:szCs w:val="16"/>
          <w:color w:val="auto"/>
        </w:rPr>
        <w:t xml:space="preserve"> supplied to the Company (or its agent) a new registered address or a postal address, or shall have informed the Company, in such a manner as may be specified by the Company, of an electronic address. For the purposes of this Article 45.13, references to notices, documents or information include references to a cheque or other instrument of payment, but nothing in this Article 45.13 entitles the Company to cease sending any cheque or other instrument of payment for any dividend, unless</w:t>
      </w:r>
    </w:p>
    <w:p>
      <w:pPr>
        <w:spacing w:after="0" w:line="292" w:lineRule="exact"/>
        <w:rPr>
          <w:sz w:val="20"/>
          <w:szCs w:val="20"/>
          <w:color w:val="auto"/>
        </w:rPr>
      </w:pPr>
    </w:p>
    <w:tbl>
      <w:tblPr>
        <w:tblLayout w:type="fixed"/>
        <w:tblInd w:w="0" w:type="dxa"/>
        <w:tblCellMar>
          <w:top w:w="0" w:type="dxa"/>
          <w:left w:w="0" w:type="dxa"/>
          <w:bottom w:w="0" w:type="dxa"/>
          <w:right w:w="0" w:type="dxa"/>
        </w:tblCellMar>
      </w:tblPr>
      <w:tr>
        <w:trPr>
          <w:trHeight w:val="116"/>
        </w:trPr>
        <w:tc>
          <w:tcPr>
            <w:tcW w:w="800" w:type="dxa"/>
            <w:vAlign w:val="bottom"/>
            <w:vMerge w:val="restart"/>
          </w:tcPr>
          <w:p>
            <w:pPr>
              <w:spacing w:after="0"/>
              <w:rPr>
                <w:sz w:val="10"/>
                <w:szCs w:val="10"/>
                <w:color w:val="auto"/>
              </w:rPr>
            </w:pPr>
          </w:p>
        </w:tc>
        <w:tc>
          <w:tcPr>
            <w:tcW w:w="3060" w:type="dxa"/>
            <w:vAlign w:val="bottom"/>
            <w:tcBorders>
              <w:bottom w:val="single" w:sz="8" w:color="auto"/>
            </w:tcBorders>
          </w:tcPr>
          <w:p>
            <w:pPr>
              <w:spacing w:after="0"/>
              <w:rPr>
                <w:sz w:val="10"/>
                <w:szCs w:val="10"/>
                <w:color w:val="auto"/>
              </w:rPr>
            </w:pPr>
          </w:p>
        </w:tc>
        <w:tc>
          <w:tcPr>
            <w:tcW w:w="2740" w:type="dxa"/>
            <w:vAlign w:val="bottom"/>
            <w:vMerge w:val="restart"/>
          </w:tcPr>
          <w:p>
            <w:pPr>
              <w:ind w:left="380"/>
              <w:spacing w:after="0"/>
              <w:rPr>
                <w:sz w:val="20"/>
                <w:szCs w:val="20"/>
                <w:color w:val="auto"/>
              </w:rPr>
            </w:pPr>
            <w:r>
              <w:rPr>
                <w:rFonts w:ascii="Arial" w:cs="Arial" w:eastAsia="Arial" w:hAnsi="Arial"/>
                <w:sz w:val="13"/>
                <w:szCs w:val="13"/>
                <w:b w:val="1"/>
                <w:bCs w:val="1"/>
                <w:color w:val="4800E6"/>
              </w:rPr>
              <w:t xml:space="preserve">LIVANOVA </w:t>
            </w:r>
            <w:r>
              <w:rPr>
                <w:rFonts w:ascii="Arial" w:cs="Arial" w:eastAsia="Arial" w:hAnsi="Arial"/>
                <w:sz w:val="13"/>
                <w:szCs w:val="13"/>
                <w:color w:val="000000"/>
              </w:rPr>
              <w:t>|</w:t>
            </w:r>
            <w:r>
              <w:rPr>
                <w:rFonts w:ascii="Arial" w:cs="Arial" w:eastAsia="Arial" w:hAnsi="Arial"/>
                <w:sz w:val="13"/>
                <w:szCs w:val="13"/>
                <w:b w:val="1"/>
                <w:bCs w:val="1"/>
                <w:color w:val="4800E6"/>
              </w:rPr>
              <w:t xml:space="preserve"> </w:t>
            </w:r>
            <w:r>
              <w:rPr>
                <w:rFonts w:ascii="Arial" w:cs="Arial" w:eastAsia="Arial" w:hAnsi="Arial"/>
                <w:sz w:val="13"/>
                <w:szCs w:val="13"/>
                <w:color w:val="4800E6"/>
              </w:rPr>
              <w:t>2020</w:t>
            </w:r>
            <w:r>
              <w:rPr>
                <w:rFonts w:ascii="Arial" w:cs="Arial" w:eastAsia="Arial" w:hAnsi="Arial"/>
                <w:sz w:val="13"/>
                <w:szCs w:val="13"/>
                <w:b w:val="1"/>
                <w:bCs w:val="1"/>
                <w:color w:val="4800E6"/>
              </w:rPr>
              <w:t xml:space="preserve"> </w:t>
            </w:r>
            <w:r>
              <w:rPr>
                <w:rFonts w:ascii="Arial" w:cs="Arial" w:eastAsia="Arial" w:hAnsi="Arial"/>
                <w:sz w:val="13"/>
                <w:szCs w:val="13"/>
                <w:color w:val="000000"/>
              </w:rPr>
              <w:t>Proxy Statement</w:t>
            </w:r>
          </w:p>
        </w:tc>
        <w:tc>
          <w:tcPr>
            <w:tcW w:w="3080" w:type="dxa"/>
            <w:vAlign w:val="bottom"/>
            <w:tcBorders>
              <w:bottom w:val="single" w:sz="8" w:color="auto"/>
            </w:tcBorders>
          </w:tcPr>
          <w:p>
            <w:pPr>
              <w:spacing w:after="0"/>
              <w:rPr>
                <w:sz w:val="10"/>
                <w:szCs w:val="10"/>
                <w:color w:val="auto"/>
              </w:rPr>
            </w:pPr>
          </w:p>
        </w:tc>
        <w:tc>
          <w:tcPr>
            <w:tcW w:w="1040" w:type="dxa"/>
            <w:vAlign w:val="bottom"/>
            <w:vMerge w:val="restart"/>
          </w:tcPr>
          <w:p>
            <w:pPr>
              <w:ind w:left="200"/>
              <w:spacing w:after="0"/>
              <w:rPr>
                <w:sz w:val="20"/>
                <w:szCs w:val="20"/>
                <w:color w:val="auto"/>
              </w:rPr>
            </w:pPr>
            <w:r>
              <w:rPr>
                <w:rFonts w:ascii="Arial" w:cs="Arial" w:eastAsia="Arial" w:hAnsi="Arial"/>
                <w:sz w:val="14"/>
                <w:szCs w:val="14"/>
                <w:b w:val="1"/>
                <w:bCs w:val="1"/>
                <w:color w:val="auto"/>
              </w:rPr>
              <w:t>A-37</w:t>
            </w:r>
          </w:p>
        </w:tc>
        <w:tc>
          <w:tcPr>
            <w:tcW w:w="0" w:type="dxa"/>
            <w:vAlign w:val="bottom"/>
          </w:tcPr>
          <w:p>
            <w:pPr>
              <w:spacing w:after="0"/>
              <w:rPr>
                <w:sz w:val="1"/>
                <w:szCs w:val="1"/>
                <w:color w:val="auto"/>
              </w:rPr>
            </w:pPr>
          </w:p>
        </w:tc>
      </w:tr>
      <w:tr>
        <w:trPr>
          <w:trHeight w:val="63"/>
        </w:trPr>
        <w:tc>
          <w:tcPr>
            <w:tcW w:w="800" w:type="dxa"/>
            <w:vAlign w:val="bottom"/>
            <w:vMerge w:val="continue"/>
          </w:tcPr>
          <w:p>
            <w:pPr>
              <w:spacing w:after="0"/>
              <w:rPr>
                <w:sz w:val="5"/>
                <w:szCs w:val="5"/>
                <w:color w:val="auto"/>
              </w:rPr>
            </w:pPr>
          </w:p>
        </w:tc>
        <w:tc>
          <w:tcPr>
            <w:tcW w:w="3060" w:type="dxa"/>
            <w:vAlign w:val="bottom"/>
          </w:tcPr>
          <w:p>
            <w:pPr>
              <w:spacing w:after="0"/>
              <w:rPr>
                <w:sz w:val="5"/>
                <w:szCs w:val="5"/>
                <w:color w:val="auto"/>
              </w:rPr>
            </w:pPr>
          </w:p>
        </w:tc>
        <w:tc>
          <w:tcPr>
            <w:tcW w:w="2740" w:type="dxa"/>
            <w:vAlign w:val="bottom"/>
            <w:vMerge w:val="continue"/>
          </w:tcPr>
          <w:p>
            <w:pPr>
              <w:spacing w:after="0"/>
              <w:rPr>
                <w:sz w:val="5"/>
                <w:szCs w:val="5"/>
                <w:color w:val="auto"/>
              </w:rPr>
            </w:pPr>
          </w:p>
        </w:tc>
        <w:tc>
          <w:tcPr>
            <w:tcW w:w="3080" w:type="dxa"/>
            <w:vAlign w:val="bottom"/>
          </w:tcPr>
          <w:p>
            <w:pPr>
              <w:spacing w:after="0"/>
              <w:rPr>
                <w:sz w:val="5"/>
                <w:szCs w:val="5"/>
                <w:color w:val="auto"/>
              </w:rPr>
            </w:pPr>
          </w:p>
        </w:tc>
        <w:tc>
          <w:tcPr>
            <w:tcW w:w="104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40"/>
        </w:trPr>
        <w:tc>
          <w:tcPr>
            <w:tcW w:w="800" w:type="dxa"/>
            <w:vAlign w:val="bottom"/>
            <w:tcBorders>
              <w:bottom w:val="single" w:sz="8" w:color="9A9A9A"/>
            </w:tcBorders>
          </w:tcPr>
          <w:p>
            <w:pPr>
              <w:spacing w:after="0"/>
              <w:rPr>
                <w:sz w:val="12"/>
                <w:szCs w:val="12"/>
                <w:color w:val="auto"/>
              </w:rPr>
            </w:pPr>
          </w:p>
        </w:tc>
        <w:tc>
          <w:tcPr>
            <w:tcW w:w="3060" w:type="dxa"/>
            <w:vAlign w:val="bottom"/>
            <w:tcBorders>
              <w:bottom w:val="single" w:sz="8" w:color="9A9A9A"/>
            </w:tcBorders>
          </w:tcPr>
          <w:p>
            <w:pPr>
              <w:spacing w:after="0"/>
              <w:rPr>
                <w:sz w:val="12"/>
                <w:szCs w:val="12"/>
                <w:color w:val="auto"/>
              </w:rPr>
            </w:pPr>
          </w:p>
        </w:tc>
        <w:tc>
          <w:tcPr>
            <w:tcW w:w="2740" w:type="dxa"/>
            <w:vAlign w:val="bottom"/>
            <w:tcBorders>
              <w:bottom w:val="single" w:sz="8" w:color="9A9A9A"/>
            </w:tcBorders>
          </w:tcPr>
          <w:p>
            <w:pPr>
              <w:spacing w:after="0"/>
              <w:rPr>
                <w:sz w:val="12"/>
                <w:szCs w:val="12"/>
                <w:color w:val="auto"/>
              </w:rPr>
            </w:pPr>
          </w:p>
        </w:tc>
        <w:tc>
          <w:tcPr>
            <w:tcW w:w="3080" w:type="dxa"/>
            <w:vAlign w:val="bottom"/>
            <w:tcBorders>
              <w:bottom w:val="single" w:sz="8" w:color="9A9A9A"/>
            </w:tcBorders>
          </w:tcPr>
          <w:p>
            <w:pPr>
              <w:spacing w:after="0"/>
              <w:rPr>
                <w:sz w:val="12"/>
                <w:szCs w:val="12"/>
                <w:color w:val="auto"/>
              </w:rPr>
            </w:pPr>
          </w:p>
        </w:tc>
        <w:tc>
          <w:tcPr>
            <w:tcW w:w="1040" w:type="dxa"/>
            <w:vAlign w:val="bottom"/>
            <w:tcBorders>
              <w:bottom w:val="single" w:sz="8" w:color="9A9A9A"/>
            </w:tcBorders>
          </w:tcPr>
          <w:p>
            <w:pPr>
              <w:spacing w:after="0"/>
              <w:rPr>
                <w:sz w:val="12"/>
                <w:szCs w:val="12"/>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6802755</wp:posOffset>
            </wp:positionH>
            <wp:positionV relativeFrom="paragraph">
              <wp:posOffset>-8255</wp:posOffset>
            </wp:positionV>
            <wp:extent cx="8255" cy="8890"/>
            <wp:wrapNone/>
            <wp:docPr id="491" name="Picture 4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1"/>
                    <pic:cNvPicPr>
                      <a:picLocks noChangeAspect="1" noChangeArrowheads="1"/>
                    </pic:cNvPicPr>
                  </pic:nvPicPr>
                  <pic:blipFill>
                    <a:blip r:embed="rId498">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wp:posOffset>
            </wp:positionV>
            <wp:extent cx="8890" cy="17145"/>
            <wp:wrapNone/>
            <wp:docPr id="492" name="Picture 4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2"/>
                    <pic:cNvPicPr>
                      <a:picLocks noChangeAspect="1" noChangeArrowheads="1"/>
                    </pic:cNvPicPr>
                  </pic:nvPicPr>
                  <pic:blipFill>
                    <a:blip r:embed="rId499">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sectPr>
          <w:pgSz w:w="11900" w:h="16838" w:orient="portrait"/>
          <w:cols w:equalWidth="0" w:num="1">
            <w:col w:w="10720"/>
          </w:cols>
          <w:pgMar w:left="320" w:top="131" w:right="859" w:bottom="1440" w:gutter="0" w:footer="0" w:header="0"/>
        </w:sectPr>
      </w:pPr>
    </w:p>
    <w:bookmarkStart w:id="116" w:name="page117"/>
    <w:bookmarkEnd w:id="116"/>
    <w:p>
      <w:pPr>
        <w:spacing w:after="0"/>
        <w:rPr>
          <w:rFonts w:ascii="Arial" w:cs="Arial" w:eastAsia="Arial" w:hAnsi="Arial"/>
          <w:sz w:val="14"/>
          <w:szCs w:val="14"/>
          <w:color w:val="003366"/>
        </w:rPr>
      </w:pPr>
      <w:hyperlink w:anchor="page78">
        <w:r>
          <w:rPr>
            <w:rFonts w:ascii="Arial" w:cs="Arial" w:eastAsia="Arial" w:hAnsi="Arial"/>
            <w:sz w:val="14"/>
            <w:szCs w:val="14"/>
            <w:color w:val="003366"/>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485140</wp:posOffset>
            </wp:positionH>
            <wp:positionV relativeFrom="paragraph">
              <wp:posOffset>356870</wp:posOffset>
            </wp:positionV>
            <wp:extent cx="5829300" cy="8890"/>
            <wp:wrapNone/>
            <wp:docPr id="493" name="Picture 4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3"/>
                    <pic:cNvPicPr>
                      <a:picLocks noChangeAspect="1" noChangeArrowheads="1"/>
                    </pic:cNvPicPr>
                  </pic:nvPicPr>
                  <pic:blipFill>
                    <a:blip r:embed="rId500">
                      <a:extLst>
                        <a:ext uri="{28A0092B-C50C-407E-A947-70E740481C1C}"/>
                      </a:extLst>
                    </a:blip>
                    <a:srcRect/>
                    <a:stretch>
                      <a:fillRect/>
                    </a:stretch>
                  </pic:blipFill>
                  <pic:spPr bwMode="auto">
                    <a:xfrm>
                      <a:off x="0" y="0"/>
                      <a:ext cx="5829300" cy="8890"/>
                    </a:xfrm>
                    <a:prstGeom prst="rect">
                      <a:avLst/>
                    </a:prstGeom>
                    <a:noFill/>
                  </pic:spPr>
                </pic:pic>
              </a:graphicData>
            </a:graphic>
          </wp:anchor>
        </w:drawing>
      </w:r>
    </w:p>
    <w:p>
      <w:pPr>
        <w:sectPr>
          <w:pgSz w:w="11900" w:h="16838" w:orient="portrait"/>
          <w:cols w:equalWidth="0" w:num="1">
            <w:col w:w="10139"/>
          </w:cols>
          <w:pgMar w:left="320" w:top="131"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p>
      <w:pPr>
        <w:ind w:left="1200" w:right="459"/>
        <w:spacing w:after="0" w:line="253" w:lineRule="auto"/>
        <w:rPr>
          <w:sz w:val="20"/>
          <w:szCs w:val="20"/>
          <w:color w:val="auto"/>
        </w:rPr>
      </w:pPr>
      <w:r>
        <w:rPr>
          <w:rFonts w:ascii="Arial" w:cs="Arial" w:eastAsia="Arial" w:hAnsi="Arial"/>
          <w:sz w:val="16"/>
          <w:szCs w:val="16"/>
          <w:color w:val="auto"/>
        </w:rPr>
        <w:t>it is otherwise so entitled under these Articles. Without prejudice to the generality of the foregoing, any notice of a general meeting of the Company which is in fact sent or purports to be sent to such member shall be ignored for the purpose of determining the validity of the proceedings at such general meeting.</w:t>
      </w:r>
    </w:p>
    <w:p>
      <w:pPr>
        <w:spacing w:after="0" w:line="80" w:lineRule="exact"/>
        <w:rPr>
          <w:sz w:val="20"/>
          <w:szCs w:val="20"/>
          <w:color w:val="auto"/>
        </w:rPr>
      </w:pPr>
    </w:p>
    <w:p>
      <w:pPr>
        <w:ind w:left="1200" w:right="579" w:hanging="431"/>
        <w:spacing w:after="0" w:line="260" w:lineRule="auto"/>
        <w:rPr>
          <w:sz w:val="20"/>
          <w:szCs w:val="20"/>
          <w:color w:val="auto"/>
        </w:rPr>
      </w:pPr>
      <w:r>
        <w:rPr>
          <w:rFonts w:ascii="Arial" w:cs="Arial" w:eastAsia="Arial" w:hAnsi="Arial"/>
          <w:sz w:val="16"/>
          <w:szCs w:val="16"/>
          <w:color w:val="auto"/>
        </w:rPr>
        <w:t>45.14 Where a document is required under these Articles to be signed by a member or any other person, if the document is in electronic form, then in order to be valid the document must either:</w:t>
      </w:r>
    </w:p>
    <w:p>
      <w:pPr>
        <w:spacing w:after="0" w:line="60" w:lineRule="exact"/>
        <w:rPr>
          <w:sz w:val="20"/>
          <w:szCs w:val="20"/>
          <w:color w:val="auto"/>
        </w:rPr>
      </w:pPr>
    </w:p>
    <w:p>
      <w:pPr>
        <w:ind w:left="1620" w:right="259" w:hanging="424"/>
        <w:spacing w:after="0" w:line="260" w:lineRule="auto"/>
        <w:tabs>
          <w:tab w:leader="none" w:pos="1620" w:val="left"/>
        </w:tabs>
        <w:numPr>
          <w:ilvl w:val="0"/>
          <w:numId w:val="215"/>
        </w:numPr>
        <w:rPr>
          <w:rFonts w:ascii="Arial" w:cs="Arial" w:eastAsia="Arial" w:hAnsi="Arial"/>
          <w:sz w:val="16"/>
          <w:szCs w:val="16"/>
          <w:color w:val="auto"/>
        </w:rPr>
      </w:pPr>
      <w:r>
        <w:rPr>
          <w:rFonts w:ascii="Arial" w:cs="Arial" w:eastAsia="Arial" w:hAnsi="Arial"/>
          <w:sz w:val="16"/>
          <w:szCs w:val="16"/>
          <w:color w:val="auto"/>
        </w:rPr>
        <w:t xml:space="preserve">incorporate the electronic signature, or personal identification details (which may be details previously allocated by the Company), of that member or other person, in such form as the </w:t>
      </w:r>
      <w:r>
        <w:rPr>
          <w:rFonts w:ascii="Arial" w:cs="Arial" w:eastAsia="Arial" w:hAnsi="Arial"/>
          <w:sz w:val="16"/>
          <w:szCs w:val="16"/>
          <w:color w:val="auto"/>
          <w:strike w:val="1"/>
        </w:rPr>
        <w:t>Directors</w:t>
      </w:r>
      <w:r>
        <w:rPr>
          <w:rFonts w:ascii="Arial" w:cs="Arial" w:eastAsia="Arial" w:hAnsi="Arial"/>
          <w:sz w:val="16"/>
          <w:szCs w:val="16"/>
          <w:u w:val="single" w:color="auto"/>
          <w:color w:val="auto"/>
        </w:rPr>
        <w:t>Board</w:t>
      </w:r>
      <w:r>
        <w:rPr>
          <w:rFonts w:ascii="Arial" w:cs="Arial" w:eastAsia="Arial" w:hAnsi="Arial"/>
          <w:sz w:val="16"/>
          <w:szCs w:val="16"/>
          <w:color w:val="auto"/>
        </w:rPr>
        <w:t xml:space="preserve"> may approve; or</w:t>
      </w:r>
    </w:p>
    <w:p>
      <w:pPr>
        <w:spacing w:after="0" w:line="73" w:lineRule="exact"/>
        <w:rPr>
          <w:rFonts w:ascii="Arial" w:cs="Arial" w:eastAsia="Arial" w:hAnsi="Arial"/>
          <w:sz w:val="16"/>
          <w:szCs w:val="16"/>
          <w:color w:val="auto"/>
        </w:rPr>
      </w:pPr>
    </w:p>
    <w:p>
      <w:pPr>
        <w:ind w:left="1620" w:right="299" w:hanging="424"/>
        <w:spacing w:after="0" w:line="260" w:lineRule="auto"/>
        <w:tabs>
          <w:tab w:leader="none" w:pos="1620" w:val="left"/>
        </w:tabs>
        <w:numPr>
          <w:ilvl w:val="0"/>
          <w:numId w:val="215"/>
        </w:numPr>
        <w:rPr>
          <w:rFonts w:ascii="Arial" w:cs="Arial" w:eastAsia="Arial" w:hAnsi="Arial"/>
          <w:sz w:val="16"/>
          <w:szCs w:val="16"/>
          <w:color w:val="auto"/>
        </w:rPr>
      </w:pPr>
      <w:r>
        <w:rPr>
          <w:rFonts w:ascii="Arial" w:cs="Arial" w:eastAsia="Arial" w:hAnsi="Arial"/>
          <w:sz w:val="16"/>
          <w:szCs w:val="16"/>
          <w:color w:val="auto"/>
        </w:rPr>
        <w:t xml:space="preserve">be accompanied by such other evidence as the </w:t>
      </w:r>
      <w:r>
        <w:rPr>
          <w:rFonts w:ascii="Arial" w:cs="Arial" w:eastAsia="Arial" w:hAnsi="Arial"/>
          <w:sz w:val="16"/>
          <w:szCs w:val="16"/>
          <w:color w:val="auto"/>
          <w:strike w:val="1"/>
        </w:rPr>
        <w:t>Directors</w:t>
      </w:r>
      <w:r>
        <w:rPr>
          <w:rFonts w:ascii="Arial" w:cs="Arial" w:eastAsia="Arial" w:hAnsi="Arial"/>
          <w:sz w:val="16"/>
          <w:szCs w:val="16"/>
          <w:u w:val="single" w:color="auto"/>
          <w:color w:val="auto"/>
        </w:rPr>
        <w:t>Board</w:t>
      </w:r>
      <w:r>
        <w:rPr>
          <w:rFonts w:ascii="Arial" w:cs="Arial" w:eastAsia="Arial" w:hAnsi="Arial"/>
          <w:sz w:val="16"/>
          <w:szCs w:val="16"/>
          <w:color w:val="auto"/>
        </w:rPr>
        <w:t xml:space="preserve"> may require in order to be satisfied that the document is genuine.</w:t>
      </w:r>
    </w:p>
    <w:p>
      <w:pPr>
        <w:spacing w:after="0" w:line="74" w:lineRule="exact"/>
        <w:rPr>
          <w:sz w:val="20"/>
          <w:szCs w:val="20"/>
          <w:color w:val="auto"/>
        </w:rPr>
      </w:pPr>
    </w:p>
    <w:p>
      <w:pPr>
        <w:ind w:left="1200" w:right="279"/>
        <w:spacing w:after="0" w:line="251" w:lineRule="auto"/>
        <w:rPr>
          <w:sz w:val="20"/>
          <w:szCs w:val="20"/>
          <w:color w:val="auto"/>
        </w:rPr>
      </w:pPr>
      <w:r>
        <w:rPr>
          <w:rFonts w:ascii="Arial" w:cs="Arial" w:eastAsia="Arial" w:hAnsi="Arial"/>
          <w:sz w:val="16"/>
          <w:szCs w:val="16"/>
          <w:color w:val="auto"/>
        </w:rPr>
        <w:t>The Company may designate mechanisms for validating any such document and a document not validated by the user of any such mechanisms shall be deemed as having not been received by the Company. In the case of any document or information relating to a meeting, an instrument of proxy or invitation to appoint a proxy, any validation requirements shall be specified in the relevant notice of meeting in accordance with Articles 17.4 and 22.7(b).</w:t>
      </w:r>
    </w:p>
    <w:p>
      <w:pPr>
        <w:spacing w:after="0" w:line="47" w:lineRule="exact"/>
        <w:rPr>
          <w:sz w:val="20"/>
          <w:szCs w:val="20"/>
          <w:color w:val="auto"/>
        </w:rPr>
      </w:pPr>
    </w:p>
    <w:p>
      <w:pPr>
        <w:ind w:left="1200" w:hanging="436"/>
        <w:spacing w:after="0"/>
        <w:tabs>
          <w:tab w:leader="none" w:pos="1200" w:val="left"/>
        </w:tabs>
        <w:numPr>
          <w:ilvl w:val="0"/>
          <w:numId w:val="216"/>
        </w:numPr>
        <w:rPr>
          <w:rFonts w:ascii="Arial" w:cs="Arial" w:eastAsia="Arial" w:hAnsi="Arial"/>
          <w:sz w:val="16"/>
          <w:szCs w:val="16"/>
          <w:b w:val="1"/>
          <w:bCs w:val="1"/>
          <w:color w:val="auto"/>
        </w:rPr>
      </w:pPr>
      <w:r>
        <w:rPr>
          <w:rFonts w:ascii="Arial" w:cs="Arial" w:eastAsia="Arial" w:hAnsi="Arial"/>
          <w:sz w:val="16"/>
          <w:szCs w:val="16"/>
          <w:b w:val="1"/>
          <w:bCs w:val="1"/>
          <w:color w:val="auto"/>
        </w:rPr>
        <w:t>DESTRUCTION OF DOCUMENTS</w:t>
      </w:r>
    </w:p>
    <w:p>
      <w:pPr>
        <w:spacing w:after="0" w:line="120" w:lineRule="exact"/>
        <w:rPr>
          <w:sz w:val="20"/>
          <w:szCs w:val="20"/>
          <w:color w:val="auto"/>
        </w:rPr>
      </w:pPr>
    </w:p>
    <w:p>
      <w:pPr>
        <w:ind w:left="760"/>
        <w:spacing w:after="0"/>
        <w:rPr>
          <w:sz w:val="20"/>
          <w:szCs w:val="20"/>
          <w:color w:val="auto"/>
        </w:rPr>
      </w:pPr>
      <w:r>
        <w:rPr>
          <w:rFonts w:ascii="Arial" w:cs="Arial" w:eastAsia="Arial" w:hAnsi="Arial"/>
          <w:sz w:val="16"/>
          <w:szCs w:val="16"/>
          <w:color w:val="auto"/>
        </w:rPr>
        <w:t>46.1  The Company shall be entitled to destroy:</w:t>
      </w:r>
    </w:p>
    <w:p>
      <w:pPr>
        <w:spacing w:after="0" w:line="100" w:lineRule="exact"/>
        <w:rPr>
          <w:sz w:val="20"/>
          <w:szCs w:val="20"/>
          <w:color w:val="auto"/>
        </w:rPr>
      </w:pPr>
    </w:p>
    <w:p>
      <w:pPr>
        <w:ind w:left="1620" w:right="439" w:hanging="424"/>
        <w:spacing w:after="0" w:line="260" w:lineRule="auto"/>
        <w:tabs>
          <w:tab w:leader="none" w:pos="1620" w:val="left"/>
        </w:tabs>
        <w:numPr>
          <w:ilvl w:val="0"/>
          <w:numId w:val="217"/>
        </w:numPr>
        <w:rPr>
          <w:rFonts w:ascii="Arial" w:cs="Arial" w:eastAsia="Arial" w:hAnsi="Arial"/>
          <w:sz w:val="16"/>
          <w:szCs w:val="16"/>
          <w:color w:val="auto"/>
        </w:rPr>
      </w:pPr>
      <w:r>
        <w:rPr>
          <w:rFonts w:ascii="Arial" w:cs="Arial" w:eastAsia="Arial" w:hAnsi="Arial"/>
          <w:sz w:val="16"/>
          <w:szCs w:val="16"/>
          <w:color w:val="auto"/>
        </w:rPr>
        <w:t>any instrument of transfer of shares which have been registered, and all other documents on the basis of which any entry is made in the register, at any time after the expiration of six years from the date of registration;</w:t>
      </w:r>
    </w:p>
    <w:p>
      <w:pPr>
        <w:spacing w:after="0" w:line="60" w:lineRule="exact"/>
        <w:rPr>
          <w:rFonts w:ascii="Arial" w:cs="Arial" w:eastAsia="Arial" w:hAnsi="Arial"/>
          <w:sz w:val="16"/>
          <w:szCs w:val="16"/>
          <w:color w:val="auto"/>
        </w:rPr>
      </w:pPr>
    </w:p>
    <w:p>
      <w:pPr>
        <w:ind w:left="1620" w:right="319" w:hanging="424"/>
        <w:spacing w:after="0" w:line="260" w:lineRule="auto"/>
        <w:tabs>
          <w:tab w:leader="none" w:pos="1620" w:val="left"/>
        </w:tabs>
        <w:numPr>
          <w:ilvl w:val="0"/>
          <w:numId w:val="217"/>
        </w:numPr>
        <w:rPr>
          <w:rFonts w:ascii="Arial" w:cs="Arial" w:eastAsia="Arial" w:hAnsi="Arial"/>
          <w:sz w:val="16"/>
          <w:szCs w:val="16"/>
          <w:color w:val="auto"/>
        </w:rPr>
      </w:pPr>
      <w:r>
        <w:rPr>
          <w:rFonts w:ascii="Arial" w:cs="Arial" w:eastAsia="Arial" w:hAnsi="Arial"/>
          <w:sz w:val="16"/>
          <w:szCs w:val="16"/>
          <w:color w:val="auto"/>
        </w:rPr>
        <w:t>any dividend mandate, variation or cancellation of dividend mandates, and notification of change of name or address, at any time after two years from the date on which it is recorded;</w:t>
      </w:r>
    </w:p>
    <w:p>
      <w:pPr>
        <w:spacing w:after="0" w:line="73" w:lineRule="exact"/>
        <w:rPr>
          <w:rFonts w:ascii="Arial" w:cs="Arial" w:eastAsia="Arial" w:hAnsi="Arial"/>
          <w:sz w:val="16"/>
          <w:szCs w:val="16"/>
          <w:color w:val="auto"/>
        </w:rPr>
      </w:pPr>
    </w:p>
    <w:p>
      <w:pPr>
        <w:ind w:left="1620" w:right="299" w:hanging="424"/>
        <w:spacing w:after="0" w:line="260" w:lineRule="auto"/>
        <w:tabs>
          <w:tab w:leader="none" w:pos="1620" w:val="left"/>
        </w:tabs>
        <w:numPr>
          <w:ilvl w:val="0"/>
          <w:numId w:val="217"/>
        </w:numPr>
        <w:rPr>
          <w:rFonts w:ascii="Arial" w:cs="Arial" w:eastAsia="Arial" w:hAnsi="Arial"/>
          <w:sz w:val="16"/>
          <w:szCs w:val="16"/>
          <w:color w:val="auto"/>
        </w:rPr>
      </w:pPr>
      <w:r>
        <w:rPr>
          <w:rFonts w:ascii="Arial" w:cs="Arial" w:eastAsia="Arial" w:hAnsi="Arial"/>
          <w:sz w:val="16"/>
          <w:szCs w:val="16"/>
          <w:color w:val="auto"/>
        </w:rPr>
        <w:t>any share certificate which has been cancelled at any time after the expiration of one year from the date on which it is cancelled;</w:t>
      </w:r>
    </w:p>
    <w:p>
      <w:pPr>
        <w:spacing w:after="0" w:line="73" w:lineRule="exact"/>
        <w:rPr>
          <w:rFonts w:ascii="Arial" w:cs="Arial" w:eastAsia="Arial" w:hAnsi="Arial"/>
          <w:sz w:val="16"/>
          <w:szCs w:val="16"/>
          <w:color w:val="auto"/>
        </w:rPr>
      </w:pPr>
    </w:p>
    <w:p>
      <w:pPr>
        <w:ind w:left="1620" w:hanging="424"/>
        <w:spacing w:after="0"/>
        <w:tabs>
          <w:tab w:leader="none" w:pos="1620" w:val="left"/>
        </w:tabs>
        <w:numPr>
          <w:ilvl w:val="0"/>
          <w:numId w:val="217"/>
        </w:numPr>
        <w:rPr>
          <w:rFonts w:ascii="Arial" w:cs="Arial" w:eastAsia="Arial" w:hAnsi="Arial"/>
          <w:sz w:val="16"/>
          <w:szCs w:val="16"/>
          <w:color w:val="auto"/>
        </w:rPr>
      </w:pPr>
      <w:r>
        <w:rPr>
          <w:rFonts w:ascii="Arial" w:cs="Arial" w:eastAsia="Arial" w:hAnsi="Arial"/>
          <w:sz w:val="16"/>
          <w:szCs w:val="16"/>
          <w:color w:val="auto"/>
        </w:rPr>
        <w:t>all paid dividend warrants and cheques at any time after the expiration of one year from the date of actual payment;</w:t>
      </w:r>
    </w:p>
    <w:p>
      <w:pPr>
        <w:spacing w:after="0" w:line="86" w:lineRule="exact"/>
        <w:rPr>
          <w:rFonts w:ascii="Arial" w:cs="Arial" w:eastAsia="Arial" w:hAnsi="Arial"/>
          <w:sz w:val="16"/>
          <w:szCs w:val="16"/>
          <w:color w:val="auto"/>
        </w:rPr>
      </w:pPr>
    </w:p>
    <w:p>
      <w:pPr>
        <w:ind w:left="1620" w:right="219" w:hanging="424"/>
        <w:spacing w:after="0" w:line="260" w:lineRule="auto"/>
        <w:tabs>
          <w:tab w:leader="none" w:pos="1620" w:val="left"/>
        </w:tabs>
        <w:numPr>
          <w:ilvl w:val="0"/>
          <w:numId w:val="217"/>
        </w:numPr>
        <w:rPr>
          <w:rFonts w:ascii="Arial" w:cs="Arial" w:eastAsia="Arial" w:hAnsi="Arial"/>
          <w:sz w:val="16"/>
          <w:szCs w:val="16"/>
          <w:color w:val="auto"/>
        </w:rPr>
      </w:pPr>
      <w:r>
        <w:rPr>
          <w:rFonts w:ascii="Arial" w:cs="Arial" w:eastAsia="Arial" w:hAnsi="Arial"/>
          <w:sz w:val="16"/>
          <w:szCs w:val="16"/>
          <w:color w:val="auto"/>
        </w:rPr>
        <w:t>all proxy appointments which have been used for the purpose of a poll at any time after the expiration of one year from the date of use;</w:t>
      </w:r>
    </w:p>
    <w:p>
      <w:pPr>
        <w:spacing w:after="0" w:line="73" w:lineRule="exact"/>
        <w:rPr>
          <w:rFonts w:ascii="Arial" w:cs="Arial" w:eastAsia="Arial" w:hAnsi="Arial"/>
          <w:sz w:val="16"/>
          <w:szCs w:val="16"/>
          <w:color w:val="auto"/>
        </w:rPr>
      </w:pPr>
    </w:p>
    <w:p>
      <w:pPr>
        <w:ind w:left="1620" w:right="259" w:hanging="424"/>
        <w:spacing w:after="0" w:line="260" w:lineRule="auto"/>
        <w:tabs>
          <w:tab w:leader="none" w:pos="1620" w:val="left"/>
        </w:tabs>
        <w:numPr>
          <w:ilvl w:val="0"/>
          <w:numId w:val="217"/>
        </w:numPr>
        <w:rPr>
          <w:rFonts w:ascii="Arial" w:cs="Arial" w:eastAsia="Arial" w:hAnsi="Arial"/>
          <w:sz w:val="16"/>
          <w:szCs w:val="16"/>
          <w:color w:val="auto"/>
        </w:rPr>
      </w:pPr>
      <w:r>
        <w:rPr>
          <w:rFonts w:ascii="Arial" w:cs="Arial" w:eastAsia="Arial" w:hAnsi="Arial"/>
          <w:sz w:val="16"/>
          <w:szCs w:val="16"/>
          <w:color w:val="auto"/>
        </w:rPr>
        <w:t>all proxy appointments which have not been used for the purpose of a poll at any time after one month from the end of the meeting to which the proxy appointment relates and at which no poll was demanded; and</w:t>
      </w:r>
    </w:p>
    <w:p>
      <w:pPr>
        <w:spacing w:after="0" w:line="60" w:lineRule="exact"/>
        <w:rPr>
          <w:rFonts w:ascii="Arial" w:cs="Arial" w:eastAsia="Arial" w:hAnsi="Arial"/>
          <w:sz w:val="16"/>
          <w:szCs w:val="16"/>
          <w:color w:val="auto"/>
        </w:rPr>
      </w:pPr>
    </w:p>
    <w:p>
      <w:pPr>
        <w:ind w:left="1620" w:right="219" w:hanging="424"/>
        <w:spacing w:after="0" w:line="260" w:lineRule="auto"/>
        <w:tabs>
          <w:tab w:leader="none" w:pos="1620" w:val="left"/>
        </w:tabs>
        <w:numPr>
          <w:ilvl w:val="0"/>
          <w:numId w:val="217"/>
        </w:numPr>
        <w:rPr>
          <w:rFonts w:ascii="Arial" w:cs="Arial" w:eastAsia="Arial" w:hAnsi="Arial"/>
          <w:sz w:val="16"/>
          <w:szCs w:val="16"/>
          <w:color w:val="auto"/>
        </w:rPr>
      </w:pPr>
      <w:r>
        <w:rPr>
          <w:rFonts w:ascii="Arial" w:cs="Arial" w:eastAsia="Arial" w:hAnsi="Arial"/>
          <w:sz w:val="16"/>
          <w:szCs w:val="16"/>
          <w:color w:val="auto"/>
        </w:rPr>
        <w:t xml:space="preserve">any other document on the basis of which an entry in the register </w:t>
      </w:r>
      <w:r>
        <w:rPr>
          <w:rFonts w:ascii="Arial" w:cs="Arial" w:eastAsia="Arial" w:hAnsi="Arial"/>
          <w:sz w:val="16"/>
          <w:szCs w:val="16"/>
          <w:color w:val="auto"/>
          <w:strike w:val="1"/>
        </w:rPr>
        <w:t>of members</w:t>
      </w:r>
      <w:r>
        <w:rPr>
          <w:rFonts w:ascii="Arial" w:cs="Arial" w:eastAsia="Arial" w:hAnsi="Arial"/>
          <w:sz w:val="16"/>
          <w:szCs w:val="16"/>
          <w:color w:val="auto"/>
        </w:rPr>
        <w:t xml:space="preserve"> is made, after six years from the date on which it is made.</w:t>
      </w:r>
    </w:p>
    <w:p>
      <w:pPr>
        <w:spacing w:after="0" w:line="74" w:lineRule="exact"/>
        <w:rPr>
          <w:sz w:val="20"/>
          <w:szCs w:val="20"/>
          <w:color w:val="auto"/>
        </w:rPr>
      </w:pPr>
    </w:p>
    <w:p>
      <w:pPr>
        <w:ind w:left="1200" w:right="579"/>
        <w:spacing w:after="0" w:line="260" w:lineRule="auto"/>
        <w:rPr>
          <w:sz w:val="20"/>
          <w:szCs w:val="20"/>
          <w:color w:val="auto"/>
        </w:rPr>
      </w:pPr>
      <w:r>
        <w:rPr>
          <w:rFonts w:ascii="Arial" w:cs="Arial" w:eastAsia="Arial" w:hAnsi="Arial"/>
          <w:sz w:val="16"/>
          <w:szCs w:val="16"/>
          <w:color w:val="auto"/>
        </w:rPr>
        <w:t>Any document referred to in this Article 46.1 may be destroyed earlier than the relevant date authorised, provided that a permanent record of the document is made which is not destroyed before that date.</w:t>
      </w:r>
    </w:p>
    <w:p>
      <w:pPr>
        <w:spacing w:after="0" w:line="74" w:lineRule="exact"/>
        <w:rPr>
          <w:sz w:val="20"/>
          <w:szCs w:val="20"/>
          <w:color w:val="auto"/>
        </w:rPr>
      </w:pPr>
    </w:p>
    <w:p>
      <w:pPr>
        <w:ind w:left="760"/>
        <w:spacing w:after="0"/>
        <w:rPr>
          <w:sz w:val="20"/>
          <w:szCs w:val="20"/>
          <w:color w:val="auto"/>
        </w:rPr>
      </w:pPr>
      <w:r>
        <w:rPr>
          <w:rFonts w:ascii="Arial" w:cs="Arial" w:eastAsia="Arial" w:hAnsi="Arial"/>
          <w:sz w:val="16"/>
          <w:szCs w:val="16"/>
          <w:color w:val="auto"/>
        </w:rPr>
        <w:t>46.2  It shall be conclusively presumed in favour of the Company that:</w:t>
      </w:r>
    </w:p>
    <w:p>
      <w:pPr>
        <w:spacing w:after="0" w:line="86" w:lineRule="exact"/>
        <w:rPr>
          <w:sz w:val="20"/>
          <w:szCs w:val="20"/>
          <w:color w:val="auto"/>
        </w:rPr>
      </w:pPr>
    </w:p>
    <w:p>
      <w:pPr>
        <w:ind w:left="1620" w:right="259" w:hanging="424"/>
        <w:spacing w:after="0" w:line="260" w:lineRule="auto"/>
        <w:tabs>
          <w:tab w:leader="none" w:pos="1620" w:val="left"/>
        </w:tabs>
        <w:numPr>
          <w:ilvl w:val="0"/>
          <w:numId w:val="218"/>
        </w:numPr>
        <w:rPr>
          <w:rFonts w:ascii="Arial" w:cs="Arial" w:eastAsia="Arial" w:hAnsi="Arial"/>
          <w:sz w:val="16"/>
          <w:szCs w:val="16"/>
          <w:color w:val="auto"/>
        </w:rPr>
      </w:pPr>
      <w:r>
        <w:rPr>
          <w:rFonts w:ascii="Arial" w:cs="Arial" w:eastAsia="Arial" w:hAnsi="Arial"/>
          <w:sz w:val="16"/>
          <w:szCs w:val="16"/>
          <w:color w:val="auto"/>
        </w:rPr>
        <w:t xml:space="preserve">every entry in the register </w:t>
      </w:r>
      <w:r>
        <w:rPr>
          <w:rFonts w:ascii="Arial" w:cs="Arial" w:eastAsia="Arial" w:hAnsi="Arial"/>
          <w:sz w:val="16"/>
          <w:szCs w:val="16"/>
          <w:color w:val="auto"/>
          <w:strike w:val="1"/>
        </w:rPr>
        <w:t>of members</w:t>
      </w:r>
      <w:r>
        <w:rPr>
          <w:rFonts w:ascii="Arial" w:cs="Arial" w:eastAsia="Arial" w:hAnsi="Arial"/>
          <w:sz w:val="16"/>
          <w:szCs w:val="16"/>
          <w:color w:val="auto"/>
        </w:rPr>
        <w:t xml:space="preserve"> purporting to have been made on the basis of an instrument of transfer or other document destroyed in accordance with Article 46.1 was duly and properly made;</w:t>
      </w:r>
    </w:p>
    <w:p>
      <w:pPr>
        <w:spacing w:after="0" w:line="73" w:lineRule="exact"/>
        <w:rPr>
          <w:rFonts w:ascii="Arial" w:cs="Arial" w:eastAsia="Arial" w:hAnsi="Arial"/>
          <w:sz w:val="16"/>
          <w:szCs w:val="16"/>
          <w:color w:val="auto"/>
        </w:rPr>
      </w:pPr>
    </w:p>
    <w:p>
      <w:pPr>
        <w:ind w:left="1620" w:right="459" w:hanging="424"/>
        <w:spacing w:after="0" w:line="260" w:lineRule="auto"/>
        <w:tabs>
          <w:tab w:leader="none" w:pos="1620" w:val="left"/>
        </w:tabs>
        <w:numPr>
          <w:ilvl w:val="0"/>
          <w:numId w:val="218"/>
        </w:numPr>
        <w:rPr>
          <w:rFonts w:ascii="Arial" w:cs="Arial" w:eastAsia="Arial" w:hAnsi="Arial"/>
          <w:sz w:val="16"/>
          <w:szCs w:val="16"/>
          <w:color w:val="auto"/>
        </w:rPr>
      </w:pPr>
      <w:r>
        <w:rPr>
          <w:rFonts w:ascii="Arial" w:cs="Arial" w:eastAsia="Arial" w:hAnsi="Arial"/>
          <w:sz w:val="16"/>
          <w:szCs w:val="16"/>
          <w:color w:val="auto"/>
        </w:rPr>
        <w:t>that every instrument of transfer destroyed in accordance with Article 46.1 was a valid and effective instrument duly and properly registered;</w:t>
      </w:r>
    </w:p>
    <w:p>
      <w:pPr>
        <w:spacing w:after="0" w:line="73" w:lineRule="exact"/>
        <w:rPr>
          <w:rFonts w:ascii="Arial" w:cs="Arial" w:eastAsia="Arial" w:hAnsi="Arial"/>
          <w:sz w:val="16"/>
          <w:szCs w:val="16"/>
          <w:color w:val="auto"/>
        </w:rPr>
      </w:pPr>
    </w:p>
    <w:p>
      <w:pPr>
        <w:ind w:left="1620" w:right="599" w:hanging="424"/>
        <w:spacing w:after="0" w:line="260" w:lineRule="auto"/>
        <w:tabs>
          <w:tab w:leader="none" w:pos="1620" w:val="left"/>
        </w:tabs>
        <w:numPr>
          <w:ilvl w:val="0"/>
          <w:numId w:val="218"/>
        </w:numPr>
        <w:rPr>
          <w:rFonts w:ascii="Arial" w:cs="Arial" w:eastAsia="Arial" w:hAnsi="Arial"/>
          <w:sz w:val="16"/>
          <w:szCs w:val="16"/>
          <w:color w:val="auto"/>
        </w:rPr>
      </w:pPr>
      <w:r>
        <w:rPr>
          <w:rFonts w:ascii="Arial" w:cs="Arial" w:eastAsia="Arial" w:hAnsi="Arial"/>
          <w:sz w:val="16"/>
          <w:szCs w:val="16"/>
          <w:color w:val="auto"/>
        </w:rPr>
        <w:t>that every share certificate destroyed in accordance with Article 46.1 was a valid and effective certificate duly and properly cancelled; and</w:t>
      </w:r>
    </w:p>
    <w:p>
      <w:pPr>
        <w:spacing w:after="0" w:line="60" w:lineRule="exact"/>
        <w:rPr>
          <w:rFonts w:ascii="Arial" w:cs="Arial" w:eastAsia="Arial" w:hAnsi="Arial"/>
          <w:sz w:val="16"/>
          <w:szCs w:val="16"/>
          <w:color w:val="auto"/>
        </w:rPr>
      </w:pPr>
    </w:p>
    <w:p>
      <w:pPr>
        <w:ind w:left="1620" w:right="199" w:hanging="424"/>
        <w:spacing w:after="0" w:line="260" w:lineRule="auto"/>
        <w:tabs>
          <w:tab w:leader="none" w:pos="1620" w:val="left"/>
        </w:tabs>
        <w:numPr>
          <w:ilvl w:val="0"/>
          <w:numId w:val="218"/>
        </w:numPr>
        <w:rPr>
          <w:rFonts w:ascii="Arial" w:cs="Arial" w:eastAsia="Arial" w:hAnsi="Arial"/>
          <w:sz w:val="16"/>
          <w:szCs w:val="16"/>
          <w:color w:val="auto"/>
        </w:rPr>
      </w:pPr>
      <w:r>
        <w:rPr>
          <w:rFonts w:ascii="Arial" w:cs="Arial" w:eastAsia="Arial" w:hAnsi="Arial"/>
          <w:sz w:val="16"/>
          <w:szCs w:val="16"/>
          <w:color w:val="auto"/>
        </w:rPr>
        <w:t>that every other document destroyed in accordance with Article 46.1 was a valid and effective document in accordance with the particulars in the records of the Company.</w:t>
      </w:r>
    </w:p>
    <w:p>
      <w:pPr>
        <w:spacing w:after="0" w:line="74" w:lineRule="exact"/>
        <w:rPr>
          <w:sz w:val="20"/>
          <w:szCs w:val="20"/>
          <w:color w:val="auto"/>
        </w:rPr>
      </w:pPr>
    </w:p>
    <w:p>
      <w:pPr>
        <w:ind w:left="1200"/>
        <w:spacing w:after="0"/>
        <w:rPr>
          <w:sz w:val="20"/>
          <w:szCs w:val="20"/>
          <w:color w:val="auto"/>
        </w:rPr>
      </w:pPr>
      <w:r>
        <w:rPr>
          <w:rFonts w:ascii="Arial" w:cs="Arial" w:eastAsia="Arial" w:hAnsi="Arial"/>
          <w:sz w:val="16"/>
          <w:szCs w:val="16"/>
          <w:color w:val="auto"/>
        </w:rPr>
        <w:t>provided that</w:t>
      </w:r>
    </w:p>
    <w:p>
      <w:pPr>
        <w:spacing w:after="0" w:line="100" w:lineRule="exact"/>
        <w:rPr>
          <w:sz w:val="20"/>
          <w:szCs w:val="20"/>
          <w:color w:val="auto"/>
        </w:rPr>
      </w:pPr>
    </w:p>
    <w:p>
      <w:pPr>
        <w:ind w:left="1620" w:right="339" w:hanging="424"/>
        <w:spacing w:after="0" w:line="260" w:lineRule="auto"/>
        <w:tabs>
          <w:tab w:leader="none" w:pos="1620" w:val="left"/>
        </w:tabs>
        <w:numPr>
          <w:ilvl w:val="0"/>
          <w:numId w:val="219"/>
        </w:numPr>
        <w:rPr>
          <w:rFonts w:ascii="Arial" w:cs="Arial" w:eastAsia="Arial" w:hAnsi="Arial"/>
          <w:sz w:val="16"/>
          <w:szCs w:val="16"/>
          <w:color w:val="auto"/>
        </w:rPr>
      </w:pPr>
      <w:r>
        <w:rPr>
          <w:rFonts w:ascii="Arial" w:cs="Arial" w:eastAsia="Arial" w:hAnsi="Arial"/>
          <w:sz w:val="16"/>
          <w:szCs w:val="16"/>
          <w:color w:val="auto"/>
        </w:rPr>
        <w:t>Article 46.1 shall apply only to the destruction of a document in good faith and without notice of any claim (regardless of the parties to it) to which the document might be relevant;</w:t>
      </w:r>
    </w:p>
    <w:p>
      <w:pPr>
        <w:spacing w:after="0" w:line="60" w:lineRule="exact"/>
        <w:rPr>
          <w:rFonts w:ascii="Arial" w:cs="Arial" w:eastAsia="Arial" w:hAnsi="Arial"/>
          <w:sz w:val="16"/>
          <w:szCs w:val="16"/>
          <w:color w:val="auto"/>
        </w:rPr>
      </w:pPr>
    </w:p>
    <w:p>
      <w:pPr>
        <w:ind w:left="1620" w:right="399" w:hanging="424"/>
        <w:spacing w:after="0" w:line="253" w:lineRule="auto"/>
        <w:tabs>
          <w:tab w:leader="none" w:pos="1620" w:val="left"/>
        </w:tabs>
        <w:numPr>
          <w:ilvl w:val="0"/>
          <w:numId w:val="219"/>
        </w:numPr>
        <w:rPr>
          <w:rFonts w:ascii="Arial" w:cs="Arial" w:eastAsia="Arial" w:hAnsi="Arial"/>
          <w:sz w:val="16"/>
          <w:szCs w:val="16"/>
          <w:color w:val="auto"/>
        </w:rPr>
      </w:pPr>
      <w:r>
        <w:rPr>
          <w:rFonts w:ascii="Arial" w:cs="Arial" w:eastAsia="Arial" w:hAnsi="Arial"/>
          <w:sz w:val="16"/>
          <w:szCs w:val="16"/>
          <w:color w:val="auto"/>
        </w:rPr>
        <w:t>nothing in Article 46.1 shall be construed as imposing upon the Company any liability in respect of the destruction of any such document otherwise than in accordance with Article 46.1 which would not attach to the Company in the absence of Article 46.1; and</w:t>
      </w:r>
    </w:p>
    <w:p>
      <w:pPr>
        <w:spacing w:after="0" w:line="79" w:lineRule="exact"/>
        <w:rPr>
          <w:rFonts w:ascii="Arial" w:cs="Arial" w:eastAsia="Arial" w:hAnsi="Arial"/>
          <w:sz w:val="16"/>
          <w:szCs w:val="16"/>
          <w:color w:val="auto"/>
        </w:rPr>
      </w:pPr>
    </w:p>
    <w:p>
      <w:pPr>
        <w:ind w:left="1620" w:hanging="424"/>
        <w:spacing w:after="0"/>
        <w:tabs>
          <w:tab w:leader="none" w:pos="1620" w:val="left"/>
        </w:tabs>
        <w:numPr>
          <w:ilvl w:val="0"/>
          <w:numId w:val="219"/>
        </w:numPr>
        <w:rPr>
          <w:rFonts w:ascii="Arial" w:cs="Arial" w:eastAsia="Arial" w:hAnsi="Arial"/>
          <w:sz w:val="16"/>
          <w:szCs w:val="16"/>
          <w:color w:val="auto"/>
        </w:rPr>
      </w:pPr>
      <w:r>
        <w:rPr>
          <w:rFonts w:ascii="Arial" w:cs="Arial" w:eastAsia="Arial" w:hAnsi="Arial"/>
          <w:sz w:val="16"/>
          <w:szCs w:val="16"/>
          <w:color w:val="auto"/>
        </w:rPr>
        <w:t>references in Article 46.1 to the destruction of any document include references to the disposal of it in any manner.</w:t>
      </w:r>
    </w:p>
    <w:p>
      <w:pPr>
        <w:spacing w:after="0" w:line="100" w:lineRule="exact"/>
        <w:rPr>
          <w:sz w:val="20"/>
          <w:szCs w:val="20"/>
          <w:color w:val="auto"/>
        </w:rPr>
      </w:pPr>
    </w:p>
    <w:p>
      <w:pPr>
        <w:ind w:left="1200" w:right="439" w:hanging="431"/>
        <w:spacing w:after="0" w:line="260" w:lineRule="auto"/>
        <w:rPr>
          <w:sz w:val="20"/>
          <w:szCs w:val="20"/>
          <w:color w:val="auto"/>
        </w:rPr>
      </w:pPr>
      <w:r>
        <w:rPr>
          <w:rFonts w:ascii="Arial" w:cs="Arial" w:eastAsia="Arial" w:hAnsi="Arial"/>
          <w:sz w:val="16"/>
          <w:szCs w:val="16"/>
          <w:color w:val="auto"/>
        </w:rPr>
        <w:t>46.3 References in this Article 46 to instruments of transfer shall include, in relation to uncertificated shares, instructions and/or notifications made in accordance with the relevant system relating to transfer of such shares.</w:t>
      </w:r>
    </w:p>
    <w:p>
      <w:pPr>
        <w:spacing w:after="0" w:line="93" w:lineRule="exact"/>
        <w:rPr>
          <w:sz w:val="20"/>
          <w:szCs w:val="20"/>
          <w:color w:val="auto"/>
        </w:rPr>
      </w:pPr>
    </w:p>
    <w:p>
      <w:pPr>
        <w:ind w:left="480"/>
        <w:spacing w:after="0"/>
        <w:tabs>
          <w:tab w:leader="none" w:pos="4420" w:val="left"/>
          <w:tab w:leader="none" w:pos="8760" w:val="left"/>
        </w:tabs>
        <w:rPr>
          <w:sz w:val="20"/>
          <w:szCs w:val="20"/>
          <w:color w:val="auto"/>
        </w:rPr>
      </w:pPr>
      <w:r>
        <w:rPr>
          <w:rFonts w:ascii="Arial" w:cs="Arial" w:eastAsia="Arial" w:hAnsi="Arial"/>
          <w:sz w:val="28"/>
          <w:szCs w:val="28"/>
          <w:b w:val="1"/>
          <w:bCs w:val="1"/>
          <w:color w:val="000000"/>
          <w:vertAlign w:val="subscript"/>
        </w:rPr>
        <w:t>A-38</w:t>
      </w:r>
      <w:r>
        <w:rPr>
          <w:sz w:val="20"/>
          <w:szCs w:val="20"/>
          <w:color w:val="auto"/>
        </w:rPr>
        <w:tab/>
      </w:r>
      <w:r>
        <w:rPr>
          <w:rFonts w:ascii="Arial" w:cs="Arial" w:eastAsia="Arial" w:hAnsi="Arial"/>
          <w:sz w:val="13"/>
          <w:szCs w:val="13"/>
          <w:b w:val="1"/>
          <w:bCs w:val="1"/>
          <w:color w:val="4800E6"/>
        </w:rPr>
        <w:t xml:space="preserve">LIVANOVA </w:t>
      </w:r>
      <w:r>
        <w:rPr>
          <w:rFonts w:ascii="Arial" w:cs="Arial" w:eastAsia="Arial" w:hAnsi="Arial"/>
          <w:sz w:val="13"/>
          <w:szCs w:val="13"/>
          <w:color w:val="000000"/>
        </w:rPr>
        <w:t>|</w:t>
      </w:r>
      <w:r>
        <w:rPr>
          <w:rFonts w:ascii="Arial" w:cs="Arial" w:eastAsia="Arial" w:hAnsi="Arial"/>
          <w:sz w:val="13"/>
          <w:szCs w:val="13"/>
          <w:b w:val="1"/>
          <w:bCs w:val="1"/>
          <w:color w:val="4800E6"/>
        </w:rPr>
        <w:t xml:space="preserve"> </w:t>
      </w:r>
      <w:r>
        <w:rPr>
          <w:rFonts w:ascii="Arial" w:cs="Arial" w:eastAsia="Arial" w:hAnsi="Arial"/>
          <w:sz w:val="13"/>
          <w:szCs w:val="13"/>
          <w:color w:val="4800E6"/>
        </w:rPr>
        <w:t>2020</w:t>
      </w:r>
      <w:r>
        <w:rPr>
          <w:rFonts w:ascii="Arial" w:cs="Arial" w:eastAsia="Arial" w:hAnsi="Arial"/>
          <w:sz w:val="13"/>
          <w:szCs w:val="13"/>
          <w:b w:val="1"/>
          <w:bCs w:val="1"/>
          <w:color w:val="4800E6"/>
        </w:rPr>
        <w:t xml:space="preserve"> </w:t>
      </w:r>
      <w:r>
        <w:rPr>
          <w:rFonts w:ascii="Arial" w:cs="Arial" w:eastAsia="Arial" w:hAnsi="Arial"/>
          <w:sz w:val="13"/>
          <w:szCs w:val="13"/>
          <w:color w:val="000000"/>
        </w:rPr>
        <w:t>Proxy Statement</w:t>
      </w:r>
      <w:r>
        <w:rPr>
          <w:sz w:val="20"/>
          <w:szCs w:val="20"/>
          <w:color w:val="auto"/>
        </w:rPr>
        <w:tab/>
      </w:r>
      <w:r>
        <w:rPr>
          <w:rFonts w:ascii="Arial" w:cs="Arial" w:eastAsia="Arial" w:hAnsi="Arial"/>
          <w:sz w:val="12"/>
          <w:szCs w:val="12"/>
          <w:b w:val="1"/>
          <w:bCs w:val="1"/>
          <w:color w:val="4800E6"/>
        </w:rPr>
        <w:t>www.livanova.com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639445</wp:posOffset>
            </wp:positionH>
            <wp:positionV relativeFrom="paragraph">
              <wp:posOffset>-11430</wp:posOffset>
            </wp:positionV>
            <wp:extent cx="1954530" cy="8890"/>
            <wp:wrapNone/>
            <wp:docPr id="494" name="Picture 4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4"/>
                    <pic:cNvPicPr>
                      <a:picLocks noChangeAspect="1" noChangeArrowheads="1"/>
                    </pic:cNvPicPr>
                  </pic:nvPicPr>
                  <pic:blipFill>
                    <a:blip r:embed="rId501">
                      <a:extLst>
                        <a:ext uri="{28A0092B-C50C-407E-A947-70E740481C1C}"/>
                      </a:extLst>
                    </a:blip>
                    <a:srcRect/>
                    <a:stretch>
                      <a:fillRect/>
                    </a:stretch>
                  </pic:blipFill>
                  <pic:spPr bwMode="auto">
                    <a:xfrm>
                      <a:off x="0" y="0"/>
                      <a:ext cx="1954530" cy="8890"/>
                    </a:xfrm>
                    <a:prstGeom prst="rect">
                      <a:avLst/>
                    </a:prstGeom>
                    <a:noFill/>
                  </pic:spPr>
                </pic:pic>
              </a:graphicData>
            </a:graphic>
          </wp:anchor>
        </w:drawing>
        <w:drawing>
          <wp:anchor simplePos="0" relativeHeight="251657728" behindDoc="1" locked="0" layoutInCell="0" allowOverlap="1">
            <wp:simplePos x="0" y="0"/>
            <wp:positionH relativeFrom="column">
              <wp:posOffset>4316730</wp:posOffset>
            </wp:positionH>
            <wp:positionV relativeFrom="paragraph">
              <wp:posOffset>-11430</wp:posOffset>
            </wp:positionV>
            <wp:extent cx="1028700" cy="8890"/>
            <wp:wrapNone/>
            <wp:docPr id="495" name="Picture 4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5"/>
                    <pic:cNvPicPr>
                      <a:picLocks noChangeAspect="1" noChangeArrowheads="1"/>
                    </pic:cNvPicPr>
                  </pic:nvPicPr>
                  <pic:blipFill>
                    <a:blip r:embed="rId502">
                      <a:extLst>
                        <a:ext uri="{28A0092B-C50C-407E-A947-70E740481C1C}"/>
                      </a:extLst>
                    </a:blip>
                    <a:srcRect/>
                    <a:stretch>
                      <a:fillRect/>
                    </a:stretch>
                  </pic:blipFill>
                  <pic:spPr bwMode="auto">
                    <a:xfrm>
                      <a:off x="0" y="0"/>
                      <a:ext cx="102870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125095</wp:posOffset>
            </wp:positionV>
            <wp:extent cx="6806565" cy="17145"/>
            <wp:wrapNone/>
            <wp:docPr id="496" name="Picture 4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6"/>
                    <pic:cNvPicPr>
                      <a:picLocks noChangeAspect="1" noChangeArrowheads="1"/>
                    </pic:cNvPicPr>
                  </pic:nvPicPr>
                  <pic:blipFill>
                    <a:blip r:embed="rId503">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10139"/>
          </w:cols>
          <w:pgMar w:left="320" w:top="131" w:right="1440" w:bottom="1440" w:gutter="0" w:footer="0" w:header="0"/>
          <w:type w:val="continuous"/>
        </w:sectPr>
      </w:pPr>
    </w:p>
    <w:bookmarkStart w:id="117" w:name="page118"/>
    <w:bookmarkEnd w:id="117"/>
    <w:p>
      <w:pPr>
        <w:spacing w:after="0"/>
        <w:rPr>
          <w:rFonts w:ascii="Arial" w:cs="Arial" w:eastAsia="Arial" w:hAnsi="Arial"/>
          <w:sz w:val="14"/>
          <w:szCs w:val="14"/>
          <w:color w:val="003366"/>
        </w:rPr>
      </w:pPr>
      <w:hyperlink w:anchor="page78">
        <w:r>
          <w:rPr>
            <w:rFonts w:ascii="Arial" w:cs="Arial" w:eastAsia="Arial" w:hAnsi="Arial"/>
            <w:sz w:val="14"/>
            <w:szCs w:val="14"/>
            <w:color w:val="003366"/>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485140</wp:posOffset>
            </wp:positionH>
            <wp:positionV relativeFrom="paragraph">
              <wp:posOffset>356870</wp:posOffset>
            </wp:positionV>
            <wp:extent cx="5829300" cy="8890"/>
            <wp:wrapNone/>
            <wp:docPr id="497" name="Picture 4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7"/>
                    <pic:cNvPicPr>
                      <a:picLocks noChangeAspect="1" noChangeArrowheads="1"/>
                    </pic:cNvPicPr>
                  </pic:nvPicPr>
                  <pic:blipFill>
                    <a:blip r:embed="rId504">
                      <a:extLst>
                        <a:ext uri="{28A0092B-C50C-407E-A947-70E740481C1C}"/>
                      </a:extLst>
                    </a:blip>
                    <a:srcRect/>
                    <a:stretch>
                      <a:fillRect/>
                    </a:stretch>
                  </pic:blipFill>
                  <pic:spPr bwMode="auto">
                    <a:xfrm>
                      <a:off x="0" y="0"/>
                      <a:ext cx="582930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ind w:left="1200" w:hanging="436"/>
        <w:spacing w:after="0"/>
        <w:tabs>
          <w:tab w:leader="none" w:pos="1200" w:val="left"/>
        </w:tabs>
        <w:numPr>
          <w:ilvl w:val="0"/>
          <w:numId w:val="220"/>
        </w:numPr>
        <w:rPr>
          <w:rFonts w:ascii="Arial" w:cs="Arial" w:eastAsia="Arial" w:hAnsi="Arial"/>
          <w:sz w:val="16"/>
          <w:szCs w:val="16"/>
          <w:b w:val="1"/>
          <w:bCs w:val="1"/>
          <w:color w:val="auto"/>
        </w:rPr>
      </w:pPr>
      <w:r>
        <w:rPr>
          <w:rFonts w:ascii="Arial" w:cs="Arial" w:eastAsia="Arial" w:hAnsi="Arial"/>
          <w:sz w:val="16"/>
          <w:szCs w:val="16"/>
          <w:b w:val="1"/>
          <w:bCs w:val="1"/>
          <w:color w:val="auto"/>
        </w:rPr>
        <w:t>WINDING UP</w:t>
      </w:r>
    </w:p>
    <w:p>
      <w:pPr>
        <w:spacing w:after="0" w:line="120" w:lineRule="exact"/>
        <w:rPr>
          <w:sz w:val="20"/>
          <w:szCs w:val="20"/>
          <w:color w:val="auto"/>
        </w:rPr>
      </w:pPr>
    </w:p>
    <w:p>
      <w:pPr>
        <w:ind w:left="1200" w:right="860" w:hanging="431"/>
        <w:spacing w:after="0" w:line="260" w:lineRule="auto"/>
        <w:rPr>
          <w:sz w:val="20"/>
          <w:szCs w:val="20"/>
          <w:color w:val="auto"/>
        </w:rPr>
      </w:pPr>
      <w:r>
        <w:rPr>
          <w:rFonts w:ascii="Arial" w:cs="Arial" w:eastAsia="Arial" w:hAnsi="Arial"/>
          <w:sz w:val="16"/>
          <w:szCs w:val="16"/>
          <w:color w:val="auto"/>
        </w:rPr>
        <w:t>47.1 If the Company commences liquidation, the liquidator may, with the sanction of a special resolution of the Company and any other sanction required by law, subject to the provisions of the Companies Act:</w:t>
      </w:r>
    </w:p>
    <w:p>
      <w:pPr>
        <w:spacing w:after="0" w:line="74" w:lineRule="exact"/>
        <w:rPr>
          <w:sz w:val="20"/>
          <w:szCs w:val="20"/>
          <w:color w:val="auto"/>
        </w:rPr>
      </w:pPr>
    </w:p>
    <w:p>
      <w:pPr>
        <w:ind w:left="1620" w:right="900" w:hanging="424"/>
        <w:spacing w:after="0" w:line="253" w:lineRule="auto"/>
        <w:tabs>
          <w:tab w:leader="none" w:pos="1620" w:val="left"/>
        </w:tabs>
        <w:numPr>
          <w:ilvl w:val="0"/>
          <w:numId w:val="221"/>
        </w:numPr>
        <w:rPr>
          <w:rFonts w:ascii="Arial" w:cs="Arial" w:eastAsia="Arial" w:hAnsi="Arial"/>
          <w:sz w:val="16"/>
          <w:szCs w:val="16"/>
          <w:color w:val="auto"/>
        </w:rPr>
      </w:pPr>
      <w:r>
        <w:rPr>
          <w:rFonts w:ascii="Arial" w:cs="Arial" w:eastAsia="Arial" w:hAnsi="Arial"/>
          <w:sz w:val="16"/>
          <w:szCs w:val="16"/>
          <w:color w:val="auto"/>
        </w:rPr>
        <w:t xml:space="preserve">divide among the members in specie the whole or any part of the assets, whether they shall consist of property of the same kind or not, of the Company and may, for that purpose, value any assets as </w:t>
      </w:r>
      <w:r>
        <w:rPr>
          <w:rFonts w:ascii="Arial" w:cs="Arial" w:eastAsia="Arial" w:hAnsi="Arial"/>
          <w:sz w:val="16"/>
          <w:szCs w:val="16"/>
          <w:color w:val="auto"/>
          <w:strike w:val="1"/>
        </w:rPr>
        <w:t>he deems</w:t>
      </w:r>
      <w:r>
        <w:rPr>
          <w:rFonts w:ascii="Arial" w:cs="Arial" w:eastAsia="Arial" w:hAnsi="Arial"/>
          <w:sz w:val="16"/>
          <w:szCs w:val="16"/>
          <w:u w:val="single" w:color="auto"/>
          <w:color w:val="auto"/>
        </w:rPr>
        <w:t>they deem</w:t>
      </w:r>
      <w:r>
        <w:rPr>
          <w:rFonts w:ascii="Arial" w:cs="Arial" w:eastAsia="Arial" w:hAnsi="Arial"/>
          <w:sz w:val="16"/>
          <w:szCs w:val="16"/>
          <w:color w:val="auto"/>
        </w:rPr>
        <w:t xml:space="preserve"> fair and determine how the division shall be carried out as between the members or different classes of members; and</w:t>
      </w:r>
    </w:p>
    <w:p>
      <w:pPr>
        <w:spacing w:after="0" w:line="66" w:lineRule="exact"/>
        <w:rPr>
          <w:rFonts w:ascii="Arial" w:cs="Arial" w:eastAsia="Arial" w:hAnsi="Arial"/>
          <w:sz w:val="16"/>
          <w:szCs w:val="16"/>
          <w:color w:val="auto"/>
        </w:rPr>
      </w:pPr>
    </w:p>
    <w:p>
      <w:pPr>
        <w:ind w:left="1620" w:right="800" w:hanging="424"/>
        <w:spacing w:after="0" w:line="260" w:lineRule="auto"/>
        <w:tabs>
          <w:tab w:leader="none" w:pos="1620" w:val="left"/>
        </w:tabs>
        <w:numPr>
          <w:ilvl w:val="0"/>
          <w:numId w:val="221"/>
        </w:numPr>
        <w:rPr>
          <w:rFonts w:ascii="Arial" w:cs="Arial" w:eastAsia="Arial" w:hAnsi="Arial"/>
          <w:sz w:val="16"/>
          <w:szCs w:val="16"/>
          <w:color w:val="auto"/>
        </w:rPr>
      </w:pPr>
      <w:r>
        <w:rPr>
          <w:rFonts w:ascii="Arial" w:cs="Arial" w:eastAsia="Arial" w:hAnsi="Arial"/>
          <w:sz w:val="16"/>
          <w:szCs w:val="16"/>
          <w:color w:val="auto"/>
        </w:rPr>
        <w:t xml:space="preserve">vest the whole or any part of the assets in trustees upon such trusts for the benefit of the members as </w:t>
      </w:r>
      <w:r>
        <w:rPr>
          <w:rFonts w:ascii="Arial" w:cs="Arial" w:eastAsia="Arial" w:hAnsi="Arial"/>
          <w:sz w:val="16"/>
          <w:szCs w:val="16"/>
          <w:color w:val="auto"/>
          <w:strike w:val="1"/>
        </w:rPr>
        <w:t>he</w:t>
      </w:r>
      <w:r>
        <w:rPr>
          <w:rFonts w:ascii="Arial" w:cs="Arial" w:eastAsia="Arial" w:hAnsi="Arial"/>
          <w:sz w:val="16"/>
          <w:szCs w:val="16"/>
          <w:u w:val="single" w:color="auto"/>
          <w:color w:val="auto"/>
        </w:rPr>
        <w:t>they</w:t>
      </w:r>
      <w:r>
        <w:rPr>
          <w:rFonts w:ascii="Arial" w:cs="Arial" w:eastAsia="Arial" w:hAnsi="Arial"/>
          <w:sz w:val="16"/>
          <w:szCs w:val="16"/>
          <w:color w:val="auto"/>
        </w:rPr>
        <w:t xml:space="preserve"> may with the like sanction determine;</w:t>
      </w:r>
    </w:p>
    <w:p>
      <w:pPr>
        <w:spacing w:after="0" w:line="74" w:lineRule="exact"/>
        <w:rPr>
          <w:sz w:val="20"/>
          <w:szCs w:val="20"/>
          <w:color w:val="auto"/>
        </w:rPr>
      </w:pPr>
    </w:p>
    <w:p>
      <w:pPr>
        <w:ind w:left="1200"/>
        <w:spacing w:after="0"/>
        <w:rPr>
          <w:sz w:val="20"/>
          <w:szCs w:val="20"/>
          <w:color w:val="auto"/>
        </w:rPr>
      </w:pPr>
      <w:r>
        <w:rPr>
          <w:rFonts w:ascii="Arial" w:cs="Arial" w:eastAsia="Arial" w:hAnsi="Arial"/>
          <w:sz w:val="16"/>
          <w:szCs w:val="16"/>
          <w:color w:val="auto"/>
        </w:rPr>
        <w:t>but no member shall be compelled to accept any assets upon which there is a liability.</w:t>
      </w:r>
    </w:p>
    <w:p>
      <w:pPr>
        <w:spacing w:after="0" w:line="100" w:lineRule="exact"/>
        <w:rPr>
          <w:sz w:val="20"/>
          <w:szCs w:val="20"/>
          <w:color w:val="auto"/>
        </w:rPr>
      </w:pPr>
    </w:p>
    <w:p>
      <w:pPr>
        <w:jc w:val="right"/>
        <w:ind w:left="760" w:right="880"/>
        <w:spacing w:after="0" w:line="293" w:lineRule="auto"/>
        <w:rPr>
          <w:sz w:val="20"/>
          <w:szCs w:val="20"/>
          <w:color w:val="auto"/>
        </w:rPr>
      </w:pPr>
      <w:r>
        <w:rPr>
          <w:rFonts w:ascii="Arial" w:cs="Arial" w:eastAsia="Arial" w:hAnsi="Arial"/>
          <w:sz w:val="15"/>
          <w:szCs w:val="15"/>
          <w:color w:val="auto"/>
        </w:rPr>
        <w:t>47.2  The power of sale of a liquidator shall include a power to sell wholly or partially for shares or debentures or other obligations of another body corporate, either then already constituted or about to be constituted for the purpose of carrying out the sale.</w:t>
      </w:r>
    </w:p>
    <w:p>
      <w:pPr>
        <w:spacing w:after="0" w:line="18" w:lineRule="exact"/>
        <w:rPr>
          <w:sz w:val="20"/>
          <w:szCs w:val="20"/>
          <w:color w:val="auto"/>
        </w:rPr>
      </w:pPr>
    </w:p>
    <w:p>
      <w:pPr>
        <w:ind w:left="1200" w:hanging="436"/>
        <w:spacing w:after="0"/>
        <w:tabs>
          <w:tab w:leader="none" w:pos="1200" w:val="left"/>
        </w:tabs>
        <w:numPr>
          <w:ilvl w:val="0"/>
          <w:numId w:val="222"/>
        </w:numPr>
        <w:rPr>
          <w:rFonts w:ascii="Arial" w:cs="Arial" w:eastAsia="Arial" w:hAnsi="Arial"/>
          <w:sz w:val="16"/>
          <w:szCs w:val="16"/>
          <w:b w:val="1"/>
          <w:bCs w:val="1"/>
          <w:color w:val="auto"/>
        </w:rPr>
      </w:pPr>
      <w:r>
        <w:rPr>
          <w:rFonts w:ascii="Arial" w:cs="Arial" w:eastAsia="Arial" w:hAnsi="Arial"/>
          <w:sz w:val="16"/>
          <w:szCs w:val="16"/>
          <w:b w:val="1"/>
          <w:bCs w:val="1"/>
          <w:color w:val="auto"/>
        </w:rPr>
        <w:t>INDEMNITY AND INSURANCE</w:t>
      </w:r>
    </w:p>
    <w:p>
      <w:pPr>
        <w:spacing w:after="0" w:line="120" w:lineRule="exact"/>
        <w:rPr>
          <w:sz w:val="20"/>
          <w:szCs w:val="20"/>
          <w:color w:val="auto"/>
        </w:rPr>
      </w:pPr>
    </w:p>
    <w:p>
      <w:pPr>
        <w:ind w:left="760"/>
        <w:spacing w:after="0"/>
        <w:rPr>
          <w:sz w:val="20"/>
          <w:szCs w:val="20"/>
          <w:color w:val="auto"/>
        </w:rPr>
      </w:pPr>
      <w:r>
        <w:rPr>
          <w:rFonts w:ascii="Arial" w:cs="Arial" w:eastAsia="Arial" w:hAnsi="Arial"/>
          <w:sz w:val="16"/>
          <w:szCs w:val="16"/>
          <w:color w:val="auto"/>
        </w:rPr>
        <w:t>48.1  Subject to the provisions of the Companies Act, the Company may exercise all the powers of the Company to:</w:t>
      </w:r>
    </w:p>
    <w:p>
      <w:pPr>
        <w:spacing w:after="0" w:line="80" w:lineRule="exact"/>
        <w:rPr>
          <w:sz w:val="20"/>
          <w:szCs w:val="20"/>
          <w:color w:val="auto"/>
        </w:rPr>
      </w:pPr>
    </w:p>
    <w:p>
      <w:pPr>
        <w:ind w:left="1620" w:right="880" w:hanging="424"/>
        <w:spacing w:after="0" w:line="256" w:lineRule="auto"/>
        <w:tabs>
          <w:tab w:leader="none" w:pos="1620" w:val="left"/>
        </w:tabs>
        <w:numPr>
          <w:ilvl w:val="0"/>
          <w:numId w:val="223"/>
        </w:numPr>
        <w:rPr>
          <w:rFonts w:ascii="Arial" w:cs="Arial" w:eastAsia="Arial" w:hAnsi="Arial"/>
          <w:sz w:val="16"/>
          <w:szCs w:val="16"/>
          <w:color w:val="auto"/>
        </w:rPr>
      </w:pPr>
      <w:r>
        <w:rPr>
          <w:rFonts w:ascii="Arial" w:cs="Arial" w:eastAsia="Arial" w:hAnsi="Arial"/>
          <w:sz w:val="16"/>
          <w:szCs w:val="16"/>
          <w:color w:val="auto"/>
        </w:rPr>
        <w:t>indemnify to any extent any person who is or was a Director, or a Director of any associated company</w:t>
      </w:r>
      <w:r>
        <w:rPr>
          <w:rFonts w:ascii="Arial" w:cs="Arial" w:eastAsia="Arial" w:hAnsi="Arial"/>
          <w:sz w:val="16"/>
          <w:szCs w:val="16"/>
          <w:color w:val="auto"/>
          <w:strike w:val="1"/>
        </w:rPr>
        <w:t>,</w:t>
      </w:r>
      <w:r>
        <w:rPr>
          <w:rFonts w:ascii="Arial" w:cs="Arial" w:eastAsia="Arial" w:hAnsi="Arial"/>
          <w:sz w:val="16"/>
          <w:szCs w:val="16"/>
          <w:color w:val="auto"/>
        </w:rPr>
        <w:t xml:space="preserve"> </w:t>
      </w:r>
      <w:r>
        <w:rPr>
          <w:rFonts w:ascii="Arial" w:cs="Arial" w:eastAsia="Arial" w:hAnsi="Arial"/>
          <w:sz w:val="16"/>
          <w:szCs w:val="16"/>
          <w:u w:val="single" w:color="auto"/>
          <w:color w:val="auto"/>
        </w:rPr>
        <w:t>(</w:t>
      </w:r>
      <w:r>
        <w:rPr>
          <w:rFonts w:ascii="Arial" w:cs="Arial" w:eastAsia="Arial" w:hAnsi="Arial"/>
          <w:sz w:val="16"/>
          <w:szCs w:val="16"/>
          <w:color w:val="auto"/>
        </w:rPr>
        <w:t>“</w:t>
      </w:r>
      <w:r>
        <w:rPr>
          <w:rFonts w:ascii="Arial" w:cs="Arial" w:eastAsia="Arial" w:hAnsi="Arial"/>
          <w:sz w:val="16"/>
          <w:szCs w:val="16"/>
          <w:b w:val="1"/>
          <w:bCs w:val="1"/>
          <w:u w:val="single" w:color="auto"/>
          <w:color w:val="auto"/>
        </w:rPr>
        <w:t>associated</w:t>
      </w:r>
      <w:r>
        <w:rPr>
          <w:rFonts w:ascii="Arial" w:cs="Arial" w:eastAsia="Arial" w:hAnsi="Arial"/>
          <w:sz w:val="16"/>
          <w:szCs w:val="16"/>
          <w:color w:val="auto"/>
        </w:rPr>
        <w:t xml:space="preserve"> </w:t>
      </w:r>
      <w:r>
        <w:rPr>
          <w:rFonts w:ascii="Arial" w:cs="Arial" w:eastAsia="Arial" w:hAnsi="Arial"/>
          <w:sz w:val="16"/>
          <w:szCs w:val="16"/>
          <w:b w:val="1"/>
          <w:bCs w:val="1"/>
          <w:u w:val="single" w:color="auto"/>
          <w:color w:val="auto"/>
        </w:rPr>
        <w:t>company</w:t>
      </w:r>
      <w:r>
        <w:rPr>
          <w:rFonts w:ascii="Arial" w:cs="Arial" w:eastAsia="Arial" w:hAnsi="Arial"/>
          <w:sz w:val="16"/>
          <w:szCs w:val="16"/>
          <w:color w:val="auto"/>
        </w:rPr>
        <w:t>”</w:t>
      </w:r>
      <w:r>
        <w:rPr>
          <w:rFonts w:ascii="Arial" w:cs="Arial" w:eastAsia="Arial" w:hAnsi="Arial"/>
          <w:sz w:val="16"/>
          <w:szCs w:val="16"/>
          <w:b w:val="1"/>
          <w:bCs w:val="1"/>
          <w:color w:val="auto"/>
        </w:rPr>
        <w:t xml:space="preserve"> </w:t>
      </w:r>
      <w:r>
        <w:rPr>
          <w:rFonts w:ascii="Arial" w:cs="Arial" w:eastAsia="Arial" w:hAnsi="Arial"/>
          <w:sz w:val="16"/>
          <w:szCs w:val="16"/>
          <w:u w:val="single" w:color="auto"/>
          <w:color w:val="auto"/>
        </w:rPr>
        <w:t>for the purposes of this Article 48 being interpreted in accordance with section 256 of the Companies Act),</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directly or indirectly (including by funding any expenditure incurred or to be incurred by </w:t>
      </w:r>
      <w:r>
        <w:rPr>
          <w:rFonts w:ascii="Arial" w:cs="Arial" w:eastAsia="Arial" w:hAnsi="Arial"/>
          <w:sz w:val="16"/>
          <w:szCs w:val="16"/>
          <w:color w:val="auto"/>
          <w:strike w:val="1"/>
        </w:rPr>
        <w:t>him</w:t>
      </w:r>
      <w:r>
        <w:rPr>
          <w:rFonts w:ascii="Arial" w:cs="Arial" w:eastAsia="Arial" w:hAnsi="Arial"/>
          <w:sz w:val="16"/>
          <w:szCs w:val="16"/>
          <w:u w:val="single" w:color="auto"/>
          <w:color w:val="auto"/>
        </w:rPr>
        <w:t>them</w:t>
      </w:r>
      <w:r>
        <w:rPr>
          <w:rFonts w:ascii="Arial" w:cs="Arial" w:eastAsia="Arial" w:hAnsi="Arial"/>
          <w:sz w:val="16"/>
          <w:szCs w:val="16"/>
          <w:color w:val="auto"/>
        </w:rPr>
        <w:t xml:space="preserve">) against any loss or liability, whether in connection with any proven or alleged negligence, default, breach of duty or breach of trust by </w:t>
      </w:r>
      <w:r>
        <w:rPr>
          <w:rFonts w:ascii="Arial" w:cs="Arial" w:eastAsia="Arial" w:hAnsi="Arial"/>
          <w:sz w:val="16"/>
          <w:szCs w:val="16"/>
          <w:color w:val="auto"/>
          <w:strike w:val="1"/>
        </w:rPr>
        <w:t>him</w:t>
      </w:r>
      <w:r>
        <w:rPr>
          <w:rFonts w:ascii="Arial" w:cs="Arial" w:eastAsia="Arial" w:hAnsi="Arial"/>
          <w:sz w:val="16"/>
          <w:szCs w:val="16"/>
          <w:u w:val="single" w:color="auto"/>
          <w:color w:val="auto"/>
        </w:rPr>
        <w:t>them</w:t>
      </w:r>
      <w:r>
        <w:rPr>
          <w:rFonts w:ascii="Arial" w:cs="Arial" w:eastAsia="Arial" w:hAnsi="Arial"/>
          <w:sz w:val="16"/>
          <w:szCs w:val="16"/>
          <w:color w:val="auto"/>
        </w:rPr>
        <w:t xml:space="preserve"> or otherwise, in relation to the Company or any associated company;</w:t>
      </w:r>
    </w:p>
    <w:p>
      <w:pPr>
        <w:spacing w:after="0" w:line="64" w:lineRule="exact"/>
        <w:rPr>
          <w:rFonts w:ascii="Arial" w:cs="Arial" w:eastAsia="Arial" w:hAnsi="Arial"/>
          <w:sz w:val="16"/>
          <w:szCs w:val="16"/>
          <w:color w:val="auto"/>
        </w:rPr>
      </w:pPr>
    </w:p>
    <w:p>
      <w:pPr>
        <w:ind w:left="1620" w:right="860" w:hanging="424"/>
        <w:spacing w:after="0" w:line="251" w:lineRule="auto"/>
        <w:tabs>
          <w:tab w:leader="none" w:pos="1620" w:val="left"/>
        </w:tabs>
        <w:numPr>
          <w:ilvl w:val="0"/>
          <w:numId w:val="223"/>
        </w:numPr>
        <w:rPr>
          <w:rFonts w:ascii="Arial" w:cs="Arial" w:eastAsia="Arial" w:hAnsi="Arial"/>
          <w:sz w:val="16"/>
          <w:szCs w:val="16"/>
          <w:color w:val="auto"/>
        </w:rPr>
      </w:pPr>
      <w:r>
        <w:rPr>
          <w:rFonts w:ascii="Arial" w:cs="Arial" w:eastAsia="Arial" w:hAnsi="Arial"/>
          <w:sz w:val="16"/>
          <w:szCs w:val="16"/>
          <w:color w:val="auto"/>
        </w:rPr>
        <w:t xml:space="preserve">indemnify to any extent any person who is or was a Director of an associated company that is a trustee of an occupational pension scheme, directly or indirectly (including by funding any expenditure incurred or to be incurred by </w:t>
      </w:r>
      <w:r>
        <w:rPr>
          <w:rFonts w:ascii="Arial" w:cs="Arial" w:eastAsia="Arial" w:hAnsi="Arial"/>
          <w:sz w:val="16"/>
          <w:szCs w:val="16"/>
          <w:color w:val="auto"/>
          <w:strike w:val="1"/>
        </w:rPr>
        <w:t>him</w:t>
      </w:r>
      <w:r>
        <w:rPr>
          <w:rFonts w:ascii="Arial" w:cs="Arial" w:eastAsia="Arial" w:hAnsi="Arial"/>
          <w:sz w:val="16"/>
          <w:szCs w:val="16"/>
          <w:u w:val="single" w:color="auto"/>
          <w:color w:val="auto"/>
        </w:rPr>
        <w:t>them</w:t>
      </w:r>
      <w:r>
        <w:rPr>
          <w:rFonts w:ascii="Arial" w:cs="Arial" w:eastAsia="Arial" w:hAnsi="Arial"/>
          <w:sz w:val="16"/>
          <w:szCs w:val="16"/>
          <w:color w:val="auto"/>
        </w:rPr>
        <w:t xml:space="preserve">) against any liability incurred by </w:t>
      </w:r>
      <w:r>
        <w:rPr>
          <w:rFonts w:ascii="Arial" w:cs="Arial" w:eastAsia="Arial" w:hAnsi="Arial"/>
          <w:sz w:val="16"/>
          <w:szCs w:val="16"/>
          <w:color w:val="auto"/>
          <w:strike w:val="1"/>
        </w:rPr>
        <w:t>him</w:t>
      </w:r>
      <w:r>
        <w:rPr>
          <w:rFonts w:ascii="Arial" w:cs="Arial" w:eastAsia="Arial" w:hAnsi="Arial"/>
          <w:sz w:val="16"/>
          <w:szCs w:val="16"/>
          <w:u w:val="single" w:color="auto"/>
          <w:color w:val="auto"/>
        </w:rPr>
        <w:t>them</w:t>
      </w:r>
      <w:r>
        <w:rPr>
          <w:rFonts w:ascii="Arial" w:cs="Arial" w:eastAsia="Arial" w:hAnsi="Arial"/>
          <w:sz w:val="16"/>
          <w:szCs w:val="16"/>
          <w:color w:val="auto"/>
        </w:rPr>
        <w:t xml:space="preserve"> in connection with the </w:t>
      </w:r>
      <w:r>
        <w:rPr>
          <w:rFonts w:ascii="Arial" w:cs="Arial" w:eastAsia="Arial" w:hAnsi="Arial"/>
          <w:sz w:val="16"/>
          <w:szCs w:val="16"/>
          <w:color w:val="auto"/>
          <w:strike w:val="1"/>
        </w:rPr>
        <w:t>company</w:t>
      </w:r>
      <w:r>
        <w:rPr>
          <w:rFonts w:ascii="Arial" w:cs="Arial" w:eastAsia="Arial" w:hAnsi="Arial"/>
          <w:sz w:val="16"/>
          <w:szCs w:val="16"/>
          <w:color w:val="auto"/>
        </w:rPr>
        <w:t>’</w:t>
      </w:r>
      <w:r>
        <w:rPr>
          <w:rFonts w:ascii="Arial" w:cs="Arial" w:eastAsia="Arial" w:hAnsi="Arial"/>
          <w:sz w:val="16"/>
          <w:szCs w:val="16"/>
          <w:color w:val="auto"/>
          <w:strike w:val="1"/>
        </w:rPr>
        <w:t>s</w:t>
      </w:r>
      <w:r>
        <w:rPr>
          <w:rFonts w:ascii="Arial" w:cs="Arial" w:eastAsia="Arial" w:hAnsi="Arial"/>
          <w:sz w:val="16"/>
          <w:szCs w:val="16"/>
          <w:u w:val="single" w:color="auto"/>
          <w:color w:val="auto"/>
        </w:rPr>
        <w:t>Company</w:t>
      </w:r>
      <w:r>
        <w:rPr>
          <w:rFonts w:ascii="Arial" w:cs="Arial" w:eastAsia="Arial" w:hAnsi="Arial"/>
          <w:sz w:val="16"/>
          <w:szCs w:val="16"/>
          <w:color w:val="auto"/>
        </w:rPr>
        <w:t>’</w:t>
      </w:r>
      <w:r>
        <w:rPr>
          <w:rFonts w:ascii="Arial" w:cs="Arial" w:eastAsia="Arial" w:hAnsi="Arial"/>
          <w:sz w:val="16"/>
          <w:szCs w:val="16"/>
          <w:u w:val="single" w:color="auto"/>
          <w:color w:val="auto"/>
        </w:rPr>
        <w:t>s</w:t>
      </w:r>
      <w:r>
        <w:rPr>
          <w:rFonts w:ascii="Arial" w:cs="Arial" w:eastAsia="Arial" w:hAnsi="Arial"/>
          <w:sz w:val="16"/>
          <w:szCs w:val="16"/>
          <w:color w:val="auto"/>
        </w:rPr>
        <w:t xml:space="preserve"> activities as trustee of an occupational pension scheme; and/or</w:t>
      </w:r>
    </w:p>
    <w:p>
      <w:pPr>
        <w:spacing w:after="0" w:line="80" w:lineRule="exact"/>
        <w:rPr>
          <w:rFonts w:ascii="Arial" w:cs="Arial" w:eastAsia="Arial" w:hAnsi="Arial"/>
          <w:sz w:val="16"/>
          <w:szCs w:val="16"/>
          <w:color w:val="auto"/>
        </w:rPr>
      </w:pPr>
    </w:p>
    <w:p>
      <w:pPr>
        <w:ind w:left="1620" w:hanging="424"/>
        <w:spacing w:after="0"/>
        <w:tabs>
          <w:tab w:leader="none" w:pos="1620" w:val="left"/>
        </w:tabs>
        <w:numPr>
          <w:ilvl w:val="0"/>
          <w:numId w:val="223"/>
        </w:numPr>
        <w:rPr>
          <w:rFonts w:ascii="Arial" w:cs="Arial" w:eastAsia="Arial" w:hAnsi="Arial"/>
          <w:sz w:val="16"/>
          <w:szCs w:val="16"/>
          <w:color w:val="auto"/>
        </w:rPr>
      </w:pPr>
      <w:r>
        <w:rPr>
          <w:rFonts w:ascii="Arial" w:cs="Arial" w:eastAsia="Arial" w:hAnsi="Arial"/>
          <w:sz w:val="16"/>
          <w:szCs w:val="16"/>
          <w:color w:val="auto"/>
        </w:rPr>
        <w:t>purchase and maintain insurance for or for the benefit of any person who is or was:</w:t>
      </w:r>
    </w:p>
    <w:p>
      <w:pPr>
        <w:spacing w:after="0" w:line="99" w:lineRule="exact"/>
        <w:rPr>
          <w:rFonts w:ascii="Arial" w:cs="Arial" w:eastAsia="Arial" w:hAnsi="Arial"/>
          <w:sz w:val="16"/>
          <w:szCs w:val="16"/>
          <w:color w:val="auto"/>
        </w:rPr>
      </w:pPr>
    </w:p>
    <w:p>
      <w:pPr>
        <w:ind w:left="2060" w:right="960" w:hanging="432"/>
        <w:spacing w:after="0" w:line="251" w:lineRule="auto"/>
        <w:tabs>
          <w:tab w:leader="none" w:pos="2060" w:val="left"/>
        </w:tabs>
        <w:numPr>
          <w:ilvl w:val="1"/>
          <w:numId w:val="223"/>
        </w:numPr>
        <w:rPr>
          <w:rFonts w:ascii="Arial" w:cs="Arial" w:eastAsia="Arial" w:hAnsi="Arial"/>
          <w:sz w:val="16"/>
          <w:szCs w:val="16"/>
          <w:color w:val="auto"/>
        </w:rPr>
      </w:pPr>
      <w:r>
        <w:rPr>
          <w:rFonts w:ascii="Arial" w:cs="Arial" w:eastAsia="Arial" w:hAnsi="Arial"/>
          <w:sz w:val="16"/>
          <w:szCs w:val="16"/>
          <w:color w:val="auto"/>
        </w:rPr>
        <w:t xml:space="preserve">a Director, officer or employee of the Company, or any body corporate which is or was the holding company or subsidiary undertaking of the Company, or in which the Company or such holding company or subsidiary undertaking has or had any interest (whether </w:t>
      </w:r>
      <w:r>
        <w:rPr>
          <w:rFonts w:ascii="Arial" w:cs="Arial" w:eastAsia="Arial" w:hAnsi="Arial"/>
          <w:sz w:val="16"/>
          <w:szCs w:val="16"/>
          <w:color w:val="auto"/>
          <w:strike w:val="1"/>
        </w:rPr>
        <w:t>director</w:t>
      </w:r>
      <w:r>
        <w:rPr>
          <w:rFonts w:ascii="Arial" w:cs="Arial" w:eastAsia="Arial" w:hAnsi="Arial"/>
          <w:sz w:val="16"/>
          <w:szCs w:val="16"/>
          <w:u w:val="single" w:color="auto"/>
          <w:color w:val="auto"/>
        </w:rPr>
        <w:t>direct</w:t>
      </w:r>
      <w:r>
        <w:rPr>
          <w:rFonts w:ascii="Arial" w:cs="Arial" w:eastAsia="Arial" w:hAnsi="Arial"/>
          <w:sz w:val="16"/>
          <w:szCs w:val="16"/>
          <w:color w:val="auto"/>
        </w:rPr>
        <w:t xml:space="preserve"> or indirect) or with which the Company or such holding company or subsidiary undertaking is or was in any way allied or associated; or</w:t>
      </w:r>
    </w:p>
    <w:p>
      <w:pPr>
        <w:spacing w:after="0" w:line="67" w:lineRule="exact"/>
        <w:rPr>
          <w:rFonts w:ascii="Arial" w:cs="Arial" w:eastAsia="Arial" w:hAnsi="Arial"/>
          <w:sz w:val="16"/>
          <w:szCs w:val="16"/>
          <w:color w:val="auto"/>
        </w:rPr>
      </w:pPr>
    </w:p>
    <w:p>
      <w:pPr>
        <w:ind w:left="2060" w:hanging="432"/>
        <w:spacing w:after="0"/>
        <w:tabs>
          <w:tab w:leader="none" w:pos="2060" w:val="left"/>
        </w:tabs>
        <w:numPr>
          <w:ilvl w:val="1"/>
          <w:numId w:val="223"/>
        </w:numPr>
        <w:rPr>
          <w:rFonts w:ascii="Arial" w:cs="Arial" w:eastAsia="Arial" w:hAnsi="Arial"/>
          <w:sz w:val="16"/>
          <w:szCs w:val="16"/>
          <w:color w:val="auto"/>
        </w:rPr>
      </w:pPr>
      <w:r>
        <w:rPr>
          <w:rFonts w:ascii="Arial" w:cs="Arial" w:eastAsia="Arial" w:hAnsi="Arial"/>
          <w:sz w:val="16"/>
          <w:szCs w:val="16"/>
          <w:color w:val="auto"/>
        </w:rPr>
        <w:t xml:space="preserve">a trustee of any pension fund in which employees of the Company or any other body referred to in paragraph </w:t>
      </w:r>
      <w:r>
        <w:rPr>
          <w:rFonts w:ascii="Arial" w:cs="Arial" w:eastAsia="Arial" w:hAnsi="Arial"/>
          <w:sz w:val="16"/>
          <w:szCs w:val="16"/>
          <w:color w:val="auto"/>
          <w:strike w:val="1"/>
        </w:rPr>
        <w:t>(c)</w:t>
      </w:r>
    </w:p>
    <w:p>
      <w:pPr>
        <w:spacing w:after="0" w:line="5" w:lineRule="exact"/>
        <w:rPr>
          <w:rFonts w:ascii="Arial" w:cs="Arial" w:eastAsia="Arial" w:hAnsi="Arial"/>
          <w:sz w:val="16"/>
          <w:szCs w:val="16"/>
          <w:color w:val="auto"/>
        </w:rPr>
      </w:pPr>
    </w:p>
    <w:p>
      <w:pPr>
        <w:ind w:left="2060"/>
        <w:spacing w:after="0"/>
        <w:rPr>
          <w:rFonts w:ascii="Arial" w:cs="Arial" w:eastAsia="Arial" w:hAnsi="Arial"/>
          <w:sz w:val="16"/>
          <w:szCs w:val="16"/>
          <w:color w:val="auto"/>
        </w:rPr>
      </w:pPr>
      <w:r>
        <w:rPr>
          <w:rFonts w:ascii="Arial" w:cs="Arial" w:eastAsia="Arial" w:hAnsi="Arial"/>
          <w:sz w:val="16"/>
          <w:szCs w:val="16"/>
          <w:color w:val="auto"/>
          <w:strike w:val="1"/>
        </w:rPr>
        <w:t>(1) of this Article 48.1</w:t>
      </w:r>
      <w:r>
        <w:rPr>
          <w:rFonts w:ascii="Arial" w:cs="Arial" w:eastAsia="Arial" w:hAnsi="Arial"/>
          <w:sz w:val="16"/>
          <w:szCs w:val="16"/>
          <w:u w:val="single" w:color="auto"/>
          <w:color w:val="auto"/>
        </w:rPr>
        <w:t>(c)(i)of this Article 48.1</w:t>
      </w:r>
      <w:r>
        <w:rPr>
          <w:rFonts w:ascii="Arial" w:cs="Arial" w:eastAsia="Arial" w:hAnsi="Arial"/>
          <w:sz w:val="16"/>
          <w:szCs w:val="16"/>
          <w:color w:val="auto"/>
        </w:rPr>
        <w:t xml:space="preserve"> are or have been interested;</w:t>
      </w:r>
    </w:p>
    <w:p>
      <w:pPr>
        <w:spacing w:after="0" w:line="100" w:lineRule="exact"/>
        <w:rPr>
          <w:sz w:val="20"/>
          <w:szCs w:val="20"/>
          <w:color w:val="auto"/>
        </w:rPr>
      </w:pPr>
    </w:p>
    <w:p>
      <w:pPr>
        <w:ind w:left="1200" w:right="840"/>
        <w:spacing w:after="0" w:line="251" w:lineRule="auto"/>
        <w:rPr>
          <w:sz w:val="20"/>
          <w:szCs w:val="20"/>
          <w:color w:val="auto"/>
        </w:rPr>
      </w:pPr>
      <w:r>
        <w:rPr>
          <w:rFonts w:ascii="Arial" w:cs="Arial" w:eastAsia="Arial" w:hAnsi="Arial"/>
          <w:sz w:val="16"/>
          <w:szCs w:val="16"/>
          <w:color w:val="auto"/>
        </w:rPr>
        <w:t xml:space="preserve">including without limitation insurance against any loss or liability or any expenditure </w:t>
      </w:r>
      <w:r>
        <w:rPr>
          <w:rFonts w:ascii="Arial" w:cs="Arial" w:eastAsia="Arial" w:hAnsi="Arial"/>
          <w:sz w:val="16"/>
          <w:szCs w:val="16"/>
          <w:color w:val="auto"/>
          <w:strike w:val="1"/>
        </w:rPr>
        <w:t>he</w:t>
      </w:r>
      <w:r>
        <w:rPr>
          <w:rFonts w:ascii="Arial" w:cs="Arial" w:eastAsia="Arial" w:hAnsi="Arial"/>
          <w:sz w:val="16"/>
          <w:szCs w:val="16"/>
          <w:u w:val="single" w:color="auto"/>
          <w:color w:val="auto"/>
        </w:rPr>
        <w:t>they</w:t>
      </w:r>
      <w:r>
        <w:rPr>
          <w:rFonts w:ascii="Arial" w:cs="Arial" w:eastAsia="Arial" w:hAnsi="Arial"/>
          <w:sz w:val="16"/>
          <w:szCs w:val="16"/>
          <w:color w:val="auto"/>
        </w:rPr>
        <w:t xml:space="preserve"> may incur, whether in connection with any proven or alleged act or omission in the actual or purported execution or discharge of </w:t>
      </w:r>
      <w:r>
        <w:rPr>
          <w:rFonts w:ascii="Arial" w:cs="Arial" w:eastAsia="Arial" w:hAnsi="Arial"/>
          <w:sz w:val="16"/>
          <w:szCs w:val="16"/>
          <w:color w:val="auto"/>
          <w:strike w:val="1"/>
        </w:rPr>
        <w:t>his</w:t>
      </w:r>
      <w:r>
        <w:rPr>
          <w:rFonts w:ascii="Arial" w:cs="Arial" w:eastAsia="Arial" w:hAnsi="Arial"/>
          <w:sz w:val="16"/>
          <w:szCs w:val="16"/>
          <w:u w:val="single" w:color="auto"/>
          <w:color w:val="auto"/>
        </w:rPr>
        <w:t>their</w:t>
      </w:r>
      <w:r>
        <w:rPr>
          <w:rFonts w:ascii="Arial" w:cs="Arial" w:eastAsia="Arial" w:hAnsi="Arial"/>
          <w:sz w:val="16"/>
          <w:szCs w:val="16"/>
          <w:color w:val="auto"/>
        </w:rPr>
        <w:t xml:space="preserve"> duties or in the exercise or purported exercise of </w:t>
      </w:r>
      <w:r>
        <w:rPr>
          <w:rFonts w:ascii="Arial" w:cs="Arial" w:eastAsia="Arial" w:hAnsi="Arial"/>
          <w:sz w:val="16"/>
          <w:szCs w:val="16"/>
          <w:color w:val="auto"/>
          <w:strike w:val="1"/>
        </w:rPr>
        <w:t>his</w:t>
      </w:r>
      <w:r>
        <w:rPr>
          <w:rFonts w:ascii="Arial" w:cs="Arial" w:eastAsia="Arial" w:hAnsi="Arial"/>
          <w:sz w:val="16"/>
          <w:szCs w:val="16"/>
          <w:u w:val="single" w:color="auto"/>
          <w:color w:val="auto"/>
        </w:rPr>
        <w:t>their</w:t>
      </w:r>
      <w:r>
        <w:rPr>
          <w:rFonts w:ascii="Arial" w:cs="Arial" w:eastAsia="Arial" w:hAnsi="Arial"/>
          <w:sz w:val="16"/>
          <w:szCs w:val="16"/>
          <w:color w:val="auto"/>
        </w:rPr>
        <w:t xml:space="preserve"> powers or otherwise in relation to this duties, power or offices, whether comprising negligence, default, breach of duty, breach of trust or otherwise, in relation to the relevant body or fund.</w:t>
      </w:r>
    </w:p>
    <w:p>
      <w:pPr>
        <w:spacing w:after="0" w:line="81" w:lineRule="exact"/>
        <w:rPr>
          <w:sz w:val="20"/>
          <w:szCs w:val="20"/>
          <w:color w:val="auto"/>
        </w:rPr>
      </w:pPr>
    </w:p>
    <w:p>
      <w:pPr>
        <w:ind w:left="1200" w:right="1100" w:hanging="431"/>
        <w:spacing w:after="0" w:line="253" w:lineRule="auto"/>
        <w:rPr>
          <w:sz w:val="20"/>
          <w:szCs w:val="20"/>
          <w:color w:val="auto"/>
        </w:rPr>
      </w:pPr>
      <w:r>
        <w:rPr>
          <w:rFonts w:ascii="Arial" w:cs="Arial" w:eastAsia="Arial" w:hAnsi="Arial"/>
          <w:sz w:val="16"/>
          <w:szCs w:val="16"/>
          <w:color w:val="auto"/>
        </w:rPr>
        <w:t xml:space="preserve">48.2 No Director of former Director shall be accountable to the Company or the members for any benefit provided pursuant to these Articles. The receipt of any such benefit shall not disqualify any person from being or becoming a </w:t>
      </w:r>
      <w:r>
        <w:rPr>
          <w:rFonts w:ascii="Arial" w:cs="Arial" w:eastAsia="Arial" w:hAnsi="Arial"/>
          <w:sz w:val="16"/>
          <w:szCs w:val="16"/>
          <w:color w:val="auto"/>
          <w:strike w:val="1"/>
        </w:rPr>
        <w:t>director of the</w:t>
      </w:r>
      <w:r>
        <w:rPr>
          <w:rFonts w:ascii="Arial" w:cs="Arial" w:eastAsia="Arial" w:hAnsi="Arial"/>
          <w:sz w:val="16"/>
          <w:szCs w:val="16"/>
          <w:color w:val="auto"/>
        </w:rPr>
        <w:t xml:space="preserve"> </w:t>
      </w:r>
      <w:r>
        <w:rPr>
          <w:rFonts w:ascii="Arial" w:cs="Arial" w:eastAsia="Arial" w:hAnsi="Arial"/>
          <w:sz w:val="16"/>
          <w:szCs w:val="16"/>
          <w:color w:val="auto"/>
          <w:strike w:val="1"/>
        </w:rPr>
        <w:t>Company</w:t>
      </w:r>
      <w:r>
        <w:rPr>
          <w:rFonts w:ascii="Arial" w:cs="Arial" w:eastAsia="Arial" w:hAnsi="Arial"/>
          <w:sz w:val="16"/>
          <w:szCs w:val="16"/>
          <w:u w:val="single" w:color="auto"/>
          <w:color w:val="auto"/>
        </w:rPr>
        <w:t>Director</w:t>
      </w:r>
      <w:r>
        <w:rPr>
          <w:rFonts w:ascii="Arial" w:cs="Arial" w:eastAsia="Arial" w:hAnsi="Arial"/>
          <w:sz w:val="16"/>
          <w:szCs w:val="16"/>
          <w:color w:val="auto"/>
        </w:rPr>
        <w:t>.</w:t>
      </w:r>
    </w:p>
    <w:p>
      <w:pPr>
        <w:spacing w:after="0" w:line="46" w:lineRule="exact"/>
        <w:rPr>
          <w:sz w:val="20"/>
          <w:szCs w:val="20"/>
          <w:color w:val="auto"/>
        </w:rPr>
      </w:pPr>
    </w:p>
    <w:p>
      <w:pPr>
        <w:ind w:left="1200" w:hanging="436"/>
        <w:spacing w:after="0"/>
        <w:tabs>
          <w:tab w:leader="none" w:pos="1200" w:val="left"/>
        </w:tabs>
        <w:numPr>
          <w:ilvl w:val="0"/>
          <w:numId w:val="224"/>
        </w:numPr>
        <w:rPr>
          <w:rFonts w:ascii="Arial" w:cs="Arial" w:eastAsia="Arial" w:hAnsi="Arial"/>
          <w:sz w:val="16"/>
          <w:szCs w:val="16"/>
          <w:b w:val="1"/>
          <w:bCs w:val="1"/>
          <w:color w:val="auto"/>
        </w:rPr>
      </w:pPr>
      <w:r>
        <w:rPr>
          <w:rFonts w:ascii="Arial" w:cs="Arial" w:eastAsia="Arial" w:hAnsi="Arial"/>
          <w:sz w:val="16"/>
          <w:szCs w:val="16"/>
          <w:b w:val="1"/>
          <w:bCs w:val="1"/>
          <w:color w:val="auto"/>
        </w:rPr>
        <w:t>DISPUTE RESOLUTION</w:t>
      </w:r>
    </w:p>
    <w:p>
      <w:pPr>
        <w:spacing w:after="0" w:line="120" w:lineRule="exact"/>
        <w:rPr>
          <w:sz w:val="20"/>
          <w:szCs w:val="20"/>
          <w:color w:val="auto"/>
        </w:rPr>
      </w:pPr>
    </w:p>
    <w:p>
      <w:pPr>
        <w:ind w:left="1200" w:right="860" w:hanging="431"/>
        <w:spacing w:after="0" w:line="251" w:lineRule="auto"/>
        <w:rPr>
          <w:sz w:val="20"/>
          <w:szCs w:val="20"/>
          <w:color w:val="auto"/>
        </w:rPr>
      </w:pPr>
      <w:r>
        <w:rPr>
          <w:rFonts w:ascii="Arial" w:cs="Arial" w:eastAsia="Arial" w:hAnsi="Arial"/>
          <w:sz w:val="16"/>
          <w:szCs w:val="16"/>
          <w:color w:val="auto"/>
        </w:rPr>
        <w:t>49.1 The courts of England and Wales shall have exclusive jurisdiction to determine any and all disputes brought by a member in that member’s capacity (whether in its own name or in the name of the Company) as such against the Company and/or the Board and/or any of the Directors individually or collectively, arising out of or in connection with these Articles or any non-contractual obligations arising out of or in connection with these Articles.</w:t>
      </w:r>
    </w:p>
    <w:p>
      <w:pPr>
        <w:spacing w:after="0" w:line="67" w:lineRule="exact"/>
        <w:rPr>
          <w:sz w:val="20"/>
          <w:szCs w:val="20"/>
          <w:color w:val="auto"/>
        </w:rPr>
      </w:pPr>
    </w:p>
    <w:p>
      <w:pPr>
        <w:ind w:left="1200" w:right="1040" w:hanging="431"/>
        <w:spacing w:after="0" w:line="260" w:lineRule="auto"/>
        <w:rPr>
          <w:sz w:val="20"/>
          <w:szCs w:val="20"/>
          <w:color w:val="auto"/>
        </w:rPr>
      </w:pPr>
      <w:r>
        <w:rPr>
          <w:rFonts w:ascii="Arial" w:cs="Arial" w:eastAsia="Arial" w:hAnsi="Arial"/>
          <w:sz w:val="16"/>
          <w:szCs w:val="16"/>
          <w:color w:val="auto"/>
        </w:rPr>
        <w:t>49.2 The governing law of these Articles is the law of England and Wales and these Articles shall be interpreted in accordance with English law.</w:t>
      </w:r>
    </w:p>
    <w:p>
      <w:pPr>
        <w:spacing w:after="0" w:line="74" w:lineRule="exact"/>
        <w:rPr>
          <w:sz w:val="20"/>
          <w:szCs w:val="20"/>
          <w:color w:val="auto"/>
        </w:rPr>
      </w:pPr>
    </w:p>
    <w:p>
      <w:pPr>
        <w:ind w:left="760"/>
        <w:spacing w:after="0"/>
        <w:rPr>
          <w:sz w:val="20"/>
          <w:szCs w:val="20"/>
          <w:color w:val="auto"/>
        </w:rPr>
      </w:pPr>
      <w:r>
        <w:rPr>
          <w:rFonts w:ascii="Arial" w:cs="Arial" w:eastAsia="Arial" w:hAnsi="Arial"/>
          <w:sz w:val="16"/>
          <w:szCs w:val="16"/>
          <w:u w:val="single" w:color="auto"/>
          <w:color w:val="auto"/>
        </w:rPr>
        <w:t>49.3</w:t>
      </w:r>
      <w:r>
        <w:rPr>
          <w:rFonts w:ascii="Arial" w:cs="Arial" w:eastAsia="Arial" w:hAnsi="Arial"/>
          <w:sz w:val="16"/>
          <w:szCs w:val="16"/>
          <w:color w:val="auto"/>
        </w:rPr>
        <w:t xml:space="preserve">  For the purposes of Article 49.1</w:t>
      </w:r>
      <w:r>
        <w:rPr>
          <w:rFonts w:ascii="Arial" w:cs="Arial" w:eastAsia="Arial" w:hAnsi="Arial"/>
          <w:sz w:val="16"/>
          <w:szCs w:val="16"/>
          <w:color w:val="auto"/>
          <w:strike w:val="1"/>
        </w:rPr>
        <w:t>,</w:t>
      </w:r>
      <w:r>
        <w:rPr>
          <w:rFonts w:ascii="Arial" w:cs="Arial" w:eastAsia="Arial" w:hAnsi="Arial"/>
          <w:sz w:val="16"/>
          <w:szCs w:val="16"/>
          <w:color w:val="auto"/>
        </w:rPr>
        <w:t xml:space="preserve"> </w:t>
      </w:r>
      <w:r>
        <w:rPr>
          <w:rFonts w:ascii="Arial" w:cs="Arial" w:eastAsia="Arial" w:hAnsi="Arial"/>
          <w:sz w:val="16"/>
          <w:szCs w:val="16"/>
          <w:u w:val="single" w:color="auto"/>
          <w:color w:val="auto"/>
        </w:rPr>
        <w:t>:</w:t>
      </w:r>
    </w:p>
    <w:p>
      <w:pPr>
        <w:spacing w:after="0" w:line="80" w:lineRule="exact"/>
        <w:rPr>
          <w:sz w:val="20"/>
          <w:szCs w:val="20"/>
          <w:color w:val="auto"/>
        </w:rPr>
      </w:pPr>
    </w:p>
    <w:p>
      <w:pPr>
        <w:ind w:left="1840" w:right="1060" w:hanging="644"/>
        <w:spacing w:after="0" w:line="319" w:lineRule="auto"/>
        <w:tabs>
          <w:tab w:leader="none" w:pos="1840" w:val="left"/>
        </w:tabs>
        <w:numPr>
          <w:ilvl w:val="0"/>
          <w:numId w:val="225"/>
        </w:numPr>
        <w:rPr>
          <w:rFonts w:ascii="Arial" w:cs="Arial" w:eastAsia="Arial" w:hAnsi="Arial"/>
          <w:sz w:val="15"/>
          <w:szCs w:val="15"/>
          <w:u w:val="single" w:color="auto"/>
          <w:color w:val="auto"/>
        </w:rPr>
      </w:pPr>
      <w:r>
        <w:rPr>
          <w:rFonts w:ascii="Arial" w:cs="Arial" w:eastAsia="Arial" w:hAnsi="Arial"/>
          <w:sz w:val="15"/>
          <w:szCs w:val="15"/>
          <w:color w:val="auto"/>
        </w:rPr>
        <w:t>“</w:t>
      </w:r>
      <w:r>
        <w:rPr>
          <w:rFonts w:ascii="Arial" w:cs="Arial" w:eastAsia="Arial" w:hAnsi="Arial"/>
          <w:sz w:val="15"/>
          <w:szCs w:val="15"/>
          <w:b w:val="1"/>
          <w:bCs w:val="1"/>
          <w:color w:val="auto"/>
        </w:rPr>
        <w:t>Director</w:t>
      </w:r>
      <w:r>
        <w:rPr>
          <w:rFonts w:ascii="Arial" w:cs="Arial" w:eastAsia="Arial" w:hAnsi="Arial"/>
          <w:sz w:val="15"/>
          <w:szCs w:val="15"/>
          <w:color w:val="auto"/>
        </w:rPr>
        <w:t xml:space="preserve">” shall be read so as to include each and any Director </w:t>
      </w:r>
      <w:r>
        <w:rPr>
          <w:rFonts w:ascii="Arial" w:cs="Arial" w:eastAsia="Arial" w:hAnsi="Arial"/>
          <w:sz w:val="15"/>
          <w:szCs w:val="15"/>
          <w:color w:val="auto"/>
          <w:strike w:val="1"/>
        </w:rPr>
        <w:t>of the Company</w:t>
      </w:r>
      <w:r>
        <w:rPr>
          <w:rFonts w:ascii="Arial" w:cs="Arial" w:eastAsia="Arial" w:hAnsi="Arial"/>
          <w:sz w:val="15"/>
          <w:szCs w:val="15"/>
          <w:color w:val="auto"/>
        </w:rPr>
        <w:t xml:space="preserve"> from time to time in </w:t>
      </w:r>
      <w:r>
        <w:rPr>
          <w:rFonts w:ascii="Arial" w:cs="Arial" w:eastAsia="Arial" w:hAnsi="Arial"/>
          <w:sz w:val="15"/>
          <w:szCs w:val="15"/>
          <w:color w:val="auto"/>
          <w:strike w:val="1"/>
        </w:rPr>
        <w:t>his</w:t>
      </w:r>
      <w:r>
        <w:rPr>
          <w:rFonts w:ascii="Arial" w:cs="Arial" w:eastAsia="Arial" w:hAnsi="Arial"/>
          <w:sz w:val="15"/>
          <w:szCs w:val="15"/>
          <w:u w:val="single" w:color="auto"/>
          <w:color w:val="auto"/>
        </w:rPr>
        <w:t>their</w:t>
      </w:r>
      <w:r>
        <w:rPr>
          <w:rFonts w:ascii="Arial" w:cs="Arial" w:eastAsia="Arial" w:hAnsi="Arial"/>
          <w:sz w:val="15"/>
          <w:szCs w:val="15"/>
          <w:color w:val="auto"/>
        </w:rPr>
        <w:t xml:space="preserve"> capacity as such or as an employee of the Company and shall include any former Director </w:t>
      </w:r>
      <w:r>
        <w:rPr>
          <w:rFonts w:ascii="Arial" w:cs="Arial" w:eastAsia="Arial" w:hAnsi="Arial"/>
          <w:sz w:val="15"/>
          <w:szCs w:val="15"/>
          <w:color w:val="auto"/>
          <w:strike w:val="1"/>
        </w:rPr>
        <w:t>of the Company</w:t>
      </w:r>
      <w:r>
        <w:rPr>
          <w:rFonts w:ascii="Arial" w:cs="Arial" w:eastAsia="Arial" w:hAnsi="Arial"/>
          <w:sz w:val="15"/>
          <w:szCs w:val="15"/>
          <w:u w:val="single" w:color="auto"/>
          <w:color w:val="auto"/>
        </w:rPr>
        <w:t>; and</w:t>
      </w:r>
    </w:p>
    <w:p>
      <w:pPr>
        <w:ind w:left="1200"/>
        <w:spacing w:after="0"/>
        <w:tabs>
          <w:tab w:leader="none" w:pos="1820" w:val="left"/>
        </w:tabs>
        <w:rPr>
          <w:sz w:val="20"/>
          <w:szCs w:val="20"/>
          <w:color w:val="auto"/>
        </w:rPr>
      </w:pPr>
      <w:r>
        <w:rPr>
          <w:rFonts w:ascii="Arial" w:cs="Arial" w:eastAsia="Arial" w:hAnsi="Arial"/>
          <w:sz w:val="16"/>
          <w:szCs w:val="16"/>
          <w:color w:val="auto"/>
          <w:strike w:val="1"/>
        </w:rPr>
        <w:t>49.3</w:t>
      </w:r>
      <w:r>
        <w:rPr>
          <w:rFonts w:ascii="Arial" w:cs="Arial" w:eastAsia="Arial" w:hAnsi="Arial"/>
          <w:sz w:val="16"/>
          <w:szCs w:val="16"/>
          <w:u w:val="single" w:color="auto"/>
          <w:color w:val="auto"/>
        </w:rPr>
        <w:t>(b)</w:t>
      </w:r>
      <w:r>
        <w:rPr>
          <w:sz w:val="20"/>
          <w:szCs w:val="20"/>
          <w:color w:val="auto"/>
        </w:rPr>
        <w:tab/>
      </w:r>
      <w:r>
        <w:rPr>
          <w:rFonts w:ascii="Arial" w:cs="Arial" w:eastAsia="Arial" w:hAnsi="Arial"/>
          <w:sz w:val="15"/>
          <w:szCs w:val="15"/>
          <w:color w:val="auto"/>
        </w:rPr>
        <w:t>“</w:t>
      </w:r>
      <w:r>
        <w:rPr>
          <w:rFonts w:ascii="Arial" w:cs="Arial" w:eastAsia="Arial" w:hAnsi="Arial"/>
          <w:sz w:val="15"/>
          <w:szCs w:val="15"/>
          <w:b w:val="1"/>
          <w:bCs w:val="1"/>
          <w:u w:val="single" w:color="auto"/>
          <w:color w:val="auto"/>
        </w:rPr>
        <w:t>Company</w:t>
      </w:r>
      <w:r>
        <w:rPr>
          <w:rFonts w:ascii="Arial" w:cs="Arial" w:eastAsia="Arial" w:hAnsi="Arial"/>
          <w:sz w:val="15"/>
          <w:szCs w:val="15"/>
          <w:color w:val="auto"/>
        </w:rPr>
        <w:t xml:space="preserve">” </w:t>
      </w:r>
      <w:r>
        <w:rPr>
          <w:rFonts w:ascii="Arial" w:cs="Arial" w:eastAsia="Arial" w:hAnsi="Arial"/>
          <w:sz w:val="15"/>
          <w:szCs w:val="15"/>
          <w:u w:val="single" w:color="auto"/>
          <w:color w:val="auto"/>
        </w:rPr>
        <w:t>shall be read so as to include each any of the Company</w:t>
      </w:r>
      <w:r>
        <w:rPr>
          <w:rFonts w:ascii="Arial" w:cs="Arial" w:eastAsia="Arial" w:hAnsi="Arial"/>
          <w:sz w:val="15"/>
          <w:szCs w:val="15"/>
          <w:color w:val="auto"/>
        </w:rPr>
        <w:t>’</w:t>
      </w:r>
      <w:r>
        <w:rPr>
          <w:rFonts w:ascii="Arial" w:cs="Arial" w:eastAsia="Arial" w:hAnsi="Arial"/>
          <w:sz w:val="15"/>
          <w:szCs w:val="15"/>
          <w:u w:val="single" w:color="auto"/>
          <w:color w:val="auto"/>
        </w:rPr>
        <w:t>s Subsidiaries</w:t>
      </w:r>
      <w:r>
        <w:rPr>
          <w:rFonts w:ascii="Arial" w:cs="Arial" w:eastAsia="Arial" w:hAnsi="Arial"/>
          <w:sz w:val="15"/>
          <w:szCs w:val="15"/>
          <w:color w:val="auto"/>
        </w:rPr>
        <w:t>.</w:t>
      </w:r>
    </w:p>
    <w:p>
      <w:pPr>
        <w:spacing w:after="0" w:line="298" w:lineRule="exact"/>
        <w:rPr>
          <w:sz w:val="20"/>
          <w:szCs w:val="20"/>
          <w:color w:val="auto"/>
        </w:rPr>
      </w:pPr>
    </w:p>
    <w:tbl>
      <w:tblPr>
        <w:tblLayout w:type="fixed"/>
        <w:tblInd w:w="0" w:type="dxa"/>
        <w:tblCellMar>
          <w:top w:w="0" w:type="dxa"/>
          <w:left w:w="0" w:type="dxa"/>
          <w:bottom w:w="0" w:type="dxa"/>
          <w:right w:w="0" w:type="dxa"/>
        </w:tblCellMar>
      </w:tblPr>
      <w:tr>
        <w:trPr>
          <w:trHeight w:val="116"/>
        </w:trPr>
        <w:tc>
          <w:tcPr>
            <w:tcW w:w="800" w:type="dxa"/>
            <w:vAlign w:val="bottom"/>
            <w:vMerge w:val="restart"/>
          </w:tcPr>
          <w:p>
            <w:pPr>
              <w:spacing w:after="0"/>
              <w:rPr>
                <w:sz w:val="10"/>
                <w:szCs w:val="10"/>
                <w:color w:val="auto"/>
              </w:rPr>
            </w:pPr>
          </w:p>
        </w:tc>
        <w:tc>
          <w:tcPr>
            <w:tcW w:w="3060" w:type="dxa"/>
            <w:vAlign w:val="bottom"/>
            <w:tcBorders>
              <w:bottom w:val="single" w:sz="8" w:color="auto"/>
            </w:tcBorders>
          </w:tcPr>
          <w:p>
            <w:pPr>
              <w:spacing w:after="0"/>
              <w:rPr>
                <w:sz w:val="10"/>
                <w:szCs w:val="10"/>
                <w:color w:val="auto"/>
              </w:rPr>
            </w:pPr>
          </w:p>
        </w:tc>
        <w:tc>
          <w:tcPr>
            <w:tcW w:w="2740" w:type="dxa"/>
            <w:vAlign w:val="bottom"/>
            <w:vMerge w:val="restart"/>
          </w:tcPr>
          <w:p>
            <w:pPr>
              <w:ind w:left="380"/>
              <w:spacing w:after="0"/>
              <w:rPr>
                <w:sz w:val="20"/>
                <w:szCs w:val="20"/>
                <w:color w:val="auto"/>
              </w:rPr>
            </w:pPr>
            <w:r>
              <w:rPr>
                <w:rFonts w:ascii="Arial" w:cs="Arial" w:eastAsia="Arial" w:hAnsi="Arial"/>
                <w:sz w:val="13"/>
                <w:szCs w:val="13"/>
                <w:b w:val="1"/>
                <w:bCs w:val="1"/>
                <w:color w:val="4800E6"/>
              </w:rPr>
              <w:t xml:space="preserve">LIVANOVA </w:t>
            </w:r>
            <w:r>
              <w:rPr>
                <w:rFonts w:ascii="Arial" w:cs="Arial" w:eastAsia="Arial" w:hAnsi="Arial"/>
                <w:sz w:val="13"/>
                <w:szCs w:val="13"/>
                <w:color w:val="000000"/>
              </w:rPr>
              <w:t>|</w:t>
            </w:r>
            <w:r>
              <w:rPr>
                <w:rFonts w:ascii="Arial" w:cs="Arial" w:eastAsia="Arial" w:hAnsi="Arial"/>
                <w:sz w:val="13"/>
                <w:szCs w:val="13"/>
                <w:b w:val="1"/>
                <w:bCs w:val="1"/>
                <w:color w:val="4800E6"/>
              </w:rPr>
              <w:t xml:space="preserve"> </w:t>
            </w:r>
            <w:r>
              <w:rPr>
                <w:rFonts w:ascii="Arial" w:cs="Arial" w:eastAsia="Arial" w:hAnsi="Arial"/>
                <w:sz w:val="13"/>
                <w:szCs w:val="13"/>
                <w:color w:val="4800E6"/>
              </w:rPr>
              <w:t>2020</w:t>
            </w:r>
            <w:r>
              <w:rPr>
                <w:rFonts w:ascii="Arial" w:cs="Arial" w:eastAsia="Arial" w:hAnsi="Arial"/>
                <w:sz w:val="13"/>
                <w:szCs w:val="13"/>
                <w:b w:val="1"/>
                <w:bCs w:val="1"/>
                <w:color w:val="4800E6"/>
              </w:rPr>
              <w:t xml:space="preserve"> </w:t>
            </w:r>
            <w:r>
              <w:rPr>
                <w:rFonts w:ascii="Arial" w:cs="Arial" w:eastAsia="Arial" w:hAnsi="Arial"/>
                <w:sz w:val="13"/>
                <w:szCs w:val="13"/>
                <w:color w:val="000000"/>
              </w:rPr>
              <w:t>Proxy Statement</w:t>
            </w:r>
          </w:p>
        </w:tc>
        <w:tc>
          <w:tcPr>
            <w:tcW w:w="3080" w:type="dxa"/>
            <w:vAlign w:val="bottom"/>
            <w:tcBorders>
              <w:bottom w:val="single" w:sz="8" w:color="auto"/>
            </w:tcBorders>
          </w:tcPr>
          <w:p>
            <w:pPr>
              <w:spacing w:after="0"/>
              <w:rPr>
                <w:sz w:val="10"/>
                <w:szCs w:val="10"/>
                <w:color w:val="auto"/>
              </w:rPr>
            </w:pPr>
          </w:p>
        </w:tc>
        <w:tc>
          <w:tcPr>
            <w:tcW w:w="1040" w:type="dxa"/>
            <w:vAlign w:val="bottom"/>
            <w:vMerge w:val="restart"/>
          </w:tcPr>
          <w:p>
            <w:pPr>
              <w:ind w:left="200"/>
              <w:spacing w:after="0"/>
              <w:rPr>
                <w:sz w:val="20"/>
                <w:szCs w:val="20"/>
                <w:color w:val="auto"/>
              </w:rPr>
            </w:pPr>
            <w:r>
              <w:rPr>
                <w:rFonts w:ascii="Arial" w:cs="Arial" w:eastAsia="Arial" w:hAnsi="Arial"/>
                <w:sz w:val="14"/>
                <w:szCs w:val="14"/>
                <w:b w:val="1"/>
                <w:bCs w:val="1"/>
                <w:color w:val="auto"/>
              </w:rPr>
              <w:t>A-39</w:t>
            </w:r>
          </w:p>
        </w:tc>
        <w:tc>
          <w:tcPr>
            <w:tcW w:w="0" w:type="dxa"/>
            <w:vAlign w:val="bottom"/>
          </w:tcPr>
          <w:p>
            <w:pPr>
              <w:spacing w:after="0"/>
              <w:rPr>
                <w:sz w:val="1"/>
                <w:szCs w:val="1"/>
                <w:color w:val="auto"/>
              </w:rPr>
            </w:pPr>
          </w:p>
        </w:tc>
      </w:tr>
      <w:tr>
        <w:trPr>
          <w:trHeight w:val="63"/>
        </w:trPr>
        <w:tc>
          <w:tcPr>
            <w:tcW w:w="800" w:type="dxa"/>
            <w:vAlign w:val="bottom"/>
            <w:vMerge w:val="continue"/>
          </w:tcPr>
          <w:p>
            <w:pPr>
              <w:spacing w:after="0"/>
              <w:rPr>
                <w:sz w:val="5"/>
                <w:szCs w:val="5"/>
                <w:color w:val="auto"/>
              </w:rPr>
            </w:pPr>
          </w:p>
        </w:tc>
        <w:tc>
          <w:tcPr>
            <w:tcW w:w="3060" w:type="dxa"/>
            <w:vAlign w:val="bottom"/>
          </w:tcPr>
          <w:p>
            <w:pPr>
              <w:spacing w:after="0"/>
              <w:rPr>
                <w:sz w:val="5"/>
                <w:szCs w:val="5"/>
                <w:color w:val="auto"/>
              </w:rPr>
            </w:pPr>
          </w:p>
        </w:tc>
        <w:tc>
          <w:tcPr>
            <w:tcW w:w="2740" w:type="dxa"/>
            <w:vAlign w:val="bottom"/>
            <w:vMerge w:val="continue"/>
          </w:tcPr>
          <w:p>
            <w:pPr>
              <w:spacing w:after="0"/>
              <w:rPr>
                <w:sz w:val="5"/>
                <w:szCs w:val="5"/>
                <w:color w:val="auto"/>
              </w:rPr>
            </w:pPr>
          </w:p>
        </w:tc>
        <w:tc>
          <w:tcPr>
            <w:tcW w:w="3080" w:type="dxa"/>
            <w:vAlign w:val="bottom"/>
          </w:tcPr>
          <w:p>
            <w:pPr>
              <w:spacing w:after="0"/>
              <w:rPr>
                <w:sz w:val="5"/>
                <w:szCs w:val="5"/>
                <w:color w:val="auto"/>
              </w:rPr>
            </w:pPr>
          </w:p>
        </w:tc>
        <w:tc>
          <w:tcPr>
            <w:tcW w:w="104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40"/>
        </w:trPr>
        <w:tc>
          <w:tcPr>
            <w:tcW w:w="800" w:type="dxa"/>
            <w:vAlign w:val="bottom"/>
            <w:tcBorders>
              <w:bottom w:val="single" w:sz="8" w:color="9A9A9A"/>
            </w:tcBorders>
          </w:tcPr>
          <w:p>
            <w:pPr>
              <w:spacing w:after="0"/>
              <w:rPr>
                <w:sz w:val="12"/>
                <w:szCs w:val="12"/>
                <w:color w:val="auto"/>
              </w:rPr>
            </w:pPr>
          </w:p>
        </w:tc>
        <w:tc>
          <w:tcPr>
            <w:tcW w:w="3060" w:type="dxa"/>
            <w:vAlign w:val="bottom"/>
            <w:tcBorders>
              <w:bottom w:val="single" w:sz="8" w:color="9A9A9A"/>
            </w:tcBorders>
          </w:tcPr>
          <w:p>
            <w:pPr>
              <w:spacing w:after="0"/>
              <w:rPr>
                <w:sz w:val="12"/>
                <w:szCs w:val="12"/>
                <w:color w:val="auto"/>
              </w:rPr>
            </w:pPr>
          </w:p>
        </w:tc>
        <w:tc>
          <w:tcPr>
            <w:tcW w:w="2740" w:type="dxa"/>
            <w:vAlign w:val="bottom"/>
            <w:tcBorders>
              <w:bottom w:val="single" w:sz="8" w:color="9A9A9A"/>
            </w:tcBorders>
          </w:tcPr>
          <w:p>
            <w:pPr>
              <w:spacing w:after="0"/>
              <w:rPr>
                <w:sz w:val="12"/>
                <w:szCs w:val="12"/>
                <w:color w:val="auto"/>
              </w:rPr>
            </w:pPr>
          </w:p>
        </w:tc>
        <w:tc>
          <w:tcPr>
            <w:tcW w:w="3080" w:type="dxa"/>
            <w:vAlign w:val="bottom"/>
            <w:tcBorders>
              <w:bottom w:val="single" w:sz="8" w:color="9A9A9A"/>
            </w:tcBorders>
          </w:tcPr>
          <w:p>
            <w:pPr>
              <w:spacing w:after="0"/>
              <w:rPr>
                <w:sz w:val="12"/>
                <w:szCs w:val="12"/>
                <w:color w:val="auto"/>
              </w:rPr>
            </w:pPr>
          </w:p>
        </w:tc>
        <w:tc>
          <w:tcPr>
            <w:tcW w:w="1040" w:type="dxa"/>
            <w:vAlign w:val="bottom"/>
            <w:tcBorders>
              <w:bottom w:val="single" w:sz="8" w:color="9A9A9A"/>
            </w:tcBorders>
          </w:tcPr>
          <w:p>
            <w:pPr>
              <w:spacing w:after="0"/>
              <w:rPr>
                <w:sz w:val="12"/>
                <w:szCs w:val="12"/>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6802755</wp:posOffset>
            </wp:positionH>
            <wp:positionV relativeFrom="paragraph">
              <wp:posOffset>-8255</wp:posOffset>
            </wp:positionV>
            <wp:extent cx="8255" cy="8890"/>
            <wp:wrapNone/>
            <wp:docPr id="498" name="Picture 4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8"/>
                    <pic:cNvPicPr>
                      <a:picLocks noChangeAspect="1" noChangeArrowheads="1"/>
                    </pic:cNvPicPr>
                  </pic:nvPicPr>
                  <pic:blipFill>
                    <a:blip r:embed="rId505">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wp:posOffset>
            </wp:positionV>
            <wp:extent cx="8890" cy="17145"/>
            <wp:wrapNone/>
            <wp:docPr id="499" name="Picture 4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9"/>
                    <pic:cNvPicPr>
                      <a:picLocks noChangeAspect="1" noChangeArrowheads="1"/>
                    </pic:cNvPicPr>
                  </pic:nvPicPr>
                  <pic:blipFill>
                    <a:blip r:embed="rId506">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sectPr>
          <w:pgSz w:w="11900" w:h="16838" w:orient="portrait"/>
          <w:cols w:equalWidth="0" w:num="1">
            <w:col w:w="10720"/>
          </w:cols>
          <w:pgMar w:left="320" w:top="131" w:right="859" w:bottom="1440" w:gutter="0" w:footer="0" w:header="0"/>
        </w:sectPr>
      </w:pPr>
    </w:p>
    <w:bookmarkStart w:id="118" w:name="page119"/>
    <w:bookmarkEnd w:id="118"/>
    <w:p>
      <w:pPr>
        <w:spacing w:after="0"/>
        <w:rPr>
          <w:rFonts w:ascii="Arial" w:cs="Arial" w:eastAsia="Arial" w:hAnsi="Arial"/>
          <w:sz w:val="14"/>
          <w:szCs w:val="14"/>
          <w:color w:val="003366"/>
        </w:rPr>
      </w:pPr>
      <w:hyperlink w:anchor="page78">
        <w:r>
          <w:rPr>
            <w:rFonts w:ascii="Arial" w:cs="Arial" w:eastAsia="Arial" w:hAnsi="Arial"/>
            <w:sz w:val="14"/>
            <w:szCs w:val="14"/>
            <w:color w:val="003366"/>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-62865</wp:posOffset>
            </wp:positionH>
            <wp:positionV relativeFrom="paragraph">
              <wp:posOffset>-96520</wp:posOffset>
            </wp:positionV>
            <wp:extent cx="6875145" cy="8915400"/>
            <wp:wrapNone/>
            <wp:docPr id="500" name="Picture 5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0"/>
                    <pic:cNvPicPr>
                      <a:picLocks noChangeAspect="1" noChangeArrowheads="1"/>
                    </pic:cNvPicPr>
                  </pic:nvPicPr>
                  <pic:blipFill>
                    <a:blip r:embed="rId507">
                      <a:extLst>
                        <a:ext uri="{28A0092B-C50C-407E-A947-70E740481C1C}"/>
                      </a:extLst>
                    </a:blip>
                    <a:srcRect/>
                    <a:stretch>
                      <a:fillRect/>
                    </a:stretch>
                  </pic:blipFill>
                  <pic:spPr bwMode="auto">
                    <a:xfrm>
                      <a:off x="0" y="0"/>
                      <a:ext cx="6875145" cy="8915400"/>
                    </a:xfrm>
                    <a:prstGeom prst="rect">
                      <a:avLst/>
                    </a:prstGeom>
                    <a:noFill/>
                  </pic:spPr>
                </pic:pic>
              </a:graphicData>
            </a:graphic>
          </wp:anchor>
        </w:drawing>
      </w:r>
    </w:p>
    <w:p>
      <w:pPr>
        <w:sectPr>
          <w:pgSz w:w="11900" w:h="16838" w:orient="portrait"/>
          <w:cols w:equalWidth="0" w:num="1">
            <w:col w:w="10139"/>
          </w:cols>
          <w:pgMar w:left="320" w:top="131" w:right="1440" w:bottom="1440" w:gutter="0" w:footer="0" w:header="0"/>
        </w:sectPr>
      </w:pPr>
    </w:p>
    <w:bookmarkStart w:id="119" w:name="page120"/>
    <w:bookmarkEnd w:id="119"/>
    <w:p>
      <w:pPr>
        <w:spacing w:after="0"/>
        <w:rPr>
          <w:rFonts w:ascii="Arial" w:cs="Arial" w:eastAsia="Arial" w:hAnsi="Arial"/>
          <w:sz w:val="14"/>
          <w:szCs w:val="14"/>
          <w:color w:val="003366"/>
        </w:rPr>
      </w:pPr>
      <w:hyperlink w:anchor="page78">
        <w:r>
          <w:rPr>
            <w:rFonts w:ascii="Arial" w:cs="Arial" w:eastAsia="Arial" w:hAnsi="Arial"/>
            <w:sz w:val="14"/>
            <w:szCs w:val="14"/>
            <w:color w:val="003366"/>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-62865</wp:posOffset>
            </wp:positionH>
            <wp:positionV relativeFrom="paragraph">
              <wp:posOffset>-96520</wp:posOffset>
            </wp:positionV>
            <wp:extent cx="6875145" cy="8915400"/>
            <wp:wrapNone/>
            <wp:docPr id="501" name="Picture 5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1"/>
                    <pic:cNvPicPr>
                      <a:picLocks noChangeAspect="1" noChangeArrowheads="1"/>
                    </pic:cNvPicPr>
                  </pic:nvPicPr>
                  <pic:blipFill>
                    <a:blip r:embed="rId508">
                      <a:extLst>
                        <a:ext uri="{28A0092B-C50C-407E-A947-70E740481C1C}"/>
                      </a:extLst>
                    </a:blip>
                    <a:srcRect/>
                    <a:stretch>
                      <a:fillRect/>
                    </a:stretch>
                  </pic:blipFill>
                  <pic:spPr bwMode="auto">
                    <a:xfrm>
                      <a:off x="0" y="0"/>
                      <a:ext cx="6875145" cy="8915400"/>
                    </a:xfrm>
                    <a:prstGeom prst="rect">
                      <a:avLst/>
                    </a:prstGeom>
                    <a:noFill/>
                  </pic:spPr>
                </pic:pic>
              </a:graphicData>
            </a:graphic>
          </wp:anchor>
        </w:drawing>
      </w:r>
    </w:p>
    <w:sectPr>
      <w:pgSz w:w="11900" w:h="16838" w:orient="portrait"/>
      <w:cols w:equalWidth="0" w:num="1">
        <w:col w:w="10139"/>
      </w:cols>
      <w:pgMar w:left="320" w:top="131"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45E6D486"/>
    <w:multiLevelType w:val="hybridMultilevel"/>
    <w:lvl w:ilvl="0">
      <w:lvlJc w:val="left"/>
      <w:lvlText w:val="☐"/>
      <w:numFmt w:val="bullet"/>
      <w:start w:val="1"/>
    </w:lvl>
  </w:abstractNum>
  <w:abstractNum w:abstractNumId="1">
    <w:nsid w:val="5C10FE21"/>
    <w:multiLevelType w:val="hybridMultilevel"/>
    <w:lvl w:ilvl="0">
      <w:lvlJc w:val="left"/>
      <w:lvlText w:val="☑"/>
      <w:numFmt w:val="bullet"/>
      <w:start w:val="1"/>
    </w:lvl>
  </w:abstractNum>
  <w:abstractNum w:abstractNumId="2">
    <w:nsid w:val="E7FFA2B"/>
    <w:multiLevelType w:val="hybridMultilevel"/>
    <w:lvl w:ilvl="0">
      <w:lvlJc w:val="left"/>
      <w:lvlText w:val="☐"/>
      <w:numFmt w:val="bullet"/>
      <w:start w:val="1"/>
    </w:lvl>
  </w:abstractNum>
  <w:abstractNum w:abstractNumId="3">
    <w:nsid w:val="3C5991AA"/>
    <w:multiLevelType w:val="hybridMultilevel"/>
    <w:lvl w:ilvl="0">
      <w:lvlJc w:val="left"/>
      <w:lvlText w:val="☑"/>
      <w:numFmt w:val="bullet"/>
      <w:start w:val="1"/>
    </w:lvl>
  </w:abstractNum>
  <w:abstractNum w:abstractNumId="4">
    <w:nsid w:val="4BD8591A"/>
    <w:multiLevelType w:val="hybridMultilevel"/>
    <w:lvl w:ilvl="0">
      <w:lvlJc w:val="left"/>
      <w:lvlText w:val="☐"/>
      <w:numFmt w:val="bullet"/>
      <w:start w:val="1"/>
    </w:lvl>
    <w:lvl w:ilvl="1">
      <w:lvlJc w:val="left"/>
      <w:lvlText w:val="(%2)"/>
      <w:numFmt w:val="decimal"/>
      <w:start w:val="1"/>
    </w:lvl>
  </w:abstractNum>
  <w:abstractNum w:abstractNumId="5">
    <w:nsid w:val="78DF6A55"/>
    <w:multiLevelType w:val="hybridMultilevel"/>
    <w:lvl w:ilvl="0">
      <w:lvlJc w:val="left"/>
      <w:lvlText w:val="%1."/>
      <w:numFmt w:val="decimal"/>
      <w:start w:val="1"/>
    </w:lvl>
    <w:lvl w:ilvl="1">
      <w:lvlJc w:val="left"/>
      <w:lvlText w:val="%2."/>
      <w:numFmt w:val="lowerLetter"/>
      <w:start w:val="1"/>
    </w:lvl>
  </w:abstractNum>
  <w:abstractNum w:abstractNumId="6">
    <w:nsid w:val="39B7AAA2"/>
    <w:multiLevelType w:val="hybridMultilevel"/>
    <w:lvl w:ilvl="0">
      <w:lvlJc w:val="left"/>
      <w:lvlText w:val="%1."/>
      <w:numFmt w:val="decimal"/>
      <w:start w:val="4"/>
    </w:lvl>
    <w:lvl w:ilvl="1">
      <w:lvlJc w:val="left"/>
      <w:lvlText w:val="(%2)"/>
      <w:numFmt w:val="lowerLetter"/>
      <w:start w:val="1"/>
    </w:lvl>
  </w:abstractNum>
  <w:abstractNum w:abstractNumId="7">
    <w:nsid w:val="2B0D8DBE"/>
    <w:multiLevelType w:val="hybridMultilevel"/>
    <w:lvl w:ilvl="0">
      <w:lvlJc w:val="left"/>
      <w:lvlText w:val="%1"/>
      <w:numFmt w:val="decimal"/>
      <w:start w:val="1"/>
    </w:lvl>
    <w:lvl w:ilvl="1">
      <w:lvlJc w:val="left"/>
      <w:lvlText w:val="(%2)"/>
      <w:numFmt w:val="lowerRoman"/>
      <w:start w:val="1"/>
    </w:lvl>
  </w:abstractNum>
  <w:abstractNum w:abstractNumId="8">
    <w:nsid w:val="6C80EC70"/>
    <w:multiLevelType w:val="hybridMultilevel"/>
    <w:lvl w:ilvl="0">
      <w:lvlJc w:val="left"/>
      <w:lvlText w:val="%1."/>
      <w:numFmt w:val="decimal"/>
      <w:start w:val="5"/>
    </w:lvl>
    <w:lvl w:ilvl="1">
      <w:lvlJc w:val="left"/>
      <w:lvlText w:val="(%2)"/>
      <w:numFmt w:val="lowerRoman"/>
      <w:start w:val="1"/>
    </w:lvl>
  </w:abstractNum>
  <w:abstractNum w:abstractNumId="9">
    <w:nsid w:val="379E21B5"/>
    <w:multiLevelType w:val="hybridMultilevel"/>
    <w:lvl w:ilvl="0">
      <w:lvlJc w:val="left"/>
      <w:lvlText w:val="•"/>
      <w:numFmt w:val="bullet"/>
      <w:start w:val="1"/>
    </w:lvl>
  </w:abstractNum>
  <w:abstractNum w:abstractNumId="10">
    <w:nsid w:val="69E373"/>
    <w:multiLevelType w:val="hybridMultilevel"/>
    <w:lvl w:ilvl="0">
      <w:lvlJc w:val="left"/>
      <w:lvlText w:val="•"/>
      <w:numFmt w:val="bullet"/>
      <w:start w:val="1"/>
    </w:lvl>
  </w:abstractNum>
  <w:abstractNum w:abstractNumId="11">
    <w:nsid w:val="2C27173B"/>
    <w:multiLevelType w:val="hybridMultilevel"/>
    <w:lvl w:ilvl="0">
      <w:lvlJc w:val="left"/>
      <w:lvlText w:val="•"/>
      <w:numFmt w:val="bullet"/>
      <w:start w:val="1"/>
    </w:lvl>
  </w:abstractNum>
  <w:abstractNum w:abstractNumId="12">
    <w:nsid w:val="4C9B0904"/>
    <w:multiLevelType w:val="hybridMultilevel"/>
    <w:lvl w:ilvl="0">
      <w:lvlJc w:val="left"/>
      <w:lvlText w:val="(%1)"/>
      <w:numFmt w:val="lowerRoman"/>
      <w:start w:val="2"/>
    </w:lvl>
  </w:abstractNum>
  <w:abstractNum w:abstractNumId="13">
    <w:nsid w:val="6AA7B75C"/>
    <w:multiLevelType w:val="hybridMultilevel"/>
    <w:lvl w:ilvl="0">
      <w:lvlJc w:val="left"/>
      <w:lvlText w:val="•"/>
      <w:numFmt w:val="bullet"/>
      <w:start w:val="1"/>
    </w:lvl>
  </w:abstractNum>
  <w:abstractNum w:abstractNumId="14">
    <w:nsid w:val="1DF029D3"/>
    <w:multiLevelType w:val="hybridMultilevel"/>
    <w:lvl w:ilvl="0">
      <w:lvlJc w:val="left"/>
      <w:lvlText w:val="•"/>
      <w:numFmt w:val="bullet"/>
      <w:start w:val="1"/>
    </w:lvl>
  </w:abstractNum>
  <w:abstractNum w:abstractNumId="15">
    <w:nsid w:val="5675FF36"/>
    <w:multiLevelType w:val="hybridMultilevel"/>
    <w:lvl w:ilvl="0">
      <w:lvlJc w:val="left"/>
      <w:lvlText w:val="•"/>
      <w:numFmt w:val="bullet"/>
      <w:start w:val="1"/>
    </w:lvl>
  </w:abstractNum>
  <w:abstractNum w:abstractNumId="16">
    <w:nsid w:val="3DD15094"/>
    <w:multiLevelType w:val="hybridMultilevel"/>
    <w:lvl w:ilvl="0">
      <w:lvlJc w:val="left"/>
      <w:lvlText w:val="•"/>
      <w:numFmt w:val="bullet"/>
      <w:start w:val="1"/>
    </w:lvl>
  </w:abstractNum>
  <w:abstractNum w:abstractNumId="17">
    <w:nsid w:val="3DB012B3"/>
    <w:multiLevelType w:val="hybridMultilevel"/>
    <w:lvl w:ilvl="0">
      <w:lvlJc w:val="left"/>
      <w:lvlText w:val="•"/>
      <w:numFmt w:val="bullet"/>
      <w:start w:val="1"/>
    </w:lvl>
  </w:abstractNum>
  <w:abstractNum w:abstractNumId="18">
    <w:nsid w:val="2708C9AF"/>
    <w:multiLevelType w:val="hybridMultilevel"/>
    <w:lvl w:ilvl="0">
      <w:lvlJc w:val="left"/>
      <w:lvlText w:val="•"/>
      <w:numFmt w:val="bullet"/>
      <w:start w:val="1"/>
    </w:lvl>
  </w:abstractNum>
  <w:abstractNum w:abstractNumId="19">
    <w:nsid w:val="5B25ACE2"/>
    <w:multiLevelType w:val="hybridMultilevel"/>
    <w:lvl w:ilvl="0">
      <w:lvlJc w:val="left"/>
      <w:lvlText w:val="•"/>
      <w:numFmt w:val="bullet"/>
      <w:start w:val="1"/>
    </w:lvl>
  </w:abstractNum>
  <w:abstractNum w:abstractNumId="20">
    <w:nsid w:val="175DFCF0"/>
    <w:multiLevelType w:val="hybridMultilevel"/>
    <w:lvl w:ilvl="0">
      <w:lvlJc w:val="left"/>
      <w:lvlText w:val="•"/>
      <w:numFmt w:val="bullet"/>
      <w:start w:val="1"/>
    </w:lvl>
  </w:abstractNum>
  <w:abstractNum w:abstractNumId="21">
    <w:nsid w:val="4F97E3E4"/>
    <w:multiLevelType w:val="hybridMultilevel"/>
    <w:lvl w:ilvl="0">
      <w:lvlJc w:val="left"/>
      <w:lvlText w:val="•"/>
      <w:numFmt w:val="bullet"/>
      <w:start w:val="1"/>
    </w:lvl>
  </w:abstractNum>
  <w:abstractNum w:abstractNumId="22">
    <w:nsid w:val="53B0A9E"/>
    <w:multiLevelType w:val="hybridMultilevel"/>
    <w:lvl w:ilvl="0">
      <w:lvlJc w:val="left"/>
      <w:lvlText w:val="•"/>
      <w:numFmt w:val="bullet"/>
      <w:start w:val="1"/>
    </w:lvl>
  </w:abstractNum>
  <w:abstractNum w:abstractNumId="23">
    <w:nsid w:val="34FD6B4F"/>
    <w:multiLevelType w:val="hybridMultilevel"/>
    <w:lvl w:ilvl="0">
      <w:lvlJc w:val="left"/>
      <w:lvlText w:val="•"/>
      <w:numFmt w:val="bullet"/>
      <w:start w:val="1"/>
    </w:lvl>
  </w:abstractNum>
  <w:abstractNum w:abstractNumId="24">
    <w:nsid w:val="5915FF32"/>
    <w:multiLevelType w:val="hybridMultilevel"/>
    <w:lvl w:ilvl="0">
      <w:lvlJc w:val="left"/>
      <w:lvlText w:val="•"/>
      <w:numFmt w:val="bullet"/>
      <w:start w:val="1"/>
    </w:lvl>
  </w:abstractNum>
  <w:abstractNum w:abstractNumId="25">
    <w:nsid w:val="56438D15"/>
    <w:multiLevelType w:val="hybridMultilevel"/>
    <w:lvl w:ilvl="0">
      <w:lvlJc w:val="left"/>
      <w:lvlText w:val="•"/>
      <w:numFmt w:val="bullet"/>
      <w:start w:val="1"/>
    </w:lvl>
  </w:abstractNum>
  <w:abstractNum w:abstractNumId="26">
    <w:nsid w:val="519E3149"/>
    <w:multiLevelType w:val="hybridMultilevel"/>
    <w:lvl w:ilvl="0">
      <w:lvlJc w:val="left"/>
      <w:lvlText w:val="•"/>
      <w:numFmt w:val="bullet"/>
      <w:start w:val="1"/>
    </w:lvl>
  </w:abstractNum>
  <w:abstractNum w:abstractNumId="27">
    <w:nsid w:val="2C6E4AFD"/>
    <w:multiLevelType w:val="hybridMultilevel"/>
    <w:lvl w:ilvl="0">
      <w:lvlJc w:val="left"/>
      <w:lvlText w:val="•"/>
      <w:numFmt w:val="bullet"/>
      <w:start w:val="1"/>
    </w:lvl>
  </w:abstractNum>
  <w:abstractNum w:abstractNumId="28">
    <w:nsid w:val="17A1B582"/>
    <w:multiLevelType w:val="hybridMultilevel"/>
    <w:lvl w:ilvl="0">
      <w:lvlJc w:val="left"/>
      <w:lvlText w:val="•"/>
      <w:numFmt w:val="bullet"/>
      <w:start w:val="1"/>
    </w:lvl>
  </w:abstractNum>
  <w:abstractNum w:abstractNumId="29">
    <w:nsid w:val="4DF72E4E"/>
    <w:multiLevelType w:val="hybridMultilevel"/>
    <w:lvl w:ilvl="0">
      <w:lvlJc w:val="left"/>
      <w:lvlText w:val="•"/>
      <w:numFmt w:val="bullet"/>
      <w:start w:val="1"/>
    </w:lvl>
  </w:abstractNum>
  <w:abstractNum w:abstractNumId="30">
    <w:nsid w:val="5046B5A9"/>
    <w:multiLevelType w:val="hybridMultilevel"/>
    <w:lvl w:ilvl="0">
      <w:lvlJc w:val="left"/>
      <w:lvlText w:val="•"/>
      <w:numFmt w:val="bullet"/>
      <w:start w:val="1"/>
    </w:lvl>
  </w:abstractNum>
  <w:abstractNum w:abstractNumId="31">
    <w:nsid w:val="5D888A08"/>
    <w:multiLevelType w:val="hybridMultilevel"/>
    <w:lvl w:ilvl="0">
      <w:lvlJc w:val="left"/>
      <w:lvlText w:val="•"/>
      <w:numFmt w:val="bullet"/>
      <w:start w:val="1"/>
    </w:lvl>
  </w:abstractNum>
  <w:abstractNum w:abstractNumId="32">
    <w:nsid w:val="2A082C70"/>
    <w:multiLevelType w:val="hybridMultilevel"/>
    <w:lvl w:ilvl="0">
      <w:lvlJc w:val="left"/>
      <w:lvlText w:val="•"/>
      <w:numFmt w:val="bullet"/>
      <w:start w:val="1"/>
    </w:lvl>
  </w:abstractNum>
  <w:abstractNum w:abstractNumId="33">
    <w:nsid w:val="5EC6AFD4"/>
    <w:multiLevelType w:val="hybridMultilevel"/>
    <w:lvl w:ilvl="0">
      <w:lvlJc w:val="left"/>
      <w:lvlText w:val="•"/>
      <w:numFmt w:val="bullet"/>
      <w:start w:val="1"/>
    </w:lvl>
  </w:abstractNum>
  <w:abstractNum w:abstractNumId="34">
    <w:nsid w:val="19E21BB2"/>
    <w:multiLevelType w:val="hybridMultilevel"/>
    <w:lvl w:ilvl="0">
      <w:lvlJc w:val="left"/>
      <w:lvlText w:val="•"/>
      <w:numFmt w:val="bullet"/>
      <w:start w:val="1"/>
    </w:lvl>
  </w:abstractNum>
  <w:abstractNum w:abstractNumId="35">
    <w:nsid w:val="75E0858A"/>
    <w:multiLevelType w:val="hybridMultilevel"/>
    <w:lvl w:ilvl="0">
      <w:lvlJc w:val="left"/>
      <w:lvlText w:val="•"/>
      <w:numFmt w:val="bullet"/>
      <w:start w:val="1"/>
    </w:lvl>
    <w:lvl w:ilvl="1">
      <w:lvlJc w:val="left"/>
      <w:lvlText w:val="•"/>
      <w:numFmt w:val="bullet"/>
      <w:start w:val="1"/>
    </w:lvl>
  </w:abstractNum>
  <w:abstractNum w:abstractNumId="36">
    <w:nsid w:val="57A61A29"/>
    <w:multiLevelType w:val="hybridMultilevel"/>
    <w:lvl w:ilvl="0">
      <w:lvlJc w:val="left"/>
      <w:lvlText w:val="•"/>
      <w:numFmt w:val="bullet"/>
      <w:start w:val="1"/>
    </w:lvl>
  </w:abstractNum>
  <w:abstractNum w:abstractNumId="37">
    <w:nsid w:val="5399C654"/>
    <w:multiLevelType w:val="hybridMultilevel"/>
    <w:lvl w:ilvl="0">
      <w:lvlJc w:val="left"/>
      <w:lvlText w:val="•"/>
      <w:numFmt w:val="bullet"/>
      <w:start w:val="1"/>
    </w:lvl>
  </w:abstractNum>
  <w:abstractNum w:abstractNumId="38">
    <w:nsid w:val="20EE1348"/>
    <w:multiLevelType w:val="hybridMultilevel"/>
    <w:lvl w:ilvl="0">
      <w:lvlJc w:val="left"/>
      <w:lvlText w:val="•"/>
      <w:numFmt w:val="bullet"/>
      <w:start w:val="1"/>
    </w:lvl>
  </w:abstractNum>
  <w:abstractNum w:abstractNumId="39">
    <w:nsid w:val="4427069A"/>
    <w:multiLevelType w:val="hybridMultilevel"/>
    <w:lvl w:ilvl="0">
      <w:lvlJc w:val="left"/>
      <w:lvlText w:val="•"/>
      <w:numFmt w:val="bullet"/>
      <w:start w:val="1"/>
    </w:lvl>
  </w:abstractNum>
  <w:abstractNum w:abstractNumId="40">
    <w:nsid w:val="B37E80A"/>
    <w:multiLevelType w:val="hybridMultilevel"/>
    <w:lvl w:ilvl="0">
      <w:lvlJc w:val="left"/>
      <w:lvlText w:val="•"/>
      <w:numFmt w:val="bullet"/>
      <w:start w:val="1"/>
    </w:lvl>
  </w:abstractNum>
  <w:abstractNum w:abstractNumId="41">
    <w:nsid w:val="2157F6BC"/>
    <w:multiLevelType w:val="hybridMultilevel"/>
    <w:lvl w:ilvl="0">
      <w:lvlJc w:val="left"/>
      <w:lvlText w:val="•"/>
      <w:numFmt w:val="bullet"/>
      <w:start w:val="1"/>
    </w:lvl>
  </w:abstractNum>
  <w:abstractNum w:abstractNumId="42">
    <w:nsid w:val="704E1DD5"/>
    <w:multiLevelType w:val="hybridMultilevel"/>
    <w:lvl w:ilvl="0">
      <w:lvlJc w:val="left"/>
      <w:lvlText w:val="•"/>
      <w:numFmt w:val="bullet"/>
      <w:start w:val="1"/>
    </w:lvl>
  </w:abstractNum>
  <w:abstractNum w:abstractNumId="43">
    <w:nsid w:val="57D2F10E"/>
    <w:multiLevelType w:val="hybridMultilevel"/>
    <w:lvl w:ilvl="0">
      <w:lvlJc w:val="left"/>
      <w:lvlText w:val="•"/>
      <w:numFmt w:val="bullet"/>
      <w:start w:val="1"/>
    </w:lvl>
    <w:lvl w:ilvl="1">
      <w:lvlJc w:val="left"/>
      <w:lvlText w:val="•"/>
      <w:numFmt w:val="bullet"/>
      <w:start w:val="1"/>
    </w:lvl>
  </w:abstractNum>
  <w:abstractNum w:abstractNumId="44">
    <w:nsid w:val="BFFAE18"/>
    <w:multiLevelType w:val="hybridMultilevel"/>
    <w:lvl w:ilvl="0">
      <w:lvlJc w:val="left"/>
      <w:lvlText w:val="•"/>
      <w:numFmt w:val="bullet"/>
      <w:start w:val="1"/>
    </w:lvl>
  </w:abstractNum>
  <w:abstractNum w:abstractNumId="45">
    <w:nsid w:val="E3E47A8"/>
    <w:multiLevelType w:val="hybridMultilevel"/>
    <w:lvl w:ilvl="0">
      <w:lvlJc w:val="left"/>
      <w:lvlText w:val="•"/>
      <w:numFmt w:val="bullet"/>
      <w:start w:val="1"/>
    </w:lvl>
  </w:abstractNum>
  <w:abstractNum w:abstractNumId="46">
    <w:nsid w:val="2E48F044"/>
    <w:multiLevelType w:val="hybridMultilevel"/>
    <w:lvl w:ilvl="0">
      <w:lvlJc w:val="left"/>
      <w:lvlText w:val="•"/>
      <w:numFmt w:val="bullet"/>
      <w:start w:val="1"/>
    </w:lvl>
  </w:abstractNum>
  <w:abstractNum w:abstractNumId="47">
    <w:nsid w:val="49D0FEAC"/>
    <w:multiLevelType w:val="hybridMultilevel"/>
    <w:lvl w:ilvl="0">
      <w:lvlJc w:val="left"/>
      <w:lvlText w:val="•"/>
      <w:numFmt w:val="bullet"/>
      <w:start w:val="1"/>
    </w:lvl>
  </w:abstractNum>
  <w:abstractNum w:abstractNumId="48">
    <w:nsid w:val="4BEE5A5B"/>
    <w:multiLevelType w:val="hybridMultilevel"/>
    <w:lvl w:ilvl="0">
      <w:lvlJc w:val="left"/>
      <w:lvlText w:val="•"/>
      <w:numFmt w:val="bullet"/>
      <w:start w:val="1"/>
    </w:lvl>
    <w:lvl w:ilvl="1">
      <w:lvlJc w:val="left"/>
      <w:lvlText w:val="•"/>
      <w:numFmt w:val="bullet"/>
      <w:start w:val="1"/>
    </w:lvl>
  </w:abstractNum>
  <w:abstractNum w:abstractNumId="49">
    <w:nsid w:val="5551B9F3"/>
    <w:multiLevelType w:val="hybridMultilevel"/>
    <w:lvl w:ilvl="0">
      <w:lvlJc w:val="left"/>
      <w:lvlText w:val="•"/>
      <w:numFmt w:val="bullet"/>
      <w:start w:val="1"/>
    </w:lvl>
  </w:abstractNum>
  <w:abstractNum w:abstractNumId="50">
    <w:nsid w:val="24F6AB8E"/>
    <w:multiLevelType w:val="hybridMultilevel"/>
    <w:lvl w:ilvl="0">
      <w:lvlJc w:val="left"/>
      <w:lvlText w:val="(%1)"/>
      <w:numFmt w:val="decimal"/>
      <w:start w:val="1"/>
    </w:lvl>
  </w:abstractNum>
  <w:abstractNum w:abstractNumId="51">
    <w:nsid w:val="634C574C"/>
    <w:multiLevelType w:val="hybridMultilevel"/>
    <w:lvl w:ilvl="0">
      <w:lvlJc w:val="left"/>
      <w:lvlText w:val="•"/>
      <w:numFmt w:val="bullet"/>
      <w:start w:val="1"/>
    </w:lvl>
  </w:abstractNum>
  <w:abstractNum w:abstractNumId="52">
    <w:nsid w:val="24E99DD7"/>
    <w:multiLevelType w:val="hybridMultilevel"/>
    <w:lvl w:ilvl="0">
      <w:lvlJc w:val="left"/>
      <w:lvlText w:val="•"/>
      <w:numFmt w:val="bullet"/>
      <w:start w:val="1"/>
    </w:lvl>
  </w:abstractNum>
  <w:abstractNum w:abstractNumId="53">
    <w:nsid w:val="2A31B62D"/>
    <w:multiLevelType w:val="hybridMultilevel"/>
    <w:lvl w:ilvl="0">
      <w:lvlJc w:val="left"/>
      <w:lvlText w:val="•"/>
      <w:numFmt w:val="bullet"/>
      <w:start w:val="1"/>
    </w:lvl>
  </w:abstractNum>
  <w:abstractNum w:abstractNumId="54">
    <w:nsid w:val="1849C29B"/>
    <w:multiLevelType w:val="hybridMultilevel"/>
    <w:lvl w:ilvl="0">
      <w:lvlJc w:val="left"/>
      <w:lvlText w:val="(%1)"/>
      <w:numFmt w:val="decimal"/>
      <w:start w:val="1"/>
    </w:lvl>
  </w:abstractNum>
  <w:abstractNum w:abstractNumId="55">
    <w:nsid w:val="7DFF9D09"/>
    <w:multiLevelType w:val="hybridMultilevel"/>
    <w:lvl w:ilvl="0">
      <w:lvlJc w:val="left"/>
      <w:lvlText w:val="(%1)"/>
      <w:numFmt w:val="decimal"/>
      <w:start w:val="1"/>
    </w:lvl>
  </w:abstractNum>
  <w:abstractNum w:abstractNumId="56">
    <w:nsid w:val="754342"/>
    <w:multiLevelType w:val="hybridMultilevel"/>
    <w:lvl w:ilvl="0">
      <w:lvlJc w:val="left"/>
      <w:lvlText w:val="(%1)"/>
      <w:numFmt w:val="decimal"/>
      <w:start w:val="1"/>
    </w:lvl>
  </w:abstractNum>
  <w:abstractNum w:abstractNumId="57">
    <w:nsid w:val="69E7F3E5"/>
    <w:multiLevelType w:val="hybridMultilevel"/>
    <w:lvl w:ilvl="0">
      <w:lvlJc w:val="left"/>
      <w:lvlText w:val="(%1)"/>
      <w:numFmt w:val="decimal"/>
      <w:start w:val="1"/>
    </w:lvl>
  </w:abstractNum>
  <w:abstractNum w:abstractNumId="58">
    <w:nsid w:val="2A6DE806"/>
    <w:multiLevelType w:val="hybridMultilevel"/>
    <w:lvl w:ilvl="0">
      <w:lvlJc w:val="left"/>
      <w:lvlText w:val="•"/>
      <w:numFmt w:val="bullet"/>
      <w:start w:val="1"/>
    </w:lvl>
  </w:abstractNum>
  <w:abstractNum w:abstractNumId="59">
    <w:nsid w:val="1816F8C4"/>
    <w:multiLevelType w:val="hybridMultilevel"/>
    <w:lvl w:ilvl="0">
      <w:lvlJc w:val="left"/>
      <w:lvlText w:val="•"/>
      <w:numFmt w:val="bullet"/>
      <w:start w:val="1"/>
    </w:lvl>
  </w:abstractNum>
  <w:abstractNum w:abstractNumId="60">
    <w:nsid w:val="37DF2233"/>
    <w:multiLevelType w:val="hybridMultilevel"/>
    <w:lvl w:ilvl="0">
      <w:lvlJc w:val="left"/>
      <w:lvlText w:val="(%1)"/>
      <w:numFmt w:val="decimal"/>
      <w:start w:val="1"/>
    </w:lvl>
  </w:abstractNum>
  <w:abstractNum w:abstractNumId="61">
    <w:nsid w:val="7AB49DAF"/>
    <w:multiLevelType w:val="hybridMultilevel"/>
    <w:lvl w:ilvl="0">
      <w:lvlJc w:val="left"/>
      <w:lvlText w:val="(%1)"/>
      <w:numFmt w:val="decimal"/>
      <w:start w:val="1"/>
    </w:lvl>
  </w:abstractNum>
  <w:abstractNum w:abstractNumId="62">
    <w:nsid w:val="759F82CD"/>
    <w:multiLevelType w:val="hybridMultilevel"/>
    <w:lvl w:ilvl="0">
      <w:lvlJc w:val="left"/>
      <w:lvlText w:val="(%1)"/>
      <w:numFmt w:val="lowerLetter"/>
      <w:start w:val="1"/>
    </w:lvl>
  </w:abstractNum>
  <w:abstractNum w:abstractNumId="63">
    <w:nsid w:val="61E74EA3"/>
    <w:multiLevelType w:val="hybridMultilevel"/>
    <w:lvl w:ilvl="0">
      <w:lvlJc w:val="left"/>
      <w:lvlText w:val="(%1)"/>
      <w:numFmt w:val="lowerLetter"/>
      <w:start w:val="4"/>
    </w:lvl>
  </w:abstractNum>
  <w:abstractNum w:abstractNumId="64">
    <w:nsid w:val="597B4D84"/>
    <w:multiLevelType w:val="hybridMultilevel"/>
    <w:lvl w:ilvl="0">
      <w:lvlJc w:val="left"/>
      <w:lvlText w:val="(%1)"/>
      <w:numFmt w:val="decimal"/>
      <w:start w:val="1"/>
    </w:lvl>
  </w:abstractNum>
  <w:abstractNum w:abstractNumId="65">
    <w:nsid w:val="F819E7F"/>
    <w:multiLevelType w:val="hybridMultilevel"/>
    <w:lvl w:ilvl="0">
      <w:lvlJc w:val="left"/>
      <w:lvlText w:val="(%1)"/>
      <w:numFmt w:val="decimal"/>
      <w:start w:val="1"/>
    </w:lvl>
  </w:abstractNum>
  <w:abstractNum w:abstractNumId="66">
    <w:nsid w:val="57C7D42D"/>
    <w:multiLevelType w:val="hybridMultilevel"/>
    <w:lvl w:ilvl="0">
      <w:lvlJc w:val="left"/>
      <w:lvlText w:val="(%1)"/>
      <w:numFmt w:val="decimal"/>
      <w:start w:val="16"/>
    </w:lvl>
  </w:abstractNum>
  <w:abstractNum w:abstractNumId="67">
    <w:nsid w:val="312167AD"/>
    <w:multiLevelType w:val="hybridMultilevel"/>
    <w:lvl w:ilvl="0">
      <w:lvlJc w:val="left"/>
      <w:lvlText w:val="(%1)"/>
      <w:numFmt w:val="decimal"/>
      <w:start w:val="1"/>
    </w:lvl>
  </w:abstractNum>
  <w:abstractNum w:abstractNumId="68">
    <w:nsid w:val="631B64D4"/>
    <w:multiLevelType w:val="hybridMultilevel"/>
    <w:lvl w:ilvl="0">
      <w:lvlJc w:val="left"/>
      <w:lvlText w:val="(%1)"/>
      <w:numFmt w:val="decimal"/>
      <w:start w:val="1"/>
    </w:lvl>
  </w:abstractNum>
  <w:abstractNum w:abstractNumId="69">
    <w:nsid w:val="78B5E776"/>
    <w:multiLevelType w:val="hybridMultilevel"/>
    <w:lvl w:ilvl="0">
      <w:lvlJc w:val="left"/>
      <w:lvlText w:val="(%1)"/>
      <w:numFmt w:val="decimal"/>
      <w:start w:val="3"/>
    </w:lvl>
  </w:abstractNum>
  <w:abstractNum w:abstractNumId="70">
    <w:nsid w:val="75486E47"/>
    <w:multiLevelType w:val="hybridMultilevel"/>
    <w:lvl w:ilvl="0">
      <w:lvlJc w:val="left"/>
      <w:lvlText w:val="(%1)"/>
      <w:numFmt w:val="decimal"/>
      <w:start w:val="1"/>
    </w:lvl>
  </w:abstractNum>
  <w:abstractNum w:abstractNumId="71">
    <w:nsid w:val="6E534CDE"/>
    <w:multiLevelType w:val="hybridMultilevel"/>
    <w:lvl w:ilvl="0">
      <w:lvlJc w:val="left"/>
      <w:lvlText w:val="(%1)"/>
      <w:numFmt w:val="decimal"/>
      <w:start w:val="1"/>
    </w:lvl>
  </w:abstractNum>
  <w:abstractNum w:abstractNumId="72">
    <w:nsid w:val="1A0DDE32"/>
    <w:multiLevelType w:val="hybridMultilevel"/>
    <w:lvl w:ilvl="0">
      <w:lvlJc w:val="left"/>
      <w:lvlText w:val="(%1)"/>
      <w:numFmt w:val="decimal"/>
      <w:start w:val="5"/>
    </w:lvl>
  </w:abstractNum>
  <w:abstractNum w:abstractNumId="73">
    <w:nsid w:val="65968C1C"/>
    <w:multiLevelType w:val="hybridMultilevel"/>
    <w:lvl w:ilvl="0">
      <w:lvlJc w:val="left"/>
      <w:lvlText w:val="(%1)"/>
      <w:numFmt w:val="decimal"/>
      <w:start w:val="1"/>
    </w:lvl>
  </w:abstractNum>
  <w:abstractNum w:abstractNumId="74">
    <w:nsid w:val="46263DEC"/>
    <w:multiLevelType w:val="hybridMultilevel"/>
    <w:lvl w:ilvl="0">
      <w:lvlJc w:val="left"/>
      <w:lvlText w:val="(%1)"/>
      <w:numFmt w:val="decimal"/>
      <w:start w:val="1"/>
    </w:lvl>
  </w:abstractNum>
  <w:abstractNum w:abstractNumId="75">
    <w:nsid w:val="260D8C4A"/>
    <w:multiLevelType w:val="hybridMultilevel"/>
    <w:lvl w:ilvl="0">
      <w:lvlJc w:val="left"/>
      <w:lvlText w:val="\endash "/>
      <w:numFmt w:val="bullet"/>
      <w:start w:val="1"/>
    </w:lvl>
  </w:abstractNum>
  <w:abstractNum w:abstractNumId="76">
    <w:nsid w:val="73D4D3C4"/>
    <w:multiLevelType w:val="hybridMultilevel"/>
    <w:lvl w:ilvl="0">
      <w:lvlJc w:val="left"/>
      <w:lvlText w:val="%1."/>
      <w:numFmt w:val="decimal"/>
      <w:start w:val="1"/>
    </w:lvl>
    <w:lvl w:ilvl="1">
      <w:lvlJc w:val="left"/>
      <w:lvlText w:val="•"/>
      <w:numFmt w:val="bullet"/>
      <w:start w:val="1"/>
    </w:lvl>
  </w:abstractNum>
  <w:abstractNum w:abstractNumId="77">
    <w:nsid w:val="746F2E30"/>
    <w:multiLevelType w:val="hybridMultilevel"/>
    <w:lvl w:ilvl="0">
      <w:lvlJc w:val="left"/>
      <w:lvlText w:val="%1."/>
      <w:numFmt w:val="decimal"/>
      <w:start w:val="2"/>
    </w:lvl>
    <w:lvl w:ilvl="1">
      <w:lvlJc w:val="left"/>
      <w:lvlText w:val="•"/>
      <w:numFmt w:val="bullet"/>
      <w:start w:val="1"/>
    </w:lvl>
  </w:abstractNum>
  <w:abstractNum w:abstractNumId="78">
    <w:nsid w:val="6FDE8AF6"/>
    <w:multiLevelType w:val="hybridMultilevel"/>
    <w:lvl w:ilvl="0">
      <w:lvlJc w:val="left"/>
      <w:lvlText w:val="•"/>
      <w:numFmt w:val="bullet"/>
      <w:start w:val="1"/>
    </w:lvl>
    <w:lvl w:ilvl="1">
      <w:lvlJc w:val="left"/>
      <w:lvlText w:val="•"/>
      <w:numFmt w:val="bullet"/>
      <w:start w:val="1"/>
    </w:lvl>
  </w:abstractNum>
  <w:abstractNum w:abstractNumId="79">
    <w:nsid w:val="3FC32E20"/>
    <w:multiLevelType w:val="hybridMultilevel"/>
    <w:lvl w:ilvl="0">
      <w:lvlJc w:val="left"/>
      <w:lvlText w:val="(%1)"/>
      <w:numFmt w:val="decimal"/>
      <w:start w:val="1"/>
    </w:lvl>
  </w:abstractNum>
  <w:abstractNum w:abstractNumId="80">
    <w:nsid w:val="49C0E823"/>
    <w:multiLevelType w:val="hybridMultilevel"/>
    <w:lvl w:ilvl="0">
      <w:lvlJc w:val="left"/>
      <w:lvlText w:val="•"/>
      <w:numFmt w:val="bullet"/>
      <w:start w:val="1"/>
    </w:lvl>
  </w:abstractNum>
  <w:abstractNum w:abstractNumId="81">
    <w:nsid w:val="14D53685"/>
    <w:multiLevelType w:val="hybridMultilevel"/>
    <w:lvl w:ilvl="0">
      <w:lvlJc w:val="left"/>
      <w:lvlText w:val="•"/>
      <w:numFmt w:val="bullet"/>
      <w:start w:val="1"/>
    </w:lvl>
  </w:abstractNum>
  <w:abstractNum w:abstractNumId="82">
    <w:nsid w:val="230F856C"/>
    <w:multiLevelType w:val="hybridMultilevel"/>
    <w:lvl w:ilvl="0">
      <w:lvlJc w:val="left"/>
      <w:lvlText w:val="(%1)"/>
      <w:numFmt w:val="decimal"/>
      <w:start w:val="1"/>
    </w:lvl>
  </w:abstractNum>
  <w:abstractNum w:abstractNumId="83">
    <w:nsid w:val="6EAA85FB"/>
    <w:multiLevelType w:val="hybridMultilevel"/>
    <w:lvl w:ilvl="0">
      <w:lvlJc w:val="left"/>
      <w:lvlText w:val="1"/>
      <w:numFmt w:val="bullet"/>
      <w:start w:val="1"/>
    </w:lvl>
  </w:abstractNum>
  <w:abstractNum w:abstractNumId="84">
    <w:nsid w:val="3F06ECB2"/>
    <w:multiLevelType w:val="hybridMultilevel"/>
    <w:lvl w:ilvl="0">
      <w:lvlJc w:val="left"/>
      <w:lvlText w:val="•"/>
      <w:numFmt w:val="bullet"/>
      <w:start w:val="1"/>
    </w:lvl>
  </w:abstractNum>
  <w:abstractNum w:abstractNumId="85">
    <w:nsid w:val="3B594807"/>
    <w:multiLevelType w:val="hybridMultilevel"/>
    <w:lvl w:ilvl="0">
      <w:lvlJc w:val="left"/>
      <w:lvlText w:val="*"/>
      <w:numFmt w:val="bullet"/>
      <w:start w:val="1"/>
    </w:lvl>
  </w:abstractNum>
  <w:abstractNum w:abstractNumId="86">
    <w:nsid w:val="6CAA2304"/>
    <w:multiLevelType w:val="hybridMultilevel"/>
    <w:lvl w:ilvl="0">
      <w:lvlJc w:val="left"/>
      <w:lvlText w:val="(%1)"/>
      <w:numFmt w:val="decimal"/>
      <w:start w:val="1"/>
    </w:lvl>
  </w:abstractNum>
  <w:abstractNum w:abstractNumId="87">
    <w:nsid w:val="3F7C2FF4"/>
    <w:multiLevelType w:val="hybridMultilevel"/>
    <w:lvl w:ilvl="0">
      <w:lvlJc w:val="left"/>
      <w:lvlText w:val="(%1)"/>
      <w:numFmt w:val="decimal"/>
      <w:start w:val="2"/>
    </w:lvl>
  </w:abstractNum>
  <w:abstractNum w:abstractNumId="88">
    <w:nsid w:val="25413BEC"/>
    <w:multiLevelType w:val="hybridMultilevel"/>
    <w:lvl w:ilvl="0">
      <w:lvlJc w:val="left"/>
      <w:lvlText w:val="•"/>
      <w:numFmt w:val="bullet"/>
      <w:start w:val="1"/>
    </w:lvl>
  </w:abstractNum>
  <w:abstractNum w:abstractNumId="89">
    <w:nsid w:val="17180B0B"/>
    <w:multiLevelType w:val="hybridMultilevel"/>
    <w:lvl w:ilvl="0">
      <w:lvlJc w:val="left"/>
      <w:lvlText w:val="•"/>
      <w:numFmt w:val="bullet"/>
      <w:start w:val="1"/>
    </w:lvl>
  </w:abstractNum>
  <w:abstractNum w:abstractNumId="90">
    <w:nsid w:val="579328B9"/>
    <w:multiLevelType w:val="hybridMultilevel"/>
    <w:lvl w:ilvl="0">
      <w:lvlJc w:val="left"/>
      <w:lvlText w:val="•"/>
      <w:numFmt w:val="bullet"/>
      <w:start w:val="1"/>
    </w:lvl>
  </w:abstractNum>
  <w:abstractNum w:abstractNumId="91">
    <w:nsid w:val="5D205E20"/>
    <w:multiLevelType w:val="hybridMultilevel"/>
    <w:lvl w:ilvl="0">
      <w:lvlJc w:val="left"/>
      <w:lvlText w:val="%1."/>
      <w:numFmt w:val="decimal"/>
      <w:start w:val="1"/>
    </w:lvl>
  </w:abstractNum>
  <w:abstractNum w:abstractNumId="92">
    <w:nsid w:val="11CCA8BA"/>
    <w:multiLevelType w:val="hybridMultilevel"/>
    <w:lvl w:ilvl="0">
      <w:lvlJc w:val="left"/>
      <w:lvlText w:val="(%1)"/>
      <w:numFmt w:val="lowerLetter"/>
      <w:start w:val="1"/>
    </w:lvl>
  </w:abstractNum>
  <w:abstractNum w:abstractNumId="93">
    <w:nsid w:val="4D32AB86"/>
    <w:multiLevelType w:val="hybridMultilevel"/>
    <w:lvl w:ilvl="0">
      <w:lvlJc w:val="left"/>
      <w:lvlText w:val="(%1)"/>
      <w:numFmt w:val="lowerLetter"/>
      <w:start w:val="12"/>
    </w:lvl>
  </w:abstractNum>
  <w:abstractNum w:abstractNumId="94">
    <w:nsid w:val="3F07ACC3"/>
    <w:multiLevelType w:val="hybridMultilevel"/>
    <w:lvl w:ilvl="0">
      <w:lvlJc w:val="left"/>
      <w:lvlText w:val="%1."/>
      <w:numFmt w:val="decimal"/>
      <w:start w:val="3"/>
    </w:lvl>
  </w:abstractNum>
  <w:abstractNum w:abstractNumId="95">
    <w:nsid w:val="6B47F63E"/>
    <w:multiLevelType w:val="hybridMultilevel"/>
    <w:lvl w:ilvl="0">
      <w:lvlJc w:val="left"/>
      <w:lvlText w:val="(%1)"/>
      <w:numFmt w:val="lowerLetter"/>
      <w:start w:val="1"/>
    </w:lvl>
  </w:abstractNum>
  <w:abstractNum w:abstractNumId="96">
    <w:nsid w:val="5CB44A05"/>
    <w:multiLevelType w:val="hybridMultilevel"/>
    <w:lvl w:ilvl="0">
      <w:lvlJc w:val="left"/>
      <w:lvlText w:val="(%1)"/>
      <w:numFmt w:val="lowerLetter"/>
      <w:start w:val="1"/>
    </w:lvl>
  </w:abstractNum>
  <w:abstractNum w:abstractNumId="97">
    <w:nsid w:val="16CF80F1"/>
    <w:multiLevelType w:val="hybridMultilevel"/>
    <w:lvl w:ilvl="0">
      <w:lvlJc w:val="left"/>
      <w:lvlText w:val="(%1)"/>
      <w:numFmt w:val="lowerLetter"/>
      <w:start w:val="1"/>
    </w:lvl>
  </w:abstractNum>
  <w:abstractNum w:abstractNumId="98">
    <w:nsid w:val="1C695DEC"/>
    <w:multiLevelType w:val="hybridMultilevel"/>
    <w:lvl w:ilvl="0">
      <w:lvlJc w:val="left"/>
      <w:lvlText w:val="%1."/>
      <w:numFmt w:val="decimal"/>
      <w:start w:val="5"/>
    </w:lvl>
  </w:abstractNum>
  <w:abstractNum w:abstractNumId="99">
    <w:nsid w:val="3FCFAED9"/>
    <w:multiLevelType w:val="hybridMultilevel"/>
    <w:lvl w:ilvl="0">
      <w:lvlJc w:val="left"/>
      <w:lvlText w:val="(%1)"/>
      <w:numFmt w:val="lowerLetter"/>
      <w:start w:val="1"/>
    </w:lvl>
  </w:abstractNum>
  <w:abstractNum w:abstractNumId="100">
    <w:nsid w:val="F856867"/>
    <w:multiLevelType w:val="hybridMultilevel"/>
    <w:lvl w:ilvl="0">
      <w:lvlJc w:val="left"/>
      <w:lvlText w:val="(%1)"/>
      <w:numFmt w:val="lowerLetter"/>
      <w:start w:val="1"/>
    </w:lvl>
  </w:abstractNum>
  <w:abstractNum w:abstractNumId="101">
    <w:nsid w:val="11B1CC33"/>
    <w:multiLevelType w:val="hybridMultilevel"/>
    <w:lvl w:ilvl="0">
      <w:lvlJc w:val="left"/>
      <w:lvlText w:val="(%1)"/>
      <w:numFmt w:val="lowerLetter"/>
      <w:start w:val="2"/>
    </w:lvl>
  </w:abstractNum>
  <w:abstractNum w:abstractNumId="102">
    <w:nsid w:val="2E22FBB7"/>
    <w:multiLevelType w:val="hybridMultilevel"/>
    <w:lvl w:ilvl="0">
      <w:lvlJc w:val="left"/>
      <w:lvlText w:val="%1."/>
      <w:numFmt w:val="decimal"/>
      <w:start w:val="6"/>
    </w:lvl>
  </w:abstractNum>
  <w:abstractNum w:abstractNumId="103">
    <w:nsid w:val="29934699"/>
    <w:multiLevelType w:val="hybridMultilevel"/>
    <w:lvl w:ilvl="0">
      <w:lvlJc w:val="left"/>
      <w:lvlText w:val="(%1)"/>
      <w:numFmt w:val="lowerLetter"/>
      <w:start w:val="1"/>
    </w:lvl>
  </w:abstractNum>
  <w:abstractNum w:abstractNumId="104">
    <w:nsid w:val="77485850"/>
    <w:multiLevelType w:val="hybridMultilevel"/>
    <w:lvl w:ilvl="0">
      <w:lvlJc w:val="left"/>
      <w:lvlText w:val="%1"/>
      <w:numFmt w:val="decimal"/>
      <w:start w:val="1"/>
    </w:lvl>
    <w:lvl w:ilvl="1">
      <w:lvlJc w:val="left"/>
      <w:lvlText w:val="(%2)"/>
      <w:numFmt w:val="lowerLetter"/>
      <w:start w:val="1"/>
    </w:lvl>
  </w:abstractNum>
  <w:abstractNum w:abstractNumId="105">
    <w:nsid w:val="744939A3"/>
    <w:multiLevelType w:val="hybridMultilevel"/>
    <w:lvl w:ilvl="0">
      <w:lvlJc w:val="left"/>
      <w:lvlText w:val="%1."/>
      <w:numFmt w:val="decimal"/>
      <w:start w:val="7"/>
    </w:lvl>
    <w:lvl w:ilvl="1">
      <w:lvlJc w:val="left"/>
      <w:lvlText w:val="%2"/>
      <w:numFmt w:val="lowerLetter"/>
      <w:start w:val="1"/>
    </w:lvl>
  </w:abstractNum>
  <w:abstractNum w:abstractNumId="106">
    <w:nsid w:val="4FA0D2E3"/>
    <w:multiLevelType w:val="hybridMultilevel"/>
    <w:lvl w:ilvl="0">
      <w:lvlJc w:val="left"/>
      <w:lvlText w:val="(%1)"/>
      <w:numFmt w:val="lowerLetter"/>
      <w:start w:val="1"/>
    </w:lvl>
  </w:abstractNum>
  <w:abstractNum w:abstractNumId="107">
    <w:nsid w:val="6B1D2C14"/>
    <w:multiLevelType w:val="hybridMultilevel"/>
    <w:lvl w:ilvl="0">
      <w:lvlJc w:val="left"/>
      <w:lvlText w:val="%1."/>
      <w:numFmt w:val="decimal"/>
      <w:start w:val="8"/>
    </w:lvl>
  </w:abstractNum>
  <w:abstractNum w:abstractNumId="108">
    <w:nsid w:val="68B867D3"/>
    <w:multiLevelType w:val="hybridMultilevel"/>
    <w:lvl w:ilvl="0">
      <w:lvlJc w:val="left"/>
      <w:lvlText w:val="%1."/>
      <w:numFmt w:val="decimal"/>
      <w:start w:val="9"/>
    </w:lvl>
  </w:abstractNum>
  <w:abstractNum w:abstractNumId="109">
    <w:nsid w:val="3F7F5DD9"/>
    <w:multiLevelType w:val="hybridMultilevel"/>
    <w:lvl w:ilvl="0">
      <w:lvlJc w:val="left"/>
      <w:lvlText w:val="%1."/>
      <w:numFmt w:val="decimal"/>
      <w:start w:val="10"/>
    </w:lvl>
  </w:abstractNum>
  <w:abstractNum w:abstractNumId="110">
    <w:nsid w:val="2AE05A34"/>
    <w:multiLevelType w:val="hybridMultilevel"/>
    <w:lvl w:ilvl="0">
      <w:lvlJc w:val="left"/>
      <w:lvlText w:val="%1."/>
      <w:numFmt w:val="decimal"/>
      <w:start w:val="11"/>
    </w:lvl>
  </w:abstractNum>
  <w:abstractNum w:abstractNumId="111">
    <w:nsid w:val="32794FF7"/>
    <w:multiLevelType w:val="hybridMultilevel"/>
    <w:lvl w:ilvl="0">
      <w:lvlJc w:val="left"/>
      <w:lvlText w:val="(%1)"/>
      <w:numFmt w:val="lowerLetter"/>
      <w:start w:val="1"/>
    </w:lvl>
    <w:lvl w:ilvl="1">
      <w:lvlJc w:val="left"/>
      <w:lvlText w:val="(%2)"/>
      <w:numFmt w:val="lowerRoman"/>
      <w:start w:val="1"/>
    </w:lvl>
  </w:abstractNum>
  <w:abstractNum w:abstractNumId="112">
    <w:nsid w:val="5454945E"/>
    <w:multiLevelType w:val="hybridMultilevel"/>
    <w:lvl w:ilvl="0">
      <w:lvlJc w:val="left"/>
      <w:lvlText w:val="%1."/>
      <w:numFmt w:val="decimal"/>
      <w:start w:val="12"/>
    </w:lvl>
  </w:abstractNum>
  <w:abstractNum w:abstractNumId="113">
    <w:nsid w:val="4DEFDFA0"/>
    <w:multiLevelType w:val="hybridMultilevel"/>
    <w:lvl w:ilvl="0">
      <w:lvlJc w:val="left"/>
      <w:lvlText w:val="(%1)"/>
      <w:numFmt w:val="lowerLetter"/>
      <w:start w:val="1"/>
    </w:lvl>
  </w:abstractNum>
  <w:abstractNum w:abstractNumId="114">
    <w:nsid w:val="2123D5F2"/>
    <w:multiLevelType w:val="hybridMultilevel"/>
    <w:lvl w:ilvl="0">
      <w:lvlJc w:val="left"/>
      <w:lvlText w:val="%1."/>
      <w:numFmt w:val="decimal"/>
      <w:start w:val="13"/>
    </w:lvl>
  </w:abstractNum>
  <w:abstractNum w:abstractNumId="115">
    <w:nsid w:val="135B8110"/>
    <w:multiLevelType w:val="hybridMultilevel"/>
    <w:lvl w:ilvl="0">
      <w:lvlJc w:val="left"/>
      <w:lvlText w:val="(%1)"/>
      <w:numFmt w:val="lowerLetter"/>
      <w:start w:val="1"/>
    </w:lvl>
  </w:abstractNum>
  <w:abstractNum w:abstractNumId="116">
    <w:nsid w:val="94927A8"/>
    <w:multiLevelType w:val="hybridMultilevel"/>
    <w:lvl w:ilvl="0">
      <w:lvlJc w:val="left"/>
      <w:lvlText w:val="(%1)"/>
      <w:numFmt w:val="lowerLetter"/>
      <w:start w:val="1"/>
    </w:lvl>
  </w:abstractNum>
  <w:abstractNum w:abstractNumId="117">
    <w:nsid w:val="DCDF8F6"/>
    <w:multiLevelType w:val="hybridMultilevel"/>
    <w:lvl w:ilvl="0">
      <w:lvlJc w:val="left"/>
      <w:lvlText w:val="(%1)"/>
      <w:numFmt w:val="lowerLetter"/>
      <w:start w:val="1"/>
    </w:lvl>
  </w:abstractNum>
  <w:abstractNum w:abstractNumId="118">
    <w:nsid w:val="52D7B105"/>
    <w:multiLevelType w:val="hybridMultilevel"/>
    <w:lvl w:ilvl="0">
      <w:lvlJc w:val="left"/>
      <w:lvlText w:val="%1."/>
      <w:numFmt w:val="decimal"/>
      <w:start w:val="15"/>
    </w:lvl>
  </w:abstractNum>
  <w:abstractNum w:abstractNumId="119">
    <w:nsid w:val="2E8A6394"/>
    <w:multiLevelType w:val="hybridMultilevel"/>
    <w:lvl w:ilvl="0">
      <w:lvlJc w:val="left"/>
      <w:lvlText w:val="(%1)"/>
      <w:numFmt w:val="lowerLetter"/>
      <w:start w:val="1"/>
    </w:lvl>
  </w:abstractNum>
  <w:abstractNum w:abstractNumId="120">
    <w:nsid w:val="24E60401"/>
    <w:multiLevelType w:val="hybridMultilevel"/>
    <w:lvl w:ilvl="0">
      <w:lvlJc w:val="left"/>
      <w:lvlText w:val="%1."/>
      <w:numFmt w:val="decimal"/>
      <w:start w:val="16"/>
    </w:lvl>
  </w:abstractNum>
  <w:abstractNum w:abstractNumId="121">
    <w:nsid w:val="2A6AD9BE"/>
    <w:multiLevelType w:val="hybridMultilevel"/>
    <w:lvl w:ilvl="0">
      <w:lvlJc w:val="left"/>
      <w:lvlText w:val="(%1)"/>
      <w:numFmt w:val="lowerLetter"/>
      <w:start w:val="1"/>
    </w:lvl>
  </w:abstractNum>
  <w:abstractNum w:abstractNumId="122">
    <w:nsid w:val="BAAC1B4"/>
    <w:multiLevelType w:val="hybridMultilevel"/>
    <w:lvl w:ilvl="0">
      <w:lvlJc w:val="left"/>
      <w:lvlText w:val="%1."/>
      <w:numFmt w:val="decimal"/>
      <w:start w:val="17"/>
    </w:lvl>
  </w:abstractNum>
  <w:abstractNum w:abstractNumId="123">
    <w:nsid w:val="36B2ACBC"/>
    <w:multiLevelType w:val="hybridMultilevel"/>
    <w:lvl w:ilvl="0">
      <w:lvlJc w:val="left"/>
      <w:lvlText w:val="(%1)"/>
      <w:numFmt w:val="lowerLetter"/>
      <w:start w:val="1"/>
    </w:lvl>
  </w:abstractNum>
  <w:abstractNum w:abstractNumId="124">
    <w:nsid w:val="779D8544"/>
    <w:multiLevelType w:val="hybridMultilevel"/>
    <w:lvl w:ilvl="0">
      <w:lvlJc w:val="left"/>
      <w:lvlText w:val="%1."/>
      <w:numFmt w:val="decimal"/>
      <w:start w:val="18"/>
    </w:lvl>
  </w:abstractNum>
  <w:abstractNum w:abstractNumId="125">
    <w:nsid w:val="4AB26E78"/>
    <w:multiLevelType w:val="hybridMultilevel"/>
    <w:lvl w:ilvl="0">
      <w:lvlJc w:val="left"/>
      <w:lvlText w:val="(%1)"/>
      <w:numFmt w:val="lowerLetter"/>
      <w:start w:val="1"/>
    </w:lvl>
  </w:abstractNum>
  <w:abstractNum w:abstractNumId="126">
    <w:nsid w:val="21FAA2FA"/>
    <w:multiLevelType w:val="hybridMultilevel"/>
    <w:lvl w:ilvl="0">
      <w:lvlJc w:val="left"/>
      <w:lvlText w:val="(%1)"/>
      <w:numFmt w:val="lowerLetter"/>
      <w:start w:val="1"/>
    </w:lvl>
  </w:abstractNum>
  <w:abstractNum w:abstractNumId="127">
    <w:nsid w:val="5451CF49"/>
    <w:multiLevelType w:val="hybridMultilevel"/>
    <w:lvl w:ilvl="0">
      <w:lvlJc w:val="left"/>
      <w:lvlText w:val="(%1)"/>
      <w:numFmt w:val="lowerLetter"/>
      <w:start w:val="1"/>
    </w:lvl>
  </w:abstractNum>
  <w:abstractNum w:abstractNumId="128">
    <w:nsid w:val="6181EF69"/>
    <w:multiLevelType w:val="hybridMultilevel"/>
    <w:lvl w:ilvl="0">
      <w:lvlJc w:val="left"/>
      <w:lvlText w:val="(%1)"/>
      <w:numFmt w:val="lowerLetter"/>
      <w:start w:val="1"/>
    </w:lvl>
  </w:abstractNum>
  <w:abstractNum w:abstractNumId="129">
    <w:nsid w:val="3E6400E6"/>
    <w:multiLevelType w:val="hybridMultilevel"/>
    <w:lvl w:ilvl="0">
      <w:lvlJc w:val="left"/>
      <w:lvlText w:val="(%1)"/>
      <w:numFmt w:val="lowerLetter"/>
      <w:start w:val="2"/>
    </w:lvl>
  </w:abstractNum>
  <w:abstractNum w:abstractNumId="130">
    <w:nsid w:val="14217E23"/>
    <w:multiLevelType w:val="hybridMultilevel"/>
    <w:lvl w:ilvl="0">
      <w:lvlJc w:val="left"/>
      <w:lvlText w:val="(%1)"/>
      <w:numFmt w:val="lowerLetter"/>
      <w:start w:val="1"/>
    </w:lvl>
    <w:lvl w:ilvl="1">
      <w:lvlJc w:val="left"/>
      <w:lvlText w:val="(%2)"/>
      <w:numFmt w:val="lowerRoman"/>
      <w:start w:val="1"/>
    </w:lvl>
  </w:abstractNum>
  <w:abstractNum w:abstractNumId="131">
    <w:nsid w:val="710757D0"/>
    <w:multiLevelType w:val="hybridMultilevel"/>
    <w:lvl w:ilvl="0">
      <w:lvlJc w:val="left"/>
      <w:lvlText w:val="%1."/>
      <w:numFmt w:val="decimal"/>
      <w:start w:val="19"/>
    </w:lvl>
  </w:abstractNum>
  <w:abstractNum w:abstractNumId="132">
    <w:nsid w:val="5015CD1A"/>
    <w:multiLevelType w:val="hybridMultilevel"/>
    <w:lvl w:ilvl="0">
      <w:lvlJc w:val="left"/>
      <w:lvlText w:val="(%1)"/>
      <w:numFmt w:val="lowerLetter"/>
      <w:start w:val="1"/>
    </w:lvl>
  </w:abstractNum>
  <w:abstractNum w:abstractNumId="133">
    <w:nsid w:val="424479DA"/>
    <w:multiLevelType w:val="hybridMultilevel"/>
    <w:lvl w:ilvl="0">
      <w:lvlJc w:val="left"/>
      <w:lvlText w:val="(%1)"/>
      <w:numFmt w:val="lowerLetter"/>
      <w:start w:val="1"/>
    </w:lvl>
  </w:abstractNum>
  <w:abstractNum w:abstractNumId="134">
    <w:nsid w:val="1A9A9E69"/>
    <w:multiLevelType w:val="hybridMultilevel"/>
    <w:lvl w:ilvl="0">
      <w:lvlJc w:val="left"/>
      <w:lvlText w:val="%1."/>
      <w:numFmt w:val="decimal"/>
      <w:start w:val="20"/>
    </w:lvl>
  </w:abstractNum>
  <w:abstractNum w:abstractNumId="135">
    <w:nsid w:val="475E256A"/>
    <w:multiLevelType w:val="hybridMultilevel"/>
    <w:lvl w:ilvl="0">
      <w:lvlJc w:val="left"/>
      <w:lvlText w:val="(%1)"/>
      <w:numFmt w:val="lowerLetter"/>
      <w:start w:val="1"/>
    </w:lvl>
    <w:lvl w:ilvl="1">
      <w:lvlJc w:val="left"/>
      <w:lvlText w:val="(%2)"/>
      <w:numFmt w:val="lowerRoman"/>
      <w:start w:val="1"/>
    </w:lvl>
  </w:abstractNum>
  <w:abstractNum w:abstractNumId="136">
    <w:nsid w:val="368DB37E"/>
    <w:multiLevelType w:val="hybridMultilevel"/>
    <w:lvl w:ilvl="0">
      <w:lvlJc w:val="left"/>
      <w:lvlText w:val="(%1)"/>
      <w:numFmt w:val="lowerLetter"/>
      <w:start w:val="1"/>
    </w:lvl>
  </w:abstractNum>
  <w:abstractNum w:abstractNumId="137">
    <w:nsid w:val="6A3B714C"/>
    <w:multiLevelType w:val="hybridMultilevel"/>
    <w:lvl w:ilvl="0">
      <w:lvlJc w:val="left"/>
      <w:lvlText w:val="%1."/>
      <w:numFmt w:val="decimal"/>
      <w:start w:val="21"/>
    </w:lvl>
  </w:abstractNum>
  <w:abstractNum w:abstractNumId="138">
    <w:nsid w:val="327B517E"/>
    <w:multiLevelType w:val="hybridMultilevel"/>
    <w:lvl w:ilvl="0">
      <w:lvlJc w:val="left"/>
      <w:lvlText w:val="(%1)"/>
      <w:numFmt w:val="lowerLetter"/>
      <w:start w:val="1"/>
    </w:lvl>
    <w:lvl w:ilvl="1">
      <w:lvlJc w:val="left"/>
      <w:lvlText w:val="(%2)"/>
      <w:numFmt w:val="lowerRoman"/>
      <w:start w:val="1"/>
    </w:lvl>
    <w:lvl w:ilvl="2">
      <w:lvlJc w:val="left"/>
      <w:lvlText w:val="(%3)"/>
      <w:numFmt w:val="upperLetter"/>
      <w:start w:val="1"/>
    </w:lvl>
  </w:abstractNum>
  <w:abstractNum w:abstractNumId="139">
    <w:nsid w:val="1F461B51"/>
    <w:multiLevelType w:val="hybridMultilevel"/>
    <w:lvl w:ilvl="0">
      <w:lvlJc w:val="left"/>
      <w:lvlText w:val="(%1)"/>
      <w:numFmt w:val="lowerLetter"/>
      <w:start w:val="1"/>
    </w:lvl>
  </w:abstractNum>
  <w:abstractNum w:abstractNumId="140">
    <w:nsid w:val="29BACF25"/>
    <w:multiLevelType w:val="hybridMultilevel"/>
    <w:lvl w:ilvl="0">
      <w:lvlJc w:val="left"/>
      <w:lvlText w:val="(%1)"/>
      <w:numFmt w:val="lowerLetter"/>
      <w:start w:val="1"/>
    </w:lvl>
    <w:lvl w:ilvl="1">
      <w:lvlJc w:val="left"/>
      <w:lvlText w:val="(%2)"/>
      <w:numFmt w:val="lowerRoman"/>
      <w:start w:val="1"/>
    </w:lvl>
  </w:abstractNum>
  <w:abstractNum w:abstractNumId="141">
    <w:nsid w:val="5D5BABB3"/>
    <w:multiLevelType w:val="hybridMultilevel"/>
    <w:lvl w:ilvl="0">
      <w:lvlJc w:val="left"/>
      <w:lvlText w:val="(%1)"/>
      <w:numFmt w:val="lowerRoman"/>
      <w:start w:val="1"/>
    </w:lvl>
  </w:abstractNum>
  <w:abstractNum w:abstractNumId="142">
    <w:nsid w:val="51BF6B48"/>
    <w:multiLevelType w:val="hybridMultilevel"/>
    <w:lvl w:ilvl="0">
      <w:lvlJc w:val="left"/>
      <w:lvlText w:val="%1."/>
      <w:numFmt w:val="decimal"/>
      <w:start w:val="22"/>
    </w:lvl>
  </w:abstractNum>
  <w:abstractNum w:abstractNumId="143">
    <w:nsid w:val="7E0F6384"/>
    <w:multiLevelType w:val="hybridMultilevel"/>
    <w:lvl w:ilvl="0">
      <w:lvlJc w:val="left"/>
      <w:lvlText w:val="(%1)"/>
      <w:numFmt w:val="lowerLetter"/>
      <w:start w:val="1"/>
    </w:lvl>
    <w:lvl w:ilvl="1">
      <w:lvlJc w:val="left"/>
      <w:lvlText w:val="(%2)"/>
      <w:numFmt w:val="lowerRoman"/>
      <w:start w:val="1"/>
    </w:lvl>
    <w:lvl w:ilvl="2">
      <w:lvlJc w:val="left"/>
      <w:lvlText w:val="(%3)"/>
      <w:numFmt w:val="upperLetter"/>
      <w:start w:val="1"/>
    </w:lvl>
  </w:abstractNum>
  <w:abstractNum w:abstractNumId="144">
    <w:nsid w:val="2B4B8B53"/>
    <w:multiLevelType w:val="hybridMultilevel"/>
    <w:lvl w:ilvl="0">
      <w:lvlJc w:val="left"/>
      <w:lvlText w:val="(%1)"/>
      <w:numFmt w:val="lowerLetter"/>
      <w:start w:val="1"/>
    </w:lvl>
  </w:abstractNum>
  <w:abstractNum w:abstractNumId="145">
    <w:nsid w:val="72E3413A"/>
    <w:multiLevelType w:val="hybridMultilevel"/>
    <w:lvl w:ilvl="0">
      <w:lvlJc w:val="left"/>
      <w:lvlText w:val="(%1)"/>
      <w:numFmt w:val="lowerLetter"/>
      <w:start w:val="2"/>
    </w:lvl>
  </w:abstractNum>
  <w:abstractNum w:abstractNumId="146">
    <w:nsid w:val="116AE494"/>
    <w:multiLevelType w:val="hybridMultilevel"/>
    <w:lvl w:ilvl="0">
      <w:lvlJc w:val="left"/>
      <w:lvlText w:val="(%1)"/>
      <w:numFmt w:val="lowerLetter"/>
      <w:start w:val="1"/>
    </w:lvl>
    <w:lvl w:ilvl="1">
      <w:lvlJc w:val="left"/>
      <w:lvlText w:val="(%2)"/>
      <w:numFmt w:val="lowerRoman"/>
      <w:start w:val="1"/>
    </w:lvl>
  </w:abstractNum>
  <w:abstractNum w:abstractNumId="147">
    <w:nsid w:val="3494B2FB"/>
    <w:multiLevelType w:val="hybridMultilevel"/>
    <w:lvl w:ilvl="0">
      <w:lvlJc w:val="left"/>
      <w:lvlText w:val="(%1)"/>
      <w:numFmt w:val="lowerLetter"/>
      <w:start w:val="2"/>
    </w:lvl>
    <w:lvl w:ilvl="1">
      <w:lvlJc w:val="left"/>
      <w:lvlText w:val="(%2)"/>
      <w:numFmt w:val="lowerRoman"/>
      <w:start w:val="1"/>
    </w:lvl>
  </w:abstractNum>
  <w:abstractNum w:abstractNumId="148">
    <w:nsid w:val="B13A31"/>
    <w:multiLevelType w:val="hybridMultilevel"/>
    <w:lvl w:ilvl="0">
      <w:lvlJc w:val="left"/>
      <w:lvlText w:val="(%1)"/>
      <w:numFmt w:val="lowerLetter"/>
      <w:start w:val="1"/>
    </w:lvl>
  </w:abstractNum>
  <w:abstractNum w:abstractNumId="149">
    <w:nsid w:val="64429599"/>
    <w:multiLevelType w:val="hybridMultilevel"/>
    <w:lvl w:ilvl="0">
      <w:lvlJc w:val="left"/>
      <w:lvlText w:val="(%1)"/>
      <w:numFmt w:val="lowerLetter"/>
      <w:start w:val="1"/>
    </w:lvl>
  </w:abstractNum>
  <w:abstractNum w:abstractNumId="150">
    <w:nsid w:val="631F1690"/>
    <w:multiLevelType w:val="hybridMultilevel"/>
    <w:lvl w:ilvl="0">
      <w:lvlJc w:val="left"/>
      <w:lvlText w:val="(%1)"/>
      <w:numFmt w:val="lowerLetter"/>
      <w:start w:val="1"/>
    </w:lvl>
  </w:abstractNum>
  <w:abstractNum w:abstractNumId="151">
    <w:nsid w:val="25973E32"/>
    <w:multiLevelType w:val="hybridMultilevel"/>
    <w:lvl w:ilvl="0">
      <w:lvlJc w:val="left"/>
      <w:lvlText w:val="%1."/>
      <w:numFmt w:val="decimal"/>
      <w:start w:val="23"/>
    </w:lvl>
  </w:abstractNum>
  <w:abstractNum w:abstractNumId="152">
    <w:nsid w:val="EAD6F57"/>
    <w:multiLevelType w:val="hybridMultilevel"/>
    <w:lvl w:ilvl="0">
      <w:lvlJc w:val="left"/>
      <w:lvlText w:val="%1."/>
      <w:numFmt w:val="decimal"/>
      <w:start w:val="24"/>
    </w:lvl>
  </w:abstractNum>
  <w:abstractNum w:abstractNumId="153">
    <w:nsid w:val="6EC9D844"/>
    <w:multiLevelType w:val="hybridMultilevel"/>
    <w:lvl w:ilvl="0">
      <w:lvlJc w:val="left"/>
      <w:lvlText w:val="(%1)"/>
      <w:numFmt w:val="lowerLetter"/>
      <w:start w:val="1"/>
    </w:lvl>
  </w:abstractNum>
  <w:abstractNum w:abstractNumId="154">
    <w:nsid w:val="5C49EAEE"/>
    <w:multiLevelType w:val="hybridMultilevel"/>
    <w:lvl w:ilvl="0">
      <w:lvlJc w:val="left"/>
      <w:lvlText w:val="(%1)"/>
      <w:numFmt w:val="lowerLetter"/>
      <w:start w:val="1"/>
    </w:lvl>
  </w:abstractNum>
  <w:abstractNum w:abstractNumId="155">
    <w:nsid w:val="64AF49B"/>
    <w:multiLevelType w:val="hybridMultilevel"/>
    <w:lvl w:ilvl="0">
      <w:lvlJc w:val="left"/>
      <w:lvlText w:val="(%1)"/>
      <w:numFmt w:val="lowerLetter"/>
      <w:start w:val="1"/>
    </w:lvl>
  </w:abstractNum>
  <w:abstractNum w:abstractNumId="156">
    <w:nsid w:val="397C46BC"/>
    <w:multiLevelType w:val="hybridMultilevel"/>
    <w:lvl w:ilvl="0">
      <w:lvlJc w:val="left"/>
      <w:lvlText w:val="(%1)"/>
      <w:numFmt w:val="lowerLetter"/>
      <w:start w:val="1"/>
    </w:lvl>
    <w:lvl w:ilvl="1">
      <w:lvlJc w:val="left"/>
      <w:lvlText w:val="(%2)"/>
      <w:numFmt w:val="lowerRoman"/>
      <w:start w:val="1"/>
    </w:lvl>
  </w:abstractNum>
  <w:abstractNum w:abstractNumId="157">
    <w:nsid w:val="7E448DE9"/>
    <w:multiLevelType w:val="hybridMultilevel"/>
    <w:lvl w:ilvl="0">
      <w:lvlJc w:val="left"/>
      <w:lvlText w:val="(%1)"/>
      <w:numFmt w:val="lowerLetter"/>
      <w:start w:val="1"/>
    </w:lvl>
  </w:abstractNum>
  <w:abstractNum w:abstractNumId="158">
    <w:nsid w:val="5A9CC3E5"/>
    <w:multiLevelType w:val="hybridMultilevel"/>
    <w:lvl w:ilvl="0">
      <w:lvlJc w:val="left"/>
      <w:lvlText w:val="(%1)"/>
      <w:numFmt w:val="lowerLetter"/>
      <w:start w:val="2"/>
    </w:lvl>
  </w:abstractNum>
  <w:abstractNum w:abstractNumId="159">
    <w:nsid w:val="1AFE3625"/>
    <w:multiLevelType w:val="hybridMultilevel"/>
    <w:lvl w:ilvl="0">
      <w:lvlJc w:val="left"/>
      <w:lvlText w:val="(%1)"/>
      <w:numFmt w:val="lowerRoman"/>
      <w:start w:val="1"/>
    </w:lvl>
  </w:abstractNum>
  <w:abstractNum w:abstractNumId="160">
    <w:nsid w:val="3CA88ECF"/>
    <w:multiLevelType w:val="hybridMultilevel"/>
    <w:lvl w:ilvl="0">
      <w:lvlJc w:val="left"/>
      <w:lvlText w:val="(%1)"/>
      <w:numFmt w:val="lowerLetter"/>
      <w:start w:val="3"/>
    </w:lvl>
  </w:abstractNum>
  <w:abstractNum w:abstractNumId="161">
    <w:nsid w:val="6EBE4208"/>
    <w:multiLevelType w:val="hybridMultilevel"/>
    <w:lvl w:ilvl="0">
      <w:lvlJc w:val="left"/>
      <w:lvlText w:val="(%1)"/>
      <w:numFmt w:val="lowerLetter"/>
      <w:start w:val="1"/>
    </w:lvl>
  </w:abstractNum>
  <w:abstractNum w:abstractNumId="162">
    <w:nsid w:val="C058DF5"/>
    <w:multiLevelType w:val="hybridMultilevel"/>
    <w:lvl w:ilvl="0">
      <w:lvlJc w:val="left"/>
      <w:lvlText w:val="%1."/>
      <w:numFmt w:val="decimal"/>
      <w:start w:val="25"/>
    </w:lvl>
  </w:abstractNum>
  <w:abstractNum w:abstractNumId="163">
    <w:nsid w:val="CBE5BE9"/>
    <w:multiLevelType w:val="hybridMultilevel"/>
    <w:lvl w:ilvl="0">
      <w:lvlJc w:val="left"/>
      <w:lvlText w:val="%1."/>
      <w:numFmt w:val="decimal"/>
      <w:start w:val="26"/>
    </w:lvl>
  </w:abstractNum>
  <w:abstractNum w:abstractNumId="164">
    <w:nsid w:val="3102BBE2"/>
    <w:multiLevelType w:val="hybridMultilevel"/>
    <w:lvl w:ilvl="0">
      <w:lvlJc w:val="left"/>
      <w:lvlText w:val="%1."/>
      <w:numFmt w:val="decimal"/>
      <w:start w:val="28"/>
    </w:lvl>
  </w:abstractNum>
  <w:abstractNum w:abstractNumId="165">
    <w:nsid w:val="26A02C5E"/>
    <w:multiLevelType w:val="hybridMultilevel"/>
    <w:lvl w:ilvl="0">
      <w:lvlJc w:val="left"/>
      <w:lvlText w:val="%1."/>
      <w:numFmt w:val="decimal"/>
      <w:start w:val="29"/>
    </w:lvl>
  </w:abstractNum>
  <w:abstractNum w:abstractNumId="166">
    <w:nsid w:val="541C8153"/>
    <w:multiLevelType w:val="hybridMultilevel"/>
    <w:lvl w:ilvl="0">
      <w:lvlJc w:val="left"/>
      <w:lvlText w:val="(%1)"/>
      <w:numFmt w:val="lowerLetter"/>
      <w:start w:val="1"/>
    </w:lvl>
  </w:abstractNum>
  <w:abstractNum w:abstractNumId="167">
    <w:nsid w:val="67906F60"/>
    <w:multiLevelType w:val="hybridMultilevel"/>
    <w:lvl w:ilvl="0">
      <w:lvlJc w:val="left"/>
      <w:lvlText w:val="%1."/>
      <w:numFmt w:val="decimal"/>
      <w:start w:val="30"/>
    </w:lvl>
    <w:lvl w:ilvl="1">
      <w:lvlJc w:val="left"/>
      <w:lvlText w:val="(%2)"/>
      <w:numFmt w:val="lowerLetter"/>
      <w:start w:val="1"/>
    </w:lvl>
  </w:abstractNum>
  <w:abstractNum w:abstractNumId="168">
    <w:nsid w:val="10DB9DAA"/>
    <w:multiLevelType w:val="hybridMultilevel"/>
    <w:lvl w:ilvl="0">
      <w:lvlJc w:val="left"/>
      <w:lvlText w:val="(%1)"/>
      <w:numFmt w:val="lowerLetter"/>
      <w:start w:val="6"/>
    </w:lvl>
  </w:abstractNum>
  <w:abstractNum w:abstractNumId="169">
    <w:nsid w:val="697D2D2"/>
    <w:multiLevelType w:val="hybridMultilevel"/>
    <w:lvl w:ilvl="0">
      <w:lvlJc w:val="left"/>
      <w:lvlText w:val="%1."/>
      <w:numFmt w:val="decimal"/>
      <w:start w:val="31"/>
    </w:lvl>
  </w:abstractNum>
  <w:abstractNum w:abstractNumId="170">
    <w:nsid w:val="6D68AB2"/>
    <w:multiLevelType w:val="hybridMultilevel"/>
    <w:lvl w:ilvl="0">
      <w:lvlJc w:val="left"/>
      <w:lvlText w:val="%1."/>
      <w:numFmt w:val="decimal"/>
      <w:start w:val="32"/>
    </w:lvl>
  </w:abstractNum>
  <w:abstractNum w:abstractNumId="171">
    <w:nsid w:val="3A966CD0"/>
    <w:multiLevelType w:val="hybridMultilevel"/>
    <w:lvl w:ilvl="0">
      <w:lvlJc w:val="left"/>
      <w:lvlText w:val="(%1)"/>
      <w:numFmt w:val="lowerLetter"/>
      <w:start w:val="1"/>
    </w:lvl>
  </w:abstractNum>
  <w:abstractNum w:abstractNumId="172">
    <w:nsid w:val="63F37E85"/>
    <w:multiLevelType w:val="hybridMultilevel"/>
    <w:lvl w:ilvl="0">
      <w:lvlJc w:val="left"/>
      <w:lvlText w:val="(%1)"/>
      <w:numFmt w:val="lowerRoman"/>
      <w:start w:val="1"/>
    </w:lvl>
  </w:abstractNum>
  <w:abstractNum w:abstractNumId="173">
    <w:nsid w:val="5895F5FA"/>
    <w:multiLevelType w:val="hybridMultilevel"/>
    <w:lvl w:ilvl="0">
      <w:lvlJc w:val="left"/>
      <w:lvlText w:val="(%1)"/>
      <w:numFmt w:val="lowerLetter"/>
      <w:start w:val="1"/>
    </w:lvl>
  </w:abstractNum>
  <w:abstractNum w:abstractNumId="174">
    <w:nsid w:val="38A5D054"/>
    <w:multiLevelType w:val="hybridMultilevel"/>
    <w:lvl w:ilvl="0">
      <w:lvlJc w:val="left"/>
      <w:lvlText w:val="(%1)"/>
      <w:numFmt w:val="lowerLetter"/>
      <w:start w:val="3"/>
    </w:lvl>
    <w:lvl w:ilvl="1">
      <w:lvlJc w:val="left"/>
      <w:lvlText w:val="(%2)"/>
      <w:numFmt w:val="lowerRoman"/>
      <w:start w:val="1"/>
    </w:lvl>
  </w:abstractNum>
  <w:abstractNum w:abstractNumId="175">
    <w:nsid w:val="F3F09D8"/>
    <w:multiLevelType w:val="hybridMultilevel"/>
    <w:lvl w:ilvl="0">
      <w:lvlJc w:val="left"/>
      <w:lvlText w:val="(%1)"/>
      <w:numFmt w:val="lowerLetter"/>
      <w:start w:val="1"/>
    </w:lvl>
  </w:abstractNum>
  <w:abstractNum w:abstractNumId="176">
    <w:nsid w:val="4B793735"/>
    <w:multiLevelType w:val="hybridMultilevel"/>
    <w:lvl w:ilvl="0">
      <w:lvlJc w:val="left"/>
      <w:lvlText w:val="(%1)"/>
      <w:numFmt w:val="lowerLetter"/>
      <w:start w:val="1"/>
    </w:lvl>
  </w:abstractNum>
  <w:abstractNum w:abstractNumId="177">
    <w:nsid w:val="4A10B4E8"/>
    <w:multiLevelType w:val="hybridMultilevel"/>
    <w:lvl w:ilvl="0">
      <w:lvlJc w:val="left"/>
      <w:lvlText w:val="(%1)"/>
      <w:numFmt w:val="lowerLetter"/>
      <w:start w:val="1"/>
    </w:lvl>
  </w:abstractNum>
  <w:abstractNum w:abstractNumId="178">
    <w:nsid w:val="43D3BCD4"/>
    <w:multiLevelType w:val="hybridMultilevel"/>
    <w:lvl w:ilvl="0">
      <w:lvlJc w:val="left"/>
      <w:lvlText w:val="(%1)"/>
      <w:numFmt w:val="lowerLetter"/>
      <w:start w:val="1"/>
    </w:lvl>
  </w:abstractNum>
  <w:abstractNum w:abstractNumId="179">
    <w:nsid w:val="4C2A7166"/>
    <w:multiLevelType w:val="hybridMultilevel"/>
    <w:lvl w:ilvl="0">
      <w:lvlJc w:val="left"/>
      <w:lvlText w:val="(%1)"/>
      <w:numFmt w:val="lowerLetter"/>
      <w:start w:val="1"/>
    </w:lvl>
  </w:abstractNum>
  <w:abstractNum w:abstractNumId="180">
    <w:nsid w:val="2E534A82"/>
    <w:multiLevelType w:val="hybridMultilevel"/>
    <w:lvl w:ilvl="0">
      <w:lvlJc w:val="left"/>
      <w:lvlText w:val="%1"/>
      <w:numFmt w:val="decimal"/>
      <w:start w:val="1"/>
    </w:lvl>
    <w:lvl w:ilvl="1">
      <w:lvlJc w:val="left"/>
      <w:lvlText w:val="(%2)"/>
      <w:numFmt w:val="lowerLetter"/>
      <w:start w:val="2"/>
    </w:lvl>
  </w:abstractNum>
  <w:abstractNum w:abstractNumId="181">
    <w:nsid w:val="26F2D364"/>
    <w:multiLevelType w:val="hybridMultilevel"/>
    <w:lvl w:ilvl="0">
      <w:lvlJc w:val="left"/>
      <w:lvlText w:val="%1."/>
      <w:numFmt w:val="decimal"/>
      <w:start w:val="33"/>
    </w:lvl>
    <w:lvl w:ilvl="1">
      <w:lvlJc w:val="left"/>
      <w:lvlText w:val="%2"/>
      <w:numFmt w:val="lowerLetter"/>
      <w:start w:val="1"/>
    </w:lvl>
  </w:abstractNum>
  <w:abstractNum w:abstractNumId="182">
    <w:nsid w:val="71C1AF98"/>
    <w:multiLevelType w:val="hybridMultilevel"/>
    <w:lvl w:ilvl="0">
      <w:lvlJc w:val="left"/>
      <w:lvlText w:val="(%1)"/>
      <w:numFmt w:val="lowerLetter"/>
      <w:start w:val="1"/>
    </w:lvl>
  </w:abstractNum>
  <w:abstractNum w:abstractNumId="183">
    <w:nsid w:val="3D00B9D9"/>
    <w:multiLevelType w:val="hybridMultilevel"/>
    <w:lvl w:ilvl="0">
      <w:lvlJc w:val="left"/>
      <w:lvlText w:val="%1."/>
      <w:numFmt w:val="decimal"/>
      <w:start w:val="34"/>
    </w:lvl>
  </w:abstractNum>
  <w:abstractNum w:abstractNumId="184">
    <w:nsid w:val="15BCABA8"/>
    <w:multiLevelType w:val="hybridMultilevel"/>
    <w:lvl w:ilvl="0">
      <w:lvlJc w:val="left"/>
      <w:lvlText w:val="(%1)"/>
      <w:numFmt w:val="lowerLetter"/>
      <w:start w:val="1"/>
    </w:lvl>
  </w:abstractNum>
  <w:abstractNum w:abstractNumId="185">
    <w:nsid w:val="4E0B9A87"/>
    <w:multiLevelType w:val="hybridMultilevel"/>
    <w:lvl w:ilvl="0">
      <w:lvlJc w:val="left"/>
      <w:lvlText w:val="%1."/>
      <w:numFmt w:val="decimal"/>
      <w:start w:val="35"/>
    </w:lvl>
  </w:abstractNum>
  <w:abstractNum w:abstractNumId="186">
    <w:nsid w:val="434BAE75"/>
    <w:multiLevelType w:val="hybridMultilevel"/>
    <w:lvl w:ilvl="0">
      <w:lvlJc w:val="left"/>
      <w:lvlText w:val="(%1)"/>
      <w:numFmt w:val="lowerLetter"/>
      <w:start w:val="1"/>
    </w:lvl>
  </w:abstractNum>
  <w:abstractNum w:abstractNumId="187">
    <w:nsid w:val="4F38F265"/>
    <w:multiLevelType w:val="hybridMultilevel"/>
    <w:lvl w:ilvl="0">
      <w:lvlJc w:val="left"/>
      <w:lvlText w:val="%1."/>
      <w:numFmt w:val="decimal"/>
      <w:start w:val="37"/>
    </w:lvl>
  </w:abstractNum>
  <w:abstractNum w:abstractNumId="188">
    <w:nsid w:val="4C502870"/>
    <w:multiLevelType w:val="hybridMultilevel"/>
    <w:lvl w:ilvl="0">
      <w:lvlJc w:val="left"/>
      <w:lvlText w:val="(%1)"/>
      <w:numFmt w:val="lowerLetter"/>
      <w:start w:val="1"/>
    </w:lvl>
  </w:abstractNum>
  <w:abstractNum w:abstractNumId="189">
    <w:nsid w:val="1DE8725A"/>
    <w:multiLevelType w:val="hybridMultilevel"/>
    <w:lvl w:ilvl="0">
      <w:lvlJc w:val="left"/>
      <w:lvlText w:val="%1."/>
      <w:numFmt w:val="decimal"/>
      <w:start w:val="38"/>
    </w:lvl>
  </w:abstractNum>
  <w:abstractNum w:abstractNumId="190">
    <w:nsid w:val="6A37288A"/>
    <w:multiLevelType w:val="hybridMultilevel"/>
    <w:lvl w:ilvl="0">
      <w:lvlJc w:val="left"/>
      <w:lvlText w:val="(%1)"/>
      <w:numFmt w:val="lowerLetter"/>
      <w:start w:val="1"/>
    </w:lvl>
  </w:abstractNum>
  <w:abstractNum w:abstractNumId="191">
    <w:nsid w:val="8F8B73F"/>
    <w:multiLevelType w:val="hybridMultilevel"/>
    <w:lvl w:ilvl="0">
      <w:lvlJc w:val="left"/>
      <w:lvlText w:val="(%1)"/>
      <w:numFmt w:val="lowerLetter"/>
      <w:start w:val="1"/>
    </w:lvl>
  </w:abstractNum>
  <w:abstractNum w:abstractNumId="192">
    <w:nsid w:val="CA6B462"/>
    <w:multiLevelType w:val="hybridMultilevel"/>
    <w:lvl w:ilvl="0">
      <w:lvlJc w:val="left"/>
      <w:lvlText w:val="(%1)"/>
      <w:numFmt w:val="lowerLetter"/>
      <w:start w:val="1"/>
    </w:lvl>
  </w:abstractNum>
  <w:abstractNum w:abstractNumId="193">
    <w:nsid w:val="763CB680"/>
    <w:multiLevelType w:val="hybridMultilevel"/>
    <w:lvl w:ilvl="0">
      <w:lvlJc w:val="left"/>
      <w:lvlText w:val="(%1)"/>
      <w:numFmt w:val="lowerLetter"/>
      <w:start w:val="1"/>
    </w:lvl>
  </w:abstractNum>
  <w:abstractNum w:abstractNumId="194">
    <w:nsid w:val="15B71329"/>
    <w:multiLevelType w:val="hybridMultilevel"/>
    <w:lvl w:ilvl="0">
      <w:lvlJc w:val="left"/>
      <w:lvlText w:val="(%1)"/>
      <w:numFmt w:val="lowerLetter"/>
      <w:start w:val="1"/>
    </w:lvl>
  </w:abstractNum>
  <w:abstractNum w:abstractNumId="195">
    <w:nsid w:val="3DA97044"/>
    <w:multiLevelType w:val="hybridMultilevel"/>
    <w:lvl w:ilvl="0">
      <w:lvlJc w:val="left"/>
      <w:lvlText w:val="%1."/>
      <w:numFmt w:val="decimal"/>
      <w:start w:val="39"/>
    </w:lvl>
  </w:abstractNum>
  <w:abstractNum w:abstractNumId="196">
    <w:nsid w:val="1CDCE2DE"/>
    <w:multiLevelType w:val="hybridMultilevel"/>
    <w:lvl w:ilvl="0">
      <w:lvlJc w:val="left"/>
      <w:lvlText w:val="(%1)"/>
      <w:numFmt w:val="lowerLetter"/>
      <w:start w:val="1"/>
    </w:lvl>
  </w:abstractNum>
  <w:abstractNum w:abstractNumId="197">
    <w:nsid w:val="69D3947C"/>
    <w:multiLevelType w:val="hybridMultilevel"/>
    <w:lvl w:ilvl="0">
      <w:lvlJc w:val="left"/>
      <w:lvlText w:val="(%1)"/>
      <w:numFmt w:val="lowerRoman"/>
      <w:start w:val="1"/>
    </w:lvl>
  </w:abstractNum>
  <w:abstractNum w:abstractNumId="198">
    <w:nsid w:val="2539DFA5"/>
    <w:multiLevelType w:val="hybridMultilevel"/>
    <w:lvl w:ilvl="0">
      <w:lvlJc w:val="left"/>
      <w:lvlText w:val="%1"/>
      <w:numFmt w:val="decimal"/>
      <w:start w:val="1"/>
    </w:lvl>
    <w:lvl w:ilvl="1">
      <w:lvlJc w:val="left"/>
      <w:lvlText w:val="(%2)"/>
      <w:numFmt w:val="lowerLetter"/>
      <w:start w:val="2"/>
    </w:lvl>
  </w:abstractNum>
  <w:abstractNum w:abstractNumId="199">
    <w:nsid w:val="2DB88089"/>
    <w:multiLevelType w:val="hybridMultilevel"/>
    <w:lvl w:ilvl="0">
      <w:lvlJc w:val="left"/>
      <w:lvlText w:val="%1."/>
      <w:numFmt w:val="decimal"/>
      <w:start w:val="40"/>
    </w:lvl>
    <w:lvl w:ilvl="1">
      <w:lvlJc w:val="left"/>
      <w:lvlText w:val="%2"/>
      <w:numFmt w:val="lowerLetter"/>
      <w:start w:val="1"/>
    </w:lvl>
  </w:abstractNum>
  <w:abstractNum w:abstractNumId="200">
    <w:nsid w:val="706B674E"/>
    <w:multiLevelType w:val="hybridMultilevel"/>
    <w:lvl w:ilvl="0">
      <w:lvlJc w:val="left"/>
      <w:lvlText w:val="(%1)"/>
      <w:numFmt w:val="lowerLetter"/>
      <w:start w:val="1"/>
    </w:lvl>
  </w:abstractNum>
  <w:abstractNum w:abstractNumId="201">
    <w:nsid w:val="2C106A57"/>
    <w:multiLevelType w:val="hybridMultilevel"/>
    <w:lvl w:ilvl="0">
      <w:lvlJc w:val="left"/>
      <w:lvlText w:val="(%1)"/>
      <w:numFmt w:val="lowerLetter"/>
      <w:start w:val="2"/>
    </w:lvl>
    <w:lvl w:ilvl="1">
      <w:lvlJc w:val="left"/>
      <w:lvlText w:val="(%2)"/>
      <w:numFmt w:val="lowerRoman"/>
      <w:start w:val="1"/>
    </w:lvl>
  </w:abstractNum>
  <w:abstractNum w:abstractNumId="202">
    <w:nsid w:val="684EED59"/>
    <w:multiLevelType w:val="hybridMultilevel"/>
    <w:lvl w:ilvl="0">
      <w:lvlJc w:val="left"/>
      <w:lvlText w:val="(%1)"/>
      <w:numFmt w:val="lowerLetter"/>
      <w:start w:val="7"/>
    </w:lvl>
  </w:abstractNum>
  <w:abstractNum w:abstractNumId="203">
    <w:nsid w:val="545EE5D3"/>
    <w:multiLevelType w:val="hybridMultilevel"/>
    <w:lvl w:ilvl="0">
      <w:lvlJc w:val="left"/>
      <w:lvlText w:val="(%1)"/>
      <w:numFmt w:val="lowerLetter"/>
      <w:start w:val="1"/>
    </w:lvl>
  </w:abstractNum>
  <w:abstractNum w:abstractNumId="204">
    <w:nsid w:val="4A66051"/>
    <w:multiLevelType w:val="hybridMultilevel"/>
    <w:lvl w:ilvl="0">
      <w:lvlJc w:val="left"/>
      <w:lvlText w:val="%1"/>
      <w:numFmt w:val="decimal"/>
      <w:start w:val="1"/>
    </w:lvl>
    <w:lvl w:ilvl="1">
      <w:lvlJc w:val="left"/>
      <w:lvlText w:val="(%2)"/>
      <w:numFmt w:val="lowerLetter"/>
      <w:start w:val="3"/>
    </w:lvl>
    <w:lvl w:ilvl="2">
      <w:lvlJc w:val="left"/>
      <w:lvlText w:val="(%3)"/>
      <w:numFmt w:val="lowerRoman"/>
      <w:start w:val="1"/>
    </w:lvl>
  </w:abstractNum>
  <w:abstractNum w:abstractNumId="205">
    <w:nsid w:val="20F4BDAD"/>
    <w:multiLevelType w:val="hybridMultilevel"/>
    <w:lvl w:ilvl="0">
      <w:lvlJc w:val="left"/>
      <w:lvlText w:val="%1."/>
      <w:numFmt w:val="decimal"/>
      <w:start w:val="41"/>
    </w:lvl>
    <w:lvl w:ilvl="1">
      <w:lvlJc w:val="left"/>
      <w:lvlText w:val="%2"/>
      <w:numFmt w:val="lowerLetter"/>
      <w:start w:val="1"/>
    </w:lvl>
    <w:lvl w:ilvl="2">
      <w:lvlJc w:val="left"/>
      <w:lvlText w:val="%3"/>
      <w:numFmt w:val="lowerRoman"/>
      <w:start w:val="1"/>
    </w:lvl>
  </w:abstractNum>
  <w:abstractNum w:abstractNumId="206">
    <w:nsid w:val="639DEFAC"/>
    <w:multiLevelType w:val="hybridMultilevel"/>
    <w:lvl w:ilvl="0">
      <w:lvlJc w:val="left"/>
      <w:lvlText w:val="%1."/>
      <w:numFmt w:val="decimal"/>
      <w:start w:val="42"/>
    </w:lvl>
  </w:abstractNum>
  <w:abstractNum w:abstractNumId="207">
    <w:nsid w:val="501F9786"/>
    <w:multiLevelType w:val="hybridMultilevel"/>
    <w:lvl w:ilvl="0">
      <w:lvlJc w:val="left"/>
      <w:lvlText w:val="%1"/>
      <w:numFmt w:val="decimal"/>
      <w:start w:val="1"/>
    </w:lvl>
    <w:lvl w:ilvl="1">
      <w:lvlJc w:val="left"/>
      <w:lvlText w:val="(%2)"/>
      <w:numFmt w:val="lowerLetter"/>
      <w:start w:val="1"/>
    </w:lvl>
  </w:abstractNum>
  <w:abstractNum w:abstractNumId="208">
    <w:nsid w:val="6B057295"/>
    <w:multiLevelType w:val="hybridMultilevel"/>
    <w:lvl w:ilvl="0">
      <w:lvlJc w:val="left"/>
      <w:lvlText w:val="%1."/>
      <w:numFmt w:val="decimal"/>
      <w:start w:val="44"/>
    </w:lvl>
    <w:lvl w:ilvl="1">
      <w:lvlJc w:val="left"/>
      <w:lvlText w:val="%2"/>
      <w:numFmt w:val="lowerLetter"/>
      <w:start w:val="1"/>
    </w:lvl>
  </w:abstractNum>
  <w:abstractNum w:abstractNumId="209">
    <w:nsid w:val="2771AC80"/>
    <w:multiLevelType w:val="hybridMultilevel"/>
    <w:lvl w:ilvl="0">
      <w:lvlJc w:val="left"/>
      <w:lvlText w:val="%1."/>
      <w:numFmt w:val="decimal"/>
      <w:start w:val="45"/>
    </w:lvl>
  </w:abstractNum>
  <w:abstractNum w:abstractNumId="210">
    <w:nsid w:val="1C4A08EC"/>
    <w:multiLevelType w:val="hybridMultilevel"/>
    <w:lvl w:ilvl="0">
      <w:lvlJc w:val="left"/>
      <w:lvlText w:val="(%1)"/>
      <w:numFmt w:val="lowerLetter"/>
      <w:start w:val="1"/>
    </w:lvl>
  </w:abstractNum>
  <w:abstractNum w:abstractNumId="211">
    <w:nsid w:val="1958BD17"/>
    <w:multiLevelType w:val="hybridMultilevel"/>
    <w:lvl w:ilvl="0">
      <w:lvlJc w:val="left"/>
      <w:lvlText w:val="(%1)"/>
      <w:numFmt w:val="lowerRoman"/>
      <w:start w:val="1"/>
    </w:lvl>
  </w:abstractNum>
  <w:abstractNum w:abstractNumId="212">
    <w:nsid w:val="4E647FE4"/>
    <w:multiLevelType w:val="hybridMultilevel"/>
    <w:lvl w:ilvl="0">
      <w:lvlJc w:val="left"/>
      <w:lvlText w:val="(%1)"/>
      <w:numFmt w:val="lowerLetter"/>
      <w:start w:val="1"/>
    </w:lvl>
  </w:abstractNum>
  <w:abstractNum w:abstractNumId="213">
    <w:nsid w:val="E0BB885"/>
    <w:multiLevelType w:val="hybridMultilevel"/>
    <w:lvl w:ilvl="0">
      <w:lvlJc w:val="left"/>
      <w:lvlText w:val="(%1)"/>
      <w:numFmt w:val="lowerLetter"/>
      <w:start w:val="1"/>
    </w:lvl>
  </w:abstractNum>
  <w:abstractNum w:abstractNumId="214">
    <w:nsid w:val="565976F1"/>
    <w:multiLevelType w:val="hybridMultilevel"/>
    <w:lvl w:ilvl="0">
      <w:lvlJc w:val="left"/>
      <w:lvlText w:val="(%1)"/>
      <w:numFmt w:val="lowerLetter"/>
      <w:start w:val="1"/>
    </w:lvl>
  </w:abstractNum>
  <w:abstractNum w:abstractNumId="215">
    <w:nsid w:val="64212B8C"/>
    <w:multiLevelType w:val="hybridMultilevel"/>
    <w:lvl w:ilvl="0">
      <w:lvlJc w:val="left"/>
      <w:lvlText w:val="%1."/>
      <w:numFmt w:val="decimal"/>
      <w:start w:val="46"/>
    </w:lvl>
  </w:abstractNum>
  <w:abstractNum w:abstractNumId="216">
    <w:nsid w:val="5C17530C"/>
    <w:multiLevelType w:val="hybridMultilevel"/>
    <w:lvl w:ilvl="0">
      <w:lvlJc w:val="left"/>
      <w:lvlText w:val="(%1)"/>
      <w:numFmt w:val="lowerLetter"/>
      <w:start w:val="1"/>
    </w:lvl>
  </w:abstractNum>
  <w:abstractNum w:abstractNumId="217">
    <w:nsid w:val="19A52566"/>
    <w:multiLevelType w:val="hybridMultilevel"/>
    <w:lvl w:ilvl="0">
      <w:lvlJc w:val="left"/>
      <w:lvlText w:val="(%1)"/>
      <w:numFmt w:val="lowerLetter"/>
      <w:start w:val="1"/>
    </w:lvl>
  </w:abstractNum>
  <w:abstractNum w:abstractNumId="218">
    <w:nsid w:val="335A1DF1"/>
    <w:multiLevelType w:val="hybridMultilevel"/>
    <w:lvl w:ilvl="0">
      <w:lvlJc w:val="left"/>
      <w:lvlText w:val="(%1)"/>
      <w:numFmt w:val="lowerRoman"/>
      <w:start w:val="1"/>
    </w:lvl>
  </w:abstractNum>
  <w:abstractNum w:abstractNumId="219">
    <w:nsid w:val="28677B7C"/>
    <w:multiLevelType w:val="hybridMultilevel"/>
    <w:lvl w:ilvl="0">
      <w:lvlJc w:val="left"/>
      <w:lvlText w:val="%1."/>
      <w:numFmt w:val="decimal"/>
      <w:start w:val="47"/>
    </w:lvl>
  </w:abstractNum>
  <w:abstractNum w:abstractNumId="220">
    <w:nsid w:val="378D97C0"/>
    <w:multiLevelType w:val="hybridMultilevel"/>
    <w:lvl w:ilvl="0">
      <w:lvlJc w:val="left"/>
      <w:lvlText w:val="(%1)"/>
      <w:numFmt w:val="lowerLetter"/>
      <w:start w:val="1"/>
    </w:lvl>
  </w:abstractNum>
  <w:abstractNum w:abstractNumId="221">
    <w:nsid w:val="1D91467C"/>
    <w:multiLevelType w:val="hybridMultilevel"/>
    <w:lvl w:ilvl="0">
      <w:lvlJc w:val="left"/>
      <w:lvlText w:val="%1."/>
      <w:numFmt w:val="decimal"/>
      <w:start w:val="48"/>
    </w:lvl>
  </w:abstractNum>
  <w:abstractNum w:abstractNumId="222">
    <w:nsid w:val="316032BB"/>
    <w:multiLevelType w:val="hybridMultilevel"/>
    <w:lvl w:ilvl="0">
      <w:lvlJc w:val="left"/>
      <w:lvlText w:val="(%1)"/>
      <w:numFmt w:val="lowerLetter"/>
      <w:start w:val="1"/>
    </w:lvl>
    <w:lvl w:ilvl="1">
      <w:lvlJc w:val="left"/>
      <w:lvlText w:val="(%2)"/>
      <w:numFmt w:val="lowerRoman"/>
      <w:start w:val="1"/>
    </w:lvl>
  </w:abstractNum>
  <w:abstractNum w:abstractNumId="223">
    <w:nsid w:val="44344C22"/>
    <w:multiLevelType w:val="hybridMultilevel"/>
    <w:lvl w:ilvl="0">
      <w:lvlJc w:val="left"/>
      <w:lvlText w:val="%1."/>
      <w:numFmt w:val="decimal"/>
      <w:start w:val="49"/>
    </w:lvl>
  </w:abstractNum>
  <w:abstractNum w:abstractNumId="224">
    <w:nsid w:val="13CDFCFC"/>
    <w:multiLevelType w:val="hybridMultilevel"/>
    <w:lvl w:ilvl="0">
      <w:lvlJc w:val="left"/>
      <w:lvlText w:val="(%1)"/>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 w:numId="135">
    <w:abstractNumId w:val="134"/>
  </w:num>
  <w:num w:numId="136">
    <w:abstractNumId w:val="135"/>
  </w:num>
  <w:num w:numId="137">
    <w:abstractNumId w:val="136"/>
  </w:num>
  <w:num w:numId="138">
    <w:abstractNumId w:val="137"/>
  </w:num>
  <w:num w:numId="139">
    <w:abstractNumId w:val="138"/>
  </w:num>
  <w:num w:numId="140">
    <w:abstractNumId w:val="139"/>
  </w:num>
  <w:num w:numId="141">
    <w:abstractNumId w:val="140"/>
  </w:num>
  <w:num w:numId="142">
    <w:abstractNumId w:val="141"/>
  </w:num>
  <w:num w:numId="143">
    <w:abstractNumId w:val="142"/>
  </w:num>
  <w:num w:numId="144">
    <w:abstractNumId w:val="143"/>
  </w:num>
  <w:num w:numId="145">
    <w:abstractNumId w:val="144"/>
  </w:num>
  <w:num w:numId="146">
    <w:abstractNumId w:val="145"/>
  </w:num>
  <w:num w:numId="147">
    <w:abstractNumId w:val="146"/>
  </w:num>
  <w:num w:numId="148">
    <w:abstractNumId w:val="147"/>
  </w:num>
  <w:num w:numId="149">
    <w:abstractNumId w:val="148"/>
  </w:num>
  <w:num w:numId="150">
    <w:abstractNumId w:val="149"/>
  </w:num>
  <w:num w:numId="151">
    <w:abstractNumId w:val="150"/>
  </w:num>
  <w:num w:numId="152">
    <w:abstractNumId w:val="151"/>
  </w:num>
  <w:num w:numId="153">
    <w:abstractNumId w:val="152"/>
  </w:num>
  <w:num w:numId="154">
    <w:abstractNumId w:val="153"/>
  </w:num>
  <w:num w:numId="155">
    <w:abstractNumId w:val="154"/>
  </w:num>
  <w:num w:numId="156">
    <w:abstractNumId w:val="155"/>
  </w:num>
  <w:num w:numId="157">
    <w:abstractNumId w:val="156"/>
  </w:num>
  <w:num w:numId="158">
    <w:abstractNumId w:val="157"/>
  </w:num>
  <w:num w:numId="159">
    <w:abstractNumId w:val="158"/>
  </w:num>
  <w:num w:numId="160">
    <w:abstractNumId w:val="159"/>
  </w:num>
  <w:num w:numId="161">
    <w:abstractNumId w:val="160"/>
  </w:num>
  <w:num w:numId="162">
    <w:abstractNumId w:val="161"/>
  </w:num>
  <w:num w:numId="163">
    <w:abstractNumId w:val="162"/>
  </w:num>
  <w:num w:numId="164">
    <w:abstractNumId w:val="163"/>
  </w:num>
  <w:num w:numId="165">
    <w:abstractNumId w:val="164"/>
  </w:num>
  <w:num w:numId="166">
    <w:abstractNumId w:val="165"/>
  </w:num>
  <w:num w:numId="167">
    <w:abstractNumId w:val="166"/>
  </w:num>
  <w:num w:numId="168">
    <w:abstractNumId w:val="167"/>
  </w:num>
  <w:num w:numId="169">
    <w:abstractNumId w:val="168"/>
  </w:num>
  <w:num w:numId="170">
    <w:abstractNumId w:val="169"/>
  </w:num>
  <w:num w:numId="171">
    <w:abstractNumId w:val="170"/>
  </w:num>
  <w:num w:numId="172">
    <w:abstractNumId w:val="171"/>
  </w:num>
  <w:num w:numId="173">
    <w:abstractNumId w:val="172"/>
  </w:num>
  <w:num w:numId="174">
    <w:abstractNumId w:val="173"/>
  </w:num>
  <w:num w:numId="175">
    <w:abstractNumId w:val="174"/>
  </w:num>
  <w:num w:numId="176">
    <w:abstractNumId w:val="175"/>
  </w:num>
  <w:num w:numId="177">
    <w:abstractNumId w:val="176"/>
  </w:num>
  <w:num w:numId="178">
    <w:abstractNumId w:val="177"/>
  </w:num>
  <w:num w:numId="179">
    <w:abstractNumId w:val="178"/>
  </w:num>
  <w:num w:numId="180">
    <w:abstractNumId w:val="179"/>
  </w:num>
  <w:num w:numId="181">
    <w:abstractNumId w:val="180"/>
  </w:num>
  <w:num w:numId="182">
    <w:abstractNumId w:val="181"/>
  </w:num>
  <w:num w:numId="183">
    <w:abstractNumId w:val="182"/>
  </w:num>
  <w:num w:numId="184">
    <w:abstractNumId w:val="183"/>
  </w:num>
  <w:num w:numId="185">
    <w:abstractNumId w:val="184"/>
  </w:num>
  <w:num w:numId="186">
    <w:abstractNumId w:val="185"/>
  </w:num>
  <w:num w:numId="187">
    <w:abstractNumId w:val="186"/>
  </w:num>
  <w:num w:numId="188">
    <w:abstractNumId w:val="187"/>
  </w:num>
  <w:num w:numId="189">
    <w:abstractNumId w:val="188"/>
  </w:num>
  <w:num w:numId="190">
    <w:abstractNumId w:val="189"/>
  </w:num>
  <w:num w:numId="191">
    <w:abstractNumId w:val="190"/>
  </w:num>
  <w:num w:numId="192">
    <w:abstractNumId w:val="191"/>
  </w:num>
  <w:num w:numId="193">
    <w:abstractNumId w:val="192"/>
  </w:num>
  <w:num w:numId="194">
    <w:abstractNumId w:val="193"/>
  </w:num>
  <w:num w:numId="195">
    <w:abstractNumId w:val="194"/>
  </w:num>
  <w:num w:numId="196">
    <w:abstractNumId w:val="195"/>
  </w:num>
  <w:num w:numId="197">
    <w:abstractNumId w:val="196"/>
  </w:num>
  <w:num w:numId="198">
    <w:abstractNumId w:val="197"/>
  </w:num>
  <w:num w:numId="199">
    <w:abstractNumId w:val="198"/>
  </w:num>
  <w:num w:numId="200">
    <w:abstractNumId w:val="199"/>
  </w:num>
  <w:num w:numId="201">
    <w:abstractNumId w:val="200"/>
  </w:num>
  <w:num w:numId="202">
    <w:abstractNumId w:val="201"/>
  </w:num>
  <w:num w:numId="203">
    <w:abstractNumId w:val="202"/>
  </w:num>
  <w:num w:numId="204">
    <w:abstractNumId w:val="203"/>
  </w:num>
  <w:num w:numId="205">
    <w:abstractNumId w:val="204"/>
  </w:num>
  <w:num w:numId="206">
    <w:abstractNumId w:val="205"/>
  </w:num>
  <w:num w:numId="207">
    <w:abstractNumId w:val="206"/>
  </w:num>
  <w:num w:numId="208">
    <w:abstractNumId w:val="207"/>
  </w:num>
  <w:num w:numId="209">
    <w:abstractNumId w:val="208"/>
  </w:num>
  <w:num w:numId="210">
    <w:abstractNumId w:val="209"/>
  </w:num>
  <w:num w:numId="211">
    <w:abstractNumId w:val="210"/>
  </w:num>
  <w:num w:numId="212">
    <w:abstractNumId w:val="211"/>
  </w:num>
  <w:num w:numId="213">
    <w:abstractNumId w:val="212"/>
  </w:num>
  <w:num w:numId="214">
    <w:abstractNumId w:val="213"/>
  </w:num>
  <w:num w:numId="215">
    <w:abstractNumId w:val="214"/>
  </w:num>
  <w:num w:numId="216">
    <w:abstractNumId w:val="215"/>
  </w:num>
  <w:num w:numId="217">
    <w:abstractNumId w:val="216"/>
  </w:num>
  <w:num w:numId="218">
    <w:abstractNumId w:val="217"/>
  </w:num>
  <w:num w:numId="219">
    <w:abstractNumId w:val="218"/>
  </w:num>
  <w:num w:numId="220">
    <w:abstractNumId w:val="219"/>
  </w:num>
  <w:num w:numId="221">
    <w:abstractNumId w:val="220"/>
  </w:num>
  <w:num w:numId="222">
    <w:abstractNumId w:val="221"/>
  </w:num>
  <w:num w:numId="223">
    <w:abstractNumId w:val="222"/>
  </w:num>
  <w:num w:numId="224">
    <w:abstractNumId w:val="223"/>
  </w:num>
  <w:num w:numId="225">
    <w:abstractNumId w:val="22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jpe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jpeg"/><Relationship Id="rId32" Type="http://schemas.openxmlformats.org/officeDocument/2006/relationships/image" Target="media/image25.jpeg"/><Relationship Id="rId33" Type="http://schemas.openxmlformats.org/officeDocument/2006/relationships/image" Target="media/image26.jpeg"/><Relationship Id="rId34" Type="http://schemas.openxmlformats.org/officeDocument/2006/relationships/image" Target="media/image27.jpe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jpe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jpe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jpe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jpe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jpe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jpe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jpeg"/><Relationship Id="rId106" Type="http://schemas.openxmlformats.org/officeDocument/2006/relationships/image" Target="media/image99.png"/><Relationship Id="rId107" Type="http://schemas.openxmlformats.org/officeDocument/2006/relationships/image" Target="media/image100.jpe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jpeg"/><Relationship Id="rId130" Type="http://schemas.openxmlformats.org/officeDocument/2006/relationships/image" Target="media/image123.jpeg"/><Relationship Id="rId131" Type="http://schemas.openxmlformats.org/officeDocument/2006/relationships/image" Target="media/image124.jpeg"/><Relationship Id="rId132" Type="http://schemas.openxmlformats.org/officeDocument/2006/relationships/image" Target="media/image125.jpe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png"/><Relationship Id="rId205" Type="http://schemas.openxmlformats.org/officeDocument/2006/relationships/image" Target="media/image198.png"/><Relationship Id="rId206" Type="http://schemas.openxmlformats.org/officeDocument/2006/relationships/image" Target="media/image199.png"/><Relationship Id="rId207" Type="http://schemas.openxmlformats.org/officeDocument/2006/relationships/image" Target="media/image200.png"/><Relationship Id="rId208" Type="http://schemas.openxmlformats.org/officeDocument/2006/relationships/image" Target="media/image201.png"/><Relationship Id="rId209" Type="http://schemas.openxmlformats.org/officeDocument/2006/relationships/image" Target="media/image202.png"/><Relationship Id="rId210" Type="http://schemas.openxmlformats.org/officeDocument/2006/relationships/image" Target="media/image203.png"/><Relationship Id="rId211" Type="http://schemas.openxmlformats.org/officeDocument/2006/relationships/image" Target="media/image204.png"/><Relationship Id="rId212" Type="http://schemas.openxmlformats.org/officeDocument/2006/relationships/image" Target="media/image205.png"/><Relationship Id="rId213" Type="http://schemas.openxmlformats.org/officeDocument/2006/relationships/image" Target="media/image206.png"/><Relationship Id="rId214" Type="http://schemas.openxmlformats.org/officeDocument/2006/relationships/image" Target="media/image207.png"/><Relationship Id="rId215" Type="http://schemas.openxmlformats.org/officeDocument/2006/relationships/image" Target="media/image208.png"/><Relationship Id="rId216" Type="http://schemas.openxmlformats.org/officeDocument/2006/relationships/image" Target="media/image209.png"/><Relationship Id="rId217" Type="http://schemas.openxmlformats.org/officeDocument/2006/relationships/image" Target="media/image210.png"/><Relationship Id="rId218" Type="http://schemas.openxmlformats.org/officeDocument/2006/relationships/image" Target="media/image211.png"/><Relationship Id="rId219" Type="http://schemas.openxmlformats.org/officeDocument/2006/relationships/image" Target="media/image212.png"/><Relationship Id="rId220" Type="http://schemas.openxmlformats.org/officeDocument/2006/relationships/image" Target="media/image213.png"/><Relationship Id="rId221" Type="http://schemas.openxmlformats.org/officeDocument/2006/relationships/image" Target="media/image214.png"/><Relationship Id="rId222" Type="http://schemas.openxmlformats.org/officeDocument/2006/relationships/image" Target="media/image215.png"/><Relationship Id="rId223" Type="http://schemas.openxmlformats.org/officeDocument/2006/relationships/image" Target="media/image216.png"/><Relationship Id="rId224" Type="http://schemas.openxmlformats.org/officeDocument/2006/relationships/image" Target="media/image217.png"/><Relationship Id="rId225" Type="http://schemas.openxmlformats.org/officeDocument/2006/relationships/image" Target="media/image218.png"/><Relationship Id="rId226" Type="http://schemas.openxmlformats.org/officeDocument/2006/relationships/image" Target="media/image219.png"/><Relationship Id="rId227" Type="http://schemas.openxmlformats.org/officeDocument/2006/relationships/image" Target="media/image220.png"/><Relationship Id="rId228" Type="http://schemas.openxmlformats.org/officeDocument/2006/relationships/image" Target="media/image221.png"/><Relationship Id="rId229" Type="http://schemas.openxmlformats.org/officeDocument/2006/relationships/image" Target="media/image222.png"/><Relationship Id="rId230" Type="http://schemas.openxmlformats.org/officeDocument/2006/relationships/image" Target="media/image223.png"/><Relationship Id="rId231" Type="http://schemas.openxmlformats.org/officeDocument/2006/relationships/image" Target="media/image224.png"/><Relationship Id="rId232" Type="http://schemas.openxmlformats.org/officeDocument/2006/relationships/image" Target="media/image225.png"/><Relationship Id="rId233" Type="http://schemas.openxmlformats.org/officeDocument/2006/relationships/image" Target="media/image226.png"/><Relationship Id="rId234" Type="http://schemas.openxmlformats.org/officeDocument/2006/relationships/image" Target="media/image227.png"/><Relationship Id="rId235" Type="http://schemas.openxmlformats.org/officeDocument/2006/relationships/image" Target="media/image228.png"/><Relationship Id="rId236" Type="http://schemas.openxmlformats.org/officeDocument/2006/relationships/image" Target="media/image229.png"/><Relationship Id="rId237" Type="http://schemas.openxmlformats.org/officeDocument/2006/relationships/image" Target="media/image230.png"/><Relationship Id="rId238" Type="http://schemas.openxmlformats.org/officeDocument/2006/relationships/image" Target="media/image231.png"/><Relationship Id="rId239" Type="http://schemas.openxmlformats.org/officeDocument/2006/relationships/image" Target="media/image232.png"/><Relationship Id="rId240" Type="http://schemas.openxmlformats.org/officeDocument/2006/relationships/image" Target="media/image233.png"/><Relationship Id="rId241" Type="http://schemas.openxmlformats.org/officeDocument/2006/relationships/image" Target="media/image234.png"/><Relationship Id="rId242" Type="http://schemas.openxmlformats.org/officeDocument/2006/relationships/image" Target="media/image235.png"/><Relationship Id="rId243" Type="http://schemas.openxmlformats.org/officeDocument/2006/relationships/image" Target="media/image236.png"/><Relationship Id="rId244" Type="http://schemas.openxmlformats.org/officeDocument/2006/relationships/image" Target="media/image237.png"/><Relationship Id="rId245" Type="http://schemas.openxmlformats.org/officeDocument/2006/relationships/image" Target="media/image238.png"/><Relationship Id="rId246" Type="http://schemas.openxmlformats.org/officeDocument/2006/relationships/image" Target="media/image239.png"/><Relationship Id="rId247" Type="http://schemas.openxmlformats.org/officeDocument/2006/relationships/image" Target="media/image240.png"/><Relationship Id="rId248" Type="http://schemas.openxmlformats.org/officeDocument/2006/relationships/image" Target="media/image241.png"/><Relationship Id="rId249" Type="http://schemas.openxmlformats.org/officeDocument/2006/relationships/image" Target="media/image242.png"/><Relationship Id="rId250" Type="http://schemas.openxmlformats.org/officeDocument/2006/relationships/image" Target="media/image243.png"/><Relationship Id="rId251" Type="http://schemas.openxmlformats.org/officeDocument/2006/relationships/image" Target="media/image244.png"/><Relationship Id="rId252" Type="http://schemas.openxmlformats.org/officeDocument/2006/relationships/image" Target="media/image245.png"/><Relationship Id="rId253" Type="http://schemas.openxmlformats.org/officeDocument/2006/relationships/image" Target="media/image246.png"/><Relationship Id="rId254" Type="http://schemas.openxmlformats.org/officeDocument/2006/relationships/image" Target="media/image247.png"/><Relationship Id="rId255" Type="http://schemas.openxmlformats.org/officeDocument/2006/relationships/image" Target="media/image248.png"/><Relationship Id="rId256" Type="http://schemas.openxmlformats.org/officeDocument/2006/relationships/image" Target="media/image249.png"/><Relationship Id="rId257" Type="http://schemas.openxmlformats.org/officeDocument/2006/relationships/image" Target="media/image250.png"/><Relationship Id="rId258" Type="http://schemas.openxmlformats.org/officeDocument/2006/relationships/image" Target="media/image251.png"/><Relationship Id="rId259" Type="http://schemas.openxmlformats.org/officeDocument/2006/relationships/image" Target="media/image252.png"/><Relationship Id="rId260" Type="http://schemas.openxmlformats.org/officeDocument/2006/relationships/image" Target="media/image253.png"/><Relationship Id="rId261" Type="http://schemas.openxmlformats.org/officeDocument/2006/relationships/image" Target="media/image254.png"/><Relationship Id="rId262" Type="http://schemas.openxmlformats.org/officeDocument/2006/relationships/image" Target="media/image255.png"/><Relationship Id="rId263" Type="http://schemas.openxmlformats.org/officeDocument/2006/relationships/image" Target="media/image256.png"/><Relationship Id="rId264" Type="http://schemas.openxmlformats.org/officeDocument/2006/relationships/image" Target="media/image257.png"/><Relationship Id="rId265" Type="http://schemas.openxmlformats.org/officeDocument/2006/relationships/image" Target="media/image258.png"/><Relationship Id="rId266" Type="http://schemas.openxmlformats.org/officeDocument/2006/relationships/image" Target="media/image259.png"/><Relationship Id="rId267" Type="http://schemas.openxmlformats.org/officeDocument/2006/relationships/image" Target="media/image260.png"/><Relationship Id="rId268" Type="http://schemas.openxmlformats.org/officeDocument/2006/relationships/image" Target="media/image261.png"/><Relationship Id="rId269" Type="http://schemas.openxmlformats.org/officeDocument/2006/relationships/image" Target="media/image262.png"/><Relationship Id="rId270" Type="http://schemas.openxmlformats.org/officeDocument/2006/relationships/image" Target="media/image263.jpeg"/><Relationship Id="rId271" Type="http://schemas.openxmlformats.org/officeDocument/2006/relationships/image" Target="media/image264.png"/><Relationship Id="rId272" Type="http://schemas.openxmlformats.org/officeDocument/2006/relationships/image" Target="media/image265.png"/><Relationship Id="rId273" Type="http://schemas.openxmlformats.org/officeDocument/2006/relationships/image" Target="media/image266.png"/><Relationship Id="rId274" Type="http://schemas.openxmlformats.org/officeDocument/2006/relationships/image" Target="media/image267.png"/><Relationship Id="rId275" Type="http://schemas.openxmlformats.org/officeDocument/2006/relationships/image" Target="media/image268.png"/><Relationship Id="rId276" Type="http://schemas.openxmlformats.org/officeDocument/2006/relationships/image" Target="media/image269.png"/><Relationship Id="rId277" Type="http://schemas.openxmlformats.org/officeDocument/2006/relationships/image" Target="media/image270.png"/><Relationship Id="rId278" Type="http://schemas.openxmlformats.org/officeDocument/2006/relationships/image" Target="media/image271.png"/><Relationship Id="rId279" Type="http://schemas.openxmlformats.org/officeDocument/2006/relationships/image" Target="media/image272.png"/><Relationship Id="rId280" Type="http://schemas.openxmlformats.org/officeDocument/2006/relationships/image" Target="media/image273.png"/><Relationship Id="rId281" Type="http://schemas.openxmlformats.org/officeDocument/2006/relationships/image" Target="media/image274.png"/><Relationship Id="rId282" Type="http://schemas.openxmlformats.org/officeDocument/2006/relationships/image" Target="media/image275.png"/><Relationship Id="rId283" Type="http://schemas.openxmlformats.org/officeDocument/2006/relationships/image" Target="media/image276.png"/><Relationship Id="rId284" Type="http://schemas.openxmlformats.org/officeDocument/2006/relationships/image" Target="media/image277.png"/><Relationship Id="rId285" Type="http://schemas.openxmlformats.org/officeDocument/2006/relationships/image" Target="media/image278.png"/><Relationship Id="rId286" Type="http://schemas.openxmlformats.org/officeDocument/2006/relationships/image" Target="media/image279.png"/><Relationship Id="rId287" Type="http://schemas.openxmlformats.org/officeDocument/2006/relationships/image" Target="media/image280.jpeg"/><Relationship Id="rId288" Type="http://schemas.openxmlformats.org/officeDocument/2006/relationships/image" Target="media/image281.png"/><Relationship Id="rId289" Type="http://schemas.openxmlformats.org/officeDocument/2006/relationships/image" Target="media/image282.png"/><Relationship Id="rId290" Type="http://schemas.openxmlformats.org/officeDocument/2006/relationships/image" Target="media/image283.png"/><Relationship Id="rId291" Type="http://schemas.openxmlformats.org/officeDocument/2006/relationships/image" Target="media/image284.png"/><Relationship Id="rId292" Type="http://schemas.openxmlformats.org/officeDocument/2006/relationships/image" Target="media/image285.png"/><Relationship Id="rId293" Type="http://schemas.openxmlformats.org/officeDocument/2006/relationships/image" Target="media/image286.png"/><Relationship Id="rId294" Type="http://schemas.openxmlformats.org/officeDocument/2006/relationships/image" Target="media/image287.png"/><Relationship Id="rId295" Type="http://schemas.openxmlformats.org/officeDocument/2006/relationships/image" Target="media/image288.jpeg"/><Relationship Id="rId296" Type="http://schemas.openxmlformats.org/officeDocument/2006/relationships/image" Target="media/image289.png"/><Relationship Id="rId297" Type="http://schemas.openxmlformats.org/officeDocument/2006/relationships/image" Target="media/image290.png"/><Relationship Id="rId298" Type="http://schemas.openxmlformats.org/officeDocument/2006/relationships/image" Target="media/image291.png"/><Relationship Id="rId299" Type="http://schemas.openxmlformats.org/officeDocument/2006/relationships/image" Target="media/image292.jpeg"/><Relationship Id="rId300" Type="http://schemas.openxmlformats.org/officeDocument/2006/relationships/image" Target="media/image293.png"/><Relationship Id="rId301" Type="http://schemas.openxmlformats.org/officeDocument/2006/relationships/image" Target="media/image294.png"/><Relationship Id="rId302" Type="http://schemas.openxmlformats.org/officeDocument/2006/relationships/image" Target="media/image295.png"/><Relationship Id="rId303" Type="http://schemas.openxmlformats.org/officeDocument/2006/relationships/image" Target="media/image296.png"/><Relationship Id="rId304" Type="http://schemas.openxmlformats.org/officeDocument/2006/relationships/image" Target="media/image297.png"/><Relationship Id="rId305" Type="http://schemas.openxmlformats.org/officeDocument/2006/relationships/image" Target="media/image298.png"/><Relationship Id="rId306" Type="http://schemas.openxmlformats.org/officeDocument/2006/relationships/image" Target="media/image299.png"/><Relationship Id="rId307" Type="http://schemas.openxmlformats.org/officeDocument/2006/relationships/image" Target="media/image300.jpeg"/><Relationship Id="rId308" Type="http://schemas.openxmlformats.org/officeDocument/2006/relationships/image" Target="media/image301.png"/><Relationship Id="rId309" Type="http://schemas.openxmlformats.org/officeDocument/2006/relationships/image" Target="media/image302.png"/><Relationship Id="rId310" Type="http://schemas.openxmlformats.org/officeDocument/2006/relationships/image" Target="media/image303.png"/><Relationship Id="rId311" Type="http://schemas.openxmlformats.org/officeDocument/2006/relationships/image" Target="media/image304.png"/><Relationship Id="rId312" Type="http://schemas.openxmlformats.org/officeDocument/2006/relationships/image" Target="media/image305.png"/><Relationship Id="rId313" Type="http://schemas.openxmlformats.org/officeDocument/2006/relationships/image" Target="media/image306.png"/><Relationship Id="rId314" Type="http://schemas.openxmlformats.org/officeDocument/2006/relationships/image" Target="media/image307.png"/><Relationship Id="rId315" Type="http://schemas.openxmlformats.org/officeDocument/2006/relationships/image" Target="media/image308.png"/><Relationship Id="rId316" Type="http://schemas.openxmlformats.org/officeDocument/2006/relationships/image" Target="media/image309.png"/><Relationship Id="rId317" Type="http://schemas.openxmlformats.org/officeDocument/2006/relationships/image" Target="media/image310.png"/><Relationship Id="rId318" Type="http://schemas.openxmlformats.org/officeDocument/2006/relationships/image" Target="media/image311.png"/><Relationship Id="rId319" Type="http://schemas.openxmlformats.org/officeDocument/2006/relationships/image" Target="media/image312.png"/><Relationship Id="rId320" Type="http://schemas.openxmlformats.org/officeDocument/2006/relationships/image" Target="media/image313.jpeg"/><Relationship Id="rId321" Type="http://schemas.openxmlformats.org/officeDocument/2006/relationships/image" Target="media/image314.png"/><Relationship Id="rId322" Type="http://schemas.openxmlformats.org/officeDocument/2006/relationships/image" Target="media/image315.png"/><Relationship Id="rId323" Type="http://schemas.openxmlformats.org/officeDocument/2006/relationships/image" Target="media/image316.png"/><Relationship Id="rId324" Type="http://schemas.openxmlformats.org/officeDocument/2006/relationships/image" Target="media/image317.jpeg"/><Relationship Id="rId325" Type="http://schemas.openxmlformats.org/officeDocument/2006/relationships/image" Target="media/image318.png"/><Relationship Id="rId326" Type="http://schemas.openxmlformats.org/officeDocument/2006/relationships/image" Target="media/image319.png"/><Relationship Id="rId327" Type="http://schemas.openxmlformats.org/officeDocument/2006/relationships/image" Target="media/image320.png"/><Relationship Id="rId328" Type="http://schemas.openxmlformats.org/officeDocument/2006/relationships/image" Target="media/image321.jpeg"/><Relationship Id="rId329" Type="http://schemas.openxmlformats.org/officeDocument/2006/relationships/image" Target="media/image322.png"/><Relationship Id="rId330" Type="http://schemas.openxmlformats.org/officeDocument/2006/relationships/image" Target="media/image323.png"/><Relationship Id="rId331" Type="http://schemas.openxmlformats.org/officeDocument/2006/relationships/image" Target="media/image324.png"/><Relationship Id="rId332" Type="http://schemas.openxmlformats.org/officeDocument/2006/relationships/image" Target="media/image325.jpeg"/><Relationship Id="rId333" Type="http://schemas.openxmlformats.org/officeDocument/2006/relationships/image" Target="media/image326.png"/><Relationship Id="rId334" Type="http://schemas.openxmlformats.org/officeDocument/2006/relationships/image" Target="media/image327.png"/><Relationship Id="rId335" Type="http://schemas.openxmlformats.org/officeDocument/2006/relationships/image" Target="media/image328.png"/><Relationship Id="rId336" Type="http://schemas.openxmlformats.org/officeDocument/2006/relationships/image" Target="media/image329.png"/><Relationship Id="rId337" Type="http://schemas.openxmlformats.org/officeDocument/2006/relationships/image" Target="media/image330.png"/><Relationship Id="rId338" Type="http://schemas.openxmlformats.org/officeDocument/2006/relationships/image" Target="media/image331.png"/><Relationship Id="rId339" Type="http://schemas.openxmlformats.org/officeDocument/2006/relationships/image" Target="media/image332.png"/><Relationship Id="rId340" Type="http://schemas.openxmlformats.org/officeDocument/2006/relationships/image" Target="media/image333.png"/><Relationship Id="rId341" Type="http://schemas.openxmlformats.org/officeDocument/2006/relationships/image" Target="media/image334.png"/><Relationship Id="rId342" Type="http://schemas.openxmlformats.org/officeDocument/2006/relationships/image" Target="media/image335.png"/><Relationship Id="rId343" Type="http://schemas.openxmlformats.org/officeDocument/2006/relationships/image" Target="media/image336.png"/><Relationship Id="rId344" Type="http://schemas.openxmlformats.org/officeDocument/2006/relationships/image" Target="media/image337.png"/><Relationship Id="rId345" Type="http://schemas.openxmlformats.org/officeDocument/2006/relationships/image" Target="media/image338.png"/><Relationship Id="rId346" Type="http://schemas.openxmlformats.org/officeDocument/2006/relationships/image" Target="media/image339.png"/><Relationship Id="rId347" Type="http://schemas.openxmlformats.org/officeDocument/2006/relationships/image" Target="media/image340.png"/><Relationship Id="rId348" Type="http://schemas.openxmlformats.org/officeDocument/2006/relationships/image" Target="media/image341.png"/><Relationship Id="rId349" Type="http://schemas.openxmlformats.org/officeDocument/2006/relationships/image" Target="media/image342.png"/><Relationship Id="rId350" Type="http://schemas.openxmlformats.org/officeDocument/2006/relationships/image" Target="media/image343.png"/><Relationship Id="rId351" Type="http://schemas.openxmlformats.org/officeDocument/2006/relationships/image" Target="media/image344.png"/><Relationship Id="rId352" Type="http://schemas.openxmlformats.org/officeDocument/2006/relationships/image" Target="media/image345.png"/><Relationship Id="rId353" Type="http://schemas.openxmlformats.org/officeDocument/2006/relationships/image" Target="media/image346.png"/><Relationship Id="rId354" Type="http://schemas.openxmlformats.org/officeDocument/2006/relationships/image" Target="media/image347.png"/><Relationship Id="rId355" Type="http://schemas.openxmlformats.org/officeDocument/2006/relationships/image" Target="media/image348.png"/><Relationship Id="rId356" Type="http://schemas.openxmlformats.org/officeDocument/2006/relationships/image" Target="media/image349.png"/><Relationship Id="rId357" Type="http://schemas.openxmlformats.org/officeDocument/2006/relationships/image" Target="media/image350.png"/><Relationship Id="rId358" Type="http://schemas.openxmlformats.org/officeDocument/2006/relationships/image" Target="media/image351.png"/><Relationship Id="rId359" Type="http://schemas.openxmlformats.org/officeDocument/2006/relationships/image" Target="media/image352.png"/><Relationship Id="rId360" Type="http://schemas.openxmlformats.org/officeDocument/2006/relationships/image" Target="media/image353.png"/><Relationship Id="rId361" Type="http://schemas.openxmlformats.org/officeDocument/2006/relationships/image" Target="media/image354.png"/><Relationship Id="rId362" Type="http://schemas.openxmlformats.org/officeDocument/2006/relationships/image" Target="media/image355.png"/><Relationship Id="rId363" Type="http://schemas.openxmlformats.org/officeDocument/2006/relationships/image" Target="media/image356.png"/><Relationship Id="rId364" Type="http://schemas.openxmlformats.org/officeDocument/2006/relationships/image" Target="media/image357.png"/><Relationship Id="rId365" Type="http://schemas.openxmlformats.org/officeDocument/2006/relationships/image" Target="media/image358.png"/><Relationship Id="rId366" Type="http://schemas.openxmlformats.org/officeDocument/2006/relationships/image" Target="media/image359.png"/><Relationship Id="rId367" Type="http://schemas.openxmlformats.org/officeDocument/2006/relationships/image" Target="media/image360.png"/><Relationship Id="rId368" Type="http://schemas.openxmlformats.org/officeDocument/2006/relationships/image" Target="media/image361.png"/><Relationship Id="rId369" Type="http://schemas.openxmlformats.org/officeDocument/2006/relationships/image" Target="media/image362.png"/><Relationship Id="rId370" Type="http://schemas.openxmlformats.org/officeDocument/2006/relationships/image" Target="media/image363.png"/><Relationship Id="rId371" Type="http://schemas.openxmlformats.org/officeDocument/2006/relationships/image" Target="media/image364.png"/><Relationship Id="rId372" Type="http://schemas.openxmlformats.org/officeDocument/2006/relationships/image" Target="media/image365.png"/><Relationship Id="rId373" Type="http://schemas.openxmlformats.org/officeDocument/2006/relationships/image" Target="media/image366.png"/><Relationship Id="rId374" Type="http://schemas.openxmlformats.org/officeDocument/2006/relationships/image" Target="media/image367.png"/><Relationship Id="rId375" Type="http://schemas.openxmlformats.org/officeDocument/2006/relationships/image" Target="media/image368.png"/><Relationship Id="rId376" Type="http://schemas.openxmlformats.org/officeDocument/2006/relationships/image" Target="media/image369.png"/><Relationship Id="rId377" Type="http://schemas.openxmlformats.org/officeDocument/2006/relationships/image" Target="media/image370.png"/><Relationship Id="rId378" Type="http://schemas.openxmlformats.org/officeDocument/2006/relationships/image" Target="media/image371.png"/><Relationship Id="rId379" Type="http://schemas.openxmlformats.org/officeDocument/2006/relationships/image" Target="media/image372.png"/><Relationship Id="rId380" Type="http://schemas.openxmlformats.org/officeDocument/2006/relationships/image" Target="media/image373.png"/><Relationship Id="rId381" Type="http://schemas.openxmlformats.org/officeDocument/2006/relationships/image" Target="media/image374.png"/><Relationship Id="rId382" Type="http://schemas.openxmlformats.org/officeDocument/2006/relationships/image" Target="media/image375.png"/><Relationship Id="rId383" Type="http://schemas.openxmlformats.org/officeDocument/2006/relationships/image" Target="media/image376.png"/><Relationship Id="rId384" Type="http://schemas.openxmlformats.org/officeDocument/2006/relationships/image" Target="media/image377.png"/><Relationship Id="rId385" Type="http://schemas.openxmlformats.org/officeDocument/2006/relationships/image" Target="media/image378.png"/><Relationship Id="rId386" Type="http://schemas.openxmlformats.org/officeDocument/2006/relationships/image" Target="media/image379.png"/><Relationship Id="rId387" Type="http://schemas.openxmlformats.org/officeDocument/2006/relationships/image" Target="media/image380.png"/><Relationship Id="rId388" Type="http://schemas.openxmlformats.org/officeDocument/2006/relationships/image" Target="media/image381.png"/><Relationship Id="rId389" Type="http://schemas.openxmlformats.org/officeDocument/2006/relationships/image" Target="media/image382.png"/><Relationship Id="rId390" Type="http://schemas.openxmlformats.org/officeDocument/2006/relationships/image" Target="media/image383.png"/><Relationship Id="rId391" Type="http://schemas.openxmlformats.org/officeDocument/2006/relationships/image" Target="media/image384.png"/><Relationship Id="rId392" Type="http://schemas.openxmlformats.org/officeDocument/2006/relationships/image" Target="media/image385.png"/><Relationship Id="rId393" Type="http://schemas.openxmlformats.org/officeDocument/2006/relationships/image" Target="media/image386.png"/><Relationship Id="rId394" Type="http://schemas.openxmlformats.org/officeDocument/2006/relationships/image" Target="media/image387.png"/><Relationship Id="rId395" Type="http://schemas.openxmlformats.org/officeDocument/2006/relationships/image" Target="media/image388.png"/><Relationship Id="rId396" Type="http://schemas.openxmlformats.org/officeDocument/2006/relationships/image" Target="media/image389.png"/><Relationship Id="rId397" Type="http://schemas.openxmlformats.org/officeDocument/2006/relationships/image" Target="media/image390.png"/><Relationship Id="rId398" Type="http://schemas.openxmlformats.org/officeDocument/2006/relationships/image" Target="media/image391.png"/><Relationship Id="rId399" Type="http://schemas.openxmlformats.org/officeDocument/2006/relationships/image" Target="media/image392.png"/><Relationship Id="rId400" Type="http://schemas.openxmlformats.org/officeDocument/2006/relationships/image" Target="media/image393.png"/><Relationship Id="rId401" Type="http://schemas.openxmlformats.org/officeDocument/2006/relationships/image" Target="media/image394.png"/><Relationship Id="rId402" Type="http://schemas.openxmlformats.org/officeDocument/2006/relationships/image" Target="media/image395.png"/><Relationship Id="rId403" Type="http://schemas.openxmlformats.org/officeDocument/2006/relationships/image" Target="media/image396.png"/><Relationship Id="rId404" Type="http://schemas.openxmlformats.org/officeDocument/2006/relationships/image" Target="media/image397.png"/><Relationship Id="rId405" Type="http://schemas.openxmlformats.org/officeDocument/2006/relationships/image" Target="media/image398.png"/><Relationship Id="rId406" Type="http://schemas.openxmlformats.org/officeDocument/2006/relationships/image" Target="media/image399.png"/><Relationship Id="rId407" Type="http://schemas.openxmlformats.org/officeDocument/2006/relationships/image" Target="media/image400.png"/><Relationship Id="rId408" Type="http://schemas.openxmlformats.org/officeDocument/2006/relationships/image" Target="media/image401.png"/><Relationship Id="rId409" Type="http://schemas.openxmlformats.org/officeDocument/2006/relationships/image" Target="media/image402.png"/><Relationship Id="rId410" Type="http://schemas.openxmlformats.org/officeDocument/2006/relationships/image" Target="media/image403.png"/><Relationship Id="rId411" Type="http://schemas.openxmlformats.org/officeDocument/2006/relationships/image" Target="media/image404.png"/><Relationship Id="rId412" Type="http://schemas.openxmlformats.org/officeDocument/2006/relationships/image" Target="media/image405.png"/><Relationship Id="rId413" Type="http://schemas.openxmlformats.org/officeDocument/2006/relationships/image" Target="media/image406.png"/><Relationship Id="rId414" Type="http://schemas.openxmlformats.org/officeDocument/2006/relationships/image" Target="media/image407.png"/><Relationship Id="rId415" Type="http://schemas.openxmlformats.org/officeDocument/2006/relationships/image" Target="media/image408.png"/><Relationship Id="rId416" Type="http://schemas.openxmlformats.org/officeDocument/2006/relationships/image" Target="media/image409.png"/><Relationship Id="rId417" Type="http://schemas.openxmlformats.org/officeDocument/2006/relationships/image" Target="media/image410.png"/><Relationship Id="rId418" Type="http://schemas.openxmlformats.org/officeDocument/2006/relationships/image" Target="media/image411.png"/><Relationship Id="rId419" Type="http://schemas.openxmlformats.org/officeDocument/2006/relationships/image" Target="media/image412.png"/><Relationship Id="rId420" Type="http://schemas.openxmlformats.org/officeDocument/2006/relationships/image" Target="media/image413.png"/><Relationship Id="rId421" Type="http://schemas.openxmlformats.org/officeDocument/2006/relationships/image" Target="media/image414.png"/><Relationship Id="rId422" Type="http://schemas.openxmlformats.org/officeDocument/2006/relationships/image" Target="media/image415.png"/><Relationship Id="rId423" Type="http://schemas.openxmlformats.org/officeDocument/2006/relationships/image" Target="media/image416.png"/><Relationship Id="rId424" Type="http://schemas.openxmlformats.org/officeDocument/2006/relationships/image" Target="media/image417.png"/><Relationship Id="rId425" Type="http://schemas.openxmlformats.org/officeDocument/2006/relationships/image" Target="media/image418.png"/><Relationship Id="rId426" Type="http://schemas.openxmlformats.org/officeDocument/2006/relationships/image" Target="media/image419.png"/><Relationship Id="rId427" Type="http://schemas.openxmlformats.org/officeDocument/2006/relationships/image" Target="media/image420.png"/><Relationship Id="rId428" Type="http://schemas.openxmlformats.org/officeDocument/2006/relationships/image" Target="media/image421.png"/><Relationship Id="rId429" Type="http://schemas.openxmlformats.org/officeDocument/2006/relationships/image" Target="media/image422.png"/><Relationship Id="rId430" Type="http://schemas.openxmlformats.org/officeDocument/2006/relationships/image" Target="media/image423.png"/><Relationship Id="rId431" Type="http://schemas.openxmlformats.org/officeDocument/2006/relationships/image" Target="media/image424.png"/><Relationship Id="rId432" Type="http://schemas.openxmlformats.org/officeDocument/2006/relationships/image" Target="media/image425.png"/><Relationship Id="rId433" Type="http://schemas.openxmlformats.org/officeDocument/2006/relationships/image" Target="media/image426.png"/><Relationship Id="rId434" Type="http://schemas.openxmlformats.org/officeDocument/2006/relationships/image" Target="media/image427.png"/><Relationship Id="rId435" Type="http://schemas.openxmlformats.org/officeDocument/2006/relationships/image" Target="media/image428.png"/><Relationship Id="rId436" Type="http://schemas.openxmlformats.org/officeDocument/2006/relationships/image" Target="media/image429.png"/><Relationship Id="rId437" Type="http://schemas.openxmlformats.org/officeDocument/2006/relationships/image" Target="media/image430.png"/><Relationship Id="rId438" Type="http://schemas.openxmlformats.org/officeDocument/2006/relationships/image" Target="media/image431.png"/><Relationship Id="rId439" Type="http://schemas.openxmlformats.org/officeDocument/2006/relationships/image" Target="media/image432.png"/><Relationship Id="rId440" Type="http://schemas.openxmlformats.org/officeDocument/2006/relationships/image" Target="media/image433.png"/><Relationship Id="rId441" Type="http://schemas.openxmlformats.org/officeDocument/2006/relationships/image" Target="media/image434.png"/><Relationship Id="rId442" Type="http://schemas.openxmlformats.org/officeDocument/2006/relationships/image" Target="media/image435.png"/><Relationship Id="rId443" Type="http://schemas.openxmlformats.org/officeDocument/2006/relationships/image" Target="media/image436.png"/><Relationship Id="rId444" Type="http://schemas.openxmlformats.org/officeDocument/2006/relationships/image" Target="media/image437.png"/><Relationship Id="rId445" Type="http://schemas.openxmlformats.org/officeDocument/2006/relationships/image" Target="media/image438.png"/><Relationship Id="rId446" Type="http://schemas.openxmlformats.org/officeDocument/2006/relationships/image" Target="media/image439.png"/><Relationship Id="rId447" Type="http://schemas.openxmlformats.org/officeDocument/2006/relationships/image" Target="media/image440.png"/><Relationship Id="rId448" Type="http://schemas.openxmlformats.org/officeDocument/2006/relationships/image" Target="media/image441.png"/><Relationship Id="rId449" Type="http://schemas.openxmlformats.org/officeDocument/2006/relationships/image" Target="media/image442.png"/><Relationship Id="rId450" Type="http://schemas.openxmlformats.org/officeDocument/2006/relationships/image" Target="media/image443.png"/><Relationship Id="rId451" Type="http://schemas.openxmlformats.org/officeDocument/2006/relationships/image" Target="media/image444.png"/><Relationship Id="rId452" Type="http://schemas.openxmlformats.org/officeDocument/2006/relationships/image" Target="media/image445.png"/><Relationship Id="rId453" Type="http://schemas.openxmlformats.org/officeDocument/2006/relationships/image" Target="media/image446.png"/><Relationship Id="rId454" Type="http://schemas.openxmlformats.org/officeDocument/2006/relationships/image" Target="media/image447.png"/><Relationship Id="rId455" Type="http://schemas.openxmlformats.org/officeDocument/2006/relationships/image" Target="media/image448.png"/><Relationship Id="rId456" Type="http://schemas.openxmlformats.org/officeDocument/2006/relationships/image" Target="media/image449.png"/><Relationship Id="rId457" Type="http://schemas.openxmlformats.org/officeDocument/2006/relationships/image" Target="media/image450.png"/><Relationship Id="rId458" Type="http://schemas.openxmlformats.org/officeDocument/2006/relationships/image" Target="media/image451.png"/><Relationship Id="rId459" Type="http://schemas.openxmlformats.org/officeDocument/2006/relationships/image" Target="media/image452.png"/><Relationship Id="rId460" Type="http://schemas.openxmlformats.org/officeDocument/2006/relationships/image" Target="media/image453.png"/><Relationship Id="rId461" Type="http://schemas.openxmlformats.org/officeDocument/2006/relationships/image" Target="media/image454.png"/><Relationship Id="rId462" Type="http://schemas.openxmlformats.org/officeDocument/2006/relationships/image" Target="media/image455.png"/><Relationship Id="rId463" Type="http://schemas.openxmlformats.org/officeDocument/2006/relationships/image" Target="media/image456.png"/><Relationship Id="rId464" Type="http://schemas.openxmlformats.org/officeDocument/2006/relationships/image" Target="media/image457.png"/><Relationship Id="rId465" Type="http://schemas.openxmlformats.org/officeDocument/2006/relationships/image" Target="media/image458.png"/><Relationship Id="rId466" Type="http://schemas.openxmlformats.org/officeDocument/2006/relationships/image" Target="media/image459.png"/><Relationship Id="rId467" Type="http://schemas.openxmlformats.org/officeDocument/2006/relationships/image" Target="media/image460.png"/><Relationship Id="rId468" Type="http://schemas.openxmlformats.org/officeDocument/2006/relationships/image" Target="media/image461.png"/><Relationship Id="rId469" Type="http://schemas.openxmlformats.org/officeDocument/2006/relationships/image" Target="media/image462.png"/><Relationship Id="rId470" Type="http://schemas.openxmlformats.org/officeDocument/2006/relationships/image" Target="media/image463.png"/><Relationship Id="rId471" Type="http://schemas.openxmlformats.org/officeDocument/2006/relationships/image" Target="media/image464.png"/><Relationship Id="rId472" Type="http://schemas.openxmlformats.org/officeDocument/2006/relationships/image" Target="media/image465.png"/><Relationship Id="rId473" Type="http://schemas.openxmlformats.org/officeDocument/2006/relationships/image" Target="media/image466.png"/><Relationship Id="rId474" Type="http://schemas.openxmlformats.org/officeDocument/2006/relationships/image" Target="media/image467.png"/><Relationship Id="rId475" Type="http://schemas.openxmlformats.org/officeDocument/2006/relationships/image" Target="media/image468.png"/><Relationship Id="rId476" Type="http://schemas.openxmlformats.org/officeDocument/2006/relationships/image" Target="media/image469.png"/><Relationship Id="rId477" Type="http://schemas.openxmlformats.org/officeDocument/2006/relationships/image" Target="media/image470.png"/><Relationship Id="rId478" Type="http://schemas.openxmlformats.org/officeDocument/2006/relationships/image" Target="media/image471.png"/><Relationship Id="rId479" Type="http://schemas.openxmlformats.org/officeDocument/2006/relationships/image" Target="media/image472.png"/><Relationship Id="rId480" Type="http://schemas.openxmlformats.org/officeDocument/2006/relationships/image" Target="media/image473.png"/><Relationship Id="rId481" Type="http://schemas.openxmlformats.org/officeDocument/2006/relationships/image" Target="media/image474.png"/><Relationship Id="rId482" Type="http://schemas.openxmlformats.org/officeDocument/2006/relationships/image" Target="media/image475.png"/><Relationship Id="rId483" Type="http://schemas.openxmlformats.org/officeDocument/2006/relationships/image" Target="media/image476.png"/><Relationship Id="rId484" Type="http://schemas.openxmlformats.org/officeDocument/2006/relationships/image" Target="media/image477.png"/><Relationship Id="rId485" Type="http://schemas.openxmlformats.org/officeDocument/2006/relationships/image" Target="media/image478.png"/><Relationship Id="rId486" Type="http://schemas.openxmlformats.org/officeDocument/2006/relationships/image" Target="media/image479.png"/><Relationship Id="rId487" Type="http://schemas.openxmlformats.org/officeDocument/2006/relationships/image" Target="media/image480.png"/><Relationship Id="rId488" Type="http://schemas.openxmlformats.org/officeDocument/2006/relationships/image" Target="media/image481.png"/><Relationship Id="rId489" Type="http://schemas.openxmlformats.org/officeDocument/2006/relationships/image" Target="media/image482.png"/><Relationship Id="rId490" Type="http://schemas.openxmlformats.org/officeDocument/2006/relationships/image" Target="media/image483.png"/><Relationship Id="rId491" Type="http://schemas.openxmlformats.org/officeDocument/2006/relationships/image" Target="media/image484.png"/><Relationship Id="rId492" Type="http://schemas.openxmlformats.org/officeDocument/2006/relationships/image" Target="media/image485.png"/><Relationship Id="rId493" Type="http://schemas.openxmlformats.org/officeDocument/2006/relationships/image" Target="media/image486.png"/><Relationship Id="rId494" Type="http://schemas.openxmlformats.org/officeDocument/2006/relationships/image" Target="media/image487.png"/><Relationship Id="rId495" Type="http://schemas.openxmlformats.org/officeDocument/2006/relationships/image" Target="media/image488.png"/><Relationship Id="rId496" Type="http://schemas.openxmlformats.org/officeDocument/2006/relationships/image" Target="media/image489.png"/><Relationship Id="rId497" Type="http://schemas.openxmlformats.org/officeDocument/2006/relationships/image" Target="media/image490.png"/><Relationship Id="rId498" Type="http://schemas.openxmlformats.org/officeDocument/2006/relationships/image" Target="media/image491.png"/><Relationship Id="rId499" Type="http://schemas.openxmlformats.org/officeDocument/2006/relationships/image" Target="media/image492.png"/><Relationship Id="rId500" Type="http://schemas.openxmlformats.org/officeDocument/2006/relationships/image" Target="media/image493.png"/><Relationship Id="rId501" Type="http://schemas.openxmlformats.org/officeDocument/2006/relationships/image" Target="media/image494.png"/><Relationship Id="rId502" Type="http://schemas.openxmlformats.org/officeDocument/2006/relationships/image" Target="media/image495.png"/><Relationship Id="rId503" Type="http://schemas.openxmlformats.org/officeDocument/2006/relationships/image" Target="media/image496.png"/><Relationship Id="rId504" Type="http://schemas.openxmlformats.org/officeDocument/2006/relationships/image" Target="media/image497.png"/><Relationship Id="rId505" Type="http://schemas.openxmlformats.org/officeDocument/2006/relationships/image" Target="media/image498.png"/><Relationship Id="rId506" Type="http://schemas.openxmlformats.org/officeDocument/2006/relationships/image" Target="media/image499.png"/><Relationship Id="rId507" Type="http://schemas.openxmlformats.org/officeDocument/2006/relationships/image" Target="media/image500.png"/><Relationship Id="rId508" Type="http://schemas.openxmlformats.org/officeDocument/2006/relationships/image" Target="media/image501.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2020-05-20T07:03:41Z</dcterms:created>
  <dcterms:modified xsi:type="dcterms:W3CDTF">2020-05-20T07:03:41Z</dcterms:modified>
</cp:coreProperties>
</file>