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10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Skeffington Keyna Pidcock</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2400" w:type="dxa"/>
            <w:vAlign w:val="bottom"/>
            <w:tcBorders>
              <w:top w:val="single" w:sz="8" w:color="0000EE"/>
            </w:tcBorders>
          </w:tcPr>
          <w:p>
            <w:pPr>
              <w:spacing w:after="0"/>
              <w:rPr>
                <w:sz w:val="13"/>
                <w:szCs w:val="13"/>
                <w:color w:val="auto"/>
              </w:rPr>
            </w:pPr>
          </w:p>
        </w:tc>
        <w:tc>
          <w:tcPr>
            <w:tcW w:w="560" w:type="dxa"/>
            <w:vAlign w:val="bottom"/>
          </w:tcPr>
          <w:p>
            <w:pPr>
              <w:spacing w:after="0"/>
              <w:rPr>
                <w:sz w:val="13"/>
                <w:szCs w:val="13"/>
                <w:color w:val="auto"/>
              </w:rPr>
            </w:pPr>
          </w:p>
        </w:tc>
        <w:tc>
          <w:tcPr>
            <w:tcW w:w="1640" w:type="dxa"/>
            <w:vAlign w:val="bottom"/>
          </w:tcPr>
          <w:p>
            <w:pPr>
              <w:ind w:left="420"/>
              <w:spacing w:after="0" w:line="155" w:lineRule="exact"/>
              <w:rPr>
                <w:sz w:val="20"/>
                <w:szCs w:val="20"/>
                <w:color w:val="auto"/>
              </w:rPr>
            </w:pPr>
            <w:r>
              <w:rPr>
                <w:rFonts w:ascii="Arial" w:cs="Arial" w:eastAsia="Arial" w:hAnsi="Arial"/>
                <w:sz w:val="16"/>
                <w:szCs w:val="16"/>
                <w:color w:val="0000FF"/>
              </w:rPr>
              <w:t>07/27/2017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9"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8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920" w:type="dxa"/>
            <w:vAlign w:val="bottom"/>
          </w:tcPr>
          <w:p>
            <w:pPr>
              <w:ind w:left="1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20 EASTBOURNE TERRACE</w:t>
            </w:r>
          </w:p>
        </w:tc>
      </w:tr>
      <w:tr>
        <w:trPr>
          <w:trHeight w:val="212"/>
        </w:trPr>
        <w:tc>
          <w:tcPr>
            <w:tcW w:w="2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920" w:type="dxa"/>
            <w:vAlign w:val="bottom"/>
          </w:tcPr>
          <w:p>
            <w:pPr>
              <w:ind w:left="180"/>
              <w:spacing w:after="0"/>
              <w:rPr>
                <w:sz w:val="20"/>
                <w:szCs w:val="20"/>
                <w:color w:val="auto"/>
              </w:rPr>
            </w:pPr>
            <w:r>
              <w:rPr>
                <w:rFonts w:ascii="Arial" w:cs="Arial" w:eastAsia="Arial" w:hAnsi="Arial"/>
                <w:sz w:val="18"/>
                <w:szCs w:val="18"/>
                <w:color w:val="0000FF"/>
              </w:rPr>
              <w:t>X0</w:t>
            </w:r>
          </w:p>
        </w:tc>
        <w:tc>
          <w:tcPr>
            <w:tcW w:w="1380" w:type="dxa"/>
            <w:vAlign w:val="bottom"/>
          </w:tcPr>
          <w:p>
            <w:pPr>
              <w:ind w:left="340"/>
              <w:spacing w:after="0"/>
              <w:rPr>
                <w:sz w:val="20"/>
                <w:szCs w:val="20"/>
                <w:color w:val="auto"/>
              </w:rPr>
            </w:pPr>
            <w:r>
              <w:rPr>
                <w:rFonts w:ascii="Arial" w:cs="Arial" w:eastAsia="Arial" w:hAnsi="Arial"/>
                <w:sz w:val="18"/>
                <w:szCs w:val="18"/>
                <w:color w:val="0000FF"/>
              </w:rPr>
              <w:t>W2 6LG</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920" w:type="dxa"/>
            <w:vAlign w:val="bottom"/>
          </w:tcPr>
          <w:p>
            <w:pPr>
              <w:ind w:left="1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46"/>
        <w:spacing w:after="0"/>
        <w:rPr>
          <w:sz w:val="20"/>
          <w:szCs w:val="20"/>
          <w:color w:val="auto"/>
        </w:rPr>
      </w:pPr>
      <w:r>
        <w:rPr>
          <w:rFonts w:ascii="Arial" w:cs="Arial" w:eastAsia="Arial" w:hAnsi="Arial"/>
          <w:sz w:val="18"/>
          <w:szCs w:val="18"/>
          <w:color w:val="0000FF"/>
        </w:rPr>
        <w:t>General Counsel</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07/27/2017</w:t>
      </w:r>
    </w:p>
    <w:p>
      <w:pPr>
        <w:spacing w:after="0" w:line="246"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6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8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88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4"/>
              </w:rPr>
              <w:t>06/12/2018</w:t>
            </w:r>
            <w:r>
              <w:rPr>
                <w:rFonts w:ascii="Arial" w:cs="Arial" w:eastAsia="Arial" w:hAnsi="Arial"/>
                <w:sz w:val="22"/>
                <w:szCs w:val="22"/>
                <w:color w:val="008000"/>
                <w:w w:val="84"/>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06/12/2018</w:t>
            </w: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8"/>
              </w:rPr>
              <w:t>1,147</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4"/>
              </w:rPr>
              <w:t>06/12/2019</w:t>
            </w:r>
            <w:r>
              <w:rPr>
                <w:rFonts w:ascii="Arial" w:cs="Arial" w:eastAsia="Arial" w:hAnsi="Arial"/>
                <w:sz w:val="22"/>
                <w:szCs w:val="22"/>
                <w:color w:val="008000"/>
                <w:w w:val="84"/>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06/12/2019</w:t>
            </w: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8"/>
              </w:rPr>
              <w:t>1,146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4"/>
              </w:rPr>
              <w:t>06/12/2020</w:t>
            </w:r>
            <w:r>
              <w:rPr>
                <w:rFonts w:ascii="Arial" w:cs="Arial" w:eastAsia="Arial" w:hAnsi="Arial"/>
                <w:sz w:val="22"/>
                <w:szCs w:val="22"/>
                <w:color w:val="008000"/>
                <w:w w:val="84"/>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06/12/2020</w:t>
            </w: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8"/>
              </w:rPr>
              <w:t>1,146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(1)(2)</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4"/>
              </w:rPr>
              <w:t>06/12/2021</w:t>
            </w:r>
            <w:r>
              <w:rPr>
                <w:rFonts w:ascii="Arial" w:cs="Arial" w:eastAsia="Arial" w:hAnsi="Arial"/>
                <w:sz w:val="22"/>
                <w:szCs w:val="22"/>
                <w:color w:val="008000"/>
                <w:w w:val="84"/>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06/12/2021</w:t>
            </w: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8"/>
              </w:rPr>
              <w:t>1,146</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Appreciation Rights</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06/12/2027</w:t>
            </w:r>
          </w:p>
        </w:tc>
        <w:tc>
          <w:tcPr>
            <w:tcW w:w="186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Ordinary Shares</w:t>
            </w:r>
          </w:p>
        </w:tc>
        <w:tc>
          <w:tcPr>
            <w:tcW w:w="880" w:type="dxa"/>
            <w:vAlign w:val="bottom"/>
            <w:tcBorders>
              <w:bottom w:val="single" w:sz="8" w:color="2C2C2C"/>
            </w:tcBorders>
          </w:tcPr>
          <w:p>
            <w:pPr>
              <w:jc w:val="center"/>
              <w:ind w:left="122"/>
              <w:spacing w:after="0"/>
              <w:rPr>
                <w:sz w:val="20"/>
                <w:szCs w:val="20"/>
                <w:color w:val="auto"/>
              </w:rPr>
            </w:pPr>
            <w:r>
              <w:rPr>
                <w:rFonts w:ascii="Arial" w:cs="Arial" w:eastAsia="Arial" w:hAnsi="Arial"/>
                <w:sz w:val="18"/>
                <w:szCs w:val="18"/>
                <w:color w:val="0000FF"/>
                <w:w w:val="87"/>
              </w:rPr>
              <w:t>15,203</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59.97</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4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Due to an administrative error, LivaNova PLC (the "Company") failed to include on the original Form 3 certain derivative securities owned by reporting person as of June 12, 2017. This amended Form 3 is being filed to provide the omitted information.</w:t>
      </w:r>
    </w:p>
    <w:p>
      <w:pPr>
        <w:spacing w:after="0" w:line="30" w:lineRule="exact"/>
        <w:rPr>
          <w:rFonts w:ascii="Arial" w:cs="Arial" w:eastAsia="Arial" w:hAnsi="Arial"/>
          <w:sz w:val="14"/>
          <w:szCs w:val="14"/>
          <w:color w:val="008000"/>
        </w:rPr>
      </w:pPr>
    </w:p>
    <w:p>
      <w:pPr>
        <w:ind w:left="40" w:right="10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ordinary share ("Ordinary Share") of the Company, GBP 1.00 par value, in accordance with the terms of the LivaNova PLC 2015 Incentive Award Plan (the "Plan") and the terms of the award agreement.</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On June 12, 2017, reporting person was granted RSUs subject to a four-year vesting schedule, vesting 25% on each of the first four anniversaries of the grant date subject to continued service during the vesting period and the terms of the award agreement.</w:t>
      </w:r>
    </w:p>
    <w:p>
      <w:pPr>
        <w:spacing w:after="0" w:line="30"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On June 12, 2017, reporting person was granted an award of stock appreciation rights ("SARs"). Subject to the terms and conditions of the Plan and the terms of the SAR Agreement, the SARs shall vest in equal installments of 25% on each of the four anniversaries of the grant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0000FF"/>
                <w:w w:val="89"/>
              </w:rPr>
              <w:t>/s/ Sarah K. Mohr, POA</w:t>
            </w:r>
          </w:p>
        </w:tc>
        <w:tc>
          <w:tcPr>
            <w:tcW w:w="4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01/17/2020</w:t>
            </w:r>
          </w:p>
        </w:tc>
      </w:tr>
      <w:tr>
        <w:trPr>
          <w:trHeight w:val="20"/>
        </w:trPr>
        <w:tc>
          <w:tcPr>
            <w:tcW w:w="17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22" w:lineRule="exact"/>
        <w:rPr>
          <w:sz w:val="20"/>
          <w:szCs w:val="20"/>
          <w:color w:val="auto"/>
        </w:rPr>
      </w:pPr>
    </w:p>
    <w:p>
      <w:pPr>
        <w:ind w:right="20" w:firstLine="648"/>
        <w:spacing w:after="0" w:line="325" w:lineRule="auto"/>
        <w:rPr>
          <w:sz w:val="20"/>
          <w:szCs w:val="20"/>
          <w:color w:val="auto"/>
        </w:rPr>
      </w:pPr>
      <w:r>
        <w:rPr>
          <w:rFonts w:ascii="Arial" w:cs="Arial" w:eastAsia="Arial" w:hAnsi="Arial"/>
          <w:sz w:val="18"/>
          <w:szCs w:val="18"/>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25" w:lineRule="exact"/>
        <w:rPr>
          <w:sz w:val="20"/>
          <w:szCs w:val="20"/>
          <w:color w:val="auto"/>
        </w:rPr>
      </w:pPr>
    </w:p>
    <w:p>
      <w:pPr>
        <w:ind w:left="1300" w:right="200" w:hanging="644"/>
        <w:spacing w:after="0" w:line="33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1" w:lineRule="exact"/>
        <w:rPr>
          <w:rFonts w:ascii="Arial" w:cs="Arial" w:eastAsia="Arial" w:hAnsi="Arial"/>
          <w:sz w:val="18"/>
          <w:szCs w:val="18"/>
          <w:color w:val="auto"/>
        </w:rPr>
      </w:pPr>
    </w:p>
    <w:p>
      <w:pPr>
        <w:ind w:left="1300" w:right="260" w:hanging="644"/>
        <w:spacing w:after="0" w:line="33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1" w:lineRule="exact"/>
        <w:rPr>
          <w:rFonts w:ascii="Arial" w:cs="Arial" w:eastAsia="Arial" w:hAnsi="Arial"/>
          <w:sz w:val="18"/>
          <w:szCs w:val="18"/>
          <w:color w:val="auto"/>
        </w:rPr>
      </w:pPr>
    </w:p>
    <w:p>
      <w:pPr>
        <w:ind w:left="1300" w:right="220" w:hanging="644"/>
        <w:spacing w:after="0" w:line="329"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1" w:lineRule="exact"/>
        <w:rPr>
          <w:sz w:val="20"/>
          <w:szCs w:val="20"/>
          <w:color w:val="auto"/>
        </w:rPr>
      </w:pPr>
    </w:p>
    <w:p>
      <w:pPr>
        <w:ind w:right="220" w:firstLine="648"/>
        <w:spacing w:after="0" w:line="302"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2" w:lineRule="exact"/>
        <w:rPr>
          <w:sz w:val="20"/>
          <w:szCs w:val="20"/>
          <w:color w:val="auto"/>
        </w:rPr>
      </w:pPr>
    </w:p>
    <w:p>
      <w:pPr>
        <w:ind w:firstLine="648"/>
        <w:spacing w:after="0" w:line="285" w:lineRule="auto"/>
        <w:rPr>
          <w:sz w:val="20"/>
          <w:szCs w:val="20"/>
          <w:color w:val="auto"/>
        </w:rPr>
      </w:pPr>
      <w:r>
        <w:rPr>
          <w:rFonts w:ascii="Arial" w:cs="Arial" w:eastAsia="Arial" w:hAnsi="Arial"/>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55" w:lineRule="exact"/>
        <w:rPr>
          <w:sz w:val="20"/>
          <w:szCs w:val="20"/>
          <w:color w:val="auto"/>
        </w:rPr>
      </w:pPr>
    </w:p>
    <w:p>
      <w:pPr>
        <w:ind w:right="220" w:firstLine="648"/>
        <w:spacing w:after="0" w:line="36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0" w:lineRule="exact"/>
        <w:rPr>
          <w:sz w:val="20"/>
          <w:szCs w:val="20"/>
          <w:color w:val="auto"/>
        </w:rPr>
      </w:pPr>
    </w:p>
    <w:p>
      <w:pPr>
        <w:ind w:right="20" w:firstLine="648"/>
        <w:spacing w:after="0" w:line="288"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3298190</wp:posOffset>
            </wp:positionH>
            <wp:positionV relativeFrom="paragraph">
              <wp:posOffset>-14605</wp:posOffset>
            </wp:positionV>
            <wp:extent cx="14776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77645" cy="889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20"/>
          <w:szCs w:val="20"/>
          <w:color w:val="auto"/>
        </w:rPr>
        <w:t>Keyna Skeffington</w:t>
      </w:r>
    </w:p>
    <w:sectPr>
      <w:pgSz w:w="11900" w:h="16838" w:orient="portrait"/>
      <w:cols w:equalWidth="0" w:num="1">
        <w:col w:w="11400"/>
      </w:cols>
      <w:pgMar w:left="240" w:top="36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1."/>
      <w:numFmt w:val="decimal"/>
      <w:start w:val="6"/>
    </w:lvl>
  </w:abstractNum>
  <w:abstractNum w:abstractNumId="3">
    <w:nsid w:val="3D1B58BA"/>
    <w:multiLevelType w:val="hybridMultilevel"/>
    <w:lvl w:ilvl="0">
      <w:lvlJc w:val="left"/>
      <w:lvlText w:val="X"/>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712880"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2020-01-17T14:46:43Z</dcterms:created>
  <dcterms:modified xsi:type="dcterms:W3CDTF">2020-01-17T14:46:43Z</dcterms:modified>
</cp:coreProperties>
</file>